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1A26A" w14:textId="56A022D1" w:rsidR="00DC5EC6" w:rsidRDefault="005B5627" w:rsidP="005B5627">
      <w:pPr>
        <w:pStyle w:val="Pagedecouverture"/>
        <w:rPr>
          <w:noProof/>
        </w:rPr>
      </w:pPr>
      <w:bookmarkStart w:id="0" w:name="LW_BM_COVERPAGE"/>
      <w:r>
        <w:rPr>
          <w:noProof/>
        </w:rPr>
        <w:pict w14:anchorId="7D91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ED4961F0-A9C6-4702-93A6-7F15C380ACB3" style="width:455.25pt;height:425.25pt">
            <v:imagedata r:id="rId11" o:title=""/>
          </v:shape>
        </w:pict>
      </w:r>
    </w:p>
    <w:bookmarkEnd w:id="0"/>
    <w:p w14:paraId="0B51AFC5" w14:textId="77777777" w:rsidR="00DC5EC6" w:rsidRDefault="00DC5EC6">
      <w:pPr>
        <w:rPr>
          <w:noProof/>
        </w:rPr>
        <w:sectPr w:rsidR="00DC5EC6" w:rsidSect="005B562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5F6175" w14:textId="152E7379" w:rsidR="00DC5EC6" w:rsidRDefault="003245A4">
      <w:pPr>
        <w:pStyle w:val="P68B1DB1-Normal1"/>
        <w:jc w:val="center"/>
        <w:rPr>
          <w:noProof/>
        </w:rPr>
      </w:pPr>
      <w:bookmarkStart w:id="1" w:name="_GoBack"/>
      <w:bookmarkEnd w:id="1"/>
      <w:r>
        <w:rPr>
          <w:noProof/>
        </w:rPr>
        <w:lastRenderedPageBreak/>
        <w:t>MELLÉKLET</w:t>
      </w:r>
    </w:p>
    <w:p w14:paraId="57574ED9" w14:textId="78CF222F" w:rsidR="00DC5EC6" w:rsidRDefault="003245A4">
      <w:pPr>
        <w:pStyle w:val="P68B1DB1-Normal2"/>
        <w:keepNext/>
        <w:tabs>
          <w:tab w:val="num" w:pos="850"/>
        </w:tabs>
        <w:spacing w:before="360" w:after="0" w:line="259" w:lineRule="auto"/>
        <w:ind w:left="850" w:hanging="850"/>
        <w:jc w:val="both"/>
        <w:outlineLvl w:val="0"/>
        <w:rPr>
          <w:rFonts w:eastAsiaTheme="majorEastAsia" w:cs="Times New Roman"/>
          <w:noProof/>
        </w:rPr>
      </w:pPr>
      <w:r>
        <w:rPr>
          <w:noProof/>
        </w:rPr>
        <w:t>1. SZAKASZ: A HELYREÁLLÍTÁSI ÉS REZILIENCIAÉPÍTÉSI TERVBEN FOGLALT REFORMOK ÉS BERUHÁZÁSOK</w:t>
      </w:r>
    </w:p>
    <w:p w14:paraId="4B78C2C2"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2D463D7"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1. A reformok és beruházások ismertetése </w:t>
      </w:r>
    </w:p>
    <w:p w14:paraId="5907275D" w14:textId="77777777" w:rsidR="00DC5EC6" w:rsidRDefault="00DC5EC6">
      <w:pPr>
        <w:keepNext/>
        <w:spacing w:before="40" w:after="0" w:line="259" w:lineRule="auto"/>
        <w:jc w:val="both"/>
        <w:rPr>
          <w:rFonts w:ascii="Times New Roman" w:eastAsiaTheme="minorEastAsia" w:hAnsi="Times New Roman" w:cs="Times New Roman"/>
          <w:i/>
          <w:noProof/>
          <w:sz w:val="24"/>
        </w:rPr>
      </w:pPr>
    </w:p>
    <w:p w14:paraId="027E0929" w14:textId="4B093992"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A. 1. </w:t>
      </w:r>
      <w:r w:rsidR="00342815">
        <w:rPr>
          <w:noProof/>
        </w:rPr>
        <w:t>KOMPONENS</w:t>
      </w:r>
      <w:r>
        <w:rPr>
          <w:noProof/>
        </w:rPr>
        <w:t>: Nemzeti egészségügyi szolgálat</w:t>
      </w:r>
    </w:p>
    <w:p w14:paraId="38320C5D" w14:textId="409087CF" w:rsidR="00DC5EC6" w:rsidRDefault="003245A4">
      <w:pPr>
        <w:pStyle w:val="P68B1DB1-Normal4"/>
        <w:keepNext/>
        <w:spacing w:before="40" w:after="0" w:line="259" w:lineRule="auto"/>
        <w:jc w:val="both"/>
        <w:rPr>
          <w:rFonts w:eastAsiaTheme="minorEastAsia" w:cs="Times New Roman"/>
          <w:noProof/>
        </w:rPr>
      </w:pPr>
      <w:r>
        <w:rPr>
          <w:noProof/>
        </w:rPr>
        <w:t>A portugál helyreállítási és rezilienciaépítési terv e komponense számos olyan kihívással foglalkozik, amellyel a portugál egészségügyi rendszer jelenleg szembesül a jelenlegi és változó egészségügyi szükségletek és a kapcsolódó költségek tekintetében. Először is, Portugália kedvezőtlen demográfiai tendenciái – amelyeket a felgyorsult öregedés és az azt követő tartós ápolási-gondozási igények jellemeznek – egybeesnek a változó betegségmintákkal, a krónikus és degeneratív betegségek növekvő terheivel, valamint a multimorbiditással. Másodszor, Portugáliában még mindig jelentős az elkerülhető halálozás, és viszonylag alacsony az egészségben eltöltött életévek száma 65 éves korban. Harmadszor, lehetőség van arra, hogy nagyobb hangsúlyt helyezzenek az egészségfejlesztésre és a betegségmegelőzésre, valamint az egészségügyi szolgáltatások szétaprózódásának és az egészségügyi ellátáshoz való hozzáférés hiányosságainak kezelésére. Negyedszer, az egészségügyi ellátásért járó közvetlen kifizetések a legmagasabbak között vannak az EU-ban, és az egészségügyi ellátás bejelentett pénzügyi terhe viszonylag magas. Végezetül Portugália nemzeti egészségügyi szolgálata évek óta nehéz pénzügyi helyzettel néz szembe. Portugália mindenekelőtt azt mutatja, hogy a kormány rendszeresen megmenti az állami kórházakat, aminek nem sikerült elkerülnie a kórházak szisztematikus eladósodási ciklusát, ami továbbgyűrűző hatást gyakorolt az ellátási lánc közötti kapcsolatokra.</w:t>
      </w:r>
    </w:p>
    <w:p w14:paraId="7311148A" w14:textId="0249E23A" w:rsidR="00DC5EC6" w:rsidRDefault="003245A4">
      <w:pPr>
        <w:pStyle w:val="P68B1DB1-Normal4"/>
        <w:keepNext/>
        <w:spacing w:before="40" w:after="0" w:line="259" w:lineRule="auto"/>
        <w:jc w:val="both"/>
        <w:rPr>
          <w:rFonts w:eastAsia="Times New Roman" w:cs="Times New Roman"/>
          <w:noProof/>
        </w:rPr>
      </w:pPr>
      <w:r>
        <w:rPr>
          <w:noProof/>
        </w:rPr>
        <w:t>A komponens fő célja a portugál nemzeti egészségügyi szolgálat reagálási képességének megerősítése az országban bekövetkezett demográfiai és járványügyi változásokra, a terápiás és technológiai innovációra, valamint az egészségügyi ellátás iránti növekvő keresletre és a kapcsolódó költségekre való reagálás céljából. E célból a komponens célja az egészségügyi alapszolgáltatások központi szerepének megerősítése a Nemzeti Egészségügyi Szolgálat általános felépítésén belül, a hosszú távú és mentális egészségügyi szolgáltatások bővítése, valamint a hatékonyság növelése az állami kórházak irányítási modelljének reformja és az egészségügyi szolgáltatások digitalizálásának előmozdítása révén.</w:t>
      </w:r>
    </w:p>
    <w:p w14:paraId="714DF149" w14:textId="77777777" w:rsidR="00DC5EC6" w:rsidRDefault="003245A4">
      <w:pPr>
        <w:pStyle w:val="P68B1DB1-Normal4"/>
        <w:spacing w:before="40" w:after="120" w:line="259" w:lineRule="auto"/>
        <w:jc w:val="both"/>
        <w:rPr>
          <w:rFonts w:eastAsiaTheme="minorEastAsia" w:cs="Times New Roman"/>
          <w:noProof/>
        </w:rPr>
      </w:pPr>
      <w:r>
        <w:rPr>
          <w:noProof/>
        </w:rPr>
        <w:t>A komponens támogatja az általános kiadásellenőrzés, a költséghatékonyság és a megfelelő költségvetés-tervezés megerősítéséről szóló országspecifikus ajánlás végrehajtását, különös tekintettel a kórházi hátralékok tartós csökkentésére (2019. évi 1. országspecifikus ajánlás), valamint az egészségügyi rendszer rezilienciájának megerősítéséről, valamint a minőségi egészségügyi ellátáshoz és a tartós ápolás-gondozáshoz való egyenlő hozzáférés biztosításáról szóló országspecifikus ajánlás (2020. évi 1. országspecifikus ajánlás). A komponens hozzájárul továbbá a zöld és digitális átállásra összpontosító országspecifikus ajánlás (2020. évi 3. országspecifikus ajánlás) végrehajtásához is.</w:t>
      </w:r>
    </w:p>
    <w:p w14:paraId="562E60CC" w14:textId="5277BFA7" w:rsidR="00DC5EC6" w:rsidRDefault="003245A4">
      <w:pPr>
        <w:pStyle w:val="P68B1DB1-Normal4"/>
        <w:keepNext/>
        <w:spacing w:before="40" w:after="120" w:line="259" w:lineRule="auto"/>
        <w:jc w:val="both"/>
        <w:rPr>
          <w:rFonts w:eastAsiaTheme="minorEastAsia" w:cs="Times New Roman"/>
          <w:b/>
          <w:noProof/>
          <w:u w:val="single"/>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4C4465E0" w14:textId="77777777" w:rsidR="00DC5EC6" w:rsidRDefault="003245A4">
      <w:pPr>
        <w:pStyle w:val="P68B1DB1-Normal3"/>
        <w:keepNext/>
        <w:spacing w:before="40" w:after="120" w:line="259" w:lineRule="auto"/>
        <w:ind w:left="130" w:firstLine="720"/>
        <w:jc w:val="both"/>
        <w:outlineLvl w:val="1"/>
        <w:rPr>
          <w:rFonts w:eastAsiaTheme="minorEastAsia" w:cs="Times New Roman"/>
          <w:noProof/>
        </w:rPr>
      </w:pPr>
      <w:r>
        <w:rPr>
          <w:noProof/>
        </w:rPr>
        <w:t>A.1. Vissza nem térítendő pénzügyi támogatás – a reformok és beruházások ismertetése</w:t>
      </w:r>
    </w:p>
    <w:p w14:paraId="77050E33"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RE-r01 reform: Az egészségügyi alapellátás reformja</w:t>
      </w:r>
    </w:p>
    <w:p w14:paraId="17FEB3D7" w14:textId="77777777" w:rsidR="00DC5EC6" w:rsidRDefault="003245A4">
      <w:pPr>
        <w:pStyle w:val="P68B1DB1-Normal4"/>
        <w:keepNext/>
        <w:spacing w:before="40" w:after="0" w:line="259" w:lineRule="auto"/>
        <w:jc w:val="both"/>
        <w:rPr>
          <w:rFonts w:eastAsiaTheme="minorEastAsia" w:cs="Times New Roman"/>
          <w:noProof/>
          <w:u w:val="single"/>
        </w:rPr>
      </w:pPr>
      <w:r>
        <w:rPr>
          <w:noProof/>
        </w:rPr>
        <w:t>A reform átfogó célja, hogy megerősítse az egészségügyi alapellátás alapvető szerepét a lakosság egészségügyi szükségleteinek kielégítésében a Nemzeti Egészségügyi Szolgálat általános felépítésén belül. E célból a reform hat prioritásra irányul: a szűrési és korai diagnózisi kapacitás elmélyítése, nevezetesen a leggyakoribb betegségek esetében; az alapellátás reagálási képességének megerősítése proaktívabb egészségügyi központok létrehozásával, kibővített szolgáltatási portfólióval és beavatkozási területekkel, valamint az ellátás más szintjeibe integráltabb egészségügyi központok létrehozásával, valamint a folyamatoknak az egyes felhasználók egyéni jellemzőihez és a kapcsolódó életúthoz való igazításával, a klinikai gyakorlatok nagyfokú változékonyságának csökkentésével (többek között a járóbeteg-felírás tekintetében), az egészségügyi ellátás különböző szintjei közötti klinikai beutalás javításával, valamint a szolgáltatások megkettőzésének korlátozásával vagy a nem hatékony, nem megfelelő vagy alacsony értékű ellátás biztosításával a hatékonyság növelésére való törekvés révén; a regionális és helyi aszimmetriák korrigálása az egészségügyi alapellátásban rendelkezésre álló létesítmények és berendezések tekintetében; a közösségi alapú válaszok támogatása és támogatási programok létrehozása a felhasználók és családjaik számára, a polgárok és a közösségek jobb bevonásával, többek között az egészségügyi feladatok központi önkormányzatokról a helyi önkormányzatokra történő átadásának befejezése révén; az egészségügyi munkaerő készségeinek fejlesztése, a multidiszciplináris csapatmunka megerősítése és a szakemberek, köztük a szakemberek számának növelése; valamint vi. a Nemzeti Egészségügyi Szolgálat digitális átállásának megvalósítása, valamint az egészségügyi szolgáltatások igénybevételének modernizálására és egyszerűsítésére irányuló potenciáljának kiaknázása. Ennek során a reformnak jobb keretfeltételeket kell biztosítania az egészségügyi alapellátásba történő kapcsolódó beruházások számára.</w:t>
      </w:r>
    </w:p>
    <w:p w14:paraId="2145F595" w14:textId="182C1721" w:rsidR="00DC5EC6" w:rsidRDefault="003245A4">
      <w:pPr>
        <w:pStyle w:val="P68B1DB1-Normal4"/>
        <w:keepNext/>
        <w:spacing w:before="40" w:after="0" w:line="259" w:lineRule="auto"/>
        <w:jc w:val="both"/>
        <w:rPr>
          <w:rFonts w:eastAsiaTheme="minorEastAsia" w:cs="Times New Roman"/>
          <w:noProof/>
        </w:rPr>
      </w:pPr>
      <w:r>
        <w:rPr>
          <w:noProof/>
        </w:rPr>
        <w:t>A reform több jogalkotási és szabályozási intézkedés végrehajtásából áll, amelyek célja: az egészségügyi központok csoportjai felelősségi körének és beavatkozási körének, valamint az azokat alkotó funkcionális egységek tipológiájának kiszélesítése; a funkcionális egységek szervezetére és működésére vonatkozó jogi szabályozás, valamint az azokat alkotó elemeknek nyújtandó ösztönzők rendszerének felülvizsgálata; kockázatrétegező eszköz kidolgozása az egészségügyi központok csoportjainak funkcionális egységeiben a klinikai irányítás támogatása érdekében; valamint iv. az egészségügyi feladatoknak a központi közigazgatásról az önkormányzatokra történő átruházásának befejezése.</w:t>
      </w:r>
    </w:p>
    <w:p w14:paraId="13EB0AA1"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végrehajtásához kapcsolódó mérföldköveket és célokat 2023. december 31-ig be kell fejezni.</w:t>
      </w:r>
    </w:p>
    <w:p w14:paraId="3B03907D"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RE-r02 reform: A mentális egészség reformja</w:t>
      </w:r>
    </w:p>
    <w:p w14:paraId="12CAE8A0" w14:textId="77777777" w:rsidR="00DC5EC6" w:rsidRDefault="003245A4">
      <w:pPr>
        <w:pStyle w:val="P68B1DB1-Normal4"/>
        <w:keepNext/>
        <w:spacing w:before="40" w:after="0" w:line="259" w:lineRule="auto"/>
        <w:jc w:val="both"/>
        <w:rPr>
          <w:rFonts w:eastAsiaTheme="minorEastAsia" w:cs="Times New Roman"/>
          <w:noProof/>
        </w:rPr>
      </w:pPr>
      <w:r>
        <w:rPr>
          <w:noProof/>
        </w:rPr>
        <w:t>E reform átfogó célja a mentális egészség javítása Portugáliában. E célból a reform öt beavatkozási tengely köré szerveződik: a pszichiátriai kórházakban vagy szociális intézményekben élő betegek intézményesítettségének csökkentése; a helyi mentális egészségügyi szolgáltatások országos lefedettségének befejezése a fekvőbeteg-, járóbeteg- és közösségi ellátás területén; az integrált folyamatos gondozás nemzeti hálózatának bővítése, különös tekintettel a mentális egészségre; az igazságügyi pszichiátriai szolgálatok átszervezése; és v. a demenciára vonatkozó regionális egészségügyi tervek végrehajtása.</w:t>
      </w:r>
    </w:p>
    <w:p w14:paraId="0D4AF41B" w14:textId="77777777" w:rsidR="00DC5EC6" w:rsidRDefault="003245A4">
      <w:pPr>
        <w:pStyle w:val="P68B1DB1-Normal4"/>
        <w:keepNext/>
        <w:spacing w:before="40" w:after="0" w:line="259" w:lineRule="auto"/>
        <w:jc w:val="both"/>
        <w:rPr>
          <w:rFonts w:eastAsiaTheme="minorEastAsia" w:cs="Times New Roman"/>
          <w:noProof/>
        </w:rPr>
      </w:pPr>
      <w:r>
        <w:rPr>
          <w:noProof/>
        </w:rPr>
        <w:t>A reform konkrétan magában foglalja a mentális egészségről szóló hatályos törvény felülvizsgálatát – amely meghatározza a mentális egészségügyi politika általános elveit Portugáliában, és szabályozza a pszichés zavarokkal küzdők kötelező elhelyezését –, valamint a mentális egészségről szóló törvényerejű rendelet felülvizsgálatából, amely meghatározza a mentális egészségügyi szolgáltatások szervezésére, irányítására és értékelésére vonatkozó irányadó elveket. E jogi rendelkezéseket többek között a következő változtatásokkal kell kiegészíteni: a fogyatékossággal élő személyek jogairól szóló ENSZ-egyezmény elveinek beépítése a jogszabályokba; valamint ii. a helyi mentális egészségügyi szolgáltatások autonómiájának és megfelelő irányításának növelése integrált felelősségi központok létrehozása révén. Ennek során ez a reform jobb keretfeltételeket biztosít a mentális egészségügyi szolgáltatásokba való kapcsolódó beruházásokhoz.</w:t>
      </w:r>
    </w:p>
    <w:p w14:paraId="10338A6D" w14:textId="77777777" w:rsidR="00DC5EC6" w:rsidRDefault="003245A4">
      <w:pPr>
        <w:pStyle w:val="P68B1DB1-Normal4"/>
        <w:keepNext/>
        <w:spacing w:before="40" w:after="0" w:line="259" w:lineRule="auto"/>
        <w:jc w:val="both"/>
        <w:rPr>
          <w:rFonts w:eastAsiaTheme="minorEastAsia" w:cs="Times New Roman"/>
          <w:noProof/>
        </w:rPr>
        <w:sectPr w:rsidR="00DC5EC6" w:rsidSect="00787826">
          <w:headerReference w:type="even" r:id="rId18"/>
          <w:headerReference w:type="default" r:id="rId19"/>
          <w:footerReference w:type="even" r:id="rId20"/>
          <w:footerReference w:type="default" r:id="rId21"/>
          <w:headerReference w:type="first" r:id="rId22"/>
          <w:footerReference w:type="first" r:id="rId23"/>
          <w:pgSz w:w="11907" w:h="16839"/>
          <w:pgMar w:top="1134" w:right="1134" w:bottom="1134" w:left="1134" w:header="567" w:footer="567" w:gutter="0"/>
          <w:cols w:space="720"/>
          <w:docGrid w:linePitch="360"/>
        </w:sectPr>
      </w:pPr>
      <w:r>
        <w:rPr>
          <w:noProof/>
        </w:rPr>
        <w:t>A reform végrehajtásához kapcsolódó mérföldköveket 2023. március 31-ig be kell fejezni.</w:t>
      </w:r>
    </w:p>
    <w:p w14:paraId="3F67CEFA"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RE-r03 reform: A közkórházak irányítási modellje reformjának befejezése</w:t>
      </w:r>
    </w:p>
    <w:p w14:paraId="0C7C138E" w14:textId="77777777" w:rsidR="00DC5EC6" w:rsidRDefault="003245A4">
      <w:pPr>
        <w:pStyle w:val="P68B1DB1-Normal4"/>
        <w:keepNext/>
        <w:spacing w:before="40" w:after="0" w:line="259" w:lineRule="auto"/>
        <w:jc w:val="both"/>
        <w:rPr>
          <w:rFonts w:eastAsiaTheme="minorEastAsia" w:cs="Times New Roman"/>
          <w:noProof/>
        </w:rPr>
      </w:pPr>
      <w:r>
        <w:rPr>
          <w:noProof/>
        </w:rPr>
        <w:t>A reform átfogó célja a Nemzeti Egészségügyi Szolgálat kórházai hatékonyságának növelése. E célból a következő célokat tűzi ki: a közkórházak szervezetének és belső irányításának reformja; a kórházi hálózat átalakítása a kapacitástervezésnek megfelelően a szolgáltatások iránti kereslet, valamint az emberi erőforrások és az infrastruktúra kínálata tekintetében; a Nemzeti Egészségügyi Szolgálat egyéb elemeivel, nevezetesen az alap- és mentális egészségügyi szolgáltatásokkal, valamint a palliatív és integrált folyamatos ellátási hálózatokkal való összhang javítása; egészségügyi szakemberek és közvetítő szervezetek bevonása a közkórházak irányításába; és v. a válaszoknak a polgárok valódi egészségügyi és jólléti szükségleteire való összpontosítása.</w:t>
      </w:r>
    </w:p>
    <w:p w14:paraId="0F06F40C" w14:textId="77777777" w:rsidR="00DC5EC6" w:rsidRDefault="003245A4">
      <w:pPr>
        <w:pStyle w:val="P68B1DB1-Normal4"/>
        <w:keepNext/>
        <w:spacing w:before="40" w:after="0" w:line="259" w:lineRule="auto"/>
        <w:jc w:val="both"/>
        <w:rPr>
          <w:rFonts w:eastAsiaTheme="minorEastAsia" w:cs="Times New Roman"/>
          <w:noProof/>
        </w:rPr>
      </w:pPr>
      <w:r>
        <w:rPr>
          <w:noProof/>
        </w:rPr>
        <w:t>A kórházi vezetők teljesítményének értékelésére szolgáló objektív mérőszámokat bele kell foglalni a kezelési szerződésekbe, amelyek mind a szolgáltatás minőségét, mind a közkórházak pénzügyi helyzetét értékelik. Ez hozzájárul a kormány egészségpolitikai prioritásaival való összhang biztosításához, valamint a kórházi erőforrások kiszámíthatóbb kezeléséhez, az önállóságot fokozott nyomon követéssel és elszámoltathatósággal kombinálva. Az átalakított üzemeltetési szerződések végrehajtását fokozatosan kell végrehajtani, és a közkórházak hatékonyságának, méretének és földrajzi eloszlásának megfelelően kell rangsorolni. Ezen túlmenően meg kell erősíteni az egészségügyi és pénzügyminisztériumok ellenőrző szerepét annak érdekében, hogy integrált és koherens megközelítést biztosítsanak a kórházak teljesítményének értékelésére és a jóváhagyott költségvetésektől való eltérések kellő időben történő kiigazítására.</w:t>
      </w:r>
    </w:p>
    <w:p w14:paraId="18CD3273" w14:textId="77777777" w:rsidR="00DC5EC6" w:rsidRDefault="003245A4">
      <w:pPr>
        <w:pStyle w:val="P68B1DB1-Normal4"/>
        <w:keepNext/>
        <w:spacing w:before="40" w:after="0" w:line="259" w:lineRule="auto"/>
        <w:jc w:val="both"/>
        <w:rPr>
          <w:rFonts w:eastAsiaTheme="minorEastAsia" w:cs="Times New Roman"/>
          <w:noProof/>
        </w:rPr>
      </w:pPr>
      <w:r>
        <w:rPr>
          <w:noProof/>
        </w:rPr>
        <w:t>Emellett a további hatékonysági megtakarítások elérése érdekében meg kell erősíteni a központosított beszerzést, különösen egy közelmúltbeli független értékelés ajánlásainak figyelembevételével. A központosított beszerzést különösen ki kell terjeszteni az orvostechnikai eszközökre és eszközökre. Ezen túlmenően a tervek szerint javítani fogják a közkórházak belső irányítását, nevezetesen integrált felelősségi központok létrehozása és az ilyen központokhoz kapcsolódó egységekre alkalmazandó teljesítményalapú javadalmazási rendszerek bevezetése révén. Ezzel összefüggésben hatályba lép a Nemzeti Egészségügyi Szolgálatnak az egészségügyi szakemberekre vonatkozó teljes elkülönítési rendszere.</w:t>
      </w:r>
    </w:p>
    <w:p w14:paraId="13152133"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intézkedésnek tartalmaznia kell továbbá a kórházi hálózat átalakítására irányuló kezdeményezéseket a szolgáltatások jobb összehangolásának biztosítása érdekében. Különösen az otthoni kórházi ellátásra való reagálást kell továbbfejleszteni annak érdekében, hogy a beteg otthonában kórházi szintű ellátást lehessen nyújtani, szoros összhangban az egészségügyi alapellátással, az integrált folyamatos ápolási-gondozási szolgáltatások nemzeti hálózatával, a szociális szektorral és a helyi közösségekkel. Ezen túlmenően meg kell erősíteni a Nemzeti Egészségügyi Szolgálat fertőző betegségek diagnosztizálására vonatkozó laboratóriumi kapacitását, és növelni kell az intenzív orvosi ellátásra való képességét.</w:t>
      </w:r>
    </w:p>
    <w:p w14:paraId="2CA75694"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2025. december 31-ig be kell fejezni.</w:t>
      </w:r>
    </w:p>
    <w:p w14:paraId="2AB1365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RE-C01-i01 beruházás: Egészségügyi alapellátás, több válasz</w:t>
      </w:r>
    </w:p>
    <w:p w14:paraId="6B7DB75C" w14:textId="77777777" w:rsidR="00DC5EC6" w:rsidRDefault="003245A4">
      <w:pPr>
        <w:pStyle w:val="P68B1DB1-Normal4"/>
        <w:keepNext/>
        <w:spacing w:before="40" w:after="0" w:line="259" w:lineRule="auto"/>
        <w:jc w:val="both"/>
        <w:rPr>
          <w:rFonts w:eastAsia="Times New Roman" w:cs="Times New Roman"/>
          <w:noProof/>
        </w:rPr>
      </w:pPr>
      <w:r>
        <w:rPr>
          <w:noProof/>
        </w:rPr>
        <w:t>E beruházás célja az egészségügyi alapellátás bővítése és az egészségügyi alapszolgáltatások központi szerepének megerősítése a lakosság egészségügyi szükségleteinek kielégítése terén a Nemzeti Egészségügyi Szolgálat általános felépítésén belül. A beruházás az egészségügyi alapellátás reformjára épül.</w:t>
      </w:r>
    </w:p>
    <w:p w14:paraId="50F040E1" w14:textId="77777777" w:rsidR="00DC5EC6" w:rsidRDefault="003245A4">
      <w:pPr>
        <w:pStyle w:val="P68B1DB1-Normal4"/>
        <w:keepNext/>
        <w:spacing w:before="40" w:after="0" w:line="259" w:lineRule="auto"/>
        <w:jc w:val="both"/>
        <w:rPr>
          <w:rFonts w:eastAsia="Times New Roman" w:cs="Times New Roman"/>
          <w:noProof/>
        </w:rPr>
      </w:pPr>
      <w:r>
        <w:rPr>
          <w:noProof/>
        </w:rPr>
        <w:t>A beruházás a következő kezdeményezéseket foglalja magában:</w:t>
      </w:r>
    </w:p>
    <w:p w14:paraId="2BF5C657" w14:textId="77777777"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Először is, több részberuházásnak javítania kell az egészségügyi alapellátáshoz való hozzáférést, azok minőségét és hatékonyságát, hozzájárulva ezáltal a szűrőprogramok teljes körű nemzeti lefedettségéhez és a korai diagnózishoz szükséges kapacitás megerősítéséhez. Ezek a következőket foglalják magukban: a rákszűrés kiterjesztése valamennyi egészségügyi központra, beleértve a vastagbél- és méhnyakrákot is; a diabéteszes retinopátia szűrésének kiterjesztése valamennyi egészségügyi központra; valamennyi egészségügyi központ számára a C-reaktív fehérje mérésére szolgáló kapacitás biztosítása; az egészségügyi központok csoportjainak vérnyomásmérőkkel való ellátása az asztma, a krónikus obstruktív tüdőbetegség és a dohányzás korai diagnosztizálásához, figyelemmel kíséréséhez és kezeléséhez; v. az egészségügyi egységek holterfelszereléssel való ellátása és ambuláns vérnyomás ellenőrzése; a diabéteszes lábakról folytatott konzultációk kiterjesztése az egészségügyi központok valamennyi csoportjára; az összetett és multimorbid betegekre vonatkozó egyéni ellátási tervek elfogadása; a beutalási protokollok meghatározása a leginkább keresett gondozási területeken, nevezetesen szemészet, otorhinolaringológia, ortopédika és urológia; és ix) az integrált információs rendszer kiteljesítése, amely megkönnyíti a betegeknek az egészségügyi ellátás szintjei közötti átirányítását.</w:t>
      </w:r>
    </w:p>
    <w:p w14:paraId="0EC6BFD7" w14:textId="77777777"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Másodszor, az egyéb részberuházásoknak az egészségügyi központok csoportjai beavatkozási területeinek bővítésére kell irányulniuk, ezáltal növelve az egészségügyi ellátás e szintjének reagálási képességét és megerősítve az orvosi szakterületek kínálatát az egészségügyi egységekben végzett szak- és csapatmunka megerősítése révén. Ezek részletesen a következőket foglalják magukban: fogászati irodák létesítése az egészségügyi központokban; integrált diagnosztikai központok létrehozása (beleértve legalább röntgen- és klinikai elemzéseket) az egészségügyi központok csoportjaiban; rehabilitációs szolgáltatások létrehozása az egészségügyi központokban (megfelelő fizikai terek és rehabilitáció, multidiszciplináris és interdiszciplináris csoportok); valamennyi egészségügyi központ felszereléssel való ellátása (vészhelyzeti zsák, defibrillátor és létfontosságú jelek monitora) minősített veszélyhelyzet-reagáláshoz (alapvető életfenntartás); és v. a program lendületének fokozása a sürgősségi egészségügyi szolgáltatások nem megfelelő és/vagy megelőzhető igénybevételének csökkentése érdekében.</w:t>
      </w:r>
    </w:p>
    <w:p w14:paraId="79BA5279" w14:textId="43FCD498"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Harmadszor, a további részberuházások biztosítják az egészségügyi központok létesítményeinek és berendezéseinek korszerűsítését, az energiahatékonyság növelését, a hozzáférhetőség, a minőség, a kényelem és a biztonság feltételeinek biztosítását a betegek és a szakemberek számára, valamint az egészségügyi ellátás új modelljeihez való igazításukat. Ezek többek között a következőket foglalják magukban: 124 új egészségügyi központ építése; 347 egészségügyi létesítmény felújítása vagy átalakítása az energiahatékonyság növelése, a készenléti terveknek való megfelelés, valamint a hozzáférhetőség, az egészségügyi biztonság és a kényelem biztosítása érdekében; és iii. az egészségügyi berendezések korszerűsítése.</w:t>
      </w:r>
    </w:p>
    <w:p w14:paraId="7BFAF513" w14:textId="77777777" w:rsidR="00DC5EC6" w:rsidRDefault="003245A4">
      <w:pPr>
        <w:pStyle w:val="P68B1DB1-Normal4"/>
        <w:keepNext/>
        <w:numPr>
          <w:ilvl w:val="0"/>
          <w:numId w:val="55"/>
        </w:numPr>
        <w:tabs>
          <w:tab w:val="left" w:pos="426"/>
        </w:tabs>
        <w:spacing w:before="40" w:after="160" w:line="259" w:lineRule="auto"/>
        <w:jc w:val="both"/>
        <w:rPr>
          <w:rFonts w:eastAsia="Times New Roman" w:cs="Times New Roman"/>
          <w:noProof/>
        </w:rPr>
      </w:pPr>
      <w:r>
        <w:rPr>
          <w:noProof/>
        </w:rPr>
        <w:t>Negyedszer, a további részberuházásoknak a közelségre adott válaszok javítására kell összpontosítaniuk, különös tekintettel az otthoni és közösségi alapú ellátásra, a legnagyobb kockázatnak kitett lakosságba való beavatkozásra, valamint az intézményesítettség csökkentésének és a járóbeteg-ellátásnak az előmozdítására. Ezek részletesen a következőket foglalják magukban: az egészségügyi központok elektromos járművekkel való ellátása az otthoni ellátás támogatása érdekében; a mobil egységek számának kiterjesztése az alacsony népsűrűségű régiókra; technikai feltételek biztosítása az egészségügyi központok számára a krónikus betegségek távkonzultációjának és távellenőrzésének elvégzéséhez, például szívelégtelenség esetén; a közösségi ápolási-gondozási egységek és az integrált folyamatos gondozással foglalkozó csoportok megerősítése; közösségi csoportok létrehozása a palliatív ellátás támogatására az egészségügyi központok csoportjaiban; valamint vi. a közös mentális betegségek (depresszió és szorongás) kezelésére irányuló pszichoszociális beavatkozási programok létrehozása az egészségügyi központok csoportjaiban.</w:t>
      </w:r>
    </w:p>
    <w:p w14:paraId="6598C353" w14:textId="351C8CDE" w:rsidR="00DC5EC6" w:rsidRDefault="003245A4">
      <w:pPr>
        <w:pStyle w:val="P68B1DB1-Normal4"/>
        <w:keepNext/>
        <w:tabs>
          <w:tab w:val="left" w:pos="426"/>
        </w:tabs>
        <w:spacing w:before="40" w:after="0" w:line="259" w:lineRule="auto"/>
        <w:jc w:val="both"/>
        <w:rPr>
          <w:rFonts w:eastAsiaTheme="minorEastAsia" w:cs="Times New Roman"/>
          <w:noProof/>
        </w:rPr>
      </w:pPr>
      <w:r>
        <w:rPr>
          <w:noProof/>
        </w:rPr>
        <w:t>A beruházás végrehajtását 2026. június 30-ig be kell fejezni.</w:t>
      </w:r>
    </w:p>
    <w:p w14:paraId="2354E762" w14:textId="0B3D6010" w:rsidR="00DC5EC6" w:rsidRDefault="00DC5EC6">
      <w:pPr>
        <w:keepNext/>
        <w:tabs>
          <w:tab w:val="left" w:pos="426"/>
        </w:tabs>
        <w:spacing w:before="40" w:after="0" w:line="259" w:lineRule="auto"/>
        <w:jc w:val="both"/>
        <w:rPr>
          <w:rFonts w:ascii="Times New Roman" w:eastAsiaTheme="minorEastAsia" w:hAnsi="Times New Roman" w:cs="Times New Roman"/>
          <w:noProof/>
          <w:sz w:val="24"/>
        </w:rPr>
      </w:pPr>
    </w:p>
    <w:p w14:paraId="4C9B07E6" w14:textId="77777777" w:rsidR="00DC5EC6" w:rsidRDefault="00DC5EC6">
      <w:pPr>
        <w:keepNext/>
        <w:tabs>
          <w:tab w:val="left" w:pos="426"/>
        </w:tabs>
        <w:spacing w:before="40" w:after="0" w:line="259" w:lineRule="auto"/>
        <w:jc w:val="both"/>
        <w:rPr>
          <w:rFonts w:ascii="Times New Roman" w:eastAsia="Times New Roman" w:hAnsi="Times New Roman" w:cs="Times New Roman"/>
          <w:noProof/>
          <w:sz w:val="24"/>
        </w:rPr>
      </w:pPr>
    </w:p>
    <w:p w14:paraId="308A36DF"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RE-C01–i02 beruházás: Az integrált folyamatos gondozás nemzeti hálózata és a palliatív ellátás nemzeti hálózata</w:t>
      </w:r>
    </w:p>
    <w:p w14:paraId="4167DC2F"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 palliatív és integrált folyamatos ellátás nemzeti hálózatainak bővítése mind a fekvőbeteg-ellátásban, mind a járóbeteg-ellátásban, valamint az otthoni ellátásban. A beruházást a fogyatékossággal élő személyek befogadására irányuló nemzeti stratégia reformja támasztja alá, amely a szociális válaszokról szóló 3. elemben került bemutatásra, és részét képezi Portugália intézményesítettségének csökkentésére irányuló stratégiájában, valamint az ország előtt álló kedvezőtlen demográfiai tendenciák kezelésére irányuló általános törekvésben.</w:t>
      </w:r>
    </w:p>
    <w:p w14:paraId="4876C261" w14:textId="5574ACD9" w:rsidR="00DC5EC6" w:rsidRDefault="003245A4">
      <w:pPr>
        <w:pStyle w:val="P68B1DB1-Normal4"/>
        <w:keepNext/>
        <w:spacing w:before="40" w:after="0" w:line="259" w:lineRule="auto"/>
        <w:jc w:val="both"/>
        <w:rPr>
          <w:rFonts w:eastAsia="Times New Roman" w:cs="Times New Roman"/>
          <w:noProof/>
        </w:rPr>
      </w:pPr>
      <w:r>
        <w:rPr>
          <w:noProof/>
        </w:rPr>
        <w:t>A beruházás egy strukturált és fokozatosan bevezetett programból áll, amely pénzügyi támogatást nyújt a köz-, a szociális vagy a magánszektorból származó projektgazdáknak a következők érdekében: az integrált folyamatos ellátás nemzeti hálózatának bővítése 5500 ágyzal (a meglévő vagy új egységekben); 20 napos egység létrehozása az autonómia előmozdítása érdekében, 500 járóbeteg figyelemmel kísérése céljából; 50 integrált folyamatos ápolási-gondozási csoport létrehozása annak érdekében, hogy otthon 1000 betegre reagáljon (beleértve a berendezéseket és az elektromos járműveket is); az integrált mentális egészségügyi ellátás kiterjesztése 1000 férőhelyre, 50 lakóhelyre és társadalmi-szakmai egységre (új válaszok kialakításához vagy a meglévő válaszok bővítéséhez nyújtott támogatás); legfeljebb 100 férőhely létrehozása 10 otthoni mentális egészséget támogató csapatban (támogatás a csapat tevékenységéhez szükséges anyagi erőforrások és elektromos járművek beszerzéséhez); a nemzeti palliatív gondozási hálózat kibővítése 20 palliatív, alacsony komplexségű fekvőbeteg-ellátással, hogy 400 betegre reagáljon; és vii. legfeljebb 100 férőhely létrehozása 10 közösségi palliatív gondozócsoportban (támogatás a csapat tevékenységéhez szükséges anyagi erőforrások és elektromos járművek beszerzéséhez).</w:t>
      </w:r>
    </w:p>
    <w:p w14:paraId="0F0BCBC6"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529517D0"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RE-C01–i03 beruházás: A mentális egészség reformjának befejezése és a demenciastratégia végrehajtása</w:t>
      </w:r>
    </w:p>
    <w:p w14:paraId="3CBF58D6"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hogy támogassa a mentális egészségügyi szolgáltatások reformjának megvalósítását, hozzájárulva ezáltal a Nemzeti Egészségügyi Szolgálat reagálási képességének bővítéséhez és megerősítéséhez a mentális egészség területén.</w:t>
      </w:r>
    </w:p>
    <w:p w14:paraId="13BFCE28" w14:textId="77777777" w:rsidR="00DC5EC6" w:rsidRDefault="003245A4">
      <w:pPr>
        <w:pStyle w:val="P68B1DB1-Normal4"/>
        <w:keepNext/>
        <w:spacing w:before="40" w:after="0" w:line="259" w:lineRule="auto"/>
        <w:jc w:val="both"/>
        <w:rPr>
          <w:rFonts w:eastAsia="Times New Roman" w:cs="Times New Roman"/>
          <w:noProof/>
        </w:rPr>
      </w:pPr>
      <w:r>
        <w:rPr>
          <w:noProof/>
        </w:rPr>
        <w:t>A beruházás a létesítményekbe, struktúrákba és emberi erőforrásokba történő kiegészítő részberuházásokból áll, nevezetesen: olyan bentlakásos szolgáltatások létrehozása a közösségben, amelyek lehetővé teszik a pszichiátriai kórházakban vagy a szociális ágazatban élő azon betegek intézményesítettségének csökkentését, akik nem részesülnek az integrált folyamatos ellátás nemzeti hálózatának kínálatában, beleértve a mentális egészségügyi ellátás 500 hellyel történő növelését a mentális egészségügyi ellátás integrált folyamatos ellátásának nemzeti hálózatában; négy fekvőbeteg-egység építése általános kórházakban, a pszichiátriai kórházak akut elhelyezésének megszüntetése; 15 integrált felelősségi központ létrehozása a nem kórházi ellátás biztosítása előtt álló akadályok leküzdése érdekében, nagyobb fokú önállósággal és elszámoltathatósággal; a helyi mentális egészségügyi szolgáltatások 20 meglévő létesítményének felújítása; V) 40 közösségi mentális egészségügyi csapat létrehozása; a kriminalisztikai pszichiátriai szolgáltatások átalakítása, bővítése és felújítása; valamint vii. tudatosságnövelő és képzési intézkedések kidolgozása „a betegek útvonalainak kiépítése” érdekében a demenciákkal összefüggésben.</w:t>
      </w:r>
    </w:p>
    <w:p w14:paraId="405481CA" w14:textId="728AE455"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556692A7" w14:textId="5B150195" w:rsidR="00DC5EC6" w:rsidRDefault="00DC5EC6">
      <w:pPr>
        <w:keepNext/>
        <w:spacing w:before="40" w:after="0" w:line="259" w:lineRule="auto"/>
        <w:jc w:val="both"/>
        <w:rPr>
          <w:rFonts w:ascii="Times New Roman" w:eastAsia="Times New Roman" w:hAnsi="Times New Roman" w:cs="Times New Roman"/>
          <w:noProof/>
          <w:sz w:val="24"/>
        </w:rPr>
      </w:pPr>
    </w:p>
    <w:p w14:paraId="4FEAA711"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0503F123" w14:textId="15B27731"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RE-C01–i04 beruházás: Kelet-lisszaboni kórház és felszerelés építése Lisszabonban és Vale do Tejo kórházban</w:t>
      </w:r>
    </w:p>
    <w:p w14:paraId="03467B86" w14:textId="790B987B" w:rsidR="00DC5EC6" w:rsidRDefault="003245A4">
      <w:pPr>
        <w:pStyle w:val="P68B1DB1-Normal4"/>
        <w:keepNext/>
        <w:spacing w:before="40" w:after="0" w:line="259" w:lineRule="auto"/>
        <w:jc w:val="both"/>
        <w:rPr>
          <w:rFonts w:eastAsia="Times New Roman" w:cs="Times New Roman"/>
          <w:noProof/>
        </w:rPr>
      </w:pPr>
      <w:r>
        <w:rPr>
          <w:noProof/>
        </w:rPr>
        <w:t>A beruházás célja a tervezett kelet-lisszaboni kórház egy részének befejezése, valamint a Lisszabonban és Vale do Tejo-ban található kórházak felszerelése, ezáltal megerősítve a kórházi hálózatot és a kórházi ellátás kínálatát egy rendkívül lakott régióban, ahol az egészségügyi szolgáltatások iránti kereslet jelentős. Ennek célja, hogy a lakosság jelentős része számára jobb hozzáférést biztosítson az egészségügyi ellátáshoz, és hozzájáruljon az egyenlőtlenségek csökkentéséhez és a társadalmi kohézióhoz a régióban.</w:t>
      </w:r>
    </w:p>
    <w:p w14:paraId="119C3D2D" w14:textId="68C14379" w:rsidR="00DC5EC6" w:rsidRDefault="003245A4">
      <w:pPr>
        <w:pStyle w:val="P68B1DB1-Normal4"/>
        <w:keepNext/>
        <w:spacing w:before="40" w:after="0" w:line="259" w:lineRule="auto"/>
        <w:jc w:val="both"/>
        <w:rPr>
          <w:rFonts w:eastAsia="Times New Roman" w:cs="Times New Roman"/>
          <w:noProof/>
        </w:rPr>
      </w:pPr>
      <w:r>
        <w:rPr>
          <w:noProof/>
        </w:rPr>
        <w:t>A beruházás a következőkből áll:</w:t>
      </w:r>
    </w:p>
    <w:p w14:paraId="25F5E9CC" w14:textId="7585701E" w:rsidR="00DC5EC6" w:rsidRDefault="003245A4">
      <w:pPr>
        <w:pStyle w:val="ListParagraph"/>
        <w:numPr>
          <w:ilvl w:val="0"/>
          <w:numId w:val="72"/>
        </w:numPr>
        <w:spacing w:before="40" w:after="0"/>
        <w:rPr>
          <w:rFonts w:eastAsia="Times New Roman"/>
          <w:noProof/>
        </w:rPr>
      </w:pPr>
      <w:r>
        <w:rPr>
          <w:noProof/>
        </w:rPr>
        <w:t xml:space="preserve"> a kelet-lisszaboni kórház egy részének megépítése, nevezetesen i. a Poente torony, amely a fő kórházi épület öt toronyjának egyike, ii. a „B” területen található épület, amely többek között közigazgatási területekre, mentális egészségügyi, fizikai és rehabilitációs gyógyításra szolgál, valamint iii. a C. területen található épület, amely többek között a kutatásra és az oktatásra irányul, </w:t>
      </w:r>
    </w:p>
    <w:p w14:paraId="7C5B0F72" w14:textId="2D36EDF8" w:rsidR="00DC5EC6" w:rsidRDefault="003245A4">
      <w:pPr>
        <w:pStyle w:val="ListParagraph"/>
        <w:numPr>
          <w:ilvl w:val="0"/>
          <w:numId w:val="72"/>
        </w:numPr>
        <w:spacing w:before="40" w:after="0"/>
        <w:rPr>
          <w:rFonts w:eastAsia="Times New Roman"/>
          <w:noProof/>
        </w:rPr>
      </w:pPr>
      <w:r>
        <w:rPr>
          <w:noProof/>
        </w:rPr>
        <w:t xml:space="preserve">a kelet-Lisszaboni Kórházban és az új szintrai kórházban telepítendő berendezések beszerzése, valamint </w:t>
      </w:r>
    </w:p>
    <w:p w14:paraId="4C6CEAA9" w14:textId="7DDA0E9B" w:rsidR="00DC5EC6" w:rsidRDefault="003245A4">
      <w:pPr>
        <w:pStyle w:val="ListParagraph"/>
        <w:numPr>
          <w:ilvl w:val="0"/>
          <w:numId w:val="72"/>
        </w:numPr>
        <w:spacing w:before="40" w:after="0"/>
        <w:rPr>
          <w:rFonts w:eastAsia="Times New Roman"/>
          <w:noProof/>
        </w:rPr>
      </w:pPr>
      <w:r>
        <w:rPr>
          <w:noProof/>
        </w:rPr>
        <w:t>a lisszaboni és a Vale do Tejo régió kórházaiban telepítendő nehéz orvosi berendezések beszerzése.</w:t>
      </w:r>
    </w:p>
    <w:p w14:paraId="41FD72CF" w14:textId="14FAD427" w:rsidR="00DC5EC6" w:rsidRDefault="003245A4">
      <w:pPr>
        <w:pStyle w:val="P68B1DB1-Normal4"/>
        <w:spacing w:before="40" w:after="0"/>
        <w:ind w:left="420"/>
        <w:rPr>
          <w:rFonts w:eastAsia="Times New Roman" w:cs="Times New Roman"/>
          <w:noProof/>
        </w:rPr>
      </w:pPr>
      <w:r>
        <w:rPr>
          <w:noProof/>
        </w:rPr>
        <w:t>A kelet-Lisszaboni Kórházban és az új sintrai kórházban telepítendő berendezések a következőket foglalják magukban: klinikai, orvosi és csúcstechnológiai berendezések; általános felszerelések, beleértve a speciális bútorokat is; és iii. számítógépes berendezések.</w:t>
      </w:r>
    </w:p>
    <w:p w14:paraId="6CDC5B0F" w14:textId="21852E7C" w:rsidR="00DC5EC6" w:rsidRDefault="003245A4">
      <w:pPr>
        <w:pStyle w:val="P68B1DB1-Normal4"/>
        <w:spacing w:before="40" w:after="0"/>
        <w:ind w:left="420"/>
        <w:rPr>
          <w:rFonts w:eastAsia="Times New Roman" w:cs="Times New Roman"/>
          <w:noProof/>
        </w:rPr>
        <w:sectPr w:rsidR="00DC5EC6" w:rsidSect="00787826">
          <w:headerReference w:type="even" r:id="rId24"/>
          <w:headerReference w:type="default" r:id="rId25"/>
          <w:footerReference w:type="even" r:id="rId26"/>
          <w:footerReference w:type="default" r:id="rId27"/>
          <w:headerReference w:type="first" r:id="rId28"/>
          <w:footerReference w:type="first" r:id="rId29"/>
          <w:pgSz w:w="11907" w:h="16839"/>
          <w:pgMar w:top="1134" w:right="1134" w:bottom="1134" w:left="1134" w:header="567" w:footer="567" w:gutter="0"/>
          <w:cols w:space="720"/>
          <w:docGrid w:linePitch="360"/>
        </w:sectPr>
      </w:pPr>
      <w:r>
        <w:rPr>
          <w:noProof/>
        </w:rPr>
        <w:t>A beruházás végrehajtását 2026. június 30-ig be kell fejezni.</w:t>
      </w:r>
    </w:p>
    <w:p w14:paraId="5E298467" w14:textId="77777777" w:rsidR="00DC5EC6" w:rsidRDefault="00DC5EC6">
      <w:pPr>
        <w:spacing w:before="40" w:after="0"/>
        <w:ind w:left="420"/>
        <w:rPr>
          <w:rFonts w:ascii="Times New Roman" w:eastAsia="Times New Roman" w:hAnsi="Times New Roman" w:cs="Times New Roman"/>
          <w:noProof/>
          <w:sz w:val="24"/>
        </w:rPr>
      </w:pPr>
    </w:p>
    <w:p w14:paraId="65A51627" w14:textId="77777777" w:rsidR="00DC5EC6" w:rsidRDefault="00DC5EC6">
      <w:pPr>
        <w:spacing w:before="40" w:after="0"/>
        <w:ind w:left="420"/>
        <w:rPr>
          <w:rFonts w:ascii="Times New Roman" w:eastAsia="Times New Roman" w:hAnsi="Times New Roman" w:cs="Times New Roman"/>
          <w:noProof/>
          <w:sz w:val="24"/>
        </w:rPr>
      </w:pPr>
    </w:p>
    <w:p w14:paraId="222CB904" w14:textId="77777777" w:rsidR="00DC5EC6" w:rsidRDefault="00DC5EC6">
      <w:pPr>
        <w:spacing w:before="40" w:after="0"/>
        <w:ind w:left="420"/>
        <w:rPr>
          <w:rFonts w:ascii="Times New Roman" w:eastAsia="Times New Roman" w:hAnsi="Times New Roman" w:cs="Times New Roman"/>
          <w:noProof/>
          <w:sz w:val="24"/>
        </w:rPr>
      </w:pPr>
    </w:p>
    <w:p w14:paraId="79B3BC9F"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RE-C01–i05-RAM beruházás: Madeira regionális egészségügyi szolgálatának megerősítése</w:t>
      </w:r>
    </w:p>
    <w:p w14:paraId="7F581BEA" w14:textId="77777777" w:rsidR="00DC5EC6" w:rsidRDefault="003245A4">
      <w:pPr>
        <w:pStyle w:val="P68B1DB1-Normal4"/>
        <w:keepNext/>
        <w:spacing w:before="40" w:after="0" w:line="259" w:lineRule="auto"/>
        <w:jc w:val="both"/>
        <w:rPr>
          <w:rFonts w:eastAsia="Times New Roman" w:cs="Times New Roman"/>
          <w:noProof/>
        </w:rPr>
      </w:pPr>
      <w:r>
        <w:rPr>
          <w:noProof/>
        </w:rPr>
        <w:t>E beruházás célja Madeira autonóm régió regionális egészségügyi rendszerére vonatkozó stratégiai terv és a mentális egészség előmozdítására irányuló regionális stratégia végrehajtása.</w:t>
      </w:r>
    </w:p>
    <w:p w14:paraId="7233DF75" w14:textId="75A994D0" w:rsidR="00DC5EC6" w:rsidRDefault="003245A4">
      <w:pPr>
        <w:pStyle w:val="P68B1DB1-Normal4"/>
        <w:keepNext/>
        <w:spacing w:before="40" w:after="0" w:line="259" w:lineRule="auto"/>
        <w:jc w:val="both"/>
        <w:rPr>
          <w:rFonts w:eastAsia="Times New Roman" w:cs="Times New Roman"/>
          <w:noProof/>
        </w:rPr>
      </w:pPr>
      <w:r>
        <w:rPr>
          <w:noProof/>
        </w:rPr>
        <w:t>A beruházás két részberuházásból áll. Először is, az integrált folyamatos gondozás regionális hálózatának bővítésére, fejlesztésére és fejlesztésére irányuló részberuházást is magában kell foglalnia, többek között azáltal, hogy felújítják és bővítik a férőhelyek számát valamennyi tipológiájukban, összhangban az intézményesítettség csökkentésének elvével, a magán- és a szociális szektorral együttműködésben, valamint azokon a területeken, ahol a népesség elöregedése súlyosabb, és/vagy kevésbé telepített kapacitás jellemző. Másodszor, magában foglal egy részberuházást is, amelynek célja a reagálási képesség megerősítése a mentális egészség és az öregedéssel összefüggő demenciák területén, beleértve a kórházi és alapellátási létesítmények infrastruktúrájának és felszerelésének korszerűsítését, az otthoni kórházi ellátás és a nappali kórházi szolgáltatások új helyszíneinek biztosítását, valamint a közösségi mentális egészségügyi csoportok létrehozását.</w:t>
      </w:r>
    </w:p>
    <w:p w14:paraId="4B108AA8"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54A4324F"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RE-C01–i06 beruházás: Digitális egészségügyi átállás</w:t>
      </w:r>
    </w:p>
    <w:p w14:paraId="3A2AF464"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 Nemzeti Egészségügyi Szolgálat digitális átállását akadályozó szűk keresztmetszetek – többek között az egészségügyi dolgozók rendelkezésére álló megfelelő hardver és szoftver hiánya – kezelése, a Nemzeti Egészségügyi Szolgálat információs rendszereinek szabványosításának megerősítése, valamint a felhasználói élmény és az adatokhoz való hozzáférés javítása.</w:t>
      </w:r>
    </w:p>
    <w:p w14:paraId="1CEE6531" w14:textId="77777777" w:rsidR="00DC5EC6" w:rsidRDefault="003245A4">
      <w:pPr>
        <w:pStyle w:val="P68B1DB1-Normal4"/>
        <w:keepNext/>
        <w:spacing w:before="40" w:after="0" w:line="259" w:lineRule="auto"/>
        <w:jc w:val="both"/>
        <w:rPr>
          <w:rFonts w:eastAsia="Times New Roman" w:cs="Times New Roman"/>
          <w:noProof/>
        </w:rPr>
      </w:pPr>
      <w:r>
        <w:rPr>
          <w:noProof/>
        </w:rPr>
        <w:t>A beruházás négy részberuházásból áll. Először is meg kell erősíteni az egészségügyi adathálózatot a Nemzeti Egészségügyi Szolgálatnál rendelkezésre álló számítógépes rendszerek szolgáltatásminőségének és ellenálló képességének javítása, az adatok döntéstámogató rendszerekben való felhasználásának megkönnyítése, a különböző információs rendszerek közötti interoperabilitás és a megfelelő biztonsági elvek betartásának biztosítása érdekében. Másodszor, a polgárok és az egészségügyi egységek közötti kommunikációt elektronikus eszközök – például polgárközpontú platform és távegészségügyi eszközök – révén egyszerűsíteni, szabványosítani és digitalizálni kell az egészségügyi ellátáshoz való hozzáférés javítása érdekében. Harmadszor, az egészségügyi szakemberek rendelkezésére álló továbbfejlesztett és interoperábilis eszközök (pl. telemonitoring és tele-rehabilitációs platformok, valamint olyan rendszerek, amelyek javítják az adatok hordozhatóságát az alapellátás, a kórházak és az integrált folyamatos ápolási-gondozási létesítmények között), valamint a digitális készségekre vonatkozó megfelelő képzés. Negyedszer, elő kell mozdítani a klinikai nyilvántartások digitalizálását a Nemzeti Egészségügyi Szolgálat teljesítményének nyomon követésére irányuló tevékenységek végrehajtása céljából.</w:t>
      </w:r>
    </w:p>
    <w:p w14:paraId="00ACB982" w14:textId="05BED5B2"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június 30-ig be kell fejezni.</w:t>
      </w:r>
    </w:p>
    <w:p w14:paraId="7D55663F"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RE-C01–i07-RAM beruházás: Madeira regionális egészségügyi szolgálatának digitalizálása</w:t>
      </w:r>
    </w:p>
    <w:p w14:paraId="50407DAA" w14:textId="6CE36D09" w:rsidR="00DC5EC6" w:rsidRDefault="003245A4">
      <w:pPr>
        <w:pStyle w:val="P68B1DB1-Normal4"/>
        <w:keepNext/>
        <w:spacing w:before="40" w:after="0" w:line="259" w:lineRule="auto"/>
        <w:jc w:val="both"/>
        <w:rPr>
          <w:rFonts w:eastAsia="Times New Roman" w:cs="Times New Roman"/>
          <w:noProof/>
        </w:rPr>
      </w:pPr>
      <w:r>
        <w:rPr>
          <w:noProof/>
        </w:rPr>
        <w:t>E beruházás célja Madeira regionális egészségügyi szolgálatának digitalizációjának előmozdítása az egészségügyi szolgáltatások minőségét és hatékonyságát támogató digitális technológiák bevezetése, valamint az egészségügyi szakemberek és a polgárok szerepének megerősítése révén.</w:t>
      </w:r>
    </w:p>
    <w:p w14:paraId="5521D506" w14:textId="0518B0F6" w:rsidR="00DC5EC6" w:rsidRDefault="003245A4">
      <w:pPr>
        <w:pStyle w:val="P68B1DB1-Normal4"/>
        <w:keepNext/>
        <w:spacing w:before="40" w:after="0" w:line="259" w:lineRule="auto"/>
        <w:jc w:val="both"/>
        <w:rPr>
          <w:rFonts w:eastAsia="Times New Roman" w:cs="Times New Roman"/>
          <w:noProof/>
        </w:rPr>
      </w:pPr>
      <w:r>
        <w:rPr>
          <w:noProof/>
        </w:rPr>
        <w:t>A beruházás több projektből áll, többek között a következőkből: digitális technológiák bevezetése a betegek figyelemmel kísérésének támogatására, a távegészségügyi időpontok intenzívebbé tételére és a polgárok egészségügyi helyzetének távellenőrzésére; a digitális technológiák és a mesterséges intelligencia megerősítése a járványügyi felügyelet érdekében; az egészségügy digitalizálásának fokozása és az információs rendszerek interoperabilitásának javítása; a polgárok egészségügyi információkhoz és szolgáltatásokhoz való hozzáférésének javítása digitális eszközökkel; valamint v. a polgárok és az érdekelt felek képzése a digitális egészségügyi erőforrások egészségügyi felhasználására.</w:t>
      </w:r>
    </w:p>
    <w:p w14:paraId="4184B02B" w14:textId="548FE233" w:rsidR="00DC5EC6" w:rsidRDefault="003245A4">
      <w:pPr>
        <w:pStyle w:val="P68B1DB1-Normal4"/>
        <w:keepNext/>
        <w:spacing w:before="40" w:after="0" w:line="259" w:lineRule="auto"/>
        <w:jc w:val="both"/>
        <w:rPr>
          <w:rFonts w:eastAsia="Times New Roman" w:cs="Times New Roman"/>
          <w:noProof/>
        </w:rPr>
      </w:pPr>
      <w:r>
        <w:rPr>
          <w:noProof/>
        </w:rPr>
        <w:t>A beruházás végrehajtását 2024. december 31-ig be kell fejezni.</w:t>
      </w:r>
    </w:p>
    <w:p w14:paraId="36606E5C"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RE-C01-i08-RAA beruházás: Digitális kórház az Azori-szigeteken</w:t>
      </w:r>
    </w:p>
    <w:p w14:paraId="2C7694B1"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az egészségügyi ellátás bővítése és az egészségügyi ellátáshoz való jobb hozzáférés biztosítása az Azori-szigeteken a regionális egészségügyi szolgáltatás digitalizálása révén.</w:t>
      </w:r>
    </w:p>
    <w:p w14:paraId="5C3318E6" w14:textId="77777777" w:rsidR="00DC5EC6" w:rsidRDefault="003245A4">
      <w:pPr>
        <w:pStyle w:val="P68B1DB1-Normal4"/>
        <w:keepNext/>
        <w:spacing w:before="40" w:after="0" w:line="259" w:lineRule="auto"/>
        <w:jc w:val="both"/>
        <w:rPr>
          <w:rFonts w:eastAsia="Times New Roman" w:cs="Times New Roman"/>
          <w:noProof/>
        </w:rPr>
      </w:pPr>
      <w:r>
        <w:rPr>
          <w:noProof/>
        </w:rPr>
        <w:t>A beruházás a következőkből áll: elektronikus egészségügyi nyilvántartás létrehozása minden egyes polgár számára, az információs rendszerek interoperabilitásának növelése a klinikai információk egészségügyi szakemberek közötti megosztásának lehetővé tétele érdekében, az egészségügyi ellátáshoz való hozzáférés javítása a kórház nélkül a leginkább elszigetelt szigeteken, telemedicina-konzultáció révén, valamint a szükséges hardver, szoftver és információs rendszerek biztosítása.</w:t>
      </w:r>
    </w:p>
    <w:p w14:paraId="2F4F1E26"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szeptember 30-ig be kell fejezni.</w:t>
      </w:r>
    </w:p>
    <w:p w14:paraId="0944758B"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RE-C01–i09 beruházás: Egyetemes aktív élettámogató rendszer</w:t>
      </w:r>
    </w:p>
    <w:p w14:paraId="225E11E4" w14:textId="77777777" w:rsidR="00DC5EC6" w:rsidRDefault="003245A4">
      <w:pPr>
        <w:pStyle w:val="P68B1DB1-Normal4"/>
        <w:keepNext/>
        <w:spacing w:before="40" w:after="0" w:line="259" w:lineRule="auto"/>
        <w:jc w:val="both"/>
        <w:rPr>
          <w:rFonts w:eastAsia="Times New Roman" w:cs="Times New Roman"/>
          <w:noProof/>
        </w:rPr>
      </w:pPr>
      <w:r>
        <w:rPr>
          <w:noProof/>
        </w:rPr>
        <w:t>A beruházás célja a fizikai és érzelmi jólét előmozdítása Portugáliában azáltal, hogy növeli a testmozgás alacsony szintjét az országban, és hozzájárul a betegségek hatékonyabb megelőzéséhez és a nem fertőző betegségek jelentette terhek kezeléséhez.</w:t>
      </w:r>
    </w:p>
    <w:p w14:paraId="0DE11ABE" w14:textId="77777777" w:rsidR="00DC5EC6" w:rsidRDefault="003245A4">
      <w:pPr>
        <w:pStyle w:val="P68B1DB1-Normal4"/>
        <w:keepNext/>
        <w:spacing w:before="40" w:after="0" w:line="259" w:lineRule="auto"/>
        <w:jc w:val="both"/>
        <w:rPr>
          <w:rFonts w:eastAsia="Times New Roman" w:cs="Times New Roman"/>
          <w:noProof/>
        </w:rPr>
      </w:pPr>
      <w:r>
        <w:rPr>
          <w:noProof/>
        </w:rPr>
        <w:t>A beruházás a következőkből áll: nemzeti kampány és technológiai platform a testmozgás népszerűsítésére, a polgárok ismereteinek bővítésére a rendszeres testmozgás előnyeiről minden életkorban, a képességeiknek megfelelő gyakorlatok felírása, valamint az egészségesebb életmód bevezetésének ösztönzése; az iskolai sport kiterjesztése a közösségre azáltal, hogy előmozdítja az aktív mobilitást a fiatalabb életkortól kezdve az egész életen át, valamint a családi környezetben megvalósuló sportot, a diákok sikerének és az egészségesebb életmód előmozdításának eszközeként; és iii. a munkahelyi testmozgás ösztönzése, az intézkedések és programok végrehajtásának előmozdítása, valamint a testmozgáshoz szükséges terek és berendezések biztosítása.</w:t>
      </w:r>
    </w:p>
    <w:p w14:paraId="0FCBA65F"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szeptember 30-ig be kell fejezni.</w:t>
      </w:r>
    </w:p>
    <w:p w14:paraId="7D908420" w14:textId="0634E12D" w:rsidR="00DC5EC6" w:rsidRDefault="003245A4">
      <w:pPr>
        <w:pStyle w:val="P68B1DB1-Normal5"/>
        <w:keepNext/>
        <w:spacing w:before="240" w:after="0" w:line="259" w:lineRule="auto"/>
        <w:ind w:left="851"/>
        <w:jc w:val="both"/>
        <w:outlineLvl w:val="2"/>
        <w:rPr>
          <w:rFonts w:eastAsia="Times New Roman" w:cs="Times New Roman"/>
          <w:noProof/>
        </w:rPr>
      </w:pPr>
      <w:bookmarkStart w:id="2" w:name="_Toc137472436"/>
      <w:r>
        <w:rPr>
          <w:noProof/>
        </w:rPr>
        <w:t xml:space="preserve">RE-C01–i10 beruházás: Az NHS technológiai modernizációs </w:t>
      </w:r>
      <w:bookmarkEnd w:id="2"/>
      <w:r>
        <w:rPr>
          <w:noProof/>
        </w:rPr>
        <w:t>programja</w:t>
      </w:r>
    </w:p>
    <w:p w14:paraId="2C29C380" w14:textId="183EDF89" w:rsidR="00DC5EC6" w:rsidRDefault="003245A4">
      <w:pPr>
        <w:pStyle w:val="P68B1DB1-Normal4"/>
        <w:keepNext/>
        <w:spacing w:before="40" w:after="0" w:line="259" w:lineRule="auto"/>
        <w:jc w:val="both"/>
        <w:rPr>
          <w:rFonts w:eastAsia="Times New Roman" w:cs="Times New Roman"/>
          <w:noProof/>
        </w:rPr>
      </w:pPr>
      <w:r>
        <w:rPr>
          <w:noProof/>
        </w:rPr>
        <w:t>E beruházás célja a nemzeti egészségügyi szolgálat (NHS) technológiai parkjának fejlesztése, hozzájárulva az egészségügyi szolgáltatások javításához.</w:t>
      </w:r>
    </w:p>
    <w:p w14:paraId="593DD359" w14:textId="13C9F938" w:rsidR="00DC5EC6" w:rsidRDefault="003245A4">
      <w:pPr>
        <w:pStyle w:val="P68B1DB1-Normal4"/>
        <w:keepNext/>
        <w:spacing w:before="40" w:after="0" w:line="259" w:lineRule="auto"/>
        <w:jc w:val="both"/>
        <w:rPr>
          <w:rFonts w:eastAsia="Times New Roman" w:cs="Times New Roman"/>
          <w:noProof/>
        </w:rPr>
      </w:pPr>
      <w:r>
        <w:rPr>
          <w:noProof/>
        </w:rPr>
        <w:t xml:space="preserve">Ez a beruházás nehéz orvosi berendezések beszerzését biztosítja az NHS kórházai számára, az Egészségügyi Minisztérium által jóváhagyott jelentés alapján, amely azonosítja e kórházak felszerelési igényeit, a következő kategóriákban: angiográfiai rendszerek, egyszeri fotonkibocsátás-számításos tomográfiai szkennerek, positronkibocsátás-tomográfiai szkennerek, mágneses rezonanciás képalkotó rendszerek, számítástechnikai tomográfiai szkennerek, lineáris gyorsítók és sebészeti robotok. </w:t>
      </w:r>
    </w:p>
    <w:p w14:paraId="7E32F4AC" w14:textId="77777777" w:rsidR="00DC5EC6" w:rsidRDefault="003245A4">
      <w:pPr>
        <w:pStyle w:val="P68B1DB1-Normal4"/>
        <w:keepNext/>
        <w:spacing w:before="40" w:after="0" w:line="259" w:lineRule="auto"/>
        <w:jc w:val="both"/>
        <w:rPr>
          <w:rFonts w:eastAsia="Times New Roman" w:cs="Times New Roman"/>
          <w:noProof/>
        </w:rPr>
      </w:pPr>
      <w:r>
        <w:rPr>
          <w:noProof/>
        </w:rPr>
        <w:t>Az RE-C01–i04 és RE-C01-i01 beruházások keretében finanszírozásban részesülő NHS és NHS egészségügyi alapellátási egységek kórházait ki kell zárni ebből a beruházásból.</w:t>
      </w:r>
    </w:p>
    <w:p w14:paraId="03E16FDC"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3F70E244"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6B39DFAD"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A4E8AF1" w14:textId="512DF5C1" w:rsidR="00DC5EC6" w:rsidRDefault="00DC5EC6">
      <w:pPr>
        <w:keepNext/>
        <w:spacing w:before="40" w:after="0" w:line="259" w:lineRule="auto"/>
        <w:jc w:val="both"/>
        <w:rPr>
          <w:rFonts w:ascii="Times New Roman" w:eastAsiaTheme="minorEastAsia" w:hAnsi="Times New Roman" w:cs="Times New Roman"/>
          <w:noProof/>
          <w:sz w:val="24"/>
        </w:rPr>
        <w:sectPr w:rsidR="00DC5EC6" w:rsidSect="00CA5ACC">
          <w:headerReference w:type="even" r:id="rId30"/>
          <w:headerReference w:type="default" r:id="rId31"/>
          <w:footerReference w:type="even" r:id="rId32"/>
          <w:footerReference w:type="default" r:id="rId33"/>
          <w:headerReference w:type="first" r:id="rId34"/>
          <w:footerReference w:type="first" r:id="rId35"/>
          <w:type w:val="continuous"/>
          <w:pgSz w:w="11907" w:h="16839"/>
          <w:pgMar w:top="1134" w:right="1134" w:bottom="1134" w:left="1134" w:header="567" w:footer="567" w:gutter="0"/>
          <w:cols w:space="720"/>
          <w:docGrid w:linePitch="360"/>
        </w:sectPr>
      </w:pPr>
    </w:p>
    <w:p w14:paraId="723522AE"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B8052F6" w14:textId="4383A929"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A.2. Vissza nem térítendő pénzügyi támogatás – a végrehajtáshoz és a nyomon követéshez kapcsolódó mérföldkövek, célok, mutatók és ütemterv</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992"/>
        <w:gridCol w:w="1843"/>
        <w:gridCol w:w="1418"/>
        <w:gridCol w:w="1164"/>
        <w:gridCol w:w="962"/>
        <w:gridCol w:w="805"/>
        <w:gridCol w:w="9"/>
        <w:gridCol w:w="824"/>
        <w:gridCol w:w="901"/>
        <w:gridCol w:w="3981"/>
      </w:tblGrid>
      <w:tr w:rsidR="00DC5EC6" w14:paraId="7B628CE4" w14:textId="77777777">
        <w:trPr>
          <w:trHeight w:val="910"/>
          <w:tblHeader/>
        </w:trPr>
        <w:tc>
          <w:tcPr>
            <w:tcW w:w="1135" w:type="dxa"/>
            <w:vMerge w:val="restart"/>
            <w:shd w:val="clear" w:color="auto" w:fill="BDD6EE"/>
            <w:noWrap/>
            <w:vAlign w:val="center"/>
            <w:hideMark/>
          </w:tcPr>
          <w:p w14:paraId="43757383"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hideMark/>
          </w:tcPr>
          <w:p w14:paraId="0BDD4AC0"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92" w:type="dxa"/>
            <w:vMerge w:val="restart"/>
            <w:shd w:val="clear" w:color="auto" w:fill="BDD6EE"/>
            <w:noWrap/>
            <w:vAlign w:val="center"/>
            <w:hideMark/>
          </w:tcPr>
          <w:p w14:paraId="43895947" w14:textId="12E1DEA9" w:rsidR="00DC5EC6" w:rsidRDefault="003245A4">
            <w:pPr>
              <w:pStyle w:val="P68B1DB1-Normal6"/>
              <w:spacing w:after="0" w:line="240" w:lineRule="auto"/>
              <w:jc w:val="center"/>
              <w:rPr>
                <w:rFonts w:eastAsia="Times New Roman" w:cs="Times New Roman"/>
                <w:noProof/>
              </w:rPr>
            </w:pPr>
            <w:r>
              <w:rPr>
                <w:noProof/>
              </w:rPr>
              <w:t>Mérföldkő/cél</w:t>
            </w:r>
          </w:p>
        </w:tc>
        <w:tc>
          <w:tcPr>
            <w:tcW w:w="1843" w:type="dxa"/>
            <w:vMerge w:val="restart"/>
            <w:shd w:val="clear" w:color="auto" w:fill="BDD6EE"/>
            <w:noWrap/>
            <w:vAlign w:val="center"/>
            <w:hideMark/>
          </w:tcPr>
          <w:p w14:paraId="0732D51C"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18" w:type="dxa"/>
            <w:vMerge w:val="restart"/>
            <w:shd w:val="clear" w:color="auto" w:fill="BDD6EE"/>
            <w:noWrap/>
            <w:vAlign w:val="center"/>
            <w:hideMark/>
          </w:tcPr>
          <w:p w14:paraId="44263E4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40" w:type="dxa"/>
            <w:gridSpan w:val="4"/>
            <w:shd w:val="clear" w:color="auto" w:fill="BDD6EE"/>
            <w:noWrap/>
            <w:vAlign w:val="center"/>
            <w:hideMark/>
          </w:tcPr>
          <w:p w14:paraId="0A2F2E7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725" w:type="dxa"/>
            <w:gridSpan w:val="2"/>
            <w:shd w:val="clear" w:color="auto" w:fill="BDD6EE"/>
            <w:noWrap/>
            <w:vAlign w:val="center"/>
            <w:hideMark/>
          </w:tcPr>
          <w:p w14:paraId="4F163F74"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81" w:type="dxa"/>
            <w:vMerge w:val="restart"/>
            <w:shd w:val="clear" w:color="auto" w:fill="BDD6EE"/>
            <w:noWrap/>
            <w:vAlign w:val="center"/>
            <w:hideMark/>
          </w:tcPr>
          <w:p w14:paraId="238D362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75EA2A6" w14:textId="77777777">
        <w:trPr>
          <w:trHeight w:val="300"/>
          <w:tblHeader/>
        </w:trPr>
        <w:tc>
          <w:tcPr>
            <w:tcW w:w="1135" w:type="dxa"/>
            <w:vMerge/>
            <w:vAlign w:val="center"/>
            <w:hideMark/>
          </w:tcPr>
          <w:p w14:paraId="0EC3FF2B"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1020BD4F" w14:textId="77777777" w:rsidR="00DC5EC6" w:rsidRDefault="00DC5EC6">
            <w:pPr>
              <w:spacing w:after="0" w:line="240" w:lineRule="auto"/>
              <w:rPr>
                <w:rFonts w:ascii="Times New Roman" w:eastAsia="Times New Roman" w:hAnsi="Times New Roman" w:cs="Times New Roman"/>
                <w:b/>
                <w:noProof/>
                <w:sz w:val="18"/>
              </w:rPr>
            </w:pPr>
          </w:p>
        </w:tc>
        <w:tc>
          <w:tcPr>
            <w:tcW w:w="992" w:type="dxa"/>
            <w:vMerge/>
            <w:noWrap/>
            <w:vAlign w:val="center"/>
            <w:hideMark/>
          </w:tcPr>
          <w:p w14:paraId="530B4B60" w14:textId="4C0DADAB" w:rsidR="00DC5EC6" w:rsidRDefault="00DC5EC6">
            <w:pPr>
              <w:spacing w:after="0" w:line="240" w:lineRule="auto"/>
              <w:jc w:val="center"/>
              <w:rPr>
                <w:rFonts w:ascii="Times New Roman" w:eastAsia="Times New Roman" w:hAnsi="Times New Roman" w:cs="Times New Roman"/>
                <w:b/>
                <w:noProof/>
                <w:sz w:val="18"/>
              </w:rPr>
            </w:pPr>
          </w:p>
        </w:tc>
        <w:tc>
          <w:tcPr>
            <w:tcW w:w="1843" w:type="dxa"/>
            <w:vMerge/>
            <w:vAlign w:val="center"/>
            <w:hideMark/>
          </w:tcPr>
          <w:p w14:paraId="73578D3F" w14:textId="77777777" w:rsidR="00DC5EC6" w:rsidRDefault="00DC5EC6">
            <w:pPr>
              <w:spacing w:after="0" w:line="240" w:lineRule="auto"/>
              <w:rPr>
                <w:rFonts w:ascii="Times New Roman" w:eastAsia="Times New Roman" w:hAnsi="Times New Roman" w:cs="Times New Roman"/>
                <w:b/>
                <w:noProof/>
                <w:sz w:val="18"/>
              </w:rPr>
            </w:pPr>
          </w:p>
        </w:tc>
        <w:tc>
          <w:tcPr>
            <w:tcW w:w="1418" w:type="dxa"/>
            <w:vMerge/>
            <w:vAlign w:val="center"/>
            <w:hideMark/>
          </w:tcPr>
          <w:p w14:paraId="00D28EE5" w14:textId="77777777" w:rsidR="00DC5EC6" w:rsidRDefault="00DC5EC6">
            <w:pPr>
              <w:spacing w:after="0" w:line="240" w:lineRule="auto"/>
              <w:rPr>
                <w:rFonts w:ascii="Times New Roman" w:eastAsia="Times New Roman" w:hAnsi="Times New Roman" w:cs="Times New Roman"/>
                <w:b/>
                <w:noProof/>
                <w:sz w:val="18"/>
              </w:rPr>
            </w:pPr>
          </w:p>
        </w:tc>
        <w:tc>
          <w:tcPr>
            <w:tcW w:w="1164" w:type="dxa"/>
            <w:shd w:val="clear" w:color="auto" w:fill="BDD6EE"/>
            <w:noWrap/>
            <w:vAlign w:val="center"/>
            <w:hideMark/>
          </w:tcPr>
          <w:p w14:paraId="28C094F9"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62" w:type="dxa"/>
            <w:shd w:val="clear" w:color="auto" w:fill="BDD6EE"/>
            <w:noWrap/>
            <w:vAlign w:val="center"/>
            <w:hideMark/>
          </w:tcPr>
          <w:p w14:paraId="7F1FED9F"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05" w:type="dxa"/>
            <w:shd w:val="clear" w:color="auto" w:fill="BDD6EE"/>
            <w:noWrap/>
            <w:vAlign w:val="center"/>
            <w:hideMark/>
          </w:tcPr>
          <w:p w14:paraId="06EBD7F3" w14:textId="77777777" w:rsidR="00DC5EC6" w:rsidRDefault="003245A4">
            <w:pPr>
              <w:pStyle w:val="P68B1DB1-Normal6"/>
              <w:spacing w:after="0" w:line="240" w:lineRule="auto"/>
              <w:jc w:val="center"/>
              <w:rPr>
                <w:rFonts w:eastAsia="Times New Roman" w:cs="Times New Roman"/>
                <w:noProof/>
              </w:rPr>
            </w:pPr>
            <w:r>
              <w:rPr>
                <w:noProof/>
              </w:rPr>
              <w:t>Cél</w:t>
            </w:r>
          </w:p>
        </w:tc>
        <w:tc>
          <w:tcPr>
            <w:tcW w:w="833" w:type="dxa"/>
            <w:gridSpan w:val="2"/>
            <w:shd w:val="clear" w:color="auto" w:fill="BDD6EE"/>
            <w:noWrap/>
            <w:vAlign w:val="center"/>
            <w:hideMark/>
          </w:tcPr>
          <w:p w14:paraId="20C845CB" w14:textId="242581A1" w:rsidR="00DC5EC6" w:rsidRDefault="00A44E9E">
            <w:pPr>
              <w:pStyle w:val="P68B1DB1-Normal6"/>
              <w:spacing w:after="0" w:line="240" w:lineRule="auto"/>
              <w:jc w:val="center"/>
              <w:rPr>
                <w:rFonts w:eastAsia="Times New Roman" w:cs="Times New Roman"/>
                <w:noProof/>
              </w:rPr>
            </w:pPr>
            <w:r>
              <w:rPr>
                <w:noProof/>
              </w:rPr>
              <w:t>Negyedév</w:t>
            </w:r>
          </w:p>
        </w:tc>
        <w:tc>
          <w:tcPr>
            <w:tcW w:w="901" w:type="dxa"/>
            <w:shd w:val="clear" w:color="auto" w:fill="BDD6EE"/>
            <w:noWrap/>
            <w:vAlign w:val="center"/>
            <w:hideMark/>
          </w:tcPr>
          <w:p w14:paraId="3E2A3F48" w14:textId="4DEACE2F" w:rsidR="00DC5EC6" w:rsidRDefault="003245A4">
            <w:pPr>
              <w:pStyle w:val="P68B1DB1-Normal6"/>
              <w:spacing w:after="0" w:line="240" w:lineRule="auto"/>
              <w:jc w:val="center"/>
              <w:rPr>
                <w:rFonts w:eastAsia="Times New Roman" w:cs="Times New Roman"/>
                <w:noProof/>
              </w:rPr>
            </w:pPr>
            <w:r>
              <w:rPr>
                <w:noProof/>
              </w:rPr>
              <w:t>Év</w:t>
            </w:r>
          </w:p>
        </w:tc>
        <w:tc>
          <w:tcPr>
            <w:tcW w:w="3981" w:type="dxa"/>
            <w:vMerge/>
            <w:vAlign w:val="center"/>
            <w:hideMark/>
          </w:tcPr>
          <w:p w14:paraId="75CA9262" w14:textId="77777777" w:rsidR="00DC5EC6" w:rsidRDefault="00DC5EC6">
            <w:pPr>
              <w:spacing w:after="0" w:line="240" w:lineRule="auto"/>
              <w:rPr>
                <w:rFonts w:ascii="Times New Roman" w:eastAsia="Times New Roman" w:hAnsi="Times New Roman" w:cs="Times New Roman"/>
                <w:b/>
                <w:noProof/>
                <w:sz w:val="18"/>
              </w:rPr>
            </w:pPr>
          </w:p>
        </w:tc>
      </w:tr>
      <w:tr w:rsidR="00DC5EC6" w14:paraId="121D32D4" w14:textId="77777777">
        <w:trPr>
          <w:trHeight w:val="1270"/>
        </w:trPr>
        <w:tc>
          <w:tcPr>
            <w:tcW w:w="1135" w:type="dxa"/>
            <w:shd w:val="clear" w:color="auto" w:fill="C4EFCE"/>
            <w:noWrap/>
            <w:vAlign w:val="center"/>
            <w:hideMark/>
          </w:tcPr>
          <w:p w14:paraId="0492ADA0" w14:textId="77777777" w:rsidR="00DC5EC6" w:rsidRDefault="003245A4">
            <w:pPr>
              <w:pStyle w:val="P68B1DB1-Normal7"/>
              <w:spacing w:after="0" w:line="240" w:lineRule="auto"/>
              <w:jc w:val="center"/>
              <w:rPr>
                <w:rFonts w:eastAsia="Times New Roman" w:cs="Calibri"/>
                <w:noProof/>
              </w:rPr>
            </w:pPr>
            <w:r>
              <w:rPr>
                <w:noProof/>
              </w:rPr>
              <w:t>1.1</w:t>
            </w:r>
          </w:p>
        </w:tc>
        <w:tc>
          <w:tcPr>
            <w:tcW w:w="1276" w:type="dxa"/>
            <w:shd w:val="clear" w:color="auto" w:fill="C4EFCE"/>
            <w:noWrap/>
            <w:vAlign w:val="center"/>
            <w:hideMark/>
          </w:tcPr>
          <w:p w14:paraId="0A1B7539" w14:textId="77777777" w:rsidR="00DC5EC6" w:rsidRDefault="003245A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5A6CB19F"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6E6F728" w14:textId="77777777" w:rsidR="00DC5EC6" w:rsidRDefault="003245A4">
            <w:pPr>
              <w:pStyle w:val="P68B1DB1-Normal8"/>
              <w:spacing w:after="0" w:line="240" w:lineRule="auto"/>
              <w:jc w:val="center"/>
              <w:rPr>
                <w:rFonts w:eastAsia="Times New Roman" w:cs="Calibri"/>
                <w:noProof/>
              </w:rPr>
            </w:pPr>
            <w:r>
              <w:rPr>
                <w:noProof/>
              </w:rPr>
              <w:t>Az egészségügyi alapellátás területére vonatkozó jogi aktusok hatálybalépése</w:t>
            </w:r>
          </w:p>
        </w:tc>
        <w:tc>
          <w:tcPr>
            <w:tcW w:w="1418" w:type="dxa"/>
            <w:shd w:val="clear" w:color="auto" w:fill="C4EFCE"/>
            <w:noWrap/>
            <w:vAlign w:val="center"/>
            <w:hideMark/>
          </w:tcPr>
          <w:p w14:paraId="35A47D91" w14:textId="77777777" w:rsidR="00DC5EC6" w:rsidRDefault="003245A4">
            <w:pPr>
              <w:pStyle w:val="P68B1DB1-Normal8"/>
              <w:spacing w:after="0" w:line="240" w:lineRule="auto"/>
              <w:jc w:val="center"/>
              <w:rPr>
                <w:rFonts w:eastAsia="Times New Roman" w:cs="Calibri"/>
                <w:noProof/>
              </w:rPr>
            </w:pPr>
            <w:r>
              <w:rPr>
                <w:noProof/>
              </w:rPr>
              <w:t>A felülvizsgált jogi aktusok hatálybalépése</w:t>
            </w:r>
          </w:p>
        </w:tc>
        <w:tc>
          <w:tcPr>
            <w:tcW w:w="1164" w:type="dxa"/>
            <w:shd w:val="clear" w:color="auto" w:fill="C4EFCE"/>
            <w:noWrap/>
            <w:vAlign w:val="center"/>
            <w:hideMark/>
          </w:tcPr>
          <w:p w14:paraId="0271FAD2"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69B00747"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1142975"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D871EE2" w14:textId="7535628F"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63B8927A"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AD82C03" w14:textId="77777777" w:rsidR="00DC5EC6" w:rsidRDefault="003245A4">
            <w:pPr>
              <w:pStyle w:val="P68B1DB1-Normal8"/>
              <w:spacing w:after="0" w:line="240" w:lineRule="auto"/>
              <w:jc w:val="both"/>
              <w:rPr>
                <w:rFonts w:eastAsia="Times New Roman" w:cs="Calibri"/>
                <w:noProof/>
              </w:rPr>
            </w:pPr>
            <w:r>
              <w:rPr>
                <w:noProof/>
              </w:rPr>
              <w:t>Az egészségügyi alapellátás területére vonatkozó jogi aktusok felülvizsgálata, nevezetesen: az egészségügyi alapellátási központok funkcionális egységeinek alapjául szolgáló jogszabályok (ideértve a B. modell szerinti családi egészségügyi egységekről szóló 73/2017. sz. törvényerejű rendeletet, az 1368/2007. sz. kormányrendeletet, a B. modell szerinti családok egészségügyi egységeinek szabályait és díjazási modelljét, valamint a kapcsolódó jogi aktust, valamint az egészségügyi alapellátás egyéb típusainak működését alátámasztó jogszabályokat); és ii. az egészségügyi központok csoportjainak alapjául szolgáló jogszabályok (beleértve az egészségügyi központok csoportjaira vonatkozó jogi aktusokat, nevezetesen a 28/2008. sz. törvényerejű rendeletet).</w:t>
            </w:r>
          </w:p>
        </w:tc>
      </w:tr>
      <w:tr w:rsidR="00DC5EC6" w14:paraId="50205165" w14:textId="77777777">
        <w:trPr>
          <w:trHeight w:val="1270"/>
        </w:trPr>
        <w:tc>
          <w:tcPr>
            <w:tcW w:w="1135" w:type="dxa"/>
            <w:shd w:val="clear" w:color="auto" w:fill="C4EFCE"/>
            <w:noWrap/>
            <w:vAlign w:val="center"/>
            <w:hideMark/>
          </w:tcPr>
          <w:p w14:paraId="0533AA4A" w14:textId="77777777" w:rsidR="00DC5EC6" w:rsidRDefault="003245A4">
            <w:pPr>
              <w:pStyle w:val="P68B1DB1-Normal7"/>
              <w:spacing w:after="0" w:line="240" w:lineRule="auto"/>
              <w:jc w:val="center"/>
              <w:rPr>
                <w:rFonts w:eastAsia="Times New Roman" w:cs="Calibri"/>
                <w:noProof/>
              </w:rPr>
            </w:pPr>
            <w:r>
              <w:rPr>
                <w:noProof/>
              </w:rPr>
              <w:t>1.2</w:t>
            </w:r>
          </w:p>
        </w:tc>
        <w:tc>
          <w:tcPr>
            <w:tcW w:w="1276" w:type="dxa"/>
            <w:shd w:val="clear" w:color="auto" w:fill="C4EFCE"/>
            <w:noWrap/>
            <w:vAlign w:val="center"/>
            <w:hideMark/>
          </w:tcPr>
          <w:p w14:paraId="2A187FFF" w14:textId="77777777" w:rsidR="00DC5EC6" w:rsidRDefault="003245A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08F32C70"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3FC6D25" w14:textId="77777777" w:rsidR="00DC5EC6" w:rsidRDefault="003245A4">
            <w:pPr>
              <w:pStyle w:val="P68B1DB1-Normal8"/>
              <w:spacing w:after="0" w:line="240" w:lineRule="auto"/>
              <w:jc w:val="center"/>
              <w:rPr>
                <w:rFonts w:eastAsia="Times New Roman" w:cs="Calibri"/>
                <w:noProof/>
              </w:rPr>
            </w:pPr>
            <w:r>
              <w:rPr>
                <w:noProof/>
              </w:rPr>
              <w:t>Hozzáférés biztosítása a kockázati rétegzési eszközhöz az egészségügyi központok csoportjainak funkcionális egységeiben a klinikai irányítás támogatása érdekében</w:t>
            </w:r>
          </w:p>
        </w:tc>
        <w:tc>
          <w:tcPr>
            <w:tcW w:w="1418" w:type="dxa"/>
            <w:shd w:val="clear" w:color="auto" w:fill="C4EFCE"/>
            <w:noWrap/>
            <w:vAlign w:val="center"/>
            <w:hideMark/>
          </w:tcPr>
          <w:p w14:paraId="35F427F1"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2AD19FF"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75CB367B"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FF60DCA" w14:textId="77777777" w:rsidR="00DC5EC6" w:rsidRDefault="003245A4">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D7BB0A8" w14:textId="0E91DDE5"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3D3518AA"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39000082" w14:textId="77777777" w:rsidR="00DC5EC6" w:rsidRDefault="003245A4">
            <w:pPr>
              <w:pStyle w:val="P68B1DB1-Normal8"/>
              <w:spacing w:after="0" w:line="240" w:lineRule="auto"/>
              <w:jc w:val="both"/>
              <w:rPr>
                <w:rFonts w:eastAsia="Times New Roman" w:cs="Calibri"/>
                <w:noProof/>
              </w:rPr>
            </w:pPr>
            <w:r>
              <w:rPr>
                <w:noProof/>
              </w:rPr>
              <w:t>Az egészségügyi központok azon funkcionális egységeinek száma, amelyek hozzáférnek a regisztrált felhasználókra vonatkozó kockázati rétegező eszközből származó információkhoz. A kockázati rétegzési eszköznek lehetővé kell tennie a proaktív beavatkozást a magasabb klinikai kockázattal és társadalmi kiszolgáltatottsággal rendelkező népességcsoportokban, biztosítva a népességalapú szűrési és korai diagnosztikai programokat az egész országban, valamint a leggyakoribb betegségekben (kardiovaszkuláris, cukorbetegség, rák, légzőszervi, mentális és oszteoartikuláris) szenvedő felhasználók időben történő kezelését és megfelelő nyomon követését.</w:t>
            </w:r>
          </w:p>
        </w:tc>
      </w:tr>
      <w:tr w:rsidR="00DC5EC6" w14:paraId="10D6008A" w14:textId="77777777">
        <w:trPr>
          <w:trHeight w:val="1123"/>
        </w:trPr>
        <w:tc>
          <w:tcPr>
            <w:tcW w:w="1135" w:type="dxa"/>
            <w:shd w:val="clear" w:color="auto" w:fill="C4EFCE"/>
            <w:noWrap/>
            <w:vAlign w:val="center"/>
            <w:hideMark/>
          </w:tcPr>
          <w:p w14:paraId="02DF6530" w14:textId="77777777" w:rsidR="00DC5EC6" w:rsidRDefault="003245A4">
            <w:pPr>
              <w:pStyle w:val="P68B1DB1-Normal7"/>
              <w:spacing w:after="0" w:line="240" w:lineRule="auto"/>
              <w:jc w:val="center"/>
              <w:rPr>
                <w:rFonts w:eastAsia="Times New Roman" w:cs="Calibri"/>
                <w:noProof/>
              </w:rPr>
            </w:pPr>
            <w:r>
              <w:rPr>
                <w:noProof/>
              </w:rPr>
              <w:t>1.3</w:t>
            </w:r>
          </w:p>
        </w:tc>
        <w:tc>
          <w:tcPr>
            <w:tcW w:w="1276" w:type="dxa"/>
            <w:shd w:val="clear" w:color="auto" w:fill="C4EFCE"/>
            <w:noWrap/>
            <w:vAlign w:val="center"/>
            <w:hideMark/>
          </w:tcPr>
          <w:p w14:paraId="4F399F94" w14:textId="77777777" w:rsidR="00DC5EC6" w:rsidRDefault="003245A4">
            <w:pPr>
              <w:pStyle w:val="P68B1DB1-Normal8"/>
              <w:spacing w:after="0" w:line="240" w:lineRule="auto"/>
              <w:jc w:val="center"/>
              <w:rPr>
                <w:rFonts w:eastAsia="Times New Roman" w:cs="Calibri"/>
                <w:noProof/>
              </w:rPr>
            </w:pPr>
            <w:r>
              <w:rPr>
                <w:noProof/>
              </w:rPr>
              <w:t>Re-C01-r01</w:t>
            </w:r>
          </w:p>
        </w:tc>
        <w:tc>
          <w:tcPr>
            <w:tcW w:w="992" w:type="dxa"/>
            <w:shd w:val="clear" w:color="auto" w:fill="C4EFCE"/>
            <w:noWrap/>
            <w:vAlign w:val="center"/>
            <w:hideMark/>
          </w:tcPr>
          <w:p w14:paraId="70ABD2FF"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ACA7681" w14:textId="77777777" w:rsidR="00DC5EC6" w:rsidRDefault="003245A4">
            <w:pPr>
              <w:pStyle w:val="P68B1DB1-Normal8"/>
              <w:spacing w:after="0" w:line="240" w:lineRule="auto"/>
              <w:jc w:val="center"/>
              <w:rPr>
                <w:rFonts w:eastAsia="Times New Roman" w:cs="Calibri"/>
                <w:noProof/>
              </w:rPr>
            </w:pPr>
            <w:r>
              <w:rPr>
                <w:noProof/>
              </w:rPr>
              <w:t>Az egészségügyi felelősségi körök decentralizálási folyamatának lezárása a településeken</w:t>
            </w:r>
          </w:p>
        </w:tc>
        <w:tc>
          <w:tcPr>
            <w:tcW w:w="1418" w:type="dxa"/>
            <w:shd w:val="clear" w:color="auto" w:fill="C4EFCE"/>
            <w:noWrap/>
            <w:vAlign w:val="center"/>
            <w:hideMark/>
          </w:tcPr>
          <w:p w14:paraId="1430DBB4"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1693BA5"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D21E5B6"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8763683" w14:textId="77777777" w:rsidR="00DC5EC6" w:rsidRDefault="003245A4">
            <w:pPr>
              <w:pStyle w:val="P68B1DB1-Normal8"/>
              <w:spacing w:after="0" w:line="240" w:lineRule="auto"/>
              <w:jc w:val="center"/>
              <w:rPr>
                <w:rFonts w:eastAsia="Times New Roman" w:cs="Calibri"/>
                <w:noProof/>
              </w:rPr>
            </w:pPr>
            <w:r>
              <w:rPr>
                <w:noProof/>
              </w:rPr>
              <w:t>201</w:t>
            </w:r>
          </w:p>
        </w:tc>
        <w:tc>
          <w:tcPr>
            <w:tcW w:w="833" w:type="dxa"/>
            <w:gridSpan w:val="2"/>
            <w:shd w:val="clear" w:color="auto" w:fill="C4EFCE"/>
            <w:noWrap/>
            <w:vAlign w:val="center"/>
            <w:hideMark/>
          </w:tcPr>
          <w:p w14:paraId="3A15E654" w14:textId="35387F09"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531FAD5"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970A0D0" w14:textId="5F4E6DC1" w:rsidR="00DC5EC6" w:rsidRDefault="003245A4">
            <w:pPr>
              <w:pStyle w:val="P68B1DB1-Normal8"/>
              <w:spacing w:after="0" w:line="240" w:lineRule="auto"/>
              <w:jc w:val="both"/>
              <w:rPr>
                <w:rFonts w:eastAsia="Times New Roman" w:cs="Calibri"/>
                <w:noProof/>
              </w:rPr>
            </w:pPr>
            <w:r>
              <w:rPr>
                <w:noProof/>
              </w:rPr>
              <w:t xml:space="preserve">Azon új települések száma, ahol az egészségügyi feladatok decentralizálásának folyamata a január 30-i 23/2019. sz. törvényerejű rendeletnek megfelelően az egészségügyi minisztérium, a regionális egészségügyi hatóságok és az önkormányzatok által aláírt átadási értesítés révén befejeződött. A felelősségi körök átruházása a következőkre terjed ki: az önkormányzatok részvétele az egészségügyi alapellátással foglalkozó egységek tervezési, irányítási és beruházási döntéseiben, valamint a függőségekbe és függőségekbe való beavatkozás felosztásában, különösen azok építésében, felszerelésében és karbantartásában; az egészségügyi alapellátáshoz kapcsolódó egyéb berendezések kezelése, karbantartása és megőrzése; az egészségügyi központok csoportjai funkcionális egységeinek operatív asszisztensi kategóriájába tartozó egészségügyi dolgozók irányítása, valamint a függőséget okozó magatartásformákba és függőségekbe való beavatkozás részlegei, amelyek integrálják a Nemzeti Egészségügyi Szolgálatot; az egészségügyi központok csoportjainak logisztikai támogató szolgáltatásainak irányítása. </w:t>
            </w:r>
          </w:p>
        </w:tc>
      </w:tr>
      <w:tr w:rsidR="00DC5EC6" w14:paraId="52519A96" w14:textId="77777777">
        <w:trPr>
          <w:trHeight w:val="640"/>
        </w:trPr>
        <w:tc>
          <w:tcPr>
            <w:tcW w:w="1135" w:type="dxa"/>
            <w:shd w:val="clear" w:color="auto" w:fill="C4EFCE"/>
            <w:noWrap/>
            <w:vAlign w:val="center"/>
            <w:hideMark/>
          </w:tcPr>
          <w:p w14:paraId="7CDF71B7" w14:textId="77777777" w:rsidR="00DC5EC6" w:rsidRDefault="003245A4">
            <w:pPr>
              <w:pStyle w:val="P68B1DB1-Normal7"/>
              <w:spacing w:after="0" w:line="240" w:lineRule="auto"/>
              <w:jc w:val="center"/>
              <w:rPr>
                <w:rFonts w:eastAsia="Times New Roman" w:cs="Calibri"/>
                <w:noProof/>
              </w:rPr>
            </w:pPr>
            <w:r>
              <w:rPr>
                <w:noProof/>
              </w:rPr>
              <w:t>1.4</w:t>
            </w:r>
          </w:p>
        </w:tc>
        <w:tc>
          <w:tcPr>
            <w:tcW w:w="1276" w:type="dxa"/>
            <w:shd w:val="clear" w:color="auto" w:fill="C4EFCE"/>
            <w:noWrap/>
            <w:vAlign w:val="center"/>
            <w:hideMark/>
          </w:tcPr>
          <w:p w14:paraId="231A738A" w14:textId="77777777" w:rsidR="00DC5EC6" w:rsidRDefault="003245A4">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48CF4AED"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37A3F1D" w14:textId="77777777" w:rsidR="00DC5EC6" w:rsidRDefault="003245A4">
            <w:pPr>
              <w:pStyle w:val="P68B1DB1-Normal8"/>
              <w:spacing w:after="0" w:line="240" w:lineRule="auto"/>
              <w:jc w:val="center"/>
              <w:rPr>
                <w:rFonts w:eastAsia="Times New Roman" w:cs="Calibri"/>
                <w:noProof/>
              </w:rPr>
            </w:pPr>
            <w:r>
              <w:rPr>
                <w:noProof/>
              </w:rPr>
              <w:t>A mentális egészségről szóló új törvényerejű rendelet hatálybalépése, amely meghatározza a mentális egészségügyi szolgáltatások szervezésének elveit</w:t>
            </w:r>
          </w:p>
        </w:tc>
        <w:tc>
          <w:tcPr>
            <w:tcW w:w="1418" w:type="dxa"/>
            <w:shd w:val="clear" w:color="auto" w:fill="C4EFCE"/>
            <w:noWrap/>
            <w:vAlign w:val="center"/>
            <w:hideMark/>
          </w:tcPr>
          <w:p w14:paraId="13D40D49" w14:textId="77777777" w:rsidR="00DC5EC6" w:rsidRDefault="003245A4">
            <w:pPr>
              <w:pStyle w:val="P68B1DB1-Normal8"/>
              <w:spacing w:after="0" w:line="240" w:lineRule="auto"/>
              <w:jc w:val="center"/>
              <w:rPr>
                <w:rFonts w:eastAsia="Times New Roman" w:cs="Calibri"/>
                <w:noProof/>
              </w:rPr>
            </w:pPr>
            <w:r>
              <w:rPr>
                <w:noProof/>
              </w:rPr>
              <w:t>A mentális egészségről szóló új törvényerejű rendelet hatálybalépése</w:t>
            </w:r>
          </w:p>
        </w:tc>
        <w:tc>
          <w:tcPr>
            <w:tcW w:w="1164" w:type="dxa"/>
            <w:shd w:val="clear" w:color="auto" w:fill="C4EFCE"/>
            <w:noWrap/>
            <w:vAlign w:val="center"/>
            <w:hideMark/>
          </w:tcPr>
          <w:p w14:paraId="490E6384"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80C890F"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F2D094"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35388639" w14:textId="5CEC493B"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548204FC" w14:textId="77777777" w:rsidR="00DC5EC6" w:rsidRDefault="003245A4">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1B060DF1" w14:textId="77777777" w:rsidR="00DC5EC6" w:rsidRDefault="003245A4">
            <w:pPr>
              <w:pStyle w:val="P68B1DB1-Normal8"/>
              <w:spacing w:after="0" w:line="240" w:lineRule="auto"/>
              <w:jc w:val="both"/>
              <w:rPr>
                <w:rFonts w:eastAsia="Times New Roman" w:cs="Calibri"/>
                <w:noProof/>
              </w:rPr>
            </w:pPr>
            <w:r>
              <w:rPr>
                <w:noProof/>
              </w:rPr>
              <w:t>Az új törvényerejű rendeletnek tükröznie kell a november 20-i 11485/2020. sz. kormányrendelettel módosított 6324/2020. sz. kormányrendelettel létrehozott munkacsoport által a mentális egészségügyi szolgáltatások megszervezésére vonatkozó elvek meghatározása céljából tett módosítási javaslatokat.</w:t>
            </w:r>
          </w:p>
        </w:tc>
      </w:tr>
      <w:tr w:rsidR="00DC5EC6" w14:paraId="5A9C21C0" w14:textId="77777777">
        <w:trPr>
          <w:trHeight w:val="1966"/>
        </w:trPr>
        <w:tc>
          <w:tcPr>
            <w:tcW w:w="1135" w:type="dxa"/>
            <w:shd w:val="clear" w:color="auto" w:fill="C4EFCE"/>
            <w:noWrap/>
            <w:vAlign w:val="center"/>
            <w:hideMark/>
          </w:tcPr>
          <w:p w14:paraId="1FA443A3" w14:textId="77777777" w:rsidR="00DC5EC6" w:rsidRDefault="003245A4">
            <w:pPr>
              <w:pStyle w:val="P68B1DB1-Normal7"/>
              <w:spacing w:after="0" w:line="240" w:lineRule="auto"/>
              <w:jc w:val="center"/>
              <w:rPr>
                <w:rFonts w:eastAsia="Times New Roman" w:cs="Calibri"/>
                <w:noProof/>
              </w:rPr>
            </w:pPr>
            <w:r>
              <w:rPr>
                <w:noProof/>
              </w:rPr>
              <w:t>1.5</w:t>
            </w:r>
          </w:p>
        </w:tc>
        <w:tc>
          <w:tcPr>
            <w:tcW w:w="1276" w:type="dxa"/>
            <w:shd w:val="clear" w:color="auto" w:fill="C4EFCE"/>
            <w:noWrap/>
            <w:vAlign w:val="center"/>
            <w:hideMark/>
          </w:tcPr>
          <w:p w14:paraId="7BC38134" w14:textId="77777777" w:rsidR="00DC5EC6" w:rsidRDefault="003245A4">
            <w:pPr>
              <w:pStyle w:val="P68B1DB1-Normal8"/>
              <w:spacing w:after="0" w:line="240" w:lineRule="auto"/>
              <w:jc w:val="center"/>
              <w:rPr>
                <w:rFonts w:eastAsia="Times New Roman" w:cs="Calibri"/>
                <w:noProof/>
              </w:rPr>
            </w:pPr>
            <w:r>
              <w:rPr>
                <w:noProof/>
              </w:rPr>
              <w:t>Re-C01-r02</w:t>
            </w:r>
          </w:p>
        </w:tc>
        <w:tc>
          <w:tcPr>
            <w:tcW w:w="992" w:type="dxa"/>
            <w:shd w:val="clear" w:color="auto" w:fill="C4EFCE"/>
            <w:noWrap/>
            <w:vAlign w:val="center"/>
            <w:hideMark/>
          </w:tcPr>
          <w:p w14:paraId="1640A28D"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8A8BC09" w14:textId="77777777" w:rsidR="00DC5EC6" w:rsidRDefault="003245A4">
            <w:pPr>
              <w:pStyle w:val="P68B1DB1-Normal8"/>
              <w:spacing w:after="0" w:line="240" w:lineRule="auto"/>
              <w:jc w:val="center"/>
              <w:rPr>
                <w:rFonts w:eastAsia="Times New Roman" w:cs="Calibri"/>
                <w:noProof/>
              </w:rPr>
            </w:pPr>
            <w:r>
              <w:rPr>
                <w:noProof/>
              </w:rPr>
              <w:t>A mentális egészségről szóló új törvény hatálybalépése, amely meghatározza a mentális betegségben szenvedők jogaira vonatkozó elveket, és szabályozza a kötelező kórházi kezelést vagy kezelést</w:t>
            </w:r>
          </w:p>
        </w:tc>
        <w:tc>
          <w:tcPr>
            <w:tcW w:w="1418" w:type="dxa"/>
            <w:shd w:val="clear" w:color="auto" w:fill="C4EFCE"/>
            <w:noWrap/>
            <w:vAlign w:val="center"/>
            <w:hideMark/>
          </w:tcPr>
          <w:p w14:paraId="0C4283AF" w14:textId="77777777" w:rsidR="00DC5EC6" w:rsidRDefault="003245A4">
            <w:pPr>
              <w:pStyle w:val="P68B1DB1-Normal8"/>
              <w:spacing w:after="0" w:line="240" w:lineRule="auto"/>
              <w:jc w:val="center"/>
              <w:rPr>
                <w:rFonts w:eastAsia="Times New Roman" w:cs="Calibri"/>
                <w:noProof/>
              </w:rPr>
            </w:pPr>
            <w:r>
              <w:rPr>
                <w:noProof/>
              </w:rPr>
              <w:t>A mentális egészségről szóló új jogszabály hatálybalépése</w:t>
            </w:r>
          </w:p>
        </w:tc>
        <w:tc>
          <w:tcPr>
            <w:tcW w:w="1164" w:type="dxa"/>
            <w:shd w:val="clear" w:color="auto" w:fill="C4EFCE"/>
            <w:noWrap/>
            <w:vAlign w:val="center"/>
            <w:hideMark/>
          </w:tcPr>
          <w:p w14:paraId="6EC27EF4"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68D4131"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40AB3AA"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99B69D0" w14:textId="74CBC8BE" w:rsidR="00DC5EC6" w:rsidRDefault="00A44E9E">
            <w:pPr>
              <w:pStyle w:val="P68B1DB1-Normal8"/>
              <w:spacing w:after="0" w:line="240" w:lineRule="auto"/>
              <w:jc w:val="center"/>
              <w:rPr>
                <w:rFonts w:eastAsia="Times New Roman" w:cs="Calibri"/>
                <w:noProof/>
              </w:rPr>
            </w:pPr>
            <w:r>
              <w:rPr>
                <w:noProof/>
              </w:rPr>
              <w:t>1. NEGYEDÉV</w:t>
            </w:r>
          </w:p>
        </w:tc>
        <w:tc>
          <w:tcPr>
            <w:tcW w:w="901" w:type="dxa"/>
            <w:shd w:val="clear" w:color="auto" w:fill="C4EFCE"/>
            <w:noWrap/>
            <w:vAlign w:val="center"/>
            <w:hideMark/>
          </w:tcPr>
          <w:p w14:paraId="2A36F701"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19AE9BCF" w14:textId="77777777" w:rsidR="00DC5EC6" w:rsidRDefault="003245A4">
            <w:pPr>
              <w:pStyle w:val="P68B1DB1-Normal8"/>
              <w:spacing w:after="0" w:line="240" w:lineRule="auto"/>
              <w:jc w:val="both"/>
              <w:rPr>
                <w:rFonts w:eastAsia="Times New Roman" w:cs="Calibri"/>
                <w:noProof/>
              </w:rPr>
            </w:pPr>
            <w:r>
              <w:rPr>
                <w:noProof/>
              </w:rPr>
              <w:t>A mentális egészségről szóló új törvénynek tükröznie kell a november 20-i 11485/2020. sz. kormányrendelettel módosított 6324/2020. (VI. 15.) Korm. rendelettel létrehozott munkacsoport által a mentális betegségben szenvedők jogaival kapcsolatos elvek megállapítása és a kötelező kórházi kezelés vagy kezelés szabályozása érdekében tett módosítási javaslatokat.</w:t>
            </w:r>
          </w:p>
        </w:tc>
      </w:tr>
      <w:tr w:rsidR="00DC5EC6" w14:paraId="30477D5B" w14:textId="77777777">
        <w:trPr>
          <w:trHeight w:val="850"/>
        </w:trPr>
        <w:tc>
          <w:tcPr>
            <w:tcW w:w="1135" w:type="dxa"/>
            <w:shd w:val="clear" w:color="auto" w:fill="C4EFCE"/>
            <w:noWrap/>
            <w:vAlign w:val="center"/>
            <w:hideMark/>
          </w:tcPr>
          <w:p w14:paraId="32C79C84" w14:textId="77777777" w:rsidR="00DC5EC6" w:rsidRDefault="003245A4">
            <w:pPr>
              <w:pStyle w:val="P68B1DB1-Normal7"/>
              <w:spacing w:after="0" w:line="240" w:lineRule="auto"/>
              <w:jc w:val="center"/>
              <w:rPr>
                <w:rFonts w:eastAsia="Times New Roman" w:cs="Calibri"/>
                <w:noProof/>
              </w:rPr>
            </w:pPr>
            <w:r>
              <w:rPr>
                <w:noProof/>
              </w:rPr>
              <w:t>1.6</w:t>
            </w:r>
          </w:p>
        </w:tc>
        <w:tc>
          <w:tcPr>
            <w:tcW w:w="1276" w:type="dxa"/>
            <w:shd w:val="clear" w:color="auto" w:fill="C4EFCE"/>
            <w:noWrap/>
            <w:vAlign w:val="center"/>
            <w:hideMark/>
          </w:tcPr>
          <w:p w14:paraId="2ECC3EA8"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6C8C908A"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791F258" w14:textId="77777777" w:rsidR="00DC5EC6" w:rsidRDefault="003245A4">
            <w:pPr>
              <w:pStyle w:val="P68B1DB1-Normal8"/>
              <w:spacing w:after="0" w:line="240" w:lineRule="auto"/>
              <w:jc w:val="center"/>
              <w:rPr>
                <w:rFonts w:eastAsia="Times New Roman" w:cs="Calibri"/>
                <w:noProof/>
              </w:rPr>
            </w:pPr>
            <w:r>
              <w:rPr>
                <w:noProof/>
              </w:rPr>
              <w:t xml:space="preserve">Az új üzemeltetési szerződéssablon hatálybalépése </w:t>
            </w:r>
          </w:p>
        </w:tc>
        <w:tc>
          <w:tcPr>
            <w:tcW w:w="1418" w:type="dxa"/>
            <w:shd w:val="clear" w:color="auto" w:fill="C4EFCE"/>
            <w:noWrap/>
            <w:vAlign w:val="center"/>
            <w:hideMark/>
          </w:tcPr>
          <w:p w14:paraId="650B0FAE" w14:textId="77777777" w:rsidR="00DC5EC6" w:rsidRDefault="003245A4">
            <w:pPr>
              <w:pStyle w:val="P68B1DB1-Normal8"/>
              <w:spacing w:after="0" w:line="240" w:lineRule="auto"/>
              <w:jc w:val="center"/>
              <w:rPr>
                <w:rFonts w:eastAsia="Times New Roman" w:cs="Calibri"/>
                <w:noProof/>
              </w:rPr>
            </w:pPr>
            <w:r>
              <w:rPr>
                <w:noProof/>
              </w:rPr>
              <w:t>Az új üzemeltetési szerződéssablon hatálybalépése</w:t>
            </w:r>
          </w:p>
        </w:tc>
        <w:tc>
          <w:tcPr>
            <w:tcW w:w="1164" w:type="dxa"/>
            <w:shd w:val="clear" w:color="auto" w:fill="C4EFCE"/>
            <w:noWrap/>
            <w:vAlign w:val="center"/>
            <w:hideMark/>
          </w:tcPr>
          <w:p w14:paraId="74656DC2"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230ACBA"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05F4225"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17978E7" w14:textId="498C0B57"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5C203299"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5A41FB03" w14:textId="77777777" w:rsidR="00DC5EC6" w:rsidRDefault="003245A4">
            <w:pPr>
              <w:pStyle w:val="P68B1DB1-Normal8"/>
              <w:spacing w:after="0" w:line="240" w:lineRule="auto"/>
              <w:jc w:val="both"/>
              <w:rPr>
                <w:rFonts w:eastAsia="Times New Roman" w:cs="Calibri"/>
                <w:noProof/>
              </w:rPr>
            </w:pPr>
            <w:r>
              <w:rPr>
                <w:noProof/>
              </w:rPr>
              <w:t>Az egészségügyi és pénzügyminisztériumok közös jóváhagyásával hatályba lép az új kezelési szerződésminta. Az elszámoltathatóság megerősítése és a teljesítményalapú irányítási gyakorlatok ösztönzése érdekében az új sablont be kell tartani az egészségügyi rendszer állami tulajdonú vállalatainak valamennyi állami vezetője által aláírandó jövőbeli irányítási szerződésnek.</w:t>
            </w:r>
          </w:p>
        </w:tc>
      </w:tr>
      <w:tr w:rsidR="00DC5EC6" w14:paraId="62CE5DDB" w14:textId="77777777" w:rsidTr="00A44E9E">
        <w:trPr>
          <w:trHeight w:val="556"/>
        </w:trPr>
        <w:tc>
          <w:tcPr>
            <w:tcW w:w="1135" w:type="dxa"/>
            <w:shd w:val="clear" w:color="auto" w:fill="C4EFCE"/>
            <w:noWrap/>
            <w:vAlign w:val="center"/>
            <w:hideMark/>
          </w:tcPr>
          <w:p w14:paraId="41A0C8AD" w14:textId="77777777" w:rsidR="00DC5EC6" w:rsidRDefault="003245A4">
            <w:pPr>
              <w:pStyle w:val="P68B1DB1-Normal7"/>
              <w:spacing w:after="0" w:line="240" w:lineRule="auto"/>
              <w:jc w:val="center"/>
              <w:rPr>
                <w:rFonts w:eastAsia="Times New Roman" w:cs="Calibri"/>
                <w:noProof/>
              </w:rPr>
            </w:pPr>
            <w:r>
              <w:rPr>
                <w:noProof/>
              </w:rPr>
              <w:t>1.7</w:t>
            </w:r>
          </w:p>
        </w:tc>
        <w:tc>
          <w:tcPr>
            <w:tcW w:w="1276" w:type="dxa"/>
            <w:shd w:val="clear" w:color="auto" w:fill="C4EFCE"/>
            <w:noWrap/>
            <w:vAlign w:val="center"/>
            <w:hideMark/>
          </w:tcPr>
          <w:p w14:paraId="503F6CAA"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C388B1A"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03D3A04" w14:textId="77777777" w:rsidR="00DC5EC6" w:rsidRDefault="003245A4">
            <w:pPr>
              <w:pStyle w:val="P68B1DB1-Normal8"/>
              <w:spacing w:after="0" w:line="240" w:lineRule="auto"/>
              <w:jc w:val="center"/>
              <w:rPr>
                <w:rFonts w:eastAsia="Times New Roman" w:cs="Calibri"/>
                <w:noProof/>
              </w:rPr>
            </w:pPr>
            <w:r>
              <w:rPr>
                <w:noProof/>
              </w:rPr>
              <w:t>A Nemzeti Egészségügyi Szolgálat új irányítási számviteli tervének hatálybalépése</w:t>
            </w:r>
          </w:p>
        </w:tc>
        <w:tc>
          <w:tcPr>
            <w:tcW w:w="1418" w:type="dxa"/>
            <w:shd w:val="clear" w:color="auto" w:fill="C4EFCE"/>
            <w:noWrap/>
            <w:vAlign w:val="center"/>
            <w:hideMark/>
          </w:tcPr>
          <w:p w14:paraId="17E76F91" w14:textId="77777777" w:rsidR="00DC5EC6" w:rsidRDefault="003245A4">
            <w:pPr>
              <w:pStyle w:val="P68B1DB1-Normal8"/>
              <w:spacing w:after="0" w:line="240" w:lineRule="auto"/>
              <w:jc w:val="center"/>
              <w:rPr>
                <w:rFonts w:eastAsia="Times New Roman" w:cs="Calibri"/>
                <w:noProof/>
              </w:rPr>
            </w:pPr>
            <w:r>
              <w:rPr>
                <w:noProof/>
              </w:rPr>
              <w:t>Az új irányítási számviteli terv hatálybalépése</w:t>
            </w:r>
          </w:p>
        </w:tc>
        <w:tc>
          <w:tcPr>
            <w:tcW w:w="1164" w:type="dxa"/>
            <w:shd w:val="clear" w:color="auto" w:fill="C4EFCE"/>
            <w:noWrap/>
            <w:vAlign w:val="center"/>
            <w:hideMark/>
          </w:tcPr>
          <w:p w14:paraId="24AFC56D"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06359F79"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52339343"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tcPr>
          <w:p w14:paraId="1FA554EC" w14:textId="5320A240" w:rsidR="00DC5EC6" w:rsidRDefault="00A44E9E" w:rsidP="00A44E9E">
            <w:pPr>
              <w:pStyle w:val="P68B1DB1-Normal8"/>
              <w:spacing w:after="0" w:line="240" w:lineRule="auto"/>
              <w:ind w:left="720"/>
              <w:rPr>
                <w:rFonts w:eastAsia="Times New Roman" w:cs="Calibri"/>
                <w:noProof/>
              </w:rPr>
            </w:pPr>
            <w:r>
              <w:rPr>
                <w:rFonts w:eastAsia="Times New Roman" w:cs="Calibri"/>
                <w:noProof/>
              </w:rPr>
              <w:t>NEGYEDÉV</w:t>
            </w:r>
          </w:p>
        </w:tc>
        <w:tc>
          <w:tcPr>
            <w:tcW w:w="901" w:type="dxa"/>
            <w:shd w:val="clear" w:color="auto" w:fill="C4EFCE"/>
            <w:noWrap/>
            <w:vAlign w:val="center"/>
            <w:hideMark/>
          </w:tcPr>
          <w:p w14:paraId="24B7A493"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4314FC7" w14:textId="77777777" w:rsidR="00DC5EC6" w:rsidRDefault="003245A4">
            <w:pPr>
              <w:pStyle w:val="P68B1DB1-Normal8"/>
              <w:spacing w:after="0" w:line="240" w:lineRule="auto"/>
              <w:jc w:val="both"/>
              <w:rPr>
                <w:rFonts w:eastAsia="Times New Roman" w:cs="Calibri"/>
                <w:noProof/>
              </w:rPr>
            </w:pPr>
            <w:r>
              <w:rPr>
                <w:noProof/>
              </w:rPr>
              <w:t>A Nemzeti Egészségügyi Szolgálat irányítási számviteli tervének kidolgozása a kórházi szolgáltatások költségeire, bevételeire és eredményeire vonatkozó információk nemzeti szintű gyűjtése érdekében, ezáltal javítva a Nemzeti Egészségügyi Szolgálat erőforrásainak elosztását, összehasonlító teljesítményértékelést és az egészségügyi szervezetek működési hatékonyságának javítására szoruló területek azonosítását. Az új irányítási számviteli tervet az egészségügyi rendszer központi igazgatásának normatív körlevél útján kell terjesztenie.</w:t>
            </w:r>
          </w:p>
        </w:tc>
      </w:tr>
      <w:tr w:rsidR="00DC5EC6" w14:paraId="32CD0FC0" w14:textId="77777777">
        <w:trPr>
          <w:trHeight w:val="509"/>
        </w:trPr>
        <w:tc>
          <w:tcPr>
            <w:tcW w:w="1135" w:type="dxa"/>
            <w:shd w:val="clear" w:color="auto" w:fill="C4EFCE"/>
            <w:noWrap/>
            <w:vAlign w:val="center"/>
            <w:hideMark/>
          </w:tcPr>
          <w:p w14:paraId="21F38F39" w14:textId="77777777" w:rsidR="00DC5EC6" w:rsidRDefault="003245A4">
            <w:pPr>
              <w:pStyle w:val="P68B1DB1-Normal7"/>
              <w:spacing w:after="0" w:line="240" w:lineRule="auto"/>
              <w:jc w:val="center"/>
              <w:rPr>
                <w:rFonts w:eastAsia="Times New Roman" w:cs="Calibri"/>
                <w:noProof/>
              </w:rPr>
            </w:pPr>
            <w:r>
              <w:rPr>
                <w:noProof/>
              </w:rPr>
              <w:t>1.8</w:t>
            </w:r>
          </w:p>
        </w:tc>
        <w:tc>
          <w:tcPr>
            <w:tcW w:w="1276" w:type="dxa"/>
            <w:shd w:val="clear" w:color="auto" w:fill="C4EFCE"/>
            <w:noWrap/>
            <w:vAlign w:val="center"/>
            <w:hideMark/>
          </w:tcPr>
          <w:p w14:paraId="17CA506E"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77C53D1"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07A85A30" w14:textId="77777777" w:rsidR="00DC5EC6" w:rsidRDefault="003245A4">
            <w:pPr>
              <w:pStyle w:val="P68B1DB1-Normal8"/>
              <w:spacing w:after="0" w:line="240" w:lineRule="auto"/>
              <w:jc w:val="center"/>
              <w:rPr>
                <w:rFonts w:eastAsia="Times New Roman" w:cs="Calibri"/>
                <w:noProof/>
              </w:rPr>
            </w:pPr>
            <w:r>
              <w:rPr>
                <w:noProof/>
              </w:rPr>
              <w:t>Új integrált felelősségi központok létrehozása a nemzeti egészségügyi szolgálat kórházaiban</w:t>
            </w:r>
          </w:p>
        </w:tc>
        <w:tc>
          <w:tcPr>
            <w:tcW w:w="1418" w:type="dxa"/>
            <w:shd w:val="clear" w:color="auto" w:fill="C4EFCE"/>
            <w:noWrap/>
            <w:vAlign w:val="center"/>
            <w:hideMark/>
          </w:tcPr>
          <w:p w14:paraId="60988E12"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8F2FF0"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B2EFD81"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4C0063E" w14:textId="77777777" w:rsidR="00DC5EC6" w:rsidRDefault="003245A4">
            <w:pPr>
              <w:pStyle w:val="P68B1DB1-Normal8"/>
              <w:spacing w:after="0" w:line="240" w:lineRule="auto"/>
              <w:jc w:val="center"/>
              <w:rPr>
                <w:rFonts w:eastAsia="Times New Roman" w:cs="Calibri"/>
                <w:noProof/>
              </w:rPr>
            </w:pPr>
            <w:r>
              <w:rPr>
                <w:noProof/>
              </w:rPr>
              <w:t>10</w:t>
            </w:r>
          </w:p>
        </w:tc>
        <w:tc>
          <w:tcPr>
            <w:tcW w:w="833" w:type="dxa"/>
            <w:gridSpan w:val="2"/>
            <w:shd w:val="clear" w:color="auto" w:fill="C4EFCE"/>
            <w:noWrap/>
            <w:vAlign w:val="center"/>
            <w:hideMark/>
          </w:tcPr>
          <w:p w14:paraId="15BC6433" w14:textId="7ACFACD9"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75CACAD"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95952DF" w14:textId="77777777" w:rsidR="00DC5EC6" w:rsidRDefault="003245A4">
            <w:pPr>
              <w:pStyle w:val="P68B1DB1-Normal8"/>
              <w:spacing w:after="0" w:line="240" w:lineRule="auto"/>
              <w:jc w:val="both"/>
              <w:rPr>
                <w:rFonts w:eastAsia="Times New Roman" w:cs="Calibri"/>
                <w:noProof/>
              </w:rPr>
            </w:pPr>
            <w:r>
              <w:rPr>
                <w:noProof/>
              </w:rPr>
              <w:t>Új integrált felelősségi központok létrehozása a nemzeti egészségügyi szolgálat kórházaiban az alábbiak érdekében: az egészségügyi szolgáltatásokhoz való hozzáférés, valamint azok minőségének és hatékonyságának javítása; az egészségügyi szolgáltatások klinikai irányításának, autonómiájának és elszámoltathatóságának megerősítése; az egészségügyi szakemberek ösztönzése arra, hogy továbbra is dolgozzanak közkórházakban; a kockázatok és előnyök megosztása az egészségügyi szolgáltatások és a kórházak között; értékeli az egyes egészségügyi szolgálatok és kórházak küldetését a Nemzeti Egészségügyi Szolgálat regionális és nemzeti kontextusában.</w:t>
            </w:r>
          </w:p>
        </w:tc>
      </w:tr>
      <w:tr w:rsidR="00DC5EC6" w14:paraId="1939BFC6" w14:textId="77777777">
        <w:trPr>
          <w:trHeight w:val="1270"/>
        </w:trPr>
        <w:tc>
          <w:tcPr>
            <w:tcW w:w="1135" w:type="dxa"/>
            <w:shd w:val="clear" w:color="auto" w:fill="C4EFCE"/>
            <w:noWrap/>
            <w:vAlign w:val="center"/>
            <w:hideMark/>
          </w:tcPr>
          <w:p w14:paraId="3C32EC3C" w14:textId="77777777" w:rsidR="00DC5EC6" w:rsidRDefault="003245A4">
            <w:pPr>
              <w:pStyle w:val="P68B1DB1-Normal7"/>
              <w:spacing w:after="0" w:line="240" w:lineRule="auto"/>
              <w:jc w:val="center"/>
              <w:rPr>
                <w:rFonts w:eastAsia="Times New Roman" w:cs="Calibri"/>
                <w:noProof/>
              </w:rPr>
            </w:pPr>
            <w:r>
              <w:rPr>
                <w:noProof/>
              </w:rPr>
              <w:t>1.9</w:t>
            </w:r>
          </w:p>
        </w:tc>
        <w:tc>
          <w:tcPr>
            <w:tcW w:w="1276" w:type="dxa"/>
            <w:shd w:val="clear" w:color="auto" w:fill="C4EFCE"/>
            <w:noWrap/>
            <w:vAlign w:val="center"/>
            <w:hideMark/>
          </w:tcPr>
          <w:p w14:paraId="089D7CDD"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CCBCD34"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18C1018" w14:textId="77777777" w:rsidR="00DC5EC6" w:rsidRDefault="003245A4">
            <w:pPr>
              <w:pStyle w:val="P68B1DB1-Normal8"/>
              <w:spacing w:after="0" w:line="240" w:lineRule="auto"/>
              <w:jc w:val="center"/>
              <w:rPr>
                <w:rFonts w:eastAsia="Times New Roman" w:cs="Calibri"/>
                <w:noProof/>
              </w:rPr>
            </w:pPr>
            <w:r>
              <w:rPr>
                <w:noProof/>
              </w:rPr>
              <w:t>Új integrált felelősségi központok létrehozása a nemzeti egészségügyi szolgálat kórházaiban</w:t>
            </w:r>
          </w:p>
        </w:tc>
        <w:tc>
          <w:tcPr>
            <w:tcW w:w="1418" w:type="dxa"/>
            <w:shd w:val="clear" w:color="auto" w:fill="C4EFCE"/>
            <w:noWrap/>
            <w:vAlign w:val="center"/>
            <w:hideMark/>
          </w:tcPr>
          <w:p w14:paraId="05523826"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E40AB99"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5203E359" w14:textId="77777777" w:rsidR="00DC5EC6" w:rsidRDefault="003245A4">
            <w:pPr>
              <w:pStyle w:val="P68B1DB1-Normal8"/>
              <w:spacing w:after="0" w:line="240" w:lineRule="auto"/>
              <w:jc w:val="center"/>
              <w:rPr>
                <w:rFonts w:eastAsia="Times New Roman" w:cs="Calibri"/>
                <w:noProof/>
              </w:rPr>
            </w:pPr>
            <w:r>
              <w:rPr>
                <w:noProof/>
              </w:rPr>
              <w:t>10</w:t>
            </w:r>
          </w:p>
        </w:tc>
        <w:tc>
          <w:tcPr>
            <w:tcW w:w="805" w:type="dxa"/>
            <w:shd w:val="clear" w:color="auto" w:fill="C4EFCE"/>
            <w:noWrap/>
            <w:vAlign w:val="center"/>
            <w:hideMark/>
          </w:tcPr>
          <w:p w14:paraId="7A35B435" w14:textId="77777777" w:rsidR="00DC5EC6" w:rsidRDefault="003245A4">
            <w:pPr>
              <w:pStyle w:val="P68B1DB1-Normal8"/>
              <w:spacing w:after="0" w:line="240" w:lineRule="auto"/>
              <w:jc w:val="center"/>
              <w:rPr>
                <w:rFonts w:eastAsia="Times New Roman" w:cs="Calibri"/>
                <w:noProof/>
              </w:rPr>
            </w:pPr>
            <w:r>
              <w:rPr>
                <w:noProof/>
              </w:rPr>
              <w:t>25</w:t>
            </w:r>
          </w:p>
        </w:tc>
        <w:tc>
          <w:tcPr>
            <w:tcW w:w="833" w:type="dxa"/>
            <w:gridSpan w:val="2"/>
            <w:shd w:val="clear" w:color="auto" w:fill="C4EFCE"/>
            <w:noWrap/>
            <w:vAlign w:val="center"/>
            <w:hideMark/>
          </w:tcPr>
          <w:p w14:paraId="794F3E26" w14:textId="1CE900C6"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0104365"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AF662D1" w14:textId="77777777" w:rsidR="00DC5EC6" w:rsidRDefault="003245A4">
            <w:pPr>
              <w:pStyle w:val="P68B1DB1-Normal8"/>
              <w:spacing w:after="0" w:line="240" w:lineRule="auto"/>
              <w:jc w:val="both"/>
              <w:rPr>
                <w:rFonts w:eastAsia="Times New Roman" w:cs="Calibri"/>
                <w:noProof/>
              </w:rPr>
            </w:pPr>
            <w:r>
              <w:rPr>
                <w:noProof/>
              </w:rPr>
              <w:t>Új integrált felelősségi központok létrehozása a nemzeti egészségügyi szolgálat kórházaiban az alábbiak érdekében: az egészségügyi szolgáltatásokhoz való hozzáférés, valamint azok minőségének és hatékonyságának javítása; az egészségügyi szolgáltatások klinikai irányításának, autonómiájának és elszámoltathatóságának megerősítése; az egészségügyi szakemberek ösztönzése arra, hogy továbbra is dolgozzanak közkórházakban; a kockázatok és előnyök megosztása az egészségügyi szolgáltatások és a kórházak között; értékeli az egyes egészségügyi szolgálatok és kórházak küldetését a Nemzeti Egészségügyi Szolgálat regionális és nemzeti kontextusában.</w:t>
            </w:r>
          </w:p>
        </w:tc>
      </w:tr>
      <w:tr w:rsidR="00DC5EC6" w14:paraId="42C580F2" w14:textId="77777777">
        <w:trPr>
          <w:trHeight w:val="1270"/>
        </w:trPr>
        <w:tc>
          <w:tcPr>
            <w:tcW w:w="1135" w:type="dxa"/>
            <w:shd w:val="clear" w:color="auto" w:fill="C4EFCE"/>
            <w:noWrap/>
            <w:vAlign w:val="center"/>
            <w:hideMark/>
          </w:tcPr>
          <w:p w14:paraId="577ECC38" w14:textId="77777777" w:rsidR="00DC5EC6" w:rsidRDefault="003245A4">
            <w:pPr>
              <w:pStyle w:val="P68B1DB1-Normal7"/>
              <w:spacing w:after="0" w:line="240" w:lineRule="auto"/>
              <w:jc w:val="center"/>
              <w:rPr>
                <w:rFonts w:eastAsia="Times New Roman" w:cs="Calibri"/>
                <w:noProof/>
              </w:rPr>
            </w:pPr>
            <w:r>
              <w:rPr>
                <w:noProof/>
              </w:rPr>
              <w:t>1.10</w:t>
            </w:r>
          </w:p>
        </w:tc>
        <w:tc>
          <w:tcPr>
            <w:tcW w:w="1276" w:type="dxa"/>
            <w:shd w:val="clear" w:color="auto" w:fill="C4EFCE"/>
            <w:noWrap/>
            <w:vAlign w:val="center"/>
            <w:hideMark/>
          </w:tcPr>
          <w:p w14:paraId="366D7083"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1F822836"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4D5231" w14:textId="77777777" w:rsidR="00DC5EC6" w:rsidRDefault="003245A4">
            <w:pPr>
              <w:pStyle w:val="P68B1DB1-Normal8"/>
              <w:spacing w:after="0" w:line="240" w:lineRule="auto"/>
              <w:jc w:val="center"/>
              <w:rPr>
                <w:rFonts w:eastAsia="Times New Roman" w:cs="Calibri"/>
                <w:noProof/>
              </w:rPr>
            </w:pPr>
            <w:r>
              <w:rPr>
                <w:noProof/>
              </w:rPr>
              <w:t>A házi kórházi ápolásra való reagálás megerősítése a Nemzeti Egészségügyi Szolgálat kórházaiban</w:t>
            </w:r>
          </w:p>
        </w:tc>
        <w:tc>
          <w:tcPr>
            <w:tcW w:w="1418" w:type="dxa"/>
            <w:shd w:val="clear" w:color="auto" w:fill="C4EFCE"/>
            <w:noWrap/>
            <w:vAlign w:val="center"/>
            <w:hideMark/>
          </w:tcPr>
          <w:p w14:paraId="345712F2"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B7E8C08"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10CED8A4"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A59B4DD" w14:textId="77777777" w:rsidR="00DC5EC6" w:rsidRDefault="003245A4">
            <w:pPr>
              <w:pStyle w:val="P68B1DB1-Normal8"/>
              <w:spacing w:after="0" w:line="240" w:lineRule="auto"/>
              <w:jc w:val="center"/>
              <w:rPr>
                <w:rFonts w:eastAsia="Times New Roman" w:cs="Calibri"/>
                <w:noProof/>
              </w:rPr>
            </w:pPr>
            <w:r>
              <w:rPr>
                <w:noProof/>
              </w:rPr>
              <w:t>5 000</w:t>
            </w:r>
          </w:p>
        </w:tc>
        <w:tc>
          <w:tcPr>
            <w:tcW w:w="833" w:type="dxa"/>
            <w:gridSpan w:val="2"/>
            <w:shd w:val="clear" w:color="auto" w:fill="C4EFCE"/>
            <w:noWrap/>
            <w:vAlign w:val="center"/>
            <w:hideMark/>
          </w:tcPr>
          <w:p w14:paraId="0E7C5F59" w14:textId="72EE1A9F"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5462A3BC"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7304B4C" w14:textId="77777777" w:rsidR="00DC5EC6" w:rsidRDefault="003245A4">
            <w:pPr>
              <w:pStyle w:val="P68B1DB1-Normal8"/>
              <w:spacing w:after="0" w:line="240" w:lineRule="auto"/>
              <w:jc w:val="both"/>
              <w:rPr>
                <w:rFonts w:eastAsia="Times New Roman" w:cs="Calibri"/>
                <w:noProof/>
              </w:rPr>
            </w:pPr>
            <w:r>
              <w:rPr>
                <w:noProof/>
              </w:rPr>
              <w:t>Az otthoni kórházi ápolásban a reagálási kapacitás növelése azáltal, hogy lehetővé teszi az otthoni, kórházi szinten differenciált, összetett és intenzív egészségügyi szolgáltatások korlátozott ideig történő nyújtását, szoros összhangban az egészségügyi alapellátással, az integrált folyamatos ellátás nemzeti hálózatával, a szociális szektorral és a tágabb közösségtel, amelyet az új otthoni kórházi ápolási epizódok számával mérnek (amelyet olyan ellátásként határoznak meg, amely alatt a beteg az otthoni kórházi osztály felelősségi körébe tartozik, megszakítás nélkül a felvétel napjától a mentesítés napjáig tart).</w:t>
            </w:r>
          </w:p>
        </w:tc>
      </w:tr>
      <w:tr w:rsidR="00DC5EC6" w14:paraId="1699988C" w14:textId="77777777">
        <w:trPr>
          <w:trHeight w:val="548"/>
        </w:trPr>
        <w:tc>
          <w:tcPr>
            <w:tcW w:w="1135" w:type="dxa"/>
            <w:shd w:val="clear" w:color="auto" w:fill="C4EFCE"/>
            <w:noWrap/>
            <w:vAlign w:val="center"/>
            <w:hideMark/>
          </w:tcPr>
          <w:p w14:paraId="2DF091B1" w14:textId="77777777" w:rsidR="00DC5EC6" w:rsidRDefault="003245A4">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0111FB9C"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29EE4E04"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633A7BA" w14:textId="77777777" w:rsidR="00DC5EC6" w:rsidRDefault="003245A4">
            <w:pPr>
              <w:pStyle w:val="P68B1DB1-Normal8"/>
              <w:spacing w:after="0" w:line="240" w:lineRule="auto"/>
              <w:jc w:val="center"/>
              <w:rPr>
                <w:rFonts w:eastAsia="Times New Roman" w:cs="Calibri"/>
                <w:noProof/>
              </w:rPr>
            </w:pPr>
            <w:r>
              <w:rPr>
                <w:noProof/>
              </w:rPr>
              <w:t>A gyógyszerek központosított beszerzési mechanizmusainak megerősítésére irányuló cselekvési terv hatálybalépése</w:t>
            </w:r>
          </w:p>
        </w:tc>
        <w:tc>
          <w:tcPr>
            <w:tcW w:w="1418" w:type="dxa"/>
            <w:shd w:val="clear" w:color="auto" w:fill="C4EFCE"/>
            <w:noWrap/>
            <w:vAlign w:val="center"/>
            <w:hideMark/>
          </w:tcPr>
          <w:p w14:paraId="76B6595B" w14:textId="77777777" w:rsidR="00DC5EC6" w:rsidRDefault="003245A4">
            <w:pPr>
              <w:pStyle w:val="P68B1DB1-Normal8"/>
              <w:spacing w:after="0" w:line="240" w:lineRule="auto"/>
              <w:jc w:val="center"/>
              <w:rPr>
                <w:rFonts w:eastAsia="Times New Roman" w:cs="Calibri"/>
                <w:noProof/>
              </w:rPr>
            </w:pPr>
            <w:r>
              <w:rPr>
                <w:noProof/>
              </w:rPr>
              <w:t>A gyógyszerek központosított beszerzési mechanizmusainak megerősítésére irányuló cselekvési terv hatálybalépése</w:t>
            </w:r>
          </w:p>
        </w:tc>
        <w:tc>
          <w:tcPr>
            <w:tcW w:w="1164" w:type="dxa"/>
            <w:shd w:val="clear" w:color="auto" w:fill="C4EFCE"/>
            <w:noWrap/>
            <w:vAlign w:val="center"/>
            <w:hideMark/>
          </w:tcPr>
          <w:p w14:paraId="4C8EE4DB"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0EE7582"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71ECECB"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73F04864" w14:textId="2838617C"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64160DE6"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3D202E36" w14:textId="77777777" w:rsidR="00DC5EC6" w:rsidRDefault="003245A4">
            <w:pPr>
              <w:pStyle w:val="P68B1DB1-Normal8"/>
              <w:spacing w:after="0" w:line="240" w:lineRule="auto"/>
              <w:jc w:val="both"/>
              <w:rPr>
                <w:rFonts w:eastAsia="Times New Roman" w:cs="Calibri"/>
                <w:noProof/>
              </w:rPr>
            </w:pPr>
            <w:r>
              <w:rPr>
                <w:noProof/>
              </w:rPr>
              <w:t>Hatályba lép a gyógyszerek központosított beszerzési mechanizmusainak megerősítésére irányuló cselekvési terv, valamint az Osztrák Nemzeti Közegészségügyi Intézet által a strukturálisreform-támogató program keretében végzett portugáliai központosított gyógyszerbeszerzés független értékelésében foglalt ajánlások végrehajtása érdekében.</w:t>
            </w:r>
          </w:p>
        </w:tc>
      </w:tr>
      <w:tr w:rsidR="00DC5EC6" w14:paraId="240E4FD9" w14:textId="77777777">
        <w:trPr>
          <w:trHeight w:val="430"/>
        </w:trPr>
        <w:tc>
          <w:tcPr>
            <w:tcW w:w="1135" w:type="dxa"/>
            <w:shd w:val="clear" w:color="auto" w:fill="C4EFCE"/>
            <w:noWrap/>
            <w:vAlign w:val="center"/>
            <w:hideMark/>
          </w:tcPr>
          <w:p w14:paraId="1D7DFEEA" w14:textId="77777777" w:rsidR="00DC5EC6" w:rsidRDefault="003245A4">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05A91880" w14:textId="77777777" w:rsidR="00DC5EC6" w:rsidRDefault="003245A4">
            <w:pPr>
              <w:pStyle w:val="P68B1DB1-Normal8"/>
              <w:spacing w:after="0" w:line="240" w:lineRule="auto"/>
              <w:jc w:val="center"/>
              <w:rPr>
                <w:rFonts w:eastAsia="Times New Roman" w:cs="Calibri"/>
                <w:noProof/>
              </w:rPr>
            </w:pPr>
            <w:r>
              <w:rPr>
                <w:noProof/>
              </w:rPr>
              <w:t>Re-C01-r03</w:t>
            </w:r>
          </w:p>
        </w:tc>
        <w:tc>
          <w:tcPr>
            <w:tcW w:w="992" w:type="dxa"/>
            <w:shd w:val="clear" w:color="auto" w:fill="C4EFCE"/>
            <w:noWrap/>
            <w:vAlign w:val="center"/>
            <w:hideMark/>
          </w:tcPr>
          <w:p w14:paraId="431D9089"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3EADC9" w14:textId="5ED57581" w:rsidR="00DC5EC6" w:rsidRDefault="003245A4">
            <w:pPr>
              <w:pStyle w:val="P68B1DB1-Normal8"/>
              <w:spacing w:after="0" w:line="240" w:lineRule="auto"/>
              <w:jc w:val="center"/>
              <w:rPr>
                <w:rFonts w:eastAsia="Times New Roman" w:cs="Calibri"/>
                <w:noProof/>
              </w:rPr>
            </w:pPr>
            <w:r>
              <w:rPr>
                <w:noProof/>
              </w:rPr>
              <w:t>A Nemzeti Egészségügyi Szolgálat új, teljes körű elkötelezettségi rendszerének hatálybalépése</w:t>
            </w:r>
          </w:p>
        </w:tc>
        <w:tc>
          <w:tcPr>
            <w:tcW w:w="1418" w:type="dxa"/>
            <w:shd w:val="clear" w:color="auto" w:fill="C4EFCE"/>
            <w:noWrap/>
            <w:vAlign w:val="center"/>
            <w:hideMark/>
          </w:tcPr>
          <w:p w14:paraId="5F9DE5F0" w14:textId="3E09C163" w:rsidR="00DC5EC6" w:rsidRDefault="003245A4">
            <w:pPr>
              <w:pStyle w:val="P68B1DB1-Normal8"/>
              <w:spacing w:after="0" w:line="240" w:lineRule="auto"/>
              <w:jc w:val="center"/>
              <w:rPr>
                <w:rFonts w:eastAsia="Times New Roman" w:cs="Calibri"/>
                <w:noProof/>
              </w:rPr>
            </w:pPr>
            <w:r>
              <w:rPr>
                <w:noProof/>
              </w:rPr>
              <w:t>A teljes körű elkötelezettségre vonatkozó új rendszer hatálybalépése</w:t>
            </w:r>
          </w:p>
        </w:tc>
        <w:tc>
          <w:tcPr>
            <w:tcW w:w="1164" w:type="dxa"/>
            <w:shd w:val="clear" w:color="auto" w:fill="C4EFCE"/>
            <w:noWrap/>
            <w:vAlign w:val="center"/>
            <w:hideMark/>
          </w:tcPr>
          <w:p w14:paraId="478B13EF"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3D88994E"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3C6E2B3D"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697D9E32" w14:textId="79988176" w:rsidR="00DC5EC6" w:rsidRDefault="00A44E9E" w:rsidP="00A44E9E">
            <w:pPr>
              <w:pStyle w:val="P68B1DB1-Normal8"/>
              <w:spacing w:after="0" w:line="240" w:lineRule="auto"/>
              <w:rPr>
                <w:rFonts w:eastAsia="Times New Roman" w:cs="Calibri"/>
                <w:noProof/>
              </w:rPr>
            </w:pPr>
            <w:r>
              <w:rPr>
                <w:noProof/>
              </w:rPr>
              <w:t>1.NEGYEDÉV</w:t>
            </w:r>
          </w:p>
        </w:tc>
        <w:tc>
          <w:tcPr>
            <w:tcW w:w="901" w:type="dxa"/>
            <w:shd w:val="clear" w:color="auto" w:fill="C4EFCE"/>
            <w:noWrap/>
            <w:vAlign w:val="center"/>
            <w:hideMark/>
          </w:tcPr>
          <w:p w14:paraId="132AD89B" w14:textId="77777777"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hideMark/>
          </w:tcPr>
          <w:p w14:paraId="6DC4701F" w14:textId="174CBF8B" w:rsidR="00DC5EC6" w:rsidRDefault="003245A4">
            <w:pPr>
              <w:pStyle w:val="P68B1DB1-Normal8"/>
              <w:spacing w:after="0" w:line="240" w:lineRule="auto"/>
              <w:jc w:val="both"/>
              <w:rPr>
                <w:rFonts w:eastAsia="Times New Roman" w:cs="Calibri"/>
                <w:noProof/>
              </w:rPr>
            </w:pPr>
            <w:r>
              <w:rPr>
                <w:noProof/>
              </w:rPr>
              <w:t>A Nemzeti Egészségügyi Szolgálat egészségügyi szakembereinek új, teljes körű, célzott munkavégzési rendszere, amely magában foglalja a munkaidő és a javadalmazási táblázatok megszervezésének megfelelő mechanizmusait.</w:t>
            </w:r>
          </w:p>
        </w:tc>
      </w:tr>
      <w:tr w:rsidR="00DC5EC6" w14:paraId="00BADC6F" w14:textId="77777777">
        <w:trPr>
          <w:trHeight w:val="640"/>
        </w:trPr>
        <w:tc>
          <w:tcPr>
            <w:tcW w:w="1135" w:type="dxa"/>
            <w:shd w:val="clear" w:color="auto" w:fill="C4EFCE"/>
            <w:noWrap/>
            <w:vAlign w:val="center"/>
            <w:hideMark/>
          </w:tcPr>
          <w:p w14:paraId="5419F19A" w14:textId="77777777" w:rsidR="00DC5EC6" w:rsidRDefault="003245A4">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02567C83"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AF35FB7"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5ABDD2D" w14:textId="77777777" w:rsidR="00DC5EC6" w:rsidRDefault="003245A4">
            <w:pPr>
              <w:pStyle w:val="P68B1DB1-Normal8"/>
              <w:spacing w:after="0" w:line="240" w:lineRule="auto"/>
              <w:jc w:val="center"/>
              <w:rPr>
                <w:rFonts w:eastAsia="Times New Roman" w:cs="Calibri"/>
                <w:noProof/>
              </w:rPr>
            </w:pPr>
            <w:r>
              <w:rPr>
                <w:noProof/>
              </w:rPr>
              <w:t>A más típusú egészségügyi szolgáltatások – beleértve az egészségügyi alapellátást is – kórházi sürgősségi szolgáltatásokban fehér, kék vagy zöld színnel átvilágított sürgősségi epizódokra való hivatkozás feltételeinek hatálybalépése</w:t>
            </w:r>
          </w:p>
        </w:tc>
        <w:tc>
          <w:tcPr>
            <w:tcW w:w="1418" w:type="dxa"/>
            <w:shd w:val="clear" w:color="auto" w:fill="C4EFCE"/>
            <w:noWrap/>
            <w:vAlign w:val="center"/>
            <w:hideMark/>
          </w:tcPr>
          <w:p w14:paraId="5D50F531" w14:textId="77777777" w:rsidR="00DC5EC6" w:rsidRDefault="003245A4">
            <w:pPr>
              <w:pStyle w:val="P68B1DB1-Normal8"/>
              <w:spacing w:after="0" w:line="240" w:lineRule="auto"/>
              <w:jc w:val="center"/>
              <w:rPr>
                <w:rFonts w:eastAsia="Times New Roman" w:cs="Calibri"/>
                <w:noProof/>
              </w:rPr>
            </w:pPr>
            <w:r>
              <w:rPr>
                <w:noProof/>
              </w:rPr>
              <w:t xml:space="preserve">A veszélyhelyzeti epizódokra való hivatkozás feltételeinek hatálybalépése </w:t>
            </w:r>
          </w:p>
        </w:tc>
        <w:tc>
          <w:tcPr>
            <w:tcW w:w="1164" w:type="dxa"/>
            <w:shd w:val="clear" w:color="auto" w:fill="C4EFCE"/>
            <w:noWrap/>
            <w:vAlign w:val="center"/>
            <w:hideMark/>
          </w:tcPr>
          <w:p w14:paraId="05DB3DBC"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46DBFC1C"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0639B76"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84FB6D1" w14:textId="53DE4CA1" w:rsidR="00DC5EC6" w:rsidRDefault="00A44E9E">
            <w:pPr>
              <w:pStyle w:val="P68B1DB1-Normal8"/>
              <w:spacing w:after="0" w:line="240" w:lineRule="auto"/>
              <w:jc w:val="center"/>
              <w:rPr>
                <w:rFonts w:eastAsia="Times New Roman" w:cs="Calibri"/>
                <w:noProof/>
              </w:rPr>
            </w:pPr>
            <w:r>
              <w:rPr>
                <w:noProof/>
              </w:rPr>
              <w:t>1.NEGYEDÉV</w:t>
            </w:r>
          </w:p>
        </w:tc>
        <w:tc>
          <w:tcPr>
            <w:tcW w:w="901" w:type="dxa"/>
            <w:shd w:val="clear" w:color="auto" w:fill="C4EFCE"/>
            <w:noWrap/>
            <w:vAlign w:val="center"/>
            <w:hideMark/>
          </w:tcPr>
          <w:p w14:paraId="75252533"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D11035D" w14:textId="77777777" w:rsidR="00DC5EC6" w:rsidRDefault="003245A4">
            <w:pPr>
              <w:pStyle w:val="P68B1DB1-Normal8"/>
              <w:spacing w:after="0" w:line="240" w:lineRule="auto"/>
              <w:jc w:val="both"/>
              <w:rPr>
                <w:rFonts w:eastAsia="Times New Roman" w:cs="Calibri"/>
                <w:noProof/>
              </w:rPr>
            </w:pPr>
            <w:r>
              <w:rPr>
                <w:noProof/>
              </w:rPr>
              <w:t>A más típusú egészségügyi ellátás, szolgáltatások, nevezetesen az egészségügyi alapellátások esetében a kórházi sürgősségi szolgáltatásokban fehér, kék vagy zöld színnel átvilágított sürgősségi epizódokkal rendelkező felhasználókra vonatkozó beterjesztési eljárás eljárásainak és adminisztratív szabályainak hatálybalépése, közvetlen időpont-beosztással.</w:t>
            </w:r>
          </w:p>
        </w:tc>
      </w:tr>
      <w:tr w:rsidR="00DC5EC6" w14:paraId="38EF775A" w14:textId="77777777">
        <w:trPr>
          <w:trHeight w:val="850"/>
        </w:trPr>
        <w:tc>
          <w:tcPr>
            <w:tcW w:w="1135" w:type="dxa"/>
            <w:shd w:val="clear" w:color="auto" w:fill="C4EFCE"/>
            <w:noWrap/>
            <w:vAlign w:val="center"/>
            <w:hideMark/>
          </w:tcPr>
          <w:p w14:paraId="1BA7330B" w14:textId="77777777" w:rsidR="00DC5EC6" w:rsidRDefault="003245A4">
            <w:pPr>
              <w:pStyle w:val="P68B1DB1-Normal7"/>
              <w:spacing w:after="0" w:line="240" w:lineRule="auto"/>
              <w:jc w:val="center"/>
              <w:rPr>
                <w:rFonts w:eastAsia="Times New Roman" w:cs="Calibri"/>
                <w:noProof/>
              </w:rPr>
            </w:pPr>
            <w:r>
              <w:rPr>
                <w:noProof/>
              </w:rPr>
              <w:t>1.14</w:t>
            </w:r>
          </w:p>
        </w:tc>
        <w:tc>
          <w:tcPr>
            <w:tcW w:w="1276" w:type="dxa"/>
            <w:shd w:val="clear" w:color="auto" w:fill="C4EFCE"/>
            <w:noWrap/>
            <w:vAlign w:val="center"/>
            <w:hideMark/>
          </w:tcPr>
          <w:p w14:paraId="785DE09F"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447F1EDF"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BD030D8" w14:textId="77777777" w:rsidR="00DC5EC6" w:rsidRDefault="003245A4">
            <w:pPr>
              <w:pStyle w:val="P68B1DB1-Normal8"/>
              <w:spacing w:after="0" w:line="240" w:lineRule="auto"/>
              <w:jc w:val="center"/>
              <w:rPr>
                <w:rFonts w:eastAsia="Times New Roman" w:cs="Calibri"/>
                <w:noProof/>
              </w:rPr>
            </w:pPr>
            <w:r>
              <w:rPr>
                <w:noProof/>
              </w:rPr>
              <w:t>Új egészségügyi egységek építése</w:t>
            </w:r>
          </w:p>
        </w:tc>
        <w:tc>
          <w:tcPr>
            <w:tcW w:w="1418" w:type="dxa"/>
            <w:shd w:val="clear" w:color="auto" w:fill="C4EFCE"/>
            <w:noWrap/>
            <w:vAlign w:val="center"/>
            <w:hideMark/>
          </w:tcPr>
          <w:p w14:paraId="5CEEB485"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C903B4A"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543F7214"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21084E32" w14:textId="77777777" w:rsidR="00DC5EC6" w:rsidRDefault="003245A4">
            <w:pPr>
              <w:pStyle w:val="P68B1DB1-Normal8"/>
              <w:spacing w:after="0" w:line="240" w:lineRule="auto"/>
              <w:jc w:val="center"/>
              <w:rPr>
                <w:rFonts w:eastAsia="Times New Roman" w:cs="Calibri"/>
                <w:noProof/>
              </w:rPr>
            </w:pPr>
            <w:r>
              <w:rPr>
                <w:noProof/>
              </w:rPr>
              <w:t>20</w:t>
            </w:r>
          </w:p>
        </w:tc>
        <w:tc>
          <w:tcPr>
            <w:tcW w:w="833" w:type="dxa"/>
            <w:gridSpan w:val="2"/>
            <w:shd w:val="clear" w:color="auto" w:fill="C4EFCE"/>
            <w:noWrap/>
            <w:vAlign w:val="center"/>
            <w:hideMark/>
          </w:tcPr>
          <w:p w14:paraId="56ACA157" w14:textId="69C917AE"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37B663E4" w14:textId="765D0365"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6B230122" w14:textId="695839F7" w:rsidR="00DC5EC6" w:rsidRDefault="003245A4">
            <w:pPr>
              <w:pStyle w:val="P68B1DB1-Normal8"/>
              <w:spacing w:after="0" w:line="240" w:lineRule="auto"/>
              <w:jc w:val="both"/>
              <w:rPr>
                <w:rFonts w:eastAsia="Times New Roman" w:cs="Calibri"/>
                <w:noProof/>
              </w:rPr>
            </w:pPr>
            <w:r>
              <w:rPr>
                <w:noProof/>
              </w:rPr>
              <w:t>Az új egészségügyi egységek száma, amelyek biztosítják a hozzáférést, a minőséget, a kényelmet és a biztonságot a felhasználók és az egészségügyi szakemberek számára, és hozzáigazítják őket az egészségügyi ellátás új modelljeihez. Az új egységeket a nem megfelelő épületek helyettesítésére kell építeni, és az új épületek primerenergia-igénye legalább 20%-kal alacsonyabb a közel nulla energiaigényű épületekre vonatkozó követelményeknél.</w:t>
            </w:r>
          </w:p>
        </w:tc>
      </w:tr>
      <w:tr w:rsidR="00DC5EC6" w14:paraId="73A0E506" w14:textId="77777777">
        <w:trPr>
          <w:trHeight w:val="850"/>
        </w:trPr>
        <w:tc>
          <w:tcPr>
            <w:tcW w:w="1135" w:type="dxa"/>
            <w:shd w:val="clear" w:color="auto" w:fill="C4EFCE"/>
            <w:noWrap/>
            <w:vAlign w:val="center"/>
            <w:hideMark/>
          </w:tcPr>
          <w:p w14:paraId="55C2973A" w14:textId="77777777" w:rsidR="00DC5EC6" w:rsidRDefault="003245A4">
            <w:pPr>
              <w:pStyle w:val="P68B1DB1-Normal7"/>
              <w:spacing w:after="0" w:line="240" w:lineRule="auto"/>
              <w:jc w:val="center"/>
              <w:rPr>
                <w:rFonts w:eastAsia="Times New Roman" w:cs="Calibri"/>
                <w:noProof/>
              </w:rPr>
            </w:pPr>
            <w:r>
              <w:rPr>
                <w:noProof/>
              </w:rPr>
              <w:t>1.15</w:t>
            </w:r>
          </w:p>
        </w:tc>
        <w:tc>
          <w:tcPr>
            <w:tcW w:w="1276" w:type="dxa"/>
            <w:shd w:val="clear" w:color="auto" w:fill="C4EFCE"/>
            <w:noWrap/>
            <w:vAlign w:val="center"/>
            <w:hideMark/>
          </w:tcPr>
          <w:p w14:paraId="25307C9D"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0296621"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5F3FEAAF" w14:textId="77777777" w:rsidR="00DC5EC6" w:rsidRDefault="003245A4">
            <w:pPr>
              <w:pStyle w:val="P68B1DB1-Normal8"/>
              <w:spacing w:after="0" w:line="240" w:lineRule="auto"/>
              <w:jc w:val="center"/>
              <w:rPr>
                <w:rFonts w:eastAsia="Times New Roman" w:cs="Calibri"/>
                <w:noProof/>
              </w:rPr>
            </w:pPr>
            <w:r>
              <w:rPr>
                <w:noProof/>
              </w:rPr>
              <w:t>Új egészségügyi egységek építése</w:t>
            </w:r>
          </w:p>
        </w:tc>
        <w:tc>
          <w:tcPr>
            <w:tcW w:w="1418" w:type="dxa"/>
            <w:shd w:val="clear" w:color="auto" w:fill="C4EFCE"/>
            <w:noWrap/>
            <w:vAlign w:val="center"/>
            <w:hideMark/>
          </w:tcPr>
          <w:p w14:paraId="321B2E97"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7D729BA"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74689A5C" w14:textId="77777777" w:rsidR="00DC5EC6" w:rsidRDefault="003245A4">
            <w:pPr>
              <w:pStyle w:val="P68B1DB1-Normal8"/>
              <w:spacing w:after="0" w:line="240" w:lineRule="auto"/>
              <w:jc w:val="center"/>
              <w:rPr>
                <w:rFonts w:eastAsia="Times New Roman" w:cs="Calibri"/>
                <w:noProof/>
              </w:rPr>
            </w:pPr>
            <w:r>
              <w:rPr>
                <w:noProof/>
              </w:rPr>
              <w:t>20</w:t>
            </w:r>
          </w:p>
        </w:tc>
        <w:tc>
          <w:tcPr>
            <w:tcW w:w="805" w:type="dxa"/>
            <w:shd w:val="clear" w:color="auto" w:fill="C4EFCE"/>
            <w:noWrap/>
            <w:vAlign w:val="center"/>
            <w:hideMark/>
          </w:tcPr>
          <w:p w14:paraId="6BF6BACC" w14:textId="78B4B7BB" w:rsidR="00DC5EC6" w:rsidRDefault="003245A4">
            <w:pPr>
              <w:pStyle w:val="P68B1DB1-Normal8"/>
              <w:spacing w:after="0" w:line="240" w:lineRule="auto"/>
              <w:jc w:val="center"/>
              <w:rPr>
                <w:rFonts w:eastAsia="Times New Roman" w:cs="Calibri"/>
                <w:noProof/>
              </w:rPr>
            </w:pPr>
            <w:r>
              <w:rPr>
                <w:noProof/>
              </w:rPr>
              <w:t>124</w:t>
            </w:r>
          </w:p>
        </w:tc>
        <w:tc>
          <w:tcPr>
            <w:tcW w:w="833" w:type="dxa"/>
            <w:gridSpan w:val="2"/>
            <w:shd w:val="clear" w:color="auto" w:fill="C4EFCE"/>
            <w:noWrap/>
            <w:vAlign w:val="center"/>
            <w:hideMark/>
          </w:tcPr>
          <w:p w14:paraId="73691C37" w14:textId="5B9884DF"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226C70C7"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52F5371" w14:textId="47F97C91" w:rsidR="00DC5EC6" w:rsidRDefault="003245A4">
            <w:pPr>
              <w:pStyle w:val="P68B1DB1-Normal8"/>
              <w:spacing w:after="0" w:line="240" w:lineRule="auto"/>
              <w:jc w:val="both"/>
              <w:rPr>
                <w:rFonts w:eastAsia="Times New Roman" w:cs="Calibri"/>
                <w:noProof/>
              </w:rPr>
            </w:pPr>
            <w:r>
              <w:rPr>
                <w:noProof/>
              </w:rPr>
              <w:t>Az új egészségügyi egységek száma, amelyek biztosítják a hozzáférést, a minőséget, a kényelmet és a biztonságot a felhasználók és az egészségügyi szakemberek számára, és hozzáigazítják őket az egészségügyi ellátás új modelljeihez. Az új egységeket a nem megfelelő épületek helyettesítésére kell építeni, és az új épületek primerenergia-igénye legalább 20%-kal alacsonyabb a közel nulla energiaigényű épületekre vonatkozó követelményeknél.</w:t>
            </w:r>
          </w:p>
        </w:tc>
      </w:tr>
      <w:tr w:rsidR="00DC5EC6" w14:paraId="230D0958" w14:textId="77777777">
        <w:trPr>
          <w:trHeight w:val="1060"/>
        </w:trPr>
        <w:tc>
          <w:tcPr>
            <w:tcW w:w="1135" w:type="dxa"/>
            <w:shd w:val="clear" w:color="auto" w:fill="C4EFCE"/>
            <w:noWrap/>
            <w:vAlign w:val="center"/>
            <w:hideMark/>
          </w:tcPr>
          <w:p w14:paraId="7E7F0240" w14:textId="77777777" w:rsidR="00DC5EC6" w:rsidRDefault="003245A4">
            <w:pPr>
              <w:pStyle w:val="P68B1DB1-Normal7"/>
              <w:spacing w:after="0" w:line="240" w:lineRule="auto"/>
              <w:jc w:val="center"/>
              <w:rPr>
                <w:rFonts w:eastAsia="Times New Roman" w:cs="Calibri"/>
                <w:noProof/>
              </w:rPr>
            </w:pPr>
            <w:r>
              <w:rPr>
                <w:noProof/>
              </w:rPr>
              <w:t>1.16</w:t>
            </w:r>
          </w:p>
        </w:tc>
        <w:tc>
          <w:tcPr>
            <w:tcW w:w="1276" w:type="dxa"/>
            <w:shd w:val="clear" w:color="auto" w:fill="C4EFCE"/>
            <w:noWrap/>
            <w:vAlign w:val="center"/>
            <w:hideMark/>
          </w:tcPr>
          <w:p w14:paraId="698640D1"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5E717D99"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42EC3118" w14:textId="77777777" w:rsidR="00DC5EC6" w:rsidRDefault="003245A4">
            <w:pPr>
              <w:pStyle w:val="P68B1DB1-Normal8"/>
              <w:spacing w:after="0" w:line="240" w:lineRule="auto"/>
              <w:jc w:val="center"/>
              <w:rPr>
                <w:rFonts w:eastAsia="Times New Roman" w:cs="Calibri"/>
                <w:noProof/>
              </w:rPr>
            </w:pPr>
            <w:r>
              <w:rPr>
                <w:noProof/>
              </w:rPr>
              <w:t>A szűrési és korai diagnosztikai programok nemzeti lefedettségének befejezése az egészségügyi alapellátásban</w:t>
            </w:r>
          </w:p>
        </w:tc>
        <w:tc>
          <w:tcPr>
            <w:tcW w:w="1418" w:type="dxa"/>
            <w:shd w:val="clear" w:color="auto" w:fill="C4EFCE"/>
            <w:noWrap/>
            <w:vAlign w:val="center"/>
            <w:hideMark/>
          </w:tcPr>
          <w:p w14:paraId="7A244FBD" w14:textId="77777777" w:rsidR="00DC5EC6" w:rsidRDefault="003245A4">
            <w:pPr>
              <w:pStyle w:val="P68B1DB1-Normal8"/>
              <w:spacing w:after="0" w:line="240" w:lineRule="auto"/>
              <w:jc w:val="center"/>
              <w:rPr>
                <w:rFonts w:eastAsia="Times New Roman" w:cs="Calibri"/>
                <w:noProof/>
              </w:rPr>
            </w:pPr>
            <w:r>
              <w:rPr>
                <w:noProof/>
              </w:rPr>
              <w:t>Jelentés a szűrési és korai diagnosztikai programok hatókörének befejezéséről az egészségügyi alapellátásban</w:t>
            </w:r>
          </w:p>
        </w:tc>
        <w:tc>
          <w:tcPr>
            <w:tcW w:w="1164" w:type="dxa"/>
            <w:shd w:val="clear" w:color="auto" w:fill="C4EFCE"/>
            <w:noWrap/>
            <w:vAlign w:val="center"/>
            <w:hideMark/>
          </w:tcPr>
          <w:p w14:paraId="5E1406AF"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41515FAF"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69D09CEE"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032146EF" w14:textId="5A6D07AD" w:rsidR="00DC5EC6" w:rsidRDefault="00A44E9E">
            <w:pPr>
              <w:pStyle w:val="P68B1DB1-Normal8"/>
              <w:spacing w:after="0" w:line="240" w:lineRule="auto"/>
              <w:jc w:val="center"/>
              <w:rPr>
                <w:rFonts w:eastAsia="Times New Roman" w:cs="Calibri"/>
                <w:noProof/>
              </w:rPr>
            </w:pPr>
            <w:r>
              <w:rPr>
                <w:noProof/>
              </w:rPr>
              <w:t>1.NEGYEDÉV</w:t>
            </w:r>
          </w:p>
        </w:tc>
        <w:tc>
          <w:tcPr>
            <w:tcW w:w="901" w:type="dxa"/>
            <w:shd w:val="clear" w:color="auto" w:fill="C4EFCE"/>
            <w:noWrap/>
            <w:vAlign w:val="center"/>
            <w:hideMark/>
          </w:tcPr>
          <w:p w14:paraId="2EAAE497"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103D50" w14:textId="77777777"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méhnyakszűrés bevezetése az egészségügyi központokban; a vastagbél- és végbélszűrés bevezetése az egészségügyi központokban; a diabéteszes retinopátia szűrésének bevezetése 300 egészségügyi központban; a holtervizsga és a vérnyomásos ambuláns ellenőrzés bevezetése a funkcionális egységekben; diagnosztikai és kezelési eszközök bevezetése az asztma, a krónikus obstruktív tüdőbetegségek és a dohányzás (pirométerek) egészségügyi központokban; és vi. a C-reaktív fehérjeadagolás bevezetése az egészségügyi központokban.</w:t>
            </w:r>
          </w:p>
        </w:tc>
      </w:tr>
      <w:tr w:rsidR="00DC5EC6" w14:paraId="4D2FC373" w14:textId="77777777">
        <w:trPr>
          <w:trHeight w:val="1270"/>
        </w:trPr>
        <w:tc>
          <w:tcPr>
            <w:tcW w:w="1135" w:type="dxa"/>
            <w:shd w:val="clear" w:color="auto" w:fill="C4EFCE"/>
            <w:noWrap/>
            <w:vAlign w:val="center"/>
            <w:hideMark/>
          </w:tcPr>
          <w:p w14:paraId="462C425F" w14:textId="77777777" w:rsidR="00DC5EC6" w:rsidRDefault="003245A4">
            <w:pPr>
              <w:pStyle w:val="P68B1DB1-Normal7"/>
              <w:spacing w:after="0" w:line="240" w:lineRule="auto"/>
              <w:jc w:val="center"/>
              <w:rPr>
                <w:rFonts w:eastAsia="Times New Roman" w:cs="Calibri"/>
                <w:noProof/>
              </w:rPr>
            </w:pPr>
            <w:r>
              <w:rPr>
                <w:noProof/>
              </w:rPr>
              <w:t>1.17</w:t>
            </w:r>
          </w:p>
        </w:tc>
        <w:tc>
          <w:tcPr>
            <w:tcW w:w="1276" w:type="dxa"/>
            <w:shd w:val="clear" w:color="auto" w:fill="C4EFCE"/>
            <w:noWrap/>
            <w:vAlign w:val="center"/>
            <w:hideMark/>
          </w:tcPr>
          <w:p w14:paraId="2AFB0257"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7A95968C"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57BD7BFC" w14:textId="77777777" w:rsidR="00DC5EC6" w:rsidRDefault="003245A4">
            <w:pPr>
              <w:pStyle w:val="P68B1DB1-Normal8"/>
              <w:spacing w:after="0" w:line="240" w:lineRule="auto"/>
              <w:jc w:val="center"/>
              <w:rPr>
                <w:rFonts w:eastAsia="Times New Roman" w:cs="Calibri"/>
                <w:noProof/>
              </w:rPr>
            </w:pPr>
            <w:r>
              <w:rPr>
                <w:noProof/>
              </w:rPr>
              <w:t>Az elsődleges egészségügyi központok reagálási képességének növelése és beavatkozási területeik bővítése</w:t>
            </w:r>
          </w:p>
        </w:tc>
        <w:tc>
          <w:tcPr>
            <w:tcW w:w="1418" w:type="dxa"/>
            <w:shd w:val="clear" w:color="auto" w:fill="C4EFCE"/>
            <w:noWrap/>
            <w:vAlign w:val="center"/>
            <w:hideMark/>
          </w:tcPr>
          <w:p w14:paraId="1B4A4798" w14:textId="77777777" w:rsidR="00DC5EC6" w:rsidRDefault="003245A4">
            <w:pPr>
              <w:pStyle w:val="P68B1DB1-Normal8"/>
              <w:spacing w:after="0" w:line="240" w:lineRule="auto"/>
              <w:jc w:val="center"/>
              <w:rPr>
                <w:rFonts w:eastAsia="Times New Roman" w:cs="Calibri"/>
                <w:noProof/>
              </w:rPr>
            </w:pPr>
            <w:r>
              <w:rPr>
                <w:noProof/>
              </w:rPr>
              <w:t>Jelentés az elsődleges egészségügyi központok reagálási képességének növeléséről és beavatkozási területeik bővítéséről</w:t>
            </w:r>
          </w:p>
        </w:tc>
        <w:tc>
          <w:tcPr>
            <w:tcW w:w="1164" w:type="dxa"/>
            <w:shd w:val="clear" w:color="auto" w:fill="C4EFCE"/>
            <w:noWrap/>
            <w:vAlign w:val="center"/>
            <w:hideMark/>
          </w:tcPr>
          <w:p w14:paraId="0BA94BEB"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78D22499"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30D3048F"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2A62A8E8" w14:textId="2C892243"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25F6A6A6" w14:textId="77777777" w:rsidR="00DC5EC6" w:rsidRDefault="003245A4">
            <w:pPr>
              <w:pStyle w:val="P68B1DB1-Normal8"/>
              <w:spacing w:after="0" w:line="240" w:lineRule="auto"/>
              <w:jc w:val="both"/>
              <w:rPr>
                <w:rFonts w:eastAsia="Times New Roman" w:cs="Calibri"/>
                <w:noProof/>
              </w:rPr>
            </w:pPr>
            <w:r>
              <w:rPr>
                <w:noProof/>
              </w:rPr>
              <w:t>2026</w:t>
            </w:r>
          </w:p>
        </w:tc>
        <w:tc>
          <w:tcPr>
            <w:tcW w:w="3981" w:type="dxa"/>
            <w:shd w:val="clear" w:color="auto" w:fill="C4EFCE"/>
            <w:noWrap/>
            <w:vAlign w:val="center"/>
            <w:hideMark/>
          </w:tcPr>
          <w:p w14:paraId="0263E408" w14:textId="14BC938F"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a diabéteszes lábakról folytatott konzultációk kiterjesztése az egészségügyi központok csoportjaira; fogászati irodák létrehozása az egészségügyi központokban; integrált diagnosztikai központok létrehozása (alacsony komplexitású, kiegészítő diagnosztikai és terápiás, röntgen- és klinikai elemzési eszközökkel) az egészségügyi központok csoportjaiban; mozgalom- és rehabilitációs irodák létrehozása az egészségügyi központok csoportjaiban; felszerelések (vészhelyzeti zacskó, defibrillátor és létfontosságú jelek monitorozása) biztosítása az egészségügyi központok számára vészhelyzetekben történő minősített reagáláshoz (alapvető életmentés); beutalási protokollok a leginkább keresett gondozási területeken, nevezetesen szemészet, otorhinolaringológia, ortopédika és urológia.</w:t>
            </w:r>
          </w:p>
        </w:tc>
      </w:tr>
      <w:tr w:rsidR="00DC5EC6" w14:paraId="38332BEC" w14:textId="77777777">
        <w:trPr>
          <w:trHeight w:val="1256"/>
        </w:trPr>
        <w:tc>
          <w:tcPr>
            <w:tcW w:w="1135" w:type="dxa"/>
            <w:shd w:val="clear" w:color="auto" w:fill="C4EFCE"/>
            <w:noWrap/>
            <w:vAlign w:val="center"/>
            <w:hideMark/>
          </w:tcPr>
          <w:p w14:paraId="3C69E3A1" w14:textId="77777777" w:rsidR="00DC5EC6" w:rsidRDefault="003245A4">
            <w:pPr>
              <w:pStyle w:val="P68B1DB1-Normal7"/>
              <w:spacing w:after="0" w:line="240" w:lineRule="auto"/>
              <w:jc w:val="center"/>
              <w:rPr>
                <w:rFonts w:eastAsia="Times New Roman" w:cs="Calibri"/>
                <w:noProof/>
              </w:rPr>
            </w:pPr>
            <w:r>
              <w:rPr>
                <w:noProof/>
              </w:rPr>
              <w:t>1.18</w:t>
            </w:r>
          </w:p>
        </w:tc>
        <w:tc>
          <w:tcPr>
            <w:tcW w:w="1276" w:type="dxa"/>
            <w:shd w:val="clear" w:color="auto" w:fill="C4EFCE"/>
            <w:noWrap/>
            <w:vAlign w:val="center"/>
            <w:hideMark/>
          </w:tcPr>
          <w:p w14:paraId="454E6198"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B02D058"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5FFAEC9" w14:textId="77777777" w:rsidR="00DC5EC6" w:rsidRDefault="003245A4">
            <w:pPr>
              <w:pStyle w:val="P68B1DB1-Normal8"/>
              <w:spacing w:after="0" w:line="240" w:lineRule="auto"/>
              <w:jc w:val="center"/>
              <w:rPr>
                <w:rFonts w:eastAsia="Times New Roman" w:cs="Calibri"/>
                <w:noProof/>
              </w:rPr>
            </w:pPr>
            <w:r>
              <w:rPr>
                <w:noProof/>
              </w:rPr>
              <w:t>Az egészségügyi létesítmények és berendezések felújítása az elsődleges egészségügyi központok hozzáférhetőségének, minőségének és biztonságának biztosítása érdekében</w:t>
            </w:r>
          </w:p>
        </w:tc>
        <w:tc>
          <w:tcPr>
            <w:tcW w:w="1418" w:type="dxa"/>
            <w:shd w:val="clear" w:color="auto" w:fill="C4EFCE"/>
            <w:noWrap/>
            <w:vAlign w:val="center"/>
            <w:hideMark/>
          </w:tcPr>
          <w:p w14:paraId="1CE147BD" w14:textId="77777777" w:rsidR="00DC5EC6" w:rsidRDefault="003245A4">
            <w:pPr>
              <w:pStyle w:val="P68B1DB1-Normal8"/>
              <w:spacing w:after="0" w:line="240" w:lineRule="auto"/>
              <w:jc w:val="center"/>
              <w:rPr>
                <w:rFonts w:eastAsia="Times New Roman" w:cs="Calibri"/>
                <w:noProof/>
              </w:rPr>
            </w:pPr>
            <w:r>
              <w:rPr>
                <w:noProof/>
              </w:rPr>
              <w:t>Jelentés az egészségügyi létesítmények és berendezések felújításáról</w:t>
            </w:r>
          </w:p>
        </w:tc>
        <w:tc>
          <w:tcPr>
            <w:tcW w:w="1164" w:type="dxa"/>
            <w:shd w:val="clear" w:color="auto" w:fill="C4EFCE"/>
            <w:noWrap/>
            <w:vAlign w:val="center"/>
            <w:hideMark/>
          </w:tcPr>
          <w:p w14:paraId="0989D4A9"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07B01750"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097B0938"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01D62D0" w14:textId="1EF84DE6"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1264AB9E"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3B188F03" w14:textId="514EFA7B"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347 egészségügyi létesítmény felújítása vagy átalakítása az energiahatékonyság növelése, a vészhelyzeti terveknek való megfelelés és/vagy a felhasználók és az egészségügyi szakemberek számára a hozzáférhetőség, a biztonság és a kényelem biztosítása érdekében, amelyből legalább 170 838 136 EUR támogatás energiahatékonysági felújításhoz kapcsolódik, és legalább 13 046 589 EUR támogatás olyan energiahatékonysági felújításhoz kapcsolódik, amelynek célja átlagosan legalább az épületek felújításáról szóló (EU) 2019/786 bizottsági ajánlásban meghatározott közepes mélységű felújítás megvalósítása (az épületek energiahatékonyságának javítására vonatkozó követelményeket be kell építeni a közbeszerzési eljárásokba, és biztosítani kell őket a kiírási feltételekben); valamint ii. a berendezések korszerűsítése (beleértve többek között az alapvető klinikai berendezéseket, az információs és kommunikációs technológiai berendezéseket, az energiahatékonysági berendezéseket és a biztonsági berendezéseket).</w:t>
            </w:r>
          </w:p>
        </w:tc>
      </w:tr>
      <w:tr w:rsidR="00DC5EC6" w14:paraId="454852B5" w14:textId="77777777">
        <w:trPr>
          <w:trHeight w:val="640"/>
        </w:trPr>
        <w:tc>
          <w:tcPr>
            <w:tcW w:w="1135" w:type="dxa"/>
            <w:shd w:val="clear" w:color="auto" w:fill="C4EFCE"/>
            <w:noWrap/>
            <w:vAlign w:val="center"/>
            <w:hideMark/>
          </w:tcPr>
          <w:p w14:paraId="1E28E1AA" w14:textId="77777777" w:rsidR="00DC5EC6" w:rsidRDefault="003245A4">
            <w:pPr>
              <w:pStyle w:val="P68B1DB1-Normal7"/>
              <w:spacing w:after="0" w:line="240" w:lineRule="auto"/>
              <w:jc w:val="center"/>
              <w:rPr>
                <w:rFonts w:eastAsia="Times New Roman" w:cs="Calibri"/>
                <w:noProof/>
              </w:rPr>
            </w:pPr>
            <w:r>
              <w:rPr>
                <w:noProof/>
              </w:rPr>
              <w:t>1.19</w:t>
            </w:r>
          </w:p>
        </w:tc>
        <w:tc>
          <w:tcPr>
            <w:tcW w:w="1276" w:type="dxa"/>
            <w:shd w:val="clear" w:color="auto" w:fill="C4EFCE"/>
            <w:noWrap/>
            <w:vAlign w:val="center"/>
            <w:hideMark/>
          </w:tcPr>
          <w:p w14:paraId="216603F0" w14:textId="77777777" w:rsidR="00DC5EC6" w:rsidRDefault="003245A4">
            <w:pPr>
              <w:pStyle w:val="P68B1DB1-Normal8"/>
              <w:spacing w:after="0" w:line="240" w:lineRule="auto"/>
              <w:jc w:val="center"/>
              <w:rPr>
                <w:rFonts w:eastAsia="Times New Roman" w:cs="Calibri"/>
                <w:noProof/>
              </w:rPr>
            </w:pPr>
            <w:r>
              <w:rPr>
                <w:noProof/>
              </w:rPr>
              <w:t>Re-C01-i01</w:t>
            </w:r>
          </w:p>
        </w:tc>
        <w:tc>
          <w:tcPr>
            <w:tcW w:w="992" w:type="dxa"/>
            <w:shd w:val="clear" w:color="auto" w:fill="C4EFCE"/>
            <w:noWrap/>
            <w:vAlign w:val="center"/>
            <w:hideMark/>
          </w:tcPr>
          <w:p w14:paraId="61B1C51C"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BE3A27A" w14:textId="77777777" w:rsidR="00DC5EC6" w:rsidRDefault="003245A4">
            <w:pPr>
              <w:pStyle w:val="P68B1DB1-Normal8"/>
              <w:spacing w:after="0" w:line="240" w:lineRule="auto"/>
              <w:jc w:val="center"/>
              <w:rPr>
                <w:rFonts w:eastAsia="Times New Roman" w:cs="Calibri"/>
                <w:noProof/>
              </w:rPr>
            </w:pPr>
            <w:r>
              <w:rPr>
                <w:noProof/>
              </w:rPr>
              <w:t>A közösségi alapú gondozás, otthoni és közösségi beavatkozások megerősítése</w:t>
            </w:r>
          </w:p>
        </w:tc>
        <w:tc>
          <w:tcPr>
            <w:tcW w:w="1418" w:type="dxa"/>
            <w:shd w:val="clear" w:color="auto" w:fill="C4EFCE"/>
            <w:noWrap/>
            <w:vAlign w:val="center"/>
            <w:hideMark/>
          </w:tcPr>
          <w:p w14:paraId="66DD2452" w14:textId="77777777" w:rsidR="00DC5EC6" w:rsidRDefault="003245A4">
            <w:pPr>
              <w:pStyle w:val="P68B1DB1-Normal8"/>
              <w:spacing w:after="0" w:line="240" w:lineRule="auto"/>
              <w:jc w:val="center"/>
              <w:rPr>
                <w:rFonts w:eastAsia="Times New Roman" w:cs="Calibri"/>
                <w:noProof/>
              </w:rPr>
            </w:pPr>
            <w:r>
              <w:rPr>
                <w:noProof/>
              </w:rPr>
              <w:t>Jelentés a közösségi alapú gondozás, otthoni és közösségi beavatkozások megerősítéséről</w:t>
            </w:r>
          </w:p>
        </w:tc>
        <w:tc>
          <w:tcPr>
            <w:tcW w:w="1164" w:type="dxa"/>
            <w:shd w:val="clear" w:color="auto" w:fill="C4EFCE"/>
            <w:noWrap/>
            <w:vAlign w:val="center"/>
            <w:hideMark/>
          </w:tcPr>
          <w:p w14:paraId="4CC73D52" w14:textId="77777777" w:rsidR="00DC5EC6" w:rsidRDefault="003245A4">
            <w:pPr>
              <w:pStyle w:val="P68B1DB1-Normal9"/>
              <w:spacing w:after="0" w:line="240" w:lineRule="auto"/>
              <w:rPr>
                <w:rFonts w:eastAsia="Times New Roman" w:cs="Calibri"/>
                <w:noProof/>
              </w:rPr>
            </w:pPr>
            <w:r>
              <w:rPr>
                <w:noProof/>
              </w:rPr>
              <w:t> </w:t>
            </w:r>
          </w:p>
        </w:tc>
        <w:tc>
          <w:tcPr>
            <w:tcW w:w="962" w:type="dxa"/>
            <w:shd w:val="clear" w:color="auto" w:fill="C4EFCE"/>
            <w:noWrap/>
            <w:vAlign w:val="center"/>
            <w:hideMark/>
          </w:tcPr>
          <w:p w14:paraId="12886356" w14:textId="77777777" w:rsidR="00DC5EC6" w:rsidRDefault="003245A4">
            <w:pPr>
              <w:pStyle w:val="P68B1DB1-Normal9"/>
              <w:spacing w:after="0" w:line="240" w:lineRule="auto"/>
              <w:rPr>
                <w:rFonts w:eastAsia="Times New Roman" w:cs="Calibri"/>
                <w:noProof/>
              </w:rPr>
            </w:pPr>
            <w:r>
              <w:rPr>
                <w:noProof/>
              </w:rPr>
              <w:t> </w:t>
            </w:r>
          </w:p>
        </w:tc>
        <w:tc>
          <w:tcPr>
            <w:tcW w:w="805" w:type="dxa"/>
            <w:shd w:val="clear" w:color="auto" w:fill="C4EFCE"/>
            <w:noWrap/>
            <w:vAlign w:val="center"/>
            <w:hideMark/>
          </w:tcPr>
          <w:p w14:paraId="155786FA" w14:textId="77777777" w:rsidR="00DC5EC6" w:rsidRDefault="003245A4">
            <w:pPr>
              <w:pStyle w:val="P68B1DB1-Normal9"/>
              <w:spacing w:after="0" w:line="240" w:lineRule="auto"/>
              <w:rPr>
                <w:rFonts w:eastAsia="Times New Roman" w:cs="Calibri"/>
                <w:noProof/>
              </w:rPr>
            </w:pPr>
            <w:r>
              <w:rPr>
                <w:noProof/>
              </w:rPr>
              <w:t> </w:t>
            </w:r>
          </w:p>
        </w:tc>
        <w:tc>
          <w:tcPr>
            <w:tcW w:w="833" w:type="dxa"/>
            <w:gridSpan w:val="2"/>
            <w:shd w:val="clear" w:color="auto" w:fill="C4EFCE"/>
            <w:noWrap/>
            <w:vAlign w:val="center"/>
            <w:hideMark/>
          </w:tcPr>
          <w:p w14:paraId="59E1E927" w14:textId="10C4C081"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4ABA702F"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D6E8DF1" w14:textId="77777777" w:rsidR="00DC5EC6" w:rsidRDefault="003245A4">
            <w:pPr>
              <w:pStyle w:val="P68B1DB1-Normal8"/>
              <w:spacing w:after="0" w:line="240" w:lineRule="auto"/>
              <w:jc w:val="both"/>
              <w:rPr>
                <w:rFonts w:eastAsia="Times New Roman" w:cs="Calibri"/>
                <w:noProof/>
              </w:rPr>
            </w:pPr>
            <w:r>
              <w:rPr>
                <w:noProof/>
              </w:rPr>
              <w:t>E mérföldkő megvalósítása a következőket foglalja magában: legalább 770 elektromos jármű biztosítása az egészségügyi központok otthoni ellátásának támogatására; és ii. az új mobil egységek számának legalább 34-gyel történő bővítése az alacsony népsűrűségű régiók lefedése érdekében.</w:t>
            </w:r>
          </w:p>
        </w:tc>
      </w:tr>
      <w:tr w:rsidR="00DC5EC6" w14:paraId="1E7E7401" w14:textId="77777777">
        <w:trPr>
          <w:trHeight w:val="430"/>
        </w:trPr>
        <w:tc>
          <w:tcPr>
            <w:tcW w:w="1135" w:type="dxa"/>
            <w:shd w:val="clear" w:color="auto" w:fill="C4EFCE"/>
            <w:noWrap/>
            <w:vAlign w:val="center"/>
            <w:hideMark/>
          </w:tcPr>
          <w:p w14:paraId="0299C2D9" w14:textId="77777777" w:rsidR="00DC5EC6" w:rsidRDefault="003245A4">
            <w:pPr>
              <w:pStyle w:val="P68B1DB1-Normal7"/>
              <w:spacing w:after="0" w:line="240" w:lineRule="auto"/>
              <w:jc w:val="center"/>
              <w:rPr>
                <w:rFonts w:eastAsia="Times New Roman" w:cs="Calibri"/>
                <w:noProof/>
              </w:rPr>
            </w:pPr>
            <w:r>
              <w:rPr>
                <w:noProof/>
              </w:rPr>
              <w:t>1.20</w:t>
            </w:r>
          </w:p>
        </w:tc>
        <w:tc>
          <w:tcPr>
            <w:tcW w:w="1276" w:type="dxa"/>
            <w:shd w:val="clear" w:color="auto" w:fill="C4EFCE"/>
            <w:noWrap/>
            <w:vAlign w:val="center"/>
            <w:hideMark/>
          </w:tcPr>
          <w:p w14:paraId="5FD4B12F" w14:textId="77777777" w:rsidR="00DC5EC6" w:rsidRDefault="003245A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7D9E344F"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949C28C" w14:textId="77777777" w:rsidR="00DC5EC6" w:rsidRDefault="003245A4">
            <w:pPr>
              <w:pStyle w:val="P68B1DB1-Normal8"/>
              <w:spacing w:after="0" w:line="240" w:lineRule="auto"/>
              <w:jc w:val="center"/>
              <w:rPr>
                <w:rFonts w:eastAsia="Times New Roman" w:cs="Calibri"/>
                <w:noProof/>
              </w:rPr>
            </w:pPr>
            <w:r>
              <w:rPr>
                <w:noProof/>
              </w:rPr>
              <w:t>A regionális egészségügyi hatóságok által nyújtott pénzügyi támogatás elosztásáról szóló rendelet hatálybalépése</w:t>
            </w:r>
          </w:p>
        </w:tc>
        <w:tc>
          <w:tcPr>
            <w:tcW w:w="1418" w:type="dxa"/>
            <w:shd w:val="clear" w:color="auto" w:fill="C4EFCE"/>
            <w:noWrap/>
            <w:vAlign w:val="center"/>
            <w:hideMark/>
          </w:tcPr>
          <w:p w14:paraId="5DB93479" w14:textId="77777777" w:rsidR="00DC5EC6" w:rsidRDefault="003245A4">
            <w:pPr>
              <w:pStyle w:val="P68B1DB1-Normal8"/>
              <w:spacing w:after="0" w:line="240" w:lineRule="auto"/>
              <w:jc w:val="center"/>
              <w:rPr>
                <w:rFonts w:eastAsia="Times New Roman" w:cs="Calibri"/>
                <w:noProof/>
              </w:rPr>
            </w:pPr>
            <w:r>
              <w:rPr>
                <w:noProof/>
              </w:rPr>
              <w:t>A pénzügyi támogatás elosztásáról szóló rendelet hatálybalépése</w:t>
            </w:r>
          </w:p>
        </w:tc>
        <w:tc>
          <w:tcPr>
            <w:tcW w:w="1164" w:type="dxa"/>
            <w:shd w:val="clear" w:color="auto" w:fill="C4EFCE"/>
            <w:noWrap/>
            <w:vAlign w:val="center"/>
            <w:hideMark/>
          </w:tcPr>
          <w:p w14:paraId="251EE7F7"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DB5B8B0"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F7AF621"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1B4120B0" w14:textId="65D3A47F" w:rsidR="00DC5EC6" w:rsidRDefault="00A44E9E">
            <w:pPr>
              <w:pStyle w:val="P68B1DB1-Normal8"/>
              <w:spacing w:after="0" w:line="240" w:lineRule="auto"/>
              <w:jc w:val="center"/>
              <w:rPr>
                <w:rFonts w:eastAsia="Times New Roman" w:cs="Calibri"/>
                <w:noProof/>
              </w:rPr>
            </w:pPr>
            <w:r>
              <w:rPr>
                <w:noProof/>
              </w:rPr>
              <w:t>1.NEGYEDÉV</w:t>
            </w:r>
          </w:p>
        </w:tc>
        <w:tc>
          <w:tcPr>
            <w:tcW w:w="901" w:type="dxa"/>
            <w:shd w:val="clear" w:color="auto" w:fill="C4EFCE"/>
            <w:noWrap/>
            <w:vAlign w:val="center"/>
            <w:hideMark/>
          </w:tcPr>
          <w:p w14:paraId="2C8FCB77"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237D71AB" w14:textId="77777777" w:rsidR="00DC5EC6" w:rsidRDefault="003245A4">
            <w:pPr>
              <w:pStyle w:val="P68B1DB1-Normal8"/>
              <w:spacing w:after="0" w:line="240" w:lineRule="auto"/>
              <w:jc w:val="both"/>
              <w:rPr>
                <w:rFonts w:eastAsia="Times New Roman" w:cs="Calibri"/>
                <w:noProof/>
              </w:rPr>
            </w:pPr>
            <w:r>
              <w:rPr>
                <w:noProof/>
              </w:rPr>
              <w:t>A regionális egészségügyi hatóságok által nyújtott pénzügyi támogatás elosztásáról szóló rendelet hatálybalépése, amely meghatározza a program irányítási modelljét és a pályázókra vonatkozó követelményeket.</w:t>
            </w:r>
          </w:p>
        </w:tc>
      </w:tr>
      <w:tr w:rsidR="00DC5EC6" w14:paraId="7F7C84BA" w14:textId="77777777">
        <w:trPr>
          <w:trHeight w:val="1690"/>
        </w:trPr>
        <w:tc>
          <w:tcPr>
            <w:tcW w:w="1135" w:type="dxa"/>
            <w:shd w:val="clear" w:color="auto" w:fill="C4EFCE"/>
            <w:noWrap/>
            <w:vAlign w:val="center"/>
            <w:hideMark/>
          </w:tcPr>
          <w:p w14:paraId="74351DC1" w14:textId="77777777" w:rsidR="00DC5EC6" w:rsidRDefault="003245A4">
            <w:pPr>
              <w:pStyle w:val="P68B1DB1-Normal7"/>
              <w:spacing w:after="0" w:line="240" w:lineRule="auto"/>
              <w:jc w:val="center"/>
              <w:rPr>
                <w:rFonts w:eastAsia="Times New Roman" w:cs="Calibri"/>
                <w:noProof/>
              </w:rPr>
            </w:pPr>
            <w:r>
              <w:rPr>
                <w:noProof/>
              </w:rPr>
              <w:t>1.21</w:t>
            </w:r>
          </w:p>
        </w:tc>
        <w:tc>
          <w:tcPr>
            <w:tcW w:w="1276" w:type="dxa"/>
            <w:shd w:val="clear" w:color="auto" w:fill="C4EFCE"/>
            <w:noWrap/>
            <w:vAlign w:val="center"/>
            <w:hideMark/>
          </w:tcPr>
          <w:p w14:paraId="34C37BAF" w14:textId="77777777" w:rsidR="00DC5EC6" w:rsidRDefault="003245A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4A6CCB1B"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AB89F2D"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és palliatív ellátási szolgáltatások nemzeti hálózatai reagálási képességének megerősítése a fekvőbeteg- és járóbeteg-ellátásban</w:t>
            </w:r>
          </w:p>
        </w:tc>
        <w:tc>
          <w:tcPr>
            <w:tcW w:w="1418" w:type="dxa"/>
            <w:shd w:val="clear" w:color="auto" w:fill="C4EFCE"/>
            <w:noWrap/>
            <w:vAlign w:val="center"/>
            <w:hideMark/>
          </w:tcPr>
          <w:p w14:paraId="27BF6F6B"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76222F30"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1879440B" w14:textId="77777777" w:rsidR="00DC5EC6" w:rsidRDefault="003245A4">
            <w:pPr>
              <w:pStyle w:val="P68B1DB1-Normal8"/>
              <w:spacing w:after="0" w:line="240" w:lineRule="auto"/>
              <w:jc w:val="center"/>
              <w:rPr>
                <w:rFonts w:eastAsia="Times New Roman" w:cs="Calibri"/>
                <w:noProof/>
              </w:rPr>
            </w:pPr>
            <w:r>
              <w:rPr>
                <w:noProof/>
              </w:rPr>
              <w:t> 0</w:t>
            </w:r>
          </w:p>
        </w:tc>
        <w:tc>
          <w:tcPr>
            <w:tcW w:w="805" w:type="dxa"/>
            <w:shd w:val="clear" w:color="auto" w:fill="C4EFCE"/>
            <w:noWrap/>
            <w:vAlign w:val="center"/>
            <w:hideMark/>
          </w:tcPr>
          <w:p w14:paraId="7F341A5B" w14:textId="77777777" w:rsidR="00DC5EC6" w:rsidRDefault="003245A4">
            <w:pPr>
              <w:pStyle w:val="P68B1DB1-Normal8"/>
              <w:spacing w:after="0" w:line="240" w:lineRule="auto"/>
              <w:jc w:val="center"/>
              <w:rPr>
                <w:rFonts w:eastAsia="Times New Roman" w:cs="Calibri"/>
                <w:noProof/>
              </w:rPr>
            </w:pPr>
            <w:r>
              <w:rPr>
                <w:noProof/>
              </w:rPr>
              <w:t>7 400</w:t>
            </w:r>
          </w:p>
        </w:tc>
        <w:tc>
          <w:tcPr>
            <w:tcW w:w="833" w:type="dxa"/>
            <w:gridSpan w:val="2"/>
            <w:shd w:val="clear" w:color="auto" w:fill="C4EFCE"/>
            <w:noWrap/>
            <w:vAlign w:val="center"/>
            <w:hideMark/>
          </w:tcPr>
          <w:p w14:paraId="0CE41663" w14:textId="33E4188C"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253B9B39"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7ABEA994" w14:textId="5DEC19EC" w:rsidR="00DC5EC6" w:rsidRDefault="003245A4">
            <w:pPr>
              <w:pStyle w:val="P68B1DB1-Normal8"/>
              <w:spacing w:after="0" w:line="240" w:lineRule="auto"/>
              <w:jc w:val="both"/>
              <w:rPr>
                <w:rFonts w:eastAsia="Times New Roman" w:cs="Calibri"/>
                <w:noProof/>
              </w:rPr>
            </w:pPr>
            <w:r>
              <w:rPr>
                <w:noProof/>
              </w:rPr>
              <w:t>Az integrált folyamatos ápolási-gondozási és palliatív ellátási szolgáltatások nemzeti hálózatai reagálási képességének megerősítése a fekvőbeteg- és járóbeteg-ellátásban a következő új helyek létrehozása révén: új 5500 fekvőbeteg-ágy az integrált folyamatos ápolási-gondozási szolgáltatások nemzeti hálózatában, az általános hálózaton belül; új 500 férőhely önálló előléptetési egység az integrált folyamatos ápolási-gondozási szolgáltatások nemzeti hálózatán belül; új 1000 férőhely az integrált mentális egészségügyi folyamatos ápolási-gondozási szolgáltatásokban; és iv. 400 új, alacsony komplexségű fekvőbeteg-ágy a palliatív gondozási szolgáltatások nemzeti hálózatában. Ez magában foglalja legalább 226 730 193 EUR összegű vissza nem térítendő támogatás felhasználását új egészségügyi infrastruktúra kiépítésére. Ezen új épületek primerenergia-szükségletének legalább 20%-kal a közel nulla energiaigényű épületekre vonatkozó követelmények alatt kell lennie.</w:t>
            </w:r>
          </w:p>
        </w:tc>
      </w:tr>
      <w:tr w:rsidR="00DC5EC6" w14:paraId="5AE6F182" w14:textId="77777777">
        <w:trPr>
          <w:trHeight w:val="1060"/>
        </w:trPr>
        <w:tc>
          <w:tcPr>
            <w:tcW w:w="1135" w:type="dxa"/>
            <w:shd w:val="clear" w:color="auto" w:fill="C4EFCE"/>
            <w:noWrap/>
            <w:vAlign w:val="center"/>
            <w:hideMark/>
          </w:tcPr>
          <w:p w14:paraId="66FCDE69" w14:textId="77777777" w:rsidR="00DC5EC6" w:rsidRDefault="003245A4">
            <w:pPr>
              <w:pStyle w:val="P68B1DB1-Normal7"/>
              <w:spacing w:after="0" w:line="240" w:lineRule="auto"/>
              <w:jc w:val="center"/>
              <w:rPr>
                <w:rFonts w:eastAsia="Times New Roman" w:cs="Calibri"/>
                <w:noProof/>
              </w:rPr>
            </w:pPr>
            <w:r>
              <w:rPr>
                <w:noProof/>
              </w:rPr>
              <w:t>1.22</w:t>
            </w:r>
          </w:p>
        </w:tc>
        <w:tc>
          <w:tcPr>
            <w:tcW w:w="1276" w:type="dxa"/>
            <w:shd w:val="clear" w:color="auto" w:fill="C4EFCE"/>
            <w:noWrap/>
            <w:vAlign w:val="center"/>
            <w:hideMark/>
          </w:tcPr>
          <w:p w14:paraId="0DED5251" w14:textId="77777777" w:rsidR="00DC5EC6" w:rsidRDefault="003245A4">
            <w:pPr>
              <w:pStyle w:val="P68B1DB1-Normal8"/>
              <w:spacing w:after="0" w:line="240" w:lineRule="auto"/>
              <w:jc w:val="center"/>
              <w:rPr>
                <w:rFonts w:eastAsia="Times New Roman" w:cs="Calibri"/>
                <w:noProof/>
              </w:rPr>
            </w:pPr>
            <w:r>
              <w:rPr>
                <w:noProof/>
              </w:rPr>
              <w:t>Re-C01-i02</w:t>
            </w:r>
          </w:p>
        </w:tc>
        <w:tc>
          <w:tcPr>
            <w:tcW w:w="992" w:type="dxa"/>
            <w:shd w:val="clear" w:color="auto" w:fill="C4EFCE"/>
            <w:noWrap/>
            <w:vAlign w:val="center"/>
            <w:hideMark/>
          </w:tcPr>
          <w:p w14:paraId="647B9DAD"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55CF526"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és palliatív gondozási szolgáltatások nemzeti hálózatai reagálási képességének megerősítése az otthoni gondozásban</w:t>
            </w:r>
          </w:p>
        </w:tc>
        <w:tc>
          <w:tcPr>
            <w:tcW w:w="1418" w:type="dxa"/>
            <w:shd w:val="clear" w:color="auto" w:fill="C4EFCE"/>
            <w:noWrap/>
            <w:vAlign w:val="center"/>
            <w:hideMark/>
          </w:tcPr>
          <w:p w14:paraId="0A35A3F3"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6DF5F8B"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02612F2B"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55B25AA" w14:textId="77777777" w:rsidR="00DC5EC6" w:rsidRDefault="003245A4">
            <w:pPr>
              <w:pStyle w:val="P68B1DB1-Normal8"/>
              <w:spacing w:after="0" w:line="240" w:lineRule="auto"/>
              <w:jc w:val="center"/>
              <w:rPr>
                <w:rFonts w:eastAsia="Times New Roman" w:cs="Calibri"/>
                <w:noProof/>
              </w:rPr>
            </w:pPr>
            <w:r>
              <w:rPr>
                <w:noProof/>
              </w:rPr>
              <w:t>1 200</w:t>
            </w:r>
          </w:p>
        </w:tc>
        <w:tc>
          <w:tcPr>
            <w:tcW w:w="833" w:type="dxa"/>
            <w:gridSpan w:val="2"/>
            <w:shd w:val="clear" w:color="auto" w:fill="C4EFCE"/>
            <w:noWrap/>
            <w:vAlign w:val="center"/>
            <w:hideMark/>
          </w:tcPr>
          <w:p w14:paraId="74C0C891" w14:textId="4F1E2BB2" w:rsidR="00DC5EC6" w:rsidRDefault="00A44E9E">
            <w:pPr>
              <w:pStyle w:val="P68B1DB1-Normal10"/>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22DB6368" w14:textId="5990FEF5" w:rsidR="00DC5EC6" w:rsidRDefault="003245A4">
            <w:pPr>
              <w:pStyle w:val="P68B1DB1-Normal10"/>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558142A7" w14:textId="77777777" w:rsidR="00DC5EC6" w:rsidRDefault="003245A4">
            <w:pPr>
              <w:pStyle w:val="P68B1DB1-Normal8"/>
              <w:spacing w:after="0" w:line="240" w:lineRule="auto"/>
              <w:jc w:val="both"/>
              <w:rPr>
                <w:rFonts w:eastAsia="Times New Roman" w:cs="Calibri"/>
                <w:noProof/>
              </w:rPr>
            </w:pPr>
            <w:r>
              <w:rPr>
                <w:noProof/>
              </w:rPr>
              <w:t>Az integrált folyamatos ápolási-gondozási és palliatív gondozási szolgáltatások nemzeti hálózatai reagálási kapacitásának megerősítése az alábbi új helyek létrehozása révén: 1000 új férőhely az integrált folyamatos otthoni ápolási-gondozási csoportokban; 100 új férőhely a mentális egészséget segítő otthoni támogató csoportokban az integrált folyamatos ápolási-gondozási szolgáltatások nemzeti hálózatán belül; és iii. 100 új férőhely a palliatív ellátást támogató közösségi csoportokban.</w:t>
            </w:r>
          </w:p>
        </w:tc>
      </w:tr>
      <w:tr w:rsidR="00DC5EC6" w14:paraId="59032C88" w14:textId="77777777">
        <w:trPr>
          <w:trHeight w:val="1060"/>
        </w:trPr>
        <w:tc>
          <w:tcPr>
            <w:tcW w:w="1135" w:type="dxa"/>
            <w:shd w:val="clear" w:color="auto" w:fill="C4EFCE"/>
            <w:noWrap/>
            <w:vAlign w:val="center"/>
            <w:hideMark/>
          </w:tcPr>
          <w:p w14:paraId="68CBF731" w14:textId="77777777" w:rsidR="00DC5EC6" w:rsidRDefault="003245A4">
            <w:pPr>
              <w:pStyle w:val="P68B1DB1-Normal7"/>
              <w:spacing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3D71360" w14:textId="77777777" w:rsidR="00DC5EC6" w:rsidRDefault="003245A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1D0F3E64"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CD9472F" w14:textId="77777777" w:rsidR="00DC5EC6" w:rsidRDefault="003245A4">
            <w:pPr>
              <w:pStyle w:val="P68B1DB1-Normal8"/>
              <w:spacing w:after="0" w:line="240" w:lineRule="auto"/>
              <w:jc w:val="center"/>
              <w:rPr>
                <w:rFonts w:eastAsia="Times New Roman" w:cs="Calibri"/>
                <w:noProof/>
              </w:rPr>
            </w:pPr>
            <w:r>
              <w:rPr>
                <w:noProof/>
              </w:rPr>
              <w:t>Igazságügyi pszichiátriai egységek és berendezések felújítása</w:t>
            </w:r>
          </w:p>
        </w:tc>
        <w:tc>
          <w:tcPr>
            <w:tcW w:w="1418" w:type="dxa"/>
            <w:shd w:val="clear" w:color="auto" w:fill="C4EFCE"/>
            <w:noWrap/>
            <w:vAlign w:val="center"/>
            <w:hideMark/>
          </w:tcPr>
          <w:p w14:paraId="668CD381"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39AD866"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66CA769"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15F1F44" w14:textId="77777777" w:rsidR="00DC5EC6" w:rsidRDefault="003245A4">
            <w:pPr>
              <w:pStyle w:val="P68B1DB1-Normal8"/>
              <w:spacing w:after="0" w:line="240" w:lineRule="auto"/>
              <w:jc w:val="center"/>
              <w:rPr>
                <w:rFonts w:eastAsia="Times New Roman" w:cs="Calibri"/>
                <w:noProof/>
              </w:rPr>
            </w:pPr>
            <w:r>
              <w:rPr>
                <w:noProof/>
              </w:rPr>
              <w:t>3</w:t>
            </w:r>
          </w:p>
        </w:tc>
        <w:tc>
          <w:tcPr>
            <w:tcW w:w="833" w:type="dxa"/>
            <w:gridSpan w:val="2"/>
            <w:shd w:val="clear" w:color="auto" w:fill="C4EFCE"/>
            <w:noWrap/>
            <w:vAlign w:val="center"/>
            <w:hideMark/>
          </w:tcPr>
          <w:p w14:paraId="293F4F6B" w14:textId="2A4315CC"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CD67BEE"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4B5D6547" w14:textId="77777777" w:rsidR="00DC5EC6" w:rsidRDefault="003245A4">
            <w:pPr>
              <w:pStyle w:val="P68B1DB1-Normal8"/>
              <w:spacing w:after="0" w:line="240" w:lineRule="auto"/>
              <w:jc w:val="both"/>
              <w:rPr>
                <w:rFonts w:eastAsia="Times New Roman" w:cs="Calibri"/>
                <w:noProof/>
              </w:rPr>
            </w:pPr>
            <w:r>
              <w:rPr>
                <w:noProof/>
              </w:rPr>
              <w:t xml:space="preserve">Új kriminalisztikai pszichiátriai egység (Szobral Cid) építése és két másik egység (Lisszaboni Pszichiátriai Kórházközpont és Magalhães Lemos kórház) felújítása az emberi jogok – különösen a magánélet, a kényelem és a terek humánussá tétele – tiszteletben tartásával összeegyeztethető feltételek biztosítása érdekében, a bírósági határozatok végrehajtásához kapcsolódó biztonsági feltételek figyelmen kívül hagyása nélkül, megakadályozva, hogy a Portugál Köztársaságot nemzetközi szervezetek (a Kínzás Elleni Európai Bizottság) ítéljék el. </w:t>
            </w:r>
          </w:p>
        </w:tc>
      </w:tr>
      <w:tr w:rsidR="00DC5EC6" w14:paraId="79BD555A" w14:textId="77777777">
        <w:trPr>
          <w:trHeight w:val="640"/>
        </w:trPr>
        <w:tc>
          <w:tcPr>
            <w:tcW w:w="1135" w:type="dxa"/>
            <w:shd w:val="clear" w:color="auto" w:fill="C4EFCE"/>
            <w:noWrap/>
            <w:vAlign w:val="center"/>
            <w:hideMark/>
          </w:tcPr>
          <w:p w14:paraId="69D05224" w14:textId="77777777" w:rsidR="00DC5EC6" w:rsidRDefault="003245A4">
            <w:pPr>
              <w:pStyle w:val="P68B1DB1-Normal7"/>
              <w:spacing w:after="0" w:line="240" w:lineRule="auto"/>
              <w:jc w:val="center"/>
              <w:rPr>
                <w:rFonts w:eastAsia="Times New Roman" w:cs="Calibri"/>
                <w:noProof/>
              </w:rPr>
            </w:pPr>
            <w:r>
              <w:rPr>
                <w:noProof/>
              </w:rPr>
              <w:t>1.24</w:t>
            </w:r>
          </w:p>
        </w:tc>
        <w:tc>
          <w:tcPr>
            <w:tcW w:w="1276" w:type="dxa"/>
            <w:shd w:val="clear" w:color="auto" w:fill="C4EFCE"/>
            <w:noWrap/>
            <w:vAlign w:val="center"/>
            <w:hideMark/>
          </w:tcPr>
          <w:p w14:paraId="77EC2F21" w14:textId="77777777" w:rsidR="00DC5EC6" w:rsidRDefault="003245A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3AD8EF16"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2F5900A0" w14:textId="77777777" w:rsidR="00DC5EC6" w:rsidRDefault="003245A4">
            <w:pPr>
              <w:pStyle w:val="P68B1DB1-Normal8"/>
              <w:spacing w:after="0" w:line="240" w:lineRule="auto"/>
              <w:jc w:val="center"/>
              <w:rPr>
                <w:rFonts w:eastAsia="Times New Roman" w:cs="Calibri"/>
                <w:noProof/>
              </w:rPr>
            </w:pPr>
            <w:r>
              <w:rPr>
                <w:noProof/>
              </w:rPr>
              <w:t>Figyelemfelhívó és képzési intézkedések kidolgozása „a betegek útvonalainak kiépítése” érdekében a demenciákkal összefüggésben</w:t>
            </w:r>
          </w:p>
        </w:tc>
        <w:tc>
          <w:tcPr>
            <w:tcW w:w="1418" w:type="dxa"/>
            <w:shd w:val="clear" w:color="auto" w:fill="C4EFCE"/>
            <w:noWrap/>
            <w:vAlign w:val="center"/>
            <w:hideMark/>
          </w:tcPr>
          <w:p w14:paraId="0479C79B" w14:textId="77777777" w:rsidR="00DC5EC6" w:rsidRDefault="003245A4">
            <w:pPr>
              <w:pStyle w:val="P68B1DB1-Normal8"/>
              <w:spacing w:after="0" w:line="240" w:lineRule="auto"/>
              <w:jc w:val="center"/>
              <w:rPr>
                <w:rFonts w:eastAsia="Times New Roman" w:cs="Calibri"/>
                <w:noProof/>
              </w:rPr>
            </w:pPr>
            <w:r>
              <w:rPr>
                <w:noProof/>
              </w:rPr>
              <w:t>Jelentés az új figyelemfelkeltő és képzési intézkedések bevezetéséről és fejlesztéséről</w:t>
            </w:r>
          </w:p>
        </w:tc>
        <w:tc>
          <w:tcPr>
            <w:tcW w:w="1164" w:type="dxa"/>
            <w:shd w:val="clear" w:color="auto" w:fill="C4EFCE"/>
            <w:noWrap/>
            <w:vAlign w:val="center"/>
            <w:hideMark/>
          </w:tcPr>
          <w:p w14:paraId="4EEB31BE"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2FE014D9"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428CA5F8"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8C7EC78" w14:textId="572B09CF"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18C7751D"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6E491E2" w14:textId="77777777" w:rsidR="00DC5EC6" w:rsidRDefault="003245A4">
            <w:pPr>
              <w:pStyle w:val="P68B1DB1-Normal8"/>
              <w:spacing w:after="0" w:line="240" w:lineRule="auto"/>
              <w:jc w:val="both"/>
              <w:rPr>
                <w:rFonts w:eastAsia="Times New Roman" w:cs="Calibri"/>
                <w:noProof/>
              </w:rPr>
            </w:pPr>
            <w:r>
              <w:rPr>
                <w:noProof/>
              </w:rPr>
              <w:t>A demenciákkal kapcsolatos figyelemfelhívó és képzési tevékenységek a szociális és egészségügyi szolgáltatások reformjának támogatása céljából, a szociális és egészségügyi szolgáltatások, illetve a szociális és egészségügyi politikák terén a lakossággal együttműködő egyéb szervezetek személyzete, valamint a szociális és egészségügyi szolgáltatások felhasználói számára.</w:t>
            </w:r>
          </w:p>
        </w:tc>
      </w:tr>
      <w:tr w:rsidR="00DC5EC6" w14:paraId="31A97B40" w14:textId="77777777">
        <w:trPr>
          <w:trHeight w:val="684"/>
        </w:trPr>
        <w:tc>
          <w:tcPr>
            <w:tcW w:w="1135" w:type="dxa"/>
            <w:shd w:val="clear" w:color="auto" w:fill="C4EFCE"/>
            <w:noWrap/>
            <w:vAlign w:val="center"/>
            <w:hideMark/>
          </w:tcPr>
          <w:p w14:paraId="6F805E1F" w14:textId="77777777" w:rsidR="00DC5EC6" w:rsidRDefault="003245A4">
            <w:pPr>
              <w:pStyle w:val="P68B1DB1-Normal7"/>
              <w:spacing w:after="0" w:line="240" w:lineRule="auto"/>
              <w:jc w:val="center"/>
              <w:rPr>
                <w:rFonts w:eastAsia="Times New Roman" w:cs="Calibri"/>
                <w:noProof/>
              </w:rPr>
            </w:pPr>
            <w:r>
              <w:rPr>
                <w:noProof/>
              </w:rPr>
              <w:t>1.25</w:t>
            </w:r>
          </w:p>
        </w:tc>
        <w:tc>
          <w:tcPr>
            <w:tcW w:w="1276" w:type="dxa"/>
            <w:shd w:val="clear" w:color="auto" w:fill="C4EFCE"/>
            <w:noWrap/>
            <w:vAlign w:val="center"/>
            <w:hideMark/>
          </w:tcPr>
          <w:p w14:paraId="2AA7B1FD" w14:textId="77777777" w:rsidR="00DC5EC6" w:rsidRDefault="003245A4">
            <w:pPr>
              <w:pStyle w:val="P68B1DB1-Normal8"/>
              <w:spacing w:after="0" w:line="240" w:lineRule="auto"/>
              <w:jc w:val="center"/>
              <w:rPr>
                <w:rFonts w:eastAsia="Times New Roman" w:cs="Calibri"/>
                <w:noProof/>
              </w:rPr>
            </w:pPr>
            <w:r>
              <w:rPr>
                <w:noProof/>
              </w:rPr>
              <w:t>Re-C01-i03</w:t>
            </w:r>
          </w:p>
        </w:tc>
        <w:tc>
          <w:tcPr>
            <w:tcW w:w="992" w:type="dxa"/>
            <w:shd w:val="clear" w:color="auto" w:fill="C4EFCE"/>
            <w:noWrap/>
            <w:vAlign w:val="center"/>
            <w:hideMark/>
          </w:tcPr>
          <w:p w14:paraId="7E6411F2"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6011655A" w14:textId="77777777" w:rsidR="00DC5EC6" w:rsidRDefault="003245A4">
            <w:pPr>
              <w:pStyle w:val="P68B1DB1-Normal8"/>
              <w:spacing w:after="0" w:line="240" w:lineRule="auto"/>
              <w:jc w:val="center"/>
              <w:rPr>
                <w:rFonts w:eastAsia="Times New Roman" w:cs="Calibri"/>
                <w:noProof/>
              </w:rPr>
            </w:pPr>
            <w:r>
              <w:rPr>
                <w:noProof/>
              </w:rPr>
              <w:t>A mentális egészségügyi ellátási hálózat megerősítésének befejezése</w:t>
            </w:r>
          </w:p>
        </w:tc>
        <w:tc>
          <w:tcPr>
            <w:tcW w:w="1418" w:type="dxa"/>
            <w:shd w:val="clear" w:color="auto" w:fill="C4EFCE"/>
            <w:noWrap/>
            <w:vAlign w:val="center"/>
            <w:hideMark/>
          </w:tcPr>
          <w:p w14:paraId="166A1207" w14:textId="77777777" w:rsidR="00DC5EC6" w:rsidRDefault="003245A4">
            <w:pPr>
              <w:pStyle w:val="P68B1DB1-Normal8"/>
              <w:spacing w:after="0" w:line="240" w:lineRule="auto"/>
              <w:jc w:val="center"/>
              <w:rPr>
                <w:rFonts w:eastAsia="Times New Roman" w:cs="Calibri"/>
                <w:noProof/>
              </w:rPr>
            </w:pPr>
            <w:r>
              <w:rPr>
                <w:noProof/>
              </w:rPr>
              <w:t>Jelentés a mentális egészségügyi hálózat megerősítésére irányuló valamennyi ismertetett kezdeményezés befejezéséről</w:t>
            </w:r>
          </w:p>
        </w:tc>
        <w:tc>
          <w:tcPr>
            <w:tcW w:w="1164" w:type="dxa"/>
            <w:shd w:val="clear" w:color="auto" w:fill="C4EFCE"/>
            <w:noWrap/>
            <w:vAlign w:val="center"/>
            <w:hideMark/>
          </w:tcPr>
          <w:p w14:paraId="7E425255"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515D8522"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0BC945BE"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43853C13" w14:textId="459AD577"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695E8BA0"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6B1F7A73" w14:textId="77777777" w:rsidR="00DC5EC6" w:rsidRDefault="003245A4">
            <w:pPr>
              <w:pStyle w:val="P68B1DB1-Normal8"/>
              <w:spacing w:after="0" w:line="240" w:lineRule="auto"/>
              <w:jc w:val="both"/>
              <w:rPr>
                <w:rFonts w:eastAsia="Times New Roman" w:cs="Calibri"/>
                <w:noProof/>
              </w:rPr>
            </w:pPr>
            <w:r>
              <w:rPr>
                <w:noProof/>
              </w:rPr>
              <w:t>A mentális egészségügyi hálózat megerősítése érdekében meghatározott valamennyi beavatkozás lezárása, beleértve a következőket: négy új kórházi osztály létrehozása az általános kórházakban; 15 integrált felelősségi központ létrehozása a mentális egészségügyi szolgáltatások területén; a meglévő helyi mentális egészségügyi szolgáltatások közül 20 felújítása; 500 válasz kidolgozása a krónikus mentális betegségben szenvedő intézményesített személyek szükségleteire; három igazságügyi pszichiátriai létesítmény és felszerelés korszerűsítése; három kriminalisztikai lakóépület átmeneti egység építése; valamint vii. a demenciákkal összefüggésben „a betegek útvonalainak kiépítésére” irányuló képzési intézkedések kidolgozása. Ez magában foglalja 58 507 675 EUR összegű vissza nem térítendő támogatás felhasználását energiahatékonysági felújításra, átlagosan legalább az épületek felújításáról szóló (EU) 2019/786 bizottsági ajánlásban meghatározott közepes mélységű felújítás megvalósítása érdekében. Az épületek energiahatékonyságának javítására vonatkozó követelményeket be kell építeni a közbeszerzési eljárásokba, és azokat a kiírási feltételekben is biztosítani kell.</w:t>
            </w:r>
          </w:p>
        </w:tc>
      </w:tr>
      <w:tr w:rsidR="00DC5EC6" w14:paraId="7D601BE3" w14:textId="77777777">
        <w:trPr>
          <w:trHeight w:val="850"/>
        </w:trPr>
        <w:tc>
          <w:tcPr>
            <w:tcW w:w="1135" w:type="dxa"/>
            <w:shd w:val="clear" w:color="auto" w:fill="C4EFCE"/>
            <w:noWrap/>
            <w:vAlign w:val="center"/>
          </w:tcPr>
          <w:p w14:paraId="38167FC7" w14:textId="782B9BD8" w:rsidR="00DC5EC6" w:rsidRDefault="003245A4">
            <w:pPr>
              <w:pStyle w:val="P68B1DB1-Normal7"/>
              <w:spacing w:after="0" w:line="240" w:lineRule="auto"/>
              <w:jc w:val="center"/>
              <w:rPr>
                <w:rFonts w:eastAsia="Times New Roman" w:cs="Calibri"/>
                <w:noProof/>
              </w:rPr>
            </w:pPr>
            <w:r>
              <w:rPr>
                <w:noProof/>
              </w:rPr>
              <w:t>1.40</w:t>
            </w:r>
          </w:p>
        </w:tc>
        <w:tc>
          <w:tcPr>
            <w:tcW w:w="1276" w:type="dxa"/>
            <w:shd w:val="clear" w:color="auto" w:fill="C4EFCE"/>
            <w:noWrap/>
            <w:vAlign w:val="center"/>
          </w:tcPr>
          <w:p w14:paraId="5230C444" w14:textId="3C06B8C3" w:rsidR="00DC5EC6" w:rsidRDefault="003245A4">
            <w:pPr>
              <w:pStyle w:val="P68B1DB1-Normal8"/>
              <w:spacing w:after="0" w:line="240" w:lineRule="auto"/>
              <w:jc w:val="center"/>
              <w:rPr>
                <w:rFonts w:eastAsia="Times New Roman" w:cs="Calibri"/>
                <w:noProof/>
              </w:rPr>
            </w:pPr>
            <w:r>
              <w:rPr>
                <w:noProof/>
              </w:rPr>
              <w:t>Újra-C01–i04</w:t>
            </w:r>
          </w:p>
        </w:tc>
        <w:tc>
          <w:tcPr>
            <w:tcW w:w="992" w:type="dxa"/>
            <w:shd w:val="clear" w:color="auto" w:fill="C4EFCE"/>
            <w:noWrap/>
            <w:vAlign w:val="center"/>
          </w:tcPr>
          <w:p w14:paraId="33E64FC7" w14:textId="68EADE1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tcPr>
          <w:p w14:paraId="258F4E6D" w14:textId="3B7B2525" w:rsidR="00DC5EC6" w:rsidRDefault="003245A4">
            <w:pPr>
              <w:pStyle w:val="P68B1DB1-Normal8"/>
              <w:spacing w:after="0" w:line="240" w:lineRule="auto"/>
              <w:jc w:val="center"/>
              <w:rPr>
                <w:rFonts w:eastAsia="Times New Roman" w:cs="Calibri"/>
                <w:noProof/>
              </w:rPr>
            </w:pPr>
            <w:r>
              <w:rPr>
                <w:noProof/>
              </w:rPr>
              <w:t xml:space="preserve">A kelet-Lisszaboni Kórház építésére vonatkozó üzemeltetési szerződés aláírása </w:t>
            </w:r>
          </w:p>
        </w:tc>
        <w:tc>
          <w:tcPr>
            <w:tcW w:w="1418" w:type="dxa"/>
            <w:shd w:val="clear" w:color="auto" w:fill="C4EFCE"/>
            <w:noWrap/>
            <w:vAlign w:val="center"/>
          </w:tcPr>
          <w:p w14:paraId="05C069DE" w14:textId="7E4CD3CE" w:rsidR="00DC5EC6" w:rsidRDefault="003245A4">
            <w:pPr>
              <w:pStyle w:val="P68B1DB1-Normal8"/>
              <w:spacing w:after="0" w:line="240" w:lineRule="auto"/>
              <w:jc w:val="center"/>
              <w:rPr>
                <w:rFonts w:eastAsia="Times New Roman" w:cs="Calibri"/>
                <w:noProof/>
              </w:rPr>
            </w:pPr>
            <w:r>
              <w:rPr>
                <w:noProof/>
              </w:rPr>
              <w:t>A hatóságok és a különleges célú gazdasági egység által aláírt, a kelet-Lisszaboni Kórház építésére vonatkozó üzemeltetési szerződés aláírása</w:t>
            </w:r>
          </w:p>
        </w:tc>
        <w:tc>
          <w:tcPr>
            <w:tcW w:w="1164" w:type="dxa"/>
            <w:shd w:val="clear" w:color="auto" w:fill="C4EFCE"/>
            <w:noWrap/>
            <w:vAlign w:val="center"/>
          </w:tcPr>
          <w:p w14:paraId="41AA1AF4" w14:textId="77777777" w:rsidR="00DC5EC6" w:rsidRDefault="00DC5EC6">
            <w:pPr>
              <w:spacing w:after="0" w:line="240" w:lineRule="auto"/>
              <w:jc w:val="center"/>
              <w:rPr>
                <w:rFonts w:ascii="Calibri" w:eastAsia="Times New Roman" w:hAnsi="Calibri" w:cs="Calibri"/>
                <w:noProof/>
                <w:sz w:val="16"/>
              </w:rPr>
            </w:pPr>
          </w:p>
        </w:tc>
        <w:tc>
          <w:tcPr>
            <w:tcW w:w="962" w:type="dxa"/>
            <w:shd w:val="clear" w:color="auto" w:fill="C4EFCE"/>
            <w:noWrap/>
            <w:vAlign w:val="center"/>
          </w:tcPr>
          <w:p w14:paraId="35D8CA0C" w14:textId="77777777" w:rsidR="00DC5EC6" w:rsidRDefault="00DC5EC6">
            <w:pPr>
              <w:spacing w:after="0" w:line="240" w:lineRule="auto"/>
              <w:jc w:val="center"/>
              <w:rPr>
                <w:rFonts w:ascii="Calibri" w:eastAsia="Times New Roman" w:hAnsi="Calibri" w:cs="Calibri"/>
                <w:noProof/>
                <w:sz w:val="16"/>
              </w:rPr>
            </w:pPr>
          </w:p>
        </w:tc>
        <w:tc>
          <w:tcPr>
            <w:tcW w:w="805" w:type="dxa"/>
            <w:shd w:val="clear" w:color="auto" w:fill="C4EFCE"/>
            <w:noWrap/>
            <w:vAlign w:val="center"/>
          </w:tcPr>
          <w:p w14:paraId="58CC0C2B" w14:textId="77777777" w:rsidR="00DC5EC6" w:rsidRDefault="00DC5EC6">
            <w:pPr>
              <w:spacing w:after="0" w:line="240" w:lineRule="auto"/>
              <w:jc w:val="center"/>
              <w:rPr>
                <w:rFonts w:ascii="Calibri" w:eastAsia="Times New Roman" w:hAnsi="Calibri" w:cs="Calibri"/>
                <w:noProof/>
                <w:sz w:val="16"/>
              </w:rPr>
            </w:pPr>
          </w:p>
        </w:tc>
        <w:tc>
          <w:tcPr>
            <w:tcW w:w="833" w:type="dxa"/>
            <w:gridSpan w:val="2"/>
            <w:shd w:val="clear" w:color="auto" w:fill="C4EFCE"/>
            <w:noWrap/>
            <w:vAlign w:val="center"/>
          </w:tcPr>
          <w:p w14:paraId="26FBB759" w14:textId="283995A1" w:rsidR="00DC5EC6" w:rsidRDefault="00A44E9E">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tcPr>
          <w:p w14:paraId="21B59020" w14:textId="6FBC92C2" w:rsidR="00DC5EC6" w:rsidRDefault="003245A4">
            <w:pPr>
              <w:pStyle w:val="P68B1DB1-Normal8"/>
              <w:spacing w:after="0" w:line="240" w:lineRule="auto"/>
              <w:jc w:val="center"/>
              <w:rPr>
                <w:rFonts w:eastAsia="Times New Roman" w:cs="Calibri"/>
                <w:noProof/>
              </w:rPr>
            </w:pPr>
            <w:r>
              <w:rPr>
                <w:noProof/>
              </w:rPr>
              <w:t>2023</w:t>
            </w:r>
          </w:p>
        </w:tc>
        <w:tc>
          <w:tcPr>
            <w:tcW w:w="3981" w:type="dxa"/>
            <w:shd w:val="clear" w:color="auto" w:fill="C4EFCE"/>
            <w:noWrap/>
            <w:vAlign w:val="center"/>
          </w:tcPr>
          <w:p w14:paraId="18393971" w14:textId="67D0DE31" w:rsidR="00DC5EC6" w:rsidRDefault="003245A4">
            <w:pPr>
              <w:pStyle w:val="P68B1DB1-Normal8"/>
              <w:spacing w:after="0" w:line="240" w:lineRule="auto"/>
              <w:jc w:val="both"/>
              <w:rPr>
                <w:rFonts w:eastAsia="Times New Roman" w:cs="Calibri"/>
                <w:noProof/>
              </w:rPr>
            </w:pPr>
            <w:r>
              <w:rPr>
                <w:noProof/>
              </w:rPr>
              <w:t xml:space="preserve">A kelet-Lisszaboni Kórház építésére vonatkozó üzemeltetési szerződés aláírása az ACSS és a különleges célú gazdasági egység (SPV) részéről. A szerződésnek tükröznie kell a szolgáltatások körével (tervezés, építés, finanszírozás, infrastruktúra-karbantartás, az épület általános berendezéseinek szállítása és karbantartása) és időtartamával kapcsolatos feltételeket. </w:t>
            </w:r>
          </w:p>
          <w:p w14:paraId="4D66D758" w14:textId="665D6456" w:rsidR="00DC5EC6" w:rsidRDefault="003245A4">
            <w:pPr>
              <w:pStyle w:val="P68B1DB1-Normal8"/>
              <w:spacing w:after="0" w:line="240" w:lineRule="auto"/>
              <w:jc w:val="both"/>
              <w:rPr>
                <w:rFonts w:eastAsia="Times New Roman" w:cs="Calibri"/>
                <w:noProof/>
              </w:rPr>
            </w:pPr>
            <w:r>
              <w:rPr>
                <w:noProof/>
              </w:rPr>
              <w:t>A szerződésnek tartalmaznia kell egy olyan záradékot is, amely előírja, hogy az új épületek primerenergia-igénye legalább 20%-kal a közel nulla energiaigényű épületekre vonatkozó követelmények alatt legyen.</w:t>
            </w:r>
          </w:p>
        </w:tc>
      </w:tr>
      <w:tr w:rsidR="00DC5EC6" w14:paraId="0DBBA2AD" w14:textId="77777777">
        <w:trPr>
          <w:trHeight w:val="850"/>
        </w:trPr>
        <w:tc>
          <w:tcPr>
            <w:tcW w:w="1135" w:type="dxa"/>
            <w:shd w:val="clear" w:color="auto" w:fill="C4EFCE"/>
            <w:noWrap/>
            <w:vAlign w:val="center"/>
            <w:hideMark/>
          </w:tcPr>
          <w:p w14:paraId="4DEA0843" w14:textId="77777777" w:rsidR="00DC5EC6" w:rsidRDefault="003245A4">
            <w:pPr>
              <w:pStyle w:val="P68B1DB1-Normal7"/>
              <w:spacing w:after="0" w:line="240" w:lineRule="auto"/>
              <w:jc w:val="center"/>
              <w:rPr>
                <w:rFonts w:eastAsia="Times New Roman" w:cs="Calibri"/>
                <w:noProof/>
              </w:rPr>
            </w:pPr>
            <w:r>
              <w:rPr>
                <w:noProof/>
              </w:rPr>
              <w:t>1.26</w:t>
            </w:r>
          </w:p>
        </w:tc>
        <w:tc>
          <w:tcPr>
            <w:tcW w:w="1276" w:type="dxa"/>
            <w:shd w:val="clear" w:color="auto" w:fill="C4EFCE"/>
            <w:noWrap/>
            <w:vAlign w:val="center"/>
            <w:hideMark/>
          </w:tcPr>
          <w:p w14:paraId="264BCD28" w14:textId="77777777" w:rsidR="00DC5EC6" w:rsidRDefault="003245A4">
            <w:pPr>
              <w:pStyle w:val="P68B1DB1-Normal8"/>
              <w:spacing w:after="0" w:line="240" w:lineRule="auto"/>
              <w:jc w:val="center"/>
              <w:rPr>
                <w:rFonts w:eastAsia="Times New Roman" w:cs="Calibri"/>
                <w:noProof/>
              </w:rPr>
            </w:pPr>
            <w:r>
              <w:rPr>
                <w:noProof/>
              </w:rPr>
              <w:t>Újra-C01–i04</w:t>
            </w:r>
          </w:p>
        </w:tc>
        <w:tc>
          <w:tcPr>
            <w:tcW w:w="992" w:type="dxa"/>
            <w:shd w:val="clear" w:color="auto" w:fill="C4EFCE"/>
            <w:noWrap/>
            <w:vAlign w:val="center"/>
            <w:hideMark/>
          </w:tcPr>
          <w:p w14:paraId="450A30B4"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32FB3392" w14:textId="3F4D6888" w:rsidR="00DC5EC6" w:rsidRDefault="003245A4">
            <w:pPr>
              <w:pStyle w:val="P68B1DB1-Normal8"/>
              <w:spacing w:after="0" w:line="240" w:lineRule="auto"/>
              <w:jc w:val="center"/>
              <w:rPr>
                <w:rFonts w:eastAsia="Times New Roman" w:cs="Calibri"/>
                <w:noProof/>
              </w:rPr>
            </w:pPr>
            <w:r>
              <w:rPr>
                <w:noProof/>
              </w:rPr>
              <w:t>A Kelet-Lisszaboni Kórház építése és berendezések beszerzése Lisszabonban és Vale do Tejo-ban</w:t>
            </w:r>
          </w:p>
        </w:tc>
        <w:tc>
          <w:tcPr>
            <w:tcW w:w="1418" w:type="dxa"/>
            <w:shd w:val="clear" w:color="auto" w:fill="C4EFCE"/>
            <w:noWrap/>
            <w:vAlign w:val="center"/>
            <w:hideMark/>
          </w:tcPr>
          <w:p w14:paraId="69F63B22" w14:textId="17B00712" w:rsidR="00DC5EC6" w:rsidRDefault="003245A4">
            <w:pPr>
              <w:pStyle w:val="P68B1DB1-Normal8"/>
              <w:spacing w:after="0" w:line="240" w:lineRule="auto"/>
              <w:jc w:val="center"/>
              <w:rPr>
                <w:rFonts w:eastAsia="Times New Roman" w:cs="Calibri"/>
                <w:noProof/>
              </w:rPr>
            </w:pPr>
            <w:r>
              <w:rPr>
                <w:noProof/>
              </w:rPr>
              <w:t>A Kelet-Lisszaboni Kórház építése és berendezések beszerzése Lisszabonban és Vale do Tejo-ban</w:t>
            </w:r>
          </w:p>
        </w:tc>
        <w:tc>
          <w:tcPr>
            <w:tcW w:w="1164" w:type="dxa"/>
            <w:shd w:val="clear" w:color="auto" w:fill="C4EFCE"/>
            <w:noWrap/>
            <w:vAlign w:val="center"/>
            <w:hideMark/>
          </w:tcPr>
          <w:p w14:paraId="2647720D" w14:textId="77777777" w:rsidR="00DC5EC6" w:rsidRDefault="003245A4">
            <w:pPr>
              <w:pStyle w:val="P68B1DB1-Normal10"/>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DEF2960" w14:textId="77777777" w:rsidR="00DC5EC6" w:rsidRDefault="003245A4">
            <w:pPr>
              <w:pStyle w:val="P68B1DB1-Normal10"/>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7B131ABE" w14:textId="77777777" w:rsidR="00DC5EC6" w:rsidRDefault="003245A4">
            <w:pPr>
              <w:pStyle w:val="P68B1DB1-Normal10"/>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6F5E72E" w14:textId="2C12FFA2"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42B2A8CD"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5B029930" w14:textId="792EA1C2" w:rsidR="00DC5EC6" w:rsidRDefault="003245A4">
            <w:pPr>
              <w:spacing w:after="0" w:line="240" w:lineRule="auto"/>
              <w:jc w:val="both"/>
              <w:rPr>
                <w:noProof/>
              </w:rPr>
            </w:pPr>
            <w:r>
              <w:rPr>
                <w:noProof/>
              </w:rPr>
              <w:t>A Lisszabonban és Vale do Tejo-ban található kórházakban telepítendő berendezések</w:t>
            </w:r>
            <w:r>
              <w:rPr>
                <w:rFonts w:ascii="Calibri" w:hAnsi="Calibri"/>
                <w:noProof/>
                <w:sz w:val="16"/>
              </w:rPr>
              <w:t>beszerzése, összesen 78 740 000 EUR vissza nem térítendő támogatással, nevezetesen klinikai/orvosi és csúcstechnológiai berendezések; általános berendezések, amelyek a különböző terekben elvégzendő feladatokhoz igazított, könnyen tisztíthatók és ergonómiai kialakításúak; valamint számítógépes berendezések.</w:t>
            </w:r>
            <w:r>
              <w:rPr>
                <w:rFonts w:ascii="Calibri" w:hAnsi="Calibri"/>
                <w:noProof/>
                <w:sz w:val="16"/>
                <w:shd w:val="clear" w:color="auto" w:fill="E6E6E6"/>
              </w:rPr>
              <w:t xml:space="preserve"> A Kelet-Lisszaboni Kórház</w:t>
            </w:r>
            <w:r>
              <w:rPr>
                <w:rFonts w:ascii="Calibri" w:hAnsi="Calibri"/>
                <w:noProof/>
                <w:sz w:val="16"/>
              </w:rPr>
              <w:t>építése, nevezetesen i. a Poente torony, ii. a B. telek épülete és iii. a C telek épületének építése, összesen 100 000 000 EUR vissza nem térítendő támogatással. Ezen új épületek primerenergia-szükségletének legalább 20%-kal a közel nulla energiaigényű épületekre vonatkozó követelmények alatt kell lennie</w:t>
            </w:r>
            <w:r>
              <w:rPr>
                <w:noProof/>
              </w:rPr>
              <w:t>.</w:t>
            </w:r>
          </w:p>
        </w:tc>
      </w:tr>
      <w:tr w:rsidR="00DC5EC6" w14:paraId="38A34B61" w14:textId="77777777">
        <w:trPr>
          <w:trHeight w:val="850"/>
        </w:trPr>
        <w:tc>
          <w:tcPr>
            <w:tcW w:w="1135" w:type="dxa"/>
            <w:shd w:val="clear" w:color="auto" w:fill="C4EFCE"/>
            <w:noWrap/>
            <w:vAlign w:val="center"/>
            <w:hideMark/>
          </w:tcPr>
          <w:p w14:paraId="725C9153" w14:textId="77777777" w:rsidR="00DC5EC6" w:rsidRDefault="003245A4">
            <w:pPr>
              <w:pStyle w:val="P68B1DB1-Normal7"/>
              <w:spacing w:after="0" w:line="240" w:lineRule="auto"/>
              <w:jc w:val="center"/>
              <w:rPr>
                <w:rFonts w:eastAsia="Times New Roman" w:cs="Calibri"/>
                <w:noProof/>
              </w:rPr>
            </w:pPr>
            <w:r>
              <w:rPr>
                <w:noProof/>
              </w:rPr>
              <w:t>1.27</w:t>
            </w:r>
          </w:p>
        </w:tc>
        <w:tc>
          <w:tcPr>
            <w:tcW w:w="1276" w:type="dxa"/>
            <w:shd w:val="clear" w:color="auto" w:fill="C4EFCE"/>
            <w:noWrap/>
            <w:vAlign w:val="center"/>
            <w:hideMark/>
          </w:tcPr>
          <w:p w14:paraId="64400C1F"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81DDB8E"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C7C8556" w14:textId="77777777" w:rsidR="00DC5EC6" w:rsidRDefault="003245A4">
            <w:pPr>
              <w:pStyle w:val="P68B1DB1-Normal8"/>
              <w:spacing w:after="0" w:line="240" w:lineRule="auto"/>
              <w:jc w:val="center"/>
              <w:rPr>
                <w:rFonts w:eastAsia="Times New Roman" w:cs="Calibri"/>
                <w:noProof/>
              </w:rPr>
            </w:pPr>
            <w:r>
              <w:rPr>
                <w:noProof/>
              </w:rPr>
              <w:t>Madeira regionális egészségügyi szolgálatának otthoni kórházi ellátási rendszerében rendelkezésre álló helyek számának növelése</w:t>
            </w:r>
          </w:p>
        </w:tc>
        <w:tc>
          <w:tcPr>
            <w:tcW w:w="1418" w:type="dxa"/>
            <w:shd w:val="clear" w:color="auto" w:fill="C4EFCE"/>
            <w:noWrap/>
            <w:vAlign w:val="center"/>
            <w:hideMark/>
          </w:tcPr>
          <w:p w14:paraId="501441A2"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3426B467"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BE39102"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743EDF67" w14:textId="77777777" w:rsidR="00DC5EC6" w:rsidRDefault="003245A4">
            <w:pPr>
              <w:pStyle w:val="P68B1DB1-Normal8"/>
              <w:spacing w:after="0" w:line="240" w:lineRule="auto"/>
              <w:jc w:val="center"/>
              <w:rPr>
                <w:rFonts w:eastAsia="Times New Roman" w:cs="Calibri"/>
                <w:noProof/>
              </w:rPr>
            </w:pPr>
            <w:r>
              <w:rPr>
                <w:noProof/>
              </w:rPr>
              <w:t>1 500</w:t>
            </w:r>
          </w:p>
        </w:tc>
        <w:tc>
          <w:tcPr>
            <w:tcW w:w="833" w:type="dxa"/>
            <w:gridSpan w:val="2"/>
            <w:shd w:val="clear" w:color="auto" w:fill="C4EFCE"/>
            <w:noWrap/>
            <w:vAlign w:val="center"/>
            <w:hideMark/>
          </w:tcPr>
          <w:p w14:paraId="2B0D5EEA" w14:textId="4ED5E36F"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3AFF1172"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664D2578" w14:textId="0D007B14" w:rsidR="00DC5EC6" w:rsidRDefault="003245A4">
            <w:pPr>
              <w:pStyle w:val="P68B1DB1-Normal8"/>
              <w:spacing w:after="0" w:line="240" w:lineRule="auto"/>
              <w:jc w:val="both"/>
              <w:rPr>
                <w:rFonts w:eastAsia="Times New Roman" w:cs="Calibri"/>
                <w:noProof/>
              </w:rPr>
            </w:pPr>
            <w:r>
              <w:rPr>
                <w:noProof/>
              </w:rPr>
              <w:t>Madeira regionális egészségügyi szolgálatának reagálási képességének megerősítése az otthoni kórházi ellátási rendszerben rendelkezésre álló helyek számának növelésével, lehetővé téve ezáltal, hogy otthon a kórházi szinten differenciált, összetett és intenzív egészségügyi szolgáltatásokat lehessen nyújtani, szorosan kapcsolódva az egészségügyi alapellátáshoz és egyéb szolgáltatásokhoz.</w:t>
            </w:r>
          </w:p>
        </w:tc>
      </w:tr>
      <w:tr w:rsidR="00DC5EC6" w14:paraId="68BBE707" w14:textId="77777777">
        <w:trPr>
          <w:trHeight w:val="430"/>
        </w:trPr>
        <w:tc>
          <w:tcPr>
            <w:tcW w:w="1135" w:type="dxa"/>
            <w:shd w:val="clear" w:color="auto" w:fill="C4EFCE"/>
            <w:noWrap/>
            <w:vAlign w:val="center"/>
            <w:hideMark/>
          </w:tcPr>
          <w:p w14:paraId="6B8F9975" w14:textId="77777777" w:rsidR="00DC5EC6" w:rsidRDefault="003245A4">
            <w:pPr>
              <w:pStyle w:val="P68B1DB1-Normal7"/>
              <w:spacing w:after="0" w:line="240" w:lineRule="auto"/>
              <w:jc w:val="center"/>
              <w:rPr>
                <w:rFonts w:eastAsia="Times New Roman" w:cs="Calibri"/>
                <w:noProof/>
              </w:rPr>
            </w:pPr>
            <w:r>
              <w:rPr>
                <w:noProof/>
              </w:rPr>
              <w:t>1.28</w:t>
            </w:r>
          </w:p>
        </w:tc>
        <w:tc>
          <w:tcPr>
            <w:tcW w:w="1276" w:type="dxa"/>
            <w:shd w:val="clear" w:color="auto" w:fill="C4EFCE"/>
            <w:noWrap/>
            <w:vAlign w:val="center"/>
            <w:hideMark/>
          </w:tcPr>
          <w:p w14:paraId="7EFF19CE"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1B8E013A"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1D1DE9F" w14:textId="77777777" w:rsidR="00DC5EC6" w:rsidRDefault="003245A4">
            <w:pPr>
              <w:pStyle w:val="P68B1DB1-Normal8"/>
              <w:spacing w:after="0" w:line="240" w:lineRule="auto"/>
              <w:jc w:val="center"/>
              <w:rPr>
                <w:rFonts w:eastAsia="Times New Roman" w:cs="Calibri"/>
                <w:noProof/>
              </w:rPr>
            </w:pPr>
            <w:r>
              <w:rPr>
                <w:noProof/>
              </w:rPr>
              <w:t>Közösségi mentális egészségügyi csoportok létrehozása Madeira regionális egészségügyi szolgálatában</w:t>
            </w:r>
          </w:p>
        </w:tc>
        <w:tc>
          <w:tcPr>
            <w:tcW w:w="1418" w:type="dxa"/>
            <w:shd w:val="clear" w:color="auto" w:fill="C4EFCE"/>
            <w:noWrap/>
            <w:vAlign w:val="center"/>
            <w:hideMark/>
          </w:tcPr>
          <w:p w14:paraId="5B56375A"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5965D60"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488F202"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54B9112A" w14:textId="77777777" w:rsidR="00DC5EC6" w:rsidRDefault="003245A4">
            <w:pPr>
              <w:pStyle w:val="P68B1DB1-Normal8"/>
              <w:spacing w:after="0" w:line="240" w:lineRule="auto"/>
              <w:jc w:val="center"/>
              <w:rPr>
                <w:rFonts w:eastAsia="Times New Roman" w:cs="Calibri"/>
                <w:noProof/>
              </w:rPr>
            </w:pPr>
            <w:r>
              <w:rPr>
                <w:noProof/>
              </w:rPr>
              <w:t>11</w:t>
            </w:r>
          </w:p>
        </w:tc>
        <w:tc>
          <w:tcPr>
            <w:tcW w:w="833" w:type="dxa"/>
            <w:gridSpan w:val="2"/>
            <w:shd w:val="clear" w:color="auto" w:fill="C4EFCE"/>
            <w:noWrap/>
            <w:vAlign w:val="center"/>
            <w:hideMark/>
          </w:tcPr>
          <w:p w14:paraId="5AD45B50" w14:textId="00E281FE"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1FBFEAD9"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0A1580E" w14:textId="77777777" w:rsidR="00DC5EC6" w:rsidRDefault="003245A4">
            <w:pPr>
              <w:pStyle w:val="P68B1DB1-Normal8"/>
              <w:spacing w:after="0" w:line="240" w:lineRule="auto"/>
              <w:jc w:val="both"/>
              <w:rPr>
                <w:rFonts w:eastAsia="Times New Roman" w:cs="Calibri"/>
                <w:noProof/>
              </w:rPr>
            </w:pPr>
            <w:r>
              <w:rPr>
                <w:noProof/>
              </w:rPr>
              <w:t>Madeira regionális egészségügyi szolgálatának reagálási képességének megerősítése a mentális egészség és az öregedéssel összefüggő demenciák területén közösségi mentális egészségügyi csoportok létrehozása révén.</w:t>
            </w:r>
          </w:p>
        </w:tc>
      </w:tr>
      <w:tr w:rsidR="00DC5EC6" w14:paraId="601A2D9F" w14:textId="77777777">
        <w:trPr>
          <w:trHeight w:val="640"/>
        </w:trPr>
        <w:tc>
          <w:tcPr>
            <w:tcW w:w="1135" w:type="dxa"/>
            <w:shd w:val="clear" w:color="auto" w:fill="C4EFCE"/>
            <w:noWrap/>
            <w:vAlign w:val="center"/>
            <w:hideMark/>
          </w:tcPr>
          <w:p w14:paraId="0B9ADE7F" w14:textId="77777777" w:rsidR="00DC5EC6" w:rsidRDefault="003245A4">
            <w:pPr>
              <w:pStyle w:val="P68B1DB1-Normal7"/>
              <w:spacing w:after="0" w:line="240" w:lineRule="auto"/>
              <w:jc w:val="center"/>
              <w:rPr>
                <w:rFonts w:eastAsia="Times New Roman" w:cs="Calibri"/>
                <w:noProof/>
              </w:rPr>
            </w:pPr>
            <w:r>
              <w:rPr>
                <w:noProof/>
              </w:rPr>
              <w:t>1.29</w:t>
            </w:r>
          </w:p>
        </w:tc>
        <w:tc>
          <w:tcPr>
            <w:tcW w:w="1276" w:type="dxa"/>
            <w:shd w:val="clear" w:color="auto" w:fill="C4EFCE"/>
            <w:noWrap/>
            <w:vAlign w:val="center"/>
            <w:hideMark/>
          </w:tcPr>
          <w:p w14:paraId="4F5677A4"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4338AFAF"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70B8B5FF"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szolgáltatásokra vonatkozó osztályozási rendszer, funkcionális profil és felhasználói beterjesztési rendszer bevezetése Madeira regionális modelljéhez</w:t>
            </w:r>
          </w:p>
        </w:tc>
        <w:tc>
          <w:tcPr>
            <w:tcW w:w="1418" w:type="dxa"/>
            <w:shd w:val="clear" w:color="auto" w:fill="C4EFCE"/>
            <w:noWrap/>
            <w:vAlign w:val="center"/>
            <w:hideMark/>
          </w:tcPr>
          <w:p w14:paraId="792AE747" w14:textId="77777777" w:rsidR="00DC5EC6" w:rsidRDefault="003245A4">
            <w:pPr>
              <w:pStyle w:val="P68B1DB1-Normal8"/>
              <w:spacing w:after="0" w:line="240" w:lineRule="auto"/>
              <w:jc w:val="center"/>
              <w:rPr>
                <w:rFonts w:eastAsia="Times New Roman" w:cs="Calibri"/>
                <w:noProof/>
              </w:rPr>
            </w:pPr>
            <w:r>
              <w:rPr>
                <w:noProof/>
              </w:rPr>
              <w:t>Jelentés az osztályozási rendszer, a funkcionális profil és a felhasználói véleményezési rendszer bevezetéséről</w:t>
            </w:r>
          </w:p>
        </w:tc>
        <w:tc>
          <w:tcPr>
            <w:tcW w:w="1164" w:type="dxa"/>
            <w:shd w:val="clear" w:color="auto" w:fill="C4EFCE"/>
            <w:noWrap/>
            <w:vAlign w:val="center"/>
            <w:hideMark/>
          </w:tcPr>
          <w:p w14:paraId="7DF78181"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1B3035AA"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238781B8"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208823D9" w14:textId="5505CDEA"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21D3F18F" w14:textId="77777777" w:rsidR="00DC5EC6" w:rsidRDefault="003245A4">
            <w:pPr>
              <w:pStyle w:val="P68B1DB1-Normal8"/>
              <w:spacing w:after="0" w:line="240" w:lineRule="auto"/>
              <w:jc w:val="center"/>
              <w:rPr>
                <w:rFonts w:eastAsia="Times New Roman" w:cs="Calibri"/>
                <w:noProof/>
              </w:rPr>
            </w:pPr>
            <w:r>
              <w:rPr>
                <w:noProof/>
              </w:rPr>
              <w:t>2021</w:t>
            </w:r>
          </w:p>
        </w:tc>
        <w:tc>
          <w:tcPr>
            <w:tcW w:w="3981" w:type="dxa"/>
            <w:shd w:val="clear" w:color="auto" w:fill="C4EFCE"/>
            <w:noWrap/>
            <w:vAlign w:val="center"/>
            <w:hideMark/>
          </w:tcPr>
          <w:p w14:paraId="5AE6B77D" w14:textId="77777777" w:rsidR="00DC5EC6" w:rsidRDefault="003245A4">
            <w:pPr>
              <w:pStyle w:val="P68B1DB1-Normal8"/>
              <w:spacing w:after="0" w:line="240" w:lineRule="auto"/>
              <w:jc w:val="both"/>
              <w:rPr>
                <w:rFonts w:eastAsia="Times New Roman" w:cs="Calibri"/>
                <w:noProof/>
              </w:rPr>
            </w:pPr>
            <w:r>
              <w:rPr>
                <w:noProof/>
              </w:rPr>
              <w:t>Az osztályozási rendszer, a funkcionális profil és a felhasználói beterjesztési rendszer bevezetése Madeira integrált folyamatos gondozási szolgáltatásokra vonatkozó regionális modelljének megerősítése, valamint koordinációja és technikai irányítása érdekében.</w:t>
            </w:r>
          </w:p>
        </w:tc>
      </w:tr>
      <w:tr w:rsidR="00DC5EC6" w14:paraId="1098BF06" w14:textId="77777777">
        <w:trPr>
          <w:trHeight w:val="1060"/>
        </w:trPr>
        <w:tc>
          <w:tcPr>
            <w:tcW w:w="1135" w:type="dxa"/>
            <w:shd w:val="clear" w:color="auto" w:fill="C4EFCE"/>
            <w:noWrap/>
            <w:vAlign w:val="center"/>
            <w:hideMark/>
          </w:tcPr>
          <w:p w14:paraId="67550639" w14:textId="77777777" w:rsidR="00DC5EC6" w:rsidRDefault="003245A4">
            <w:pPr>
              <w:pStyle w:val="P68B1DB1-Normal7"/>
              <w:spacing w:after="0" w:line="240" w:lineRule="auto"/>
              <w:jc w:val="center"/>
              <w:rPr>
                <w:rFonts w:eastAsia="Times New Roman" w:cs="Calibri"/>
                <w:noProof/>
              </w:rPr>
            </w:pPr>
            <w:r>
              <w:rPr>
                <w:noProof/>
              </w:rPr>
              <w:t>1.30</w:t>
            </w:r>
          </w:p>
        </w:tc>
        <w:tc>
          <w:tcPr>
            <w:tcW w:w="1276" w:type="dxa"/>
            <w:shd w:val="clear" w:color="auto" w:fill="C4EFCE"/>
            <w:noWrap/>
            <w:vAlign w:val="center"/>
            <w:hideMark/>
          </w:tcPr>
          <w:p w14:paraId="43DCB444"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04FC5C57"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606F1B98" w14:textId="77777777" w:rsidR="00DC5EC6" w:rsidRDefault="003245A4">
            <w:pPr>
              <w:pStyle w:val="P68B1DB1-Normal8"/>
              <w:spacing w:after="0" w:line="240" w:lineRule="auto"/>
              <w:jc w:val="center"/>
              <w:rPr>
                <w:rFonts w:eastAsia="Times New Roman" w:cs="Calibri"/>
                <w:noProof/>
              </w:rPr>
            </w:pPr>
            <w:r>
              <w:rPr>
                <w:noProof/>
              </w:rPr>
              <w:t>Az integrált folyamatos ápolási-gondozási szolgáltatásokban részt vevő férőhelyek számának növekedése Madeira regionális egészségügyi szolgálatában</w:t>
            </w:r>
          </w:p>
        </w:tc>
        <w:tc>
          <w:tcPr>
            <w:tcW w:w="1418" w:type="dxa"/>
            <w:shd w:val="clear" w:color="auto" w:fill="C4EFCE"/>
            <w:noWrap/>
            <w:vAlign w:val="center"/>
            <w:hideMark/>
          </w:tcPr>
          <w:p w14:paraId="21827395"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2498DB0B"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17180C84"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0A4DD6D" w14:textId="77777777" w:rsidR="00DC5EC6" w:rsidRDefault="003245A4">
            <w:pPr>
              <w:pStyle w:val="P68B1DB1-Normal8"/>
              <w:spacing w:after="0" w:line="240" w:lineRule="auto"/>
              <w:jc w:val="center"/>
              <w:rPr>
                <w:rFonts w:eastAsia="Times New Roman" w:cs="Calibri"/>
                <w:noProof/>
              </w:rPr>
            </w:pPr>
            <w:r>
              <w:rPr>
                <w:noProof/>
              </w:rPr>
              <w:t>1 080</w:t>
            </w:r>
          </w:p>
        </w:tc>
        <w:tc>
          <w:tcPr>
            <w:tcW w:w="833" w:type="dxa"/>
            <w:gridSpan w:val="2"/>
            <w:shd w:val="clear" w:color="auto" w:fill="C4EFCE"/>
            <w:noWrap/>
            <w:vAlign w:val="center"/>
            <w:hideMark/>
          </w:tcPr>
          <w:p w14:paraId="1FCF5E4A" w14:textId="5B4A21CB"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160FF7E"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13670F9" w14:textId="2575518F" w:rsidR="00DC5EC6" w:rsidRDefault="003245A4">
            <w:pPr>
              <w:pStyle w:val="P68B1DB1-Normal8"/>
              <w:spacing w:after="0" w:line="240" w:lineRule="auto"/>
              <w:jc w:val="both"/>
              <w:rPr>
                <w:rFonts w:eastAsia="Times New Roman" w:cs="Calibri"/>
                <w:noProof/>
              </w:rPr>
            </w:pPr>
            <w:r>
              <w:rPr>
                <w:noProof/>
              </w:rPr>
              <w:t>A Madeira regionális egészségügyi szolgálatában integrált folyamatos ápolási-gondozási szolgáltatások keretében létrehozott új és felújított helyek száma, az új és felújított ágyakban mérve, általában véve (beleértve a gyógyulást, a középtávú és rehabilitációs egységet, valamint a hosszú távú és karbantartó egységet), a mentális egészségügyi és gyermekgyógyászati szolgáltatásokat. Magában foglalja a vissza nem térítendő támogatás felhasználását i. olyan új egészségügyi infrastruktúra kiépítésére, amelynek primerenergia-szükséglete legalább 20%-kal alacsonyabb a közel nulla energiaigényű épületekre vonatkozó követelményeknél; és ii. energiahatékonysági felújítás végrehajtása.</w:t>
            </w:r>
          </w:p>
        </w:tc>
      </w:tr>
      <w:tr w:rsidR="00DC5EC6" w14:paraId="228353BC" w14:textId="77777777">
        <w:trPr>
          <w:trHeight w:val="300"/>
        </w:trPr>
        <w:tc>
          <w:tcPr>
            <w:tcW w:w="1135" w:type="dxa"/>
            <w:shd w:val="clear" w:color="auto" w:fill="C4EFCE"/>
            <w:noWrap/>
            <w:vAlign w:val="center"/>
            <w:hideMark/>
          </w:tcPr>
          <w:p w14:paraId="4EE5165B" w14:textId="77777777" w:rsidR="00DC5EC6" w:rsidRDefault="003245A4">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45977E58" w14:textId="77777777" w:rsidR="00DC5EC6" w:rsidRDefault="003245A4">
            <w:pPr>
              <w:pStyle w:val="P68B1DB1-Normal8"/>
              <w:spacing w:after="0" w:line="240" w:lineRule="auto"/>
              <w:jc w:val="center"/>
              <w:rPr>
                <w:rFonts w:eastAsia="Times New Roman" w:cs="Calibri"/>
                <w:noProof/>
              </w:rPr>
            </w:pPr>
            <w:r>
              <w:rPr>
                <w:noProof/>
              </w:rPr>
              <w:t>Re-C01-i05-RAM</w:t>
            </w:r>
          </w:p>
        </w:tc>
        <w:tc>
          <w:tcPr>
            <w:tcW w:w="992" w:type="dxa"/>
            <w:shd w:val="clear" w:color="auto" w:fill="C4EFCE"/>
            <w:noWrap/>
            <w:vAlign w:val="center"/>
            <w:hideMark/>
          </w:tcPr>
          <w:p w14:paraId="5FD6D547"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4FC0E06E" w14:textId="77777777" w:rsidR="00DC5EC6" w:rsidRDefault="003245A4">
            <w:pPr>
              <w:pStyle w:val="P68B1DB1-Normal8"/>
              <w:spacing w:after="0" w:line="240" w:lineRule="auto"/>
              <w:jc w:val="center"/>
              <w:rPr>
                <w:rFonts w:eastAsia="Times New Roman" w:cs="Calibri"/>
                <w:noProof/>
              </w:rPr>
            </w:pPr>
            <w:r>
              <w:rPr>
                <w:noProof/>
              </w:rPr>
              <w:t>Az egészségügyi alapellátás felújítása Madeira regionális egészségügyi szolgálatában</w:t>
            </w:r>
          </w:p>
        </w:tc>
        <w:tc>
          <w:tcPr>
            <w:tcW w:w="1418" w:type="dxa"/>
            <w:shd w:val="clear" w:color="auto" w:fill="C4EFCE"/>
            <w:noWrap/>
            <w:vAlign w:val="center"/>
            <w:hideMark/>
          </w:tcPr>
          <w:p w14:paraId="356EBB6C"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1164" w:type="dxa"/>
            <w:shd w:val="clear" w:color="auto" w:fill="C4EFCE"/>
            <w:noWrap/>
            <w:vAlign w:val="center"/>
            <w:hideMark/>
          </w:tcPr>
          <w:p w14:paraId="7418E171"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798DA9A1"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4AB16FD0" w14:textId="77777777" w:rsidR="00DC5EC6" w:rsidRDefault="003245A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141B4ED0" w14:textId="7CF8B7FB"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76AB49A4" w14:textId="77777777" w:rsidR="00DC5EC6" w:rsidRDefault="003245A4">
            <w:pPr>
              <w:pStyle w:val="P68B1DB1-Normal8"/>
              <w:spacing w:after="0" w:line="240" w:lineRule="auto"/>
              <w:jc w:val="center"/>
              <w:rPr>
                <w:rFonts w:eastAsia="Times New Roman" w:cs="Calibri"/>
                <w:noProof/>
              </w:rPr>
            </w:pPr>
            <w:r>
              <w:rPr>
                <w:noProof/>
              </w:rPr>
              <w:t>2026</w:t>
            </w:r>
          </w:p>
        </w:tc>
        <w:tc>
          <w:tcPr>
            <w:tcW w:w="3981" w:type="dxa"/>
            <w:shd w:val="clear" w:color="auto" w:fill="C4EFCE"/>
            <w:noWrap/>
            <w:vAlign w:val="center"/>
            <w:hideMark/>
          </w:tcPr>
          <w:p w14:paraId="24350EBE" w14:textId="77777777" w:rsidR="00DC5EC6" w:rsidRDefault="003245A4">
            <w:pPr>
              <w:pStyle w:val="P68B1DB1-Normal8"/>
              <w:spacing w:after="0" w:line="240" w:lineRule="auto"/>
              <w:jc w:val="both"/>
              <w:rPr>
                <w:rFonts w:eastAsia="Times New Roman" w:cs="Calibri"/>
                <w:noProof/>
              </w:rPr>
            </w:pPr>
            <w:r>
              <w:rPr>
                <w:noProof/>
              </w:rPr>
              <w:t>A felújított egészségügyi alapellátási létesítmények száma Madeira regionális egészségügyi szolgálatában.</w:t>
            </w:r>
          </w:p>
        </w:tc>
      </w:tr>
      <w:tr w:rsidR="00DC5EC6" w14:paraId="5DB36F90" w14:textId="77777777">
        <w:trPr>
          <w:trHeight w:val="640"/>
        </w:trPr>
        <w:tc>
          <w:tcPr>
            <w:tcW w:w="1135" w:type="dxa"/>
            <w:shd w:val="clear" w:color="auto" w:fill="C4EFCE"/>
            <w:noWrap/>
            <w:vAlign w:val="center"/>
            <w:hideMark/>
          </w:tcPr>
          <w:p w14:paraId="23301C6E" w14:textId="77777777" w:rsidR="00DC5EC6" w:rsidRDefault="003245A4">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07BF663B" w14:textId="77777777" w:rsidR="00DC5EC6" w:rsidRDefault="003245A4">
            <w:pPr>
              <w:pStyle w:val="P68B1DB1-Normal8"/>
              <w:spacing w:after="0" w:line="240" w:lineRule="auto"/>
              <w:jc w:val="center"/>
              <w:rPr>
                <w:rFonts w:eastAsia="Times New Roman" w:cs="Calibri"/>
                <w:noProof/>
              </w:rPr>
            </w:pPr>
            <w:r>
              <w:rPr>
                <w:noProof/>
              </w:rPr>
              <w:t>Vissza-C01-i06</w:t>
            </w:r>
          </w:p>
        </w:tc>
        <w:tc>
          <w:tcPr>
            <w:tcW w:w="992" w:type="dxa"/>
            <w:shd w:val="clear" w:color="auto" w:fill="C4EFCE"/>
            <w:noWrap/>
            <w:vAlign w:val="center"/>
            <w:hideMark/>
          </w:tcPr>
          <w:p w14:paraId="54C196BC"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1C09812" w14:textId="77777777" w:rsidR="00DC5EC6" w:rsidRDefault="003245A4">
            <w:pPr>
              <w:pStyle w:val="P68B1DB1-Normal8"/>
              <w:spacing w:after="0" w:line="240" w:lineRule="auto"/>
              <w:jc w:val="center"/>
              <w:rPr>
                <w:rFonts w:eastAsia="Times New Roman" w:cs="Calibri"/>
                <w:noProof/>
              </w:rPr>
            </w:pPr>
            <w:r>
              <w:rPr>
                <w:noProof/>
              </w:rPr>
              <w:t>A helyi információtechnológiai hálózatok korszerűsítése</w:t>
            </w:r>
          </w:p>
        </w:tc>
        <w:tc>
          <w:tcPr>
            <w:tcW w:w="1418" w:type="dxa"/>
            <w:shd w:val="clear" w:color="auto" w:fill="C4EFCE"/>
            <w:noWrap/>
            <w:vAlign w:val="center"/>
            <w:hideMark/>
          </w:tcPr>
          <w:p w14:paraId="7496A1FC"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51D12A45" w14:textId="77777777" w:rsidR="00DC5EC6" w:rsidRDefault="003245A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604F7E4B"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4ACEC4B" w14:textId="77777777" w:rsidR="00DC5EC6" w:rsidRDefault="003245A4">
            <w:pPr>
              <w:pStyle w:val="P68B1DB1-Normal8"/>
              <w:spacing w:after="0" w:line="240" w:lineRule="auto"/>
              <w:jc w:val="center"/>
              <w:rPr>
                <w:rFonts w:eastAsia="Times New Roman" w:cs="Calibri"/>
                <w:noProof/>
              </w:rPr>
            </w:pPr>
            <w:r>
              <w:rPr>
                <w:noProof/>
              </w:rPr>
              <w:t>90</w:t>
            </w:r>
          </w:p>
        </w:tc>
        <w:tc>
          <w:tcPr>
            <w:tcW w:w="833" w:type="dxa"/>
            <w:gridSpan w:val="2"/>
            <w:shd w:val="clear" w:color="auto" w:fill="C4EFCE"/>
            <w:noWrap/>
            <w:vAlign w:val="center"/>
            <w:hideMark/>
          </w:tcPr>
          <w:p w14:paraId="58F1EC69" w14:textId="23674A33"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540758F3"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38EC5631" w14:textId="77777777" w:rsidR="00DC5EC6" w:rsidRDefault="003245A4">
            <w:pPr>
              <w:pStyle w:val="P68B1DB1-Normal8"/>
              <w:spacing w:after="0" w:line="240" w:lineRule="auto"/>
              <w:jc w:val="both"/>
              <w:rPr>
                <w:rFonts w:eastAsia="Times New Roman" w:cs="Calibri"/>
                <w:noProof/>
              </w:rPr>
            </w:pPr>
            <w:r>
              <w:rPr>
                <w:noProof/>
              </w:rPr>
              <w:t>A Nemzeti Egészségügyi Szolgálaton belül az Egészségügyi Minisztérium megosztott szolgáltató egysége által szervezett és megvalósított, korszerűsített helyi információtechnológiai hálózatok százalékos aránya, amelyek így képesek lesznek az egységes kommunikáció új modelljében (Voice on Internet Protocol) működni.</w:t>
            </w:r>
          </w:p>
        </w:tc>
      </w:tr>
      <w:tr w:rsidR="00DC5EC6" w14:paraId="1D239173" w14:textId="77777777">
        <w:trPr>
          <w:trHeight w:val="640"/>
        </w:trPr>
        <w:tc>
          <w:tcPr>
            <w:tcW w:w="1135" w:type="dxa"/>
            <w:shd w:val="clear" w:color="auto" w:fill="C4EFCE"/>
            <w:noWrap/>
            <w:vAlign w:val="center"/>
            <w:hideMark/>
          </w:tcPr>
          <w:p w14:paraId="47CBD861" w14:textId="77777777" w:rsidR="00DC5EC6" w:rsidRDefault="003245A4">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238DEBF" w14:textId="77777777" w:rsidR="00DC5EC6" w:rsidRDefault="003245A4">
            <w:pPr>
              <w:pStyle w:val="P68B1DB1-Normal8"/>
              <w:spacing w:after="0" w:line="240" w:lineRule="auto"/>
              <w:jc w:val="center"/>
              <w:rPr>
                <w:rFonts w:eastAsia="Times New Roman" w:cs="Calibri"/>
                <w:noProof/>
              </w:rPr>
            </w:pPr>
            <w:r>
              <w:rPr>
                <w:noProof/>
              </w:rPr>
              <w:t>Vissza-C01-i06</w:t>
            </w:r>
          </w:p>
        </w:tc>
        <w:tc>
          <w:tcPr>
            <w:tcW w:w="992" w:type="dxa"/>
            <w:shd w:val="clear" w:color="auto" w:fill="C4EFCE"/>
            <w:noWrap/>
            <w:vAlign w:val="center"/>
            <w:hideMark/>
          </w:tcPr>
          <w:p w14:paraId="0AC6399B"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719C984B" w14:textId="77777777" w:rsidR="00DC5EC6" w:rsidRDefault="003245A4">
            <w:pPr>
              <w:pStyle w:val="P68B1DB1-Normal8"/>
              <w:spacing w:after="0" w:line="240" w:lineRule="auto"/>
              <w:jc w:val="center"/>
              <w:rPr>
                <w:rFonts w:eastAsia="Times New Roman" w:cs="Calibri"/>
                <w:noProof/>
              </w:rPr>
            </w:pPr>
            <w:r>
              <w:rPr>
                <w:noProof/>
              </w:rPr>
              <w:t>A távegészségügyi és távellenőrzési funkciók megvalósítása</w:t>
            </w:r>
          </w:p>
        </w:tc>
        <w:tc>
          <w:tcPr>
            <w:tcW w:w="1418" w:type="dxa"/>
            <w:shd w:val="clear" w:color="auto" w:fill="C4EFCE"/>
            <w:noWrap/>
            <w:vAlign w:val="center"/>
            <w:hideMark/>
          </w:tcPr>
          <w:p w14:paraId="1F8B5CCD"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4073D926" w14:textId="77777777" w:rsidR="00DC5EC6" w:rsidRDefault="003245A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375E54E1"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38EB1FEB" w14:textId="77777777" w:rsidR="00DC5EC6" w:rsidRDefault="003245A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2F344E98" w14:textId="2054EABE" w:rsidR="00DC5EC6" w:rsidRDefault="00A44E9E">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04B7D6FE" w14:textId="77777777" w:rsidR="00DC5EC6" w:rsidRDefault="003245A4">
            <w:pPr>
              <w:pStyle w:val="P68B1DB1-Normal8"/>
              <w:spacing w:after="0" w:line="240" w:lineRule="auto"/>
              <w:jc w:val="center"/>
              <w:rPr>
                <w:rFonts w:eastAsia="Times New Roman" w:cs="Calibri"/>
                <w:noProof/>
              </w:rPr>
            </w:pPr>
            <w:r>
              <w:rPr>
                <w:noProof/>
              </w:rPr>
              <w:t>2022</w:t>
            </w:r>
          </w:p>
        </w:tc>
        <w:tc>
          <w:tcPr>
            <w:tcW w:w="3981" w:type="dxa"/>
            <w:shd w:val="clear" w:color="auto" w:fill="C4EFCE"/>
            <w:noWrap/>
            <w:vAlign w:val="center"/>
            <w:hideMark/>
          </w:tcPr>
          <w:p w14:paraId="1BBF837A" w14:textId="77777777" w:rsidR="00DC5EC6" w:rsidRDefault="003245A4">
            <w:pPr>
              <w:pStyle w:val="P68B1DB1-Normal8"/>
              <w:spacing w:after="0" w:line="240" w:lineRule="auto"/>
              <w:jc w:val="both"/>
              <w:rPr>
                <w:rFonts w:eastAsia="Times New Roman" w:cs="Calibri"/>
                <w:noProof/>
              </w:rPr>
            </w:pPr>
            <w:r>
              <w:rPr>
                <w:noProof/>
              </w:rPr>
              <w:t>Azon felhasználók százalékos aránya, akik hozzáférnek a távegészségügyi szolgáltatások nyújtását lehetővé tevő új távegészségügyi és telemonitoring funkciókhoz, ezáltal növelve az egészségügyi ellátáshoz való hozzáférés szintjét és a polgárok részvételét a távoli információgyűjtés és -kezelés folyamatában.</w:t>
            </w:r>
          </w:p>
        </w:tc>
      </w:tr>
      <w:tr w:rsidR="00DC5EC6" w14:paraId="6B7A654B" w14:textId="77777777">
        <w:trPr>
          <w:trHeight w:val="414"/>
        </w:trPr>
        <w:tc>
          <w:tcPr>
            <w:tcW w:w="1135" w:type="dxa"/>
            <w:shd w:val="clear" w:color="auto" w:fill="C4EFCE"/>
            <w:noWrap/>
            <w:vAlign w:val="center"/>
            <w:hideMark/>
          </w:tcPr>
          <w:p w14:paraId="788FB01B" w14:textId="77777777" w:rsidR="00DC5EC6" w:rsidRDefault="003245A4">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3B63F904" w14:textId="77777777" w:rsidR="00DC5EC6" w:rsidRDefault="003245A4">
            <w:pPr>
              <w:pStyle w:val="P68B1DB1-Normal8"/>
              <w:spacing w:after="0" w:line="240" w:lineRule="auto"/>
              <w:jc w:val="center"/>
              <w:rPr>
                <w:rFonts w:eastAsia="Times New Roman" w:cs="Calibri"/>
                <w:noProof/>
              </w:rPr>
            </w:pPr>
            <w:r>
              <w:rPr>
                <w:noProof/>
              </w:rPr>
              <w:t>Vissza-C01-i06</w:t>
            </w:r>
          </w:p>
        </w:tc>
        <w:tc>
          <w:tcPr>
            <w:tcW w:w="992" w:type="dxa"/>
            <w:shd w:val="clear" w:color="auto" w:fill="C4EFCE"/>
            <w:noWrap/>
            <w:vAlign w:val="center"/>
            <w:hideMark/>
          </w:tcPr>
          <w:p w14:paraId="0554D603"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2A2F67A" w14:textId="77777777" w:rsidR="00DC5EC6" w:rsidRDefault="003245A4">
            <w:pPr>
              <w:pStyle w:val="P68B1DB1-Normal8"/>
              <w:spacing w:after="0" w:line="240" w:lineRule="auto"/>
              <w:jc w:val="center"/>
              <w:rPr>
                <w:rFonts w:eastAsia="Times New Roman" w:cs="Calibri"/>
                <w:noProof/>
              </w:rPr>
            </w:pPr>
            <w:r>
              <w:rPr>
                <w:noProof/>
              </w:rPr>
              <w:t>Információtechnológiai igazgatási modulok, alapvető klinikai modulok és sürgősségi klinikai modulok végrehajtása</w:t>
            </w:r>
          </w:p>
        </w:tc>
        <w:tc>
          <w:tcPr>
            <w:tcW w:w="1418" w:type="dxa"/>
            <w:shd w:val="clear" w:color="auto" w:fill="C4EFCE"/>
            <w:noWrap/>
            <w:vAlign w:val="center"/>
            <w:hideMark/>
          </w:tcPr>
          <w:p w14:paraId="60D66170"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B64EB98" w14:textId="77777777" w:rsidR="00DC5EC6" w:rsidRDefault="003245A4">
            <w:pPr>
              <w:pStyle w:val="P68B1DB1-Normal8"/>
              <w:spacing w:after="0" w:line="240" w:lineRule="auto"/>
              <w:jc w:val="center"/>
              <w:rPr>
                <w:rFonts w:eastAsia="Times New Roman" w:cs="Calibri"/>
                <w:noProof/>
              </w:rPr>
            </w:pPr>
            <w:r>
              <w:rPr>
                <w:noProof/>
              </w:rPr>
              <w:t>%</w:t>
            </w:r>
          </w:p>
        </w:tc>
        <w:tc>
          <w:tcPr>
            <w:tcW w:w="962" w:type="dxa"/>
            <w:shd w:val="clear" w:color="auto" w:fill="C4EFCE"/>
            <w:noWrap/>
            <w:vAlign w:val="center"/>
            <w:hideMark/>
          </w:tcPr>
          <w:p w14:paraId="09AEDAE6"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14105145" w14:textId="77777777" w:rsidR="00DC5EC6" w:rsidRDefault="003245A4">
            <w:pPr>
              <w:pStyle w:val="P68B1DB1-Normal8"/>
              <w:spacing w:after="0" w:line="240" w:lineRule="auto"/>
              <w:jc w:val="center"/>
              <w:rPr>
                <w:rFonts w:eastAsia="Times New Roman" w:cs="Calibri"/>
                <w:noProof/>
              </w:rPr>
            </w:pPr>
            <w:r>
              <w:rPr>
                <w:noProof/>
              </w:rPr>
              <w:t>15</w:t>
            </w:r>
          </w:p>
        </w:tc>
        <w:tc>
          <w:tcPr>
            <w:tcW w:w="833" w:type="dxa"/>
            <w:gridSpan w:val="2"/>
            <w:shd w:val="clear" w:color="auto" w:fill="C4EFCE"/>
            <w:noWrap/>
            <w:vAlign w:val="center"/>
            <w:hideMark/>
          </w:tcPr>
          <w:p w14:paraId="510A81E2" w14:textId="5C929BD5" w:rsidR="00DC5EC6" w:rsidRDefault="00A44E9E">
            <w:pPr>
              <w:pStyle w:val="P68B1DB1-Normal8"/>
              <w:spacing w:after="0" w:line="240" w:lineRule="auto"/>
              <w:jc w:val="center"/>
              <w:rPr>
                <w:rFonts w:eastAsia="Times New Roman" w:cs="Calibri"/>
                <w:noProof/>
              </w:rPr>
            </w:pPr>
            <w:r>
              <w:rPr>
                <w:noProof/>
              </w:rPr>
              <w:t>2. NEGYEDÉV</w:t>
            </w:r>
          </w:p>
        </w:tc>
        <w:tc>
          <w:tcPr>
            <w:tcW w:w="901" w:type="dxa"/>
            <w:shd w:val="clear" w:color="auto" w:fill="C4EFCE"/>
            <w:noWrap/>
            <w:vAlign w:val="center"/>
            <w:hideMark/>
          </w:tcPr>
          <w:p w14:paraId="1B258F53" w14:textId="7EC56113"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0AF81CED" w14:textId="77777777" w:rsidR="00DC5EC6" w:rsidRDefault="003245A4">
            <w:pPr>
              <w:pStyle w:val="P68B1DB1-Normal8"/>
              <w:spacing w:after="0" w:line="240" w:lineRule="auto"/>
              <w:jc w:val="both"/>
              <w:rPr>
                <w:rFonts w:eastAsia="Times New Roman" w:cs="Calibri"/>
                <w:noProof/>
              </w:rPr>
            </w:pPr>
            <w:r>
              <w:rPr>
                <w:noProof/>
              </w:rPr>
              <w:t>Az integrált információtechnológiai modulokhoz, alapvető klinikai modulokhoz és sürgősségi klinikai modulokhoz hozzáféréssel rendelkező egészségügyi szakemberek százalékos aránya a következők tekintetében: a klinikai információk rögzítése és megtekintése az alapellátás, a kórházi ellátás és a folyamatos egészségügyi ellátás területén az egészségügyi információk rendelkezésre állásának és integrálásának biztosítása, valamint a felhasználók és az egészségügyi szakemberek nagyobb biztonságának biztosítása érdekében; és ii. sürgősségi, ápolási nyilvántartási és távellenőrzési egészségügyi szolgáltatások.</w:t>
            </w:r>
          </w:p>
        </w:tc>
      </w:tr>
      <w:tr w:rsidR="00DC5EC6" w14:paraId="2D39C445" w14:textId="77777777">
        <w:trPr>
          <w:trHeight w:val="640"/>
        </w:trPr>
        <w:tc>
          <w:tcPr>
            <w:tcW w:w="1135" w:type="dxa"/>
            <w:shd w:val="clear" w:color="auto" w:fill="C4EFCE"/>
            <w:noWrap/>
            <w:vAlign w:val="center"/>
            <w:hideMark/>
          </w:tcPr>
          <w:p w14:paraId="518CED19" w14:textId="77777777" w:rsidR="00DC5EC6" w:rsidRDefault="003245A4">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2670C5DB" w14:textId="77777777" w:rsidR="00DC5EC6" w:rsidRDefault="003245A4">
            <w:pPr>
              <w:pStyle w:val="P68B1DB1-Normal8"/>
              <w:spacing w:after="0" w:line="240" w:lineRule="auto"/>
              <w:jc w:val="center"/>
              <w:rPr>
                <w:rFonts w:eastAsia="Times New Roman" w:cs="Calibri"/>
                <w:noProof/>
              </w:rPr>
            </w:pPr>
            <w:r>
              <w:rPr>
                <w:noProof/>
              </w:rPr>
              <w:t>Re-C01-i07-RAM</w:t>
            </w:r>
          </w:p>
        </w:tc>
        <w:tc>
          <w:tcPr>
            <w:tcW w:w="992" w:type="dxa"/>
            <w:shd w:val="clear" w:color="auto" w:fill="C4EFCE"/>
            <w:noWrap/>
            <w:vAlign w:val="center"/>
            <w:hideMark/>
          </w:tcPr>
          <w:p w14:paraId="4F631A01"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27E98217" w14:textId="77777777" w:rsidR="00DC5EC6" w:rsidRDefault="003245A4">
            <w:pPr>
              <w:pStyle w:val="P68B1DB1-Normal8"/>
              <w:spacing w:after="0" w:line="240" w:lineRule="auto"/>
              <w:jc w:val="center"/>
              <w:rPr>
                <w:rFonts w:eastAsia="Times New Roman" w:cs="Calibri"/>
                <w:noProof/>
              </w:rPr>
            </w:pPr>
            <w:r>
              <w:rPr>
                <w:noProof/>
              </w:rPr>
              <w:t>Új számítógépes berendezések Madeira regionális egészségügyi szolgálata számára</w:t>
            </w:r>
          </w:p>
        </w:tc>
        <w:tc>
          <w:tcPr>
            <w:tcW w:w="1418" w:type="dxa"/>
            <w:shd w:val="clear" w:color="auto" w:fill="C4EFCE"/>
            <w:noWrap/>
            <w:vAlign w:val="center"/>
            <w:hideMark/>
          </w:tcPr>
          <w:p w14:paraId="44306B25"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08B4C87"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B03819A"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608FD160" w14:textId="77777777" w:rsidR="00DC5EC6" w:rsidRDefault="003245A4">
            <w:pPr>
              <w:pStyle w:val="P68B1DB1-Normal8"/>
              <w:spacing w:after="0" w:line="240" w:lineRule="auto"/>
              <w:jc w:val="center"/>
              <w:rPr>
                <w:rFonts w:eastAsia="Times New Roman" w:cs="Calibri"/>
                <w:noProof/>
              </w:rPr>
            </w:pPr>
            <w:r>
              <w:rPr>
                <w:noProof/>
              </w:rPr>
              <w:t>3 600</w:t>
            </w:r>
          </w:p>
        </w:tc>
        <w:tc>
          <w:tcPr>
            <w:tcW w:w="833" w:type="dxa"/>
            <w:gridSpan w:val="2"/>
            <w:shd w:val="clear" w:color="auto" w:fill="C4EFCE"/>
            <w:noWrap/>
            <w:vAlign w:val="center"/>
            <w:hideMark/>
          </w:tcPr>
          <w:p w14:paraId="08604750" w14:textId="48C44398" w:rsidR="00DC5EC6" w:rsidRDefault="004D4D7D">
            <w:pPr>
              <w:pStyle w:val="P68B1DB1-Normal8"/>
              <w:spacing w:after="0" w:line="240" w:lineRule="auto"/>
              <w:jc w:val="center"/>
              <w:rPr>
                <w:rFonts w:eastAsia="Times New Roman" w:cs="Calibri"/>
                <w:noProof/>
              </w:rPr>
            </w:pPr>
            <w:r>
              <w:rPr>
                <w:noProof/>
              </w:rPr>
              <w:t>4. NEGYEDÉV</w:t>
            </w:r>
          </w:p>
        </w:tc>
        <w:tc>
          <w:tcPr>
            <w:tcW w:w="901" w:type="dxa"/>
            <w:shd w:val="clear" w:color="auto" w:fill="C4EFCE"/>
            <w:noWrap/>
            <w:vAlign w:val="center"/>
            <w:hideMark/>
          </w:tcPr>
          <w:p w14:paraId="709C9011"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414FCB5F" w14:textId="77777777" w:rsidR="00DC5EC6" w:rsidRDefault="003245A4">
            <w:pPr>
              <w:pStyle w:val="P68B1DB1-Normal8"/>
              <w:spacing w:after="0" w:line="240" w:lineRule="auto"/>
              <w:jc w:val="both"/>
              <w:rPr>
                <w:rFonts w:eastAsia="Times New Roman" w:cs="Calibri"/>
                <w:noProof/>
              </w:rPr>
            </w:pPr>
            <w:r>
              <w:rPr>
                <w:noProof/>
              </w:rPr>
              <w:t>A Madeira regionális egészségügyi szolgálatának rendelkezésére álló új számítástechnikai berendezések száma, amelyek célja Madeira regionális egészségügyi szolgálatának nyomon követése és felhasználóihoz való nagyobb közelség biztosítása, a hibakockázat csökkentése, valamint a hatékonyság és a felhasználói adatokhoz való gyors hozzáférés elősegítése.</w:t>
            </w:r>
          </w:p>
        </w:tc>
      </w:tr>
      <w:tr w:rsidR="00DC5EC6" w14:paraId="3B6BEA0A" w14:textId="77777777">
        <w:trPr>
          <w:trHeight w:val="430"/>
        </w:trPr>
        <w:tc>
          <w:tcPr>
            <w:tcW w:w="1135" w:type="dxa"/>
            <w:shd w:val="clear" w:color="auto" w:fill="C4EFCE"/>
            <w:noWrap/>
            <w:vAlign w:val="center"/>
            <w:hideMark/>
          </w:tcPr>
          <w:p w14:paraId="1C2B4CDB" w14:textId="77777777" w:rsidR="00DC5EC6" w:rsidRDefault="003245A4">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44303377" w14:textId="77777777" w:rsidR="00DC5EC6" w:rsidRDefault="003245A4">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08334822"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62E30B" w14:textId="77777777" w:rsidR="00DC5EC6" w:rsidRDefault="003245A4">
            <w:pPr>
              <w:pStyle w:val="P68B1DB1-Normal8"/>
              <w:spacing w:after="0" w:line="240" w:lineRule="auto"/>
              <w:jc w:val="center"/>
              <w:rPr>
                <w:rFonts w:eastAsia="Times New Roman" w:cs="Calibri"/>
                <w:noProof/>
              </w:rPr>
            </w:pPr>
            <w:r>
              <w:rPr>
                <w:noProof/>
              </w:rPr>
              <w:t>Az Azori-szigetek regionális egészségügyi szolgálatának felhasználói portáljához való jobb hozzáférés</w:t>
            </w:r>
          </w:p>
        </w:tc>
        <w:tc>
          <w:tcPr>
            <w:tcW w:w="1418" w:type="dxa"/>
            <w:shd w:val="clear" w:color="auto" w:fill="C4EFCE"/>
            <w:noWrap/>
            <w:vAlign w:val="center"/>
            <w:hideMark/>
          </w:tcPr>
          <w:p w14:paraId="16ACFAA9"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0518DAD3"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258F7153"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FB3820" w14:textId="77777777" w:rsidR="00DC5EC6" w:rsidRDefault="003245A4">
            <w:pPr>
              <w:pStyle w:val="P68B1DB1-Normal8"/>
              <w:spacing w:after="0" w:line="240" w:lineRule="auto"/>
              <w:jc w:val="center"/>
              <w:rPr>
                <w:rFonts w:eastAsia="Times New Roman" w:cs="Calibri"/>
                <w:noProof/>
              </w:rPr>
            </w:pPr>
            <w:r>
              <w:rPr>
                <w:noProof/>
              </w:rPr>
              <w:t>25 000</w:t>
            </w:r>
          </w:p>
        </w:tc>
        <w:tc>
          <w:tcPr>
            <w:tcW w:w="833" w:type="dxa"/>
            <w:gridSpan w:val="2"/>
            <w:shd w:val="clear" w:color="auto" w:fill="C4EFCE"/>
            <w:noWrap/>
            <w:vAlign w:val="center"/>
            <w:hideMark/>
          </w:tcPr>
          <w:p w14:paraId="62A4D53A" w14:textId="0A1D1EF5"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hideMark/>
          </w:tcPr>
          <w:p w14:paraId="6894F559"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35954B06" w14:textId="77777777" w:rsidR="00DC5EC6" w:rsidRDefault="003245A4">
            <w:pPr>
              <w:pStyle w:val="P68B1DB1-Normal8"/>
              <w:spacing w:after="0" w:line="240" w:lineRule="auto"/>
              <w:jc w:val="both"/>
              <w:rPr>
                <w:rFonts w:eastAsia="Times New Roman" w:cs="Calibri"/>
                <w:noProof/>
              </w:rPr>
            </w:pPr>
            <w:r>
              <w:rPr>
                <w:noProof/>
              </w:rPr>
              <w:t>Az Azori-szigetek regionális egészségügyi szolgáltatásának felhasználói portáljához hozzáférő további egyéni felhasználók száma az ott rendelkezésre álló digitális egészségügyi szolgáltatások és orvosi információk bővülésének köszönhetően.</w:t>
            </w:r>
          </w:p>
        </w:tc>
      </w:tr>
      <w:tr w:rsidR="00DC5EC6" w14:paraId="2C6F55F9" w14:textId="77777777">
        <w:trPr>
          <w:trHeight w:val="430"/>
        </w:trPr>
        <w:tc>
          <w:tcPr>
            <w:tcW w:w="1135" w:type="dxa"/>
            <w:shd w:val="clear" w:color="auto" w:fill="C4EFCE"/>
            <w:noWrap/>
            <w:vAlign w:val="center"/>
            <w:hideMark/>
          </w:tcPr>
          <w:p w14:paraId="35FE58B3" w14:textId="77777777" w:rsidR="00DC5EC6" w:rsidRDefault="003245A4">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799DA769" w14:textId="77777777" w:rsidR="00DC5EC6" w:rsidRDefault="003245A4">
            <w:pPr>
              <w:pStyle w:val="P68B1DB1-Normal8"/>
              <w:spacing w:after="0" w:line="240" w:lineRule="auto"/>
              <w:jc w:val="center"/>
              <w:rPr>
                <w:rFonts w:eastAsia="Times New Roman" w:cs="Calibri"/>
                <w:noProof/>
              </w:rPr>
            </w:pPr>
            <w:r>
              <w:rPr>
                <w:noProof/>
              </w:rPr>
              <w:t>Re-C01-i08-RAA</w:t>
            </w:r>
          </w:p>
        </w:tc>
        <w:tc>
          <w:tcPr>
            <w:tcW w:w="992" w:type="dxa"/>
            <w:shd w:val="clear" w:color="auto" w:fill="C4EFCE"/>
            <w:noWrap/>
            <w:vAlign w:val="center"/>
            <w:hideMark/>
          </w:tcPr>
          <w:p w14:paraId="302C65ED" w14:textId="77777777"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hideMark/>
          </w:tcPr>
          <w:p w14:paraId="324EF576" w14:textId="77777777" w:rsidR="00DC5EC6" w:rsidRDefault="003245A4">
            <w:pPr>
              <w:pStyle w:val="P68B1DB1-Normal8"/>
              <w:spacing w:after="0" w:line="240" w:lineRule="auto"/>
              <w:jc w:val="center"/>
              <w:rPr>
                <w:rFonts w:eastAsia="Times New Roman" w:cs="Calibri"/>
                <w:noProof/>
              </w:rPr>
            </w:pPr>
            <w:r>
              <w:rPr>
                <w:noProof/>
              </w:rPr>
              <w:t>Távorvoslási kinevezések bevezetése az Azori-szigetek regionális egészségügyi szolgálatában</w:t>
            </w:r>
          </w:p>
        </w:tc>
        <w:tc>
          <w:tcPr>
            <w:tcW w:w="1418" w:type="dxa"/>
            <w:shd w:val="clear" w:color="auto" w:fill="C4EFCE"/>
            <w:noWrap/>
            <w:vAlign w:val="center"/>
            <w:hideMark/>
          </w:tcPr>
          <w:p w14:paraId="1A2B8AD5" w14:textId="77777777" w:rsidR="00DC5EC6" w:rsidRDefault="003245A4">
            <w:pPr>
              <w:pStyle w:val="P68B1DB1-Normal8"/>
              <w:spacing w:after="0" w:line="240" w:lineRule="auto"/>
              <w:jc w:val="center"/>
              <w:rPr>
                <w:rFonts w:eastAsia="Times New Roman" w:cs="Calibri"/>
                <w:noProof/>
              </w:rPr>
            </w:pPr>
            <w:r>
              <w:rPr>
                <w:noProof/>
              </w:rPr>
              <w:t> </w:t>
            </w:r>
          </w:p>
        </w:tc>
        <w:tc>
          <w:tcPr>
            <w:tcW w:w="1164" w:type="dxa"/>
            <w:shd w:val="clear" w:color="auto" w:fill="C4EFCE"/>
            <w:noWrap/>
            <w:vAlign w:val="center"/>
            <w:hideMark/>
          </w:tcPr>
          <w:p w14:paraId="1379D47D" w14:textId="77777777"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hideMark/>
          </w:tcPr>
          <w:p w14:paraId="43D98159" w14:textId="77777777"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hideMark/>
          </w:tcPr>
          <w:p w14:paraId="0A44072E" w14:textId="77777777" w:rsidR="00DC5EC6" w:rsidRDefault="003245A4">
            <w:pPr>
              <w:pStyle w:val="P68B1DB1-Normal8"/>
              <w:spacing w:after="0" w:line="240" w:lineRule="auto"/>
              <w:jc w:val="center"/>
              <w:rPr>
                <w:rFonts w:eastAsia="Times New Roman" w:cs="Calibri"/>
                <w:noProof/>
              </w:rPr>
            </w:pPr>
            <w:r>
              <w:rPr>
                <w:noProof/>
              </w:rPr>
              <w:t>1 000</w:t>
            </w:r>
          </w:p>
        </w:tc>
        <w:tc>
          <w:tcPr>
            <w:tcW w:w="833" w:type="dxa"/>
            <w:gridSpan w:val="2"/>
            <w:shd w:val="clear" w:color="auto" w:fill="C4EFCE"/>
            <w:noWrap/>
            <w:vAlign w:val="center"/>
            <w:hideMark/>
          </w:tcPr>
          <w:p w14:paraId="6ED42D00" w14:textId="2BBA4FE5"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hideMark/>
          </w:tcPr>
          <w:p w14:paraId="5CCF492B" w14:textId="77777777" w:rsidR="00DC5EC6" w:rsidRDefault="003245A4">
            <w:pPr>
              <w:pStyle w:val="P68B1DB1-Normal8"/>
              <w:spacing w:after="0" w:line="240" w:lineRule="auto"/>
              <w:jc w:val="center"/>
              <w:rPr>
                <w:rFonts w:eastAsia="Times New Roman" w:cs="Calibri"/>
                <w:noProof/>
              </w:rPr>
            </w:pPr>
            <w:r>
              <w:rPr>
                <w:noProof/>
              </w:rPr>
              <w:t>2024</w:t>
            </w:r>
          </w:p>
        </w:tc>
        <w:tc>
          <w:tcPr>
            <w:tcW w:w="3981" w:type="dxa"/>
            <w:shd w:val="clear" w:color="auto" w:fill="C4EFCE"/>
            <w:noWrap/>
            <w:vAlign w:val="center"/>
            <w:hideMark/>
          </w:tcPr>
          <w:p w14:paraId="1736CD51" w14:textId="77777777" w:rsidR="00DC5EC6" w:rsidRDefault="003245A4">
            <w:pPr>
              <w:pStyle w:val="P68B1DB1-Normal8"/>
              <w:spacing w:after="0" w:line="240" w:lineRule="auto"/>
              <w:jc w:val="both"/>
              <w:rPr>
                <w:rFonts w:eastAsia="Times New Roman" w:cs="Calibri"/>
                <w:noProof/>
              </w:rPr>
            </w:pPr>
            <w:r>
              <w:rPr>
                <w:noProof/>
              </w:rPr>
              <w:t>Éves távorvosi kinevezések száma az egészségügyi alapellátásban és az Azori-szigetek regionális egészségügyi szolgálatának szakorvosaival.</w:t>
            </w:r>
          </w:p>
        </w:tc>
      </w:tr>
      <w:tr w:rsidR="00DC5EC6" w14:paraId="0EE038BE" w14:textId="77777777">
        <w:trPr>
          <w:trHeight w:val="640"/>
        </w:trPr>
        <w:tc>
          <w:tcPr>
            <w:tcW w:w="1135" w:type="dxa"/>
            <w:shd w:val="clear" w:color="auto" w:fill="C4EFCE"/>
            <w:noWrap/>
            <w:vAlign w:val="center"/>
          </w:tcPr>
          <w:p w14:paraId="31A01111" w14:textId="4FBAFE14" w:rsidR="00DC5EC6" w:rsidRDefault="003245A4">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tcPr>
          <w:p w14:paraId="64BB902A" w14:textId="53831F49" w:rsidR="00DC5EC6" w:rsidRDefault="003245A4">
            <w:pPr>
              <w:pStyle w:val="P68B1DB1-Normal8"/>
              <w:spacing w:after="0" w:line="240" w:lineRule="auto"/>
              <w:jc w:val="center"/>
              <w:rPr>
                <w:rFonts w:eastAsia="Times New Roman" w:cs="Calibri"/>
                <w:noProof/>
              </w:rPr>
            </w:pPr>
            <w:r>
              <w:rPr>
                <w:noProof/>
              </w:rPr>
              <w:t>Újra-C01-i09</w:t>
            </w:r>
          </w:p>
        </w:tc>
        <w:tc>
          <w:tcPr>
            <w:tcW w:w="992" w:type="dxa"/>
            <w:shd w:val="clear" w:color="auto" w:fill="C4EFCE"/>
            <w:noWrap/>
            <w:vAlign w:val="center"/>
          </w:tcPr>
          <w:p w14:paraId="0A96970B" w14:textId="156C1E6E" w:rsidR="00DC5EC6" w:rsidRDefault="003245A4">
            <w:pPr>
              <w:pStyle w:val="P68B1DB1-Normal8"/>
              <w:spacing w:after="0" w:line="240" w:lineRule="auto"/>
              <w:jc w:val="center"/>
              <w:rPr>
                <w:rFonts w:eastAsia="Times New Roman" w:cs="Calibri"/>
                <w:noProof/>
              </w:rPr>
            </w:pPr>
            <w:r>
              <w:rPr>
                <w:noProof/>
              </w:rPr>
              <w:t>T</w:t>
            </w:r>
          </w:p>
        </w:tc>
        <w:tc>
          <w:tcPr>
            <w:tcW w:w="1843" w:type="dxa"/>
            <w:shd w:val="clear" w:color="auto" w:fill="C4EFCE"/>
            <w:noWrap/>
            <w:vAlign w:val="center"/>
          </w:tcPr>
          <w:p w14:paraId="4E2D372B" w14:textId="0E63E0C8" w:rsidR="00DC5EC6" w:rsidRDefault="003245A4">
            <w:pPr>
              <w:pStyle w:val="P68B1DB1-Normal8"/>
              <w:spacing w:after="0" w:line="240" w:lineRule="auto"/>
              <w:jc w:val="center"/>
              <w:rPr>
                <w:rFonts w:eastAsia="Times New Roman" w:cs="Calibri"/>
                <w:noProof/>
              </w:rPr>
            </w:pPr>
            <w:r>
              <w:rPr>
                <w:noProof/>
              </w:rPr>
              <w:t>A „School Sports Community” és a „School Sports on Wheels” program iskolai végrehajtásának befejezése</w:t>
            </w:r>
          </w:p>
        </w:tc>
        <w:tc>
          <w:tcPr>
            <w:tcW w:w="1418" w:type="dxa"/>
            <w:shd w:val="clear" w:color="auto" w:fill="C4EFCE"/>
            <w:noWrap/>
            <w:vAlign w:val="center"/>
          </w:tcPr>
          <w:p w14:paraId="37AA52F9" w14:textId="77777777" w:rsidR="00DC5EC6" w:rsidRDefault="00DC5EC6">
            <w:pPr>
              <w:spacing w:after="0" w:line="240" w:lineRule="auto"/>
              <w:jc w:val="center"/>
              <w:rPr>
                <w:rFonts w:ascii="Calibri" w:eastAsia="Times New Roman" w:hAnsi="Calibri" w:cs="Calibri"/>
                <w:noProof/>
                <w:sz w:val="16"/>
              </w:rPr>
            </w:pPr>
          </w:p>
        </w:tc>
        <w:tc>
          <w:tcPr>
            <w:tcW w:w="1164" w:type="dxa"/>
            <w:shd w:val="clear" w:color="auto" w:fill="C4EFCE"/>
            <w:noWrap/>
            <w:vAlign w:val="center"/>
          </w:tcPr>
          <w:p w14:paraId="1C3DF8F2" w14:textId="15771FE2" w:rsidR="00DC5EC6" w:rsidRDefault="003245A4">
            <w:pPr>
              <w:pStyle w:val="P68B1DB1-Normal8"/>
              <w:spacing w:after="0" w:line="240" w:lineRule="auto"/>
              <w:jc w:val="center"/>
              <w:rPr>
                <w:rFonts w:eastAsia="Times New Roman" w:cs="Calibri"/>
                <w:noProof/>
              </w:rPr>
            </w:pPr>
            <w:r>
              <w:rPr>
                <w:noProof/>
              </w:rPr>
              <w:t>Szám</w:t>
            </w:r>
          </w:p>
        </w:tc>
        <w:tc>
          <w:tcPr>
            <w:tcW w:w="962" w:type="dxa"/>
            <w:shd w:val="clear" w:color="auto" w:fill="C4EFCE"/>
            <w:noWrap/>
            <w:vAlign w:val="center"/>
          </w:tcPr>
          <w:p w14:paraId="10841144" w14:textId="7A4A9BBC" w:rsidR="00DC5EC6" w:rsidRDefault="003245A4">
            <w:pPr>
              <w:pStyle w:val="P68B1DB1-Normal8"/>
              <w:spacing w:after="0" w:line="240" w:lineRule="auto"/>
              <w:jc w:val="center"/>
              <w:rPr>
                <w:rFonts w:eastAsia="Times New Roman" w:cs="Calibri"/>
                <w:noProof/>
              </w:rPr>
            </w:pPr>
            <w:r>
              <w:rPr>
                <w:noProof/>
              </w:rPr>
              <w:t>0</w:t>
            </w:r>
          </w:p>
        </w:tc>
        <w:tc>
          <w:tcPr>
            <w:tcW w:w="805" w:type="dxa"/>
            <w:shd w:val="clear" w:color="auto" w:fill="C4EFCE"/>
            <w:noWrap/>
            <w:vAlign w:val="center"/>
          </w:tcPr>
          <w:p w14:paraId="35971DC5" w14:textId="6ECAC858" w:rsidR="00DC5EC6" w:rsidRDefault="003245A4">
            <w:pPr>
              <w:pStyle w:val="P68B1DB1-Normal8"/>
              <w:spacing w:after="0" w:line="240" w:lineRule="auto"/>
              <w:jc w:val="center"/>
              <w:rPr>
                <w:rFonts w:eastAsia="Times New Roman" w:cs="Calibri"/>
                <w:noProof/>
              </w:rPr>
            </w:pPr>
            <w:r>
              <w:rPr>
                <w:noProof/>
              </w:rPr>
              <w:t>1980</w:t>
            </w:r>
          </w:p>
        </w:tc>
        <w:tc>
          <w:tcPr>
            <w:tcW w:w="833" w:type="dxa"/>
            <w:gridSpan w:val="2"/>
            <w:shd w:val="clear" w:color="auto" w:fill="C4EFCE"/>
            <w:noWrap/>
            <w:vAlign w:val="center"/>
          </w:tcPr>
          <w:p w14:paraId="015DCDA9" w14:textId="5538ED49"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tcPr>
          <w:p w14:paraId="06A77DA0" w14:textId="20CE1881"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tcPr>
          <w:p w14:paraId="628B2390" w14:textId="163A1F48" w:rsidR="00DC5EC6" w:rsidRDefault="003245A4">
            <w:pPr>
              <w:pStyle w:val="P68B1DB1-Normal8"/>
              <w:spacing w:after="0" w:line="240" w:lineRule="auto"/>
              <w:jc w:val="both"/>
              <w:rPr>
                <w:rFonts w:eastAsia="Times New Roman" w:cs="Calibri"/>
                <w:noProof/>
              </w:rPr>
            </w:pPr>
            <w:r>
              <w:rPr>
                <w:noProof/>
              </w:rPr>
              <w:t>A diákok kerékpározásának tanítása céljából a második ciklusú iskolákban szállított, különböző méretű kerékpárokból álló kerékpárkészletek, valamint az „Iskolai Sportközösség” program keretében az állami iskolákba szállított felnőtt kerékpárkészletek száma</w:t>
            </w:r>
          </w:p>
        </w:tc>
      </w:tr>
      <w:tr w:rsidR="00DC5EC6" w14:paraId="150B873E" w14:textId="77777777">
        <w:trPr>
          <w:trHeight w:val="640"/>
        </w:trPr>
        <w:tc>
          <w:tcPr>
            <w:tcW w:w="1135" w:type="dxa"/>
            <w:shd w:val="clear" w:color="auto" w:fill="C4EFCE"/>
            <w:noWrap/>
            <w:vAlign w:val="center"/>
            <w:hideMark/>
          </w:tcPr>
          <w:p w14:paraId="0C72F16B" w14:textId="77777777" w:rsidR="00DC5EC6" w:rsidRDefault="003245A4">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30A44D52" w14:textId="77777777" w:rsidR="00DC5EC6" w:rsidRDefault="003245A4">
            <w:pPr>
              <w:pStyle w:val="P68B1DB1-Normal8"/>
              <w:spacing w:after="0" w:line="240" w:lineRule="auto"/>
              <w:jc w:val="center"/>
              <w:rPr>
                <w:rFonts w:eastAsia="Times New Roman" w:cs="Calibri"/>
                <w:noProof/>
              </w:rPr>
            </w:pPr>
            <w:r>
              <w:rPr>
                <w:noProof/>
              </w:rPr>
              <w:t>Újra-C01-i09</w:t>
            </w:r>
          </w:p>
        </w:tc>
        <w:tc>
          <w:tcPr>
            <w:tcW w:w="992" w:type="dxa"/>
            <w:shd w:val="clear" w:color="auto" w:fill="C4EFCE"/>
            <w:noWrap/>
            <w:vAlign w:val="center"/>
            <w:hideMark/>
          </w:tcPr>
          <w:p w14:paraId="2A370627" w14:textId="77777777" w:rsidR="00DC5EC6" w:rsidRDefault="003245A4">
            <w:pPr>
              <w:pStyle w:val="P68B1DB1-Normal8"/>
              <w:spacing w:after="0" w:line="240" w:lineRule="auto"/>
              <w:jc w:val="center"/>
              <w:rPr>
                <w:rFonts w:eastAsia="Times New Roman" w:cs="Calibri"/>
                <w:noProof/>
              </w:rPr>
            </w:pPr>
            <w:r>
              <w:rPr>
                <w:noProof/>
              </w:rPr>
              <w:t>M</w:t>
            </w:r>
          </w:p>
        </w:tc>
        <w:tc>
          <w:tcPr>
            <w:tcW w:w="1843" w:type="dxa"/>
            <w:shd w:val="clear" w:color="auto" w:fill="C4EFCE"/>
            <w:noWrap/>
            <w:vAlign w:val="center"/>
            <w:hideMark/>
          </w:tcPr>
          <w:p w14:paraId="1BF3C4F6" w14:textId="77777777" w:rsidR="00DC5EC6" w:rsidRDefault="003245A4">
            <w:pPr>
              <w:pStyle w:val="P68B1DB1-Normal8"/>
              <w:spacing w:after="0" w:line="240" w:lineRule="auto"/>
              <w:jc w:val="center"/>
              <w:rPr>
                <w:rFonts w:eastAsia="Times New Roman" w:cs="Calibri"/>
                <w:noProof/>
              </w:rPr>
            </w:pPr>
            <w:r>
              <w:rPr>
                <w:noProof/>
              </w:rPr>
              <w:t>Az egyetemes aktív élettámogató rendszerre és a kapcsolódó technológiai platformra irányuló nemzeti kampány elindítása</w:t>
            </w:r>
          </w:p>
        </w:tc>
        <w:tc>
          <w:tcPr>
            <w:tcW w:w="1418" w:type="dxa"/>
            <w:shd w:val="clear" w:color="auto" w:fill="C4EFCE"/>
            <w:noWrap/>
            <w:vAlign w:val="center"/>
            <w:hideMark/>
          </w:tcPr>
          <w:p w14:paraId="71D7CD15" w14:textId="77777777" w:rsidR="00DC5EC6" w:rsidRDefault="003245A4">
            <w:pPr>
              <w:pStyle w:val="P68B1DB1-Normal8"/>
              <w:spacing w:after="0" w:line="240" w:lineRule="auto"/>
              <w:jc w:val="center"/>
              <w:rPr>
                <w:rFonts w:eastAsia="Times New Roman" w:cs="Calibri"/>
                <w:noProof/>
              </w:rPr>
            </w:pPr>
            <w:r>
              <w:rPr>
                <w:noProof/>
              </w:rPr>
              <w:t>Az egyetemes aktív életet támogató rendszer nemzeti kampányának új kommunikációs csatornái és platformja</w:t>
            </w:r>
          </w:p>
        </w:tc>
        <w:tc>
          <w:tcPr>
            <w:tcW w:w="1164" w:type="dxa"/>
            <w:shd w:val="clear" w:color="auto" w:fill="C4EFCE"/>
            <w:noWrap/>
            <w:vAlign w:val="center"/>
            <w:hideMark/>
          </w:tcPr>
          <w:p w14:paraId="7EE395E9" w14:textId="77777777" w:rsidR="00DC5EC6" w:rsidRDefault="003245A4">
            <w:pPr>
              <w:pStyle w:val="P68B1DB1-Normal8"/>
              <w:spacing w:after="0" w:line="240" w:lineRule="auto"/>
              <w:jc w:val="center"/>
              <w:rPr>
                <w:rFonts w:eastAsia="Times New Roman" w:cs="Calibri"/>
                <w:noProof/>
              </w:rPr>
            </w:pPr>
            <w:r>
              <w:rPr>
                <w:noProof/>
              </w:rPr>
              <w:t> </w:t>
            </w:r>
          </w:p>
        </w:tc>
        <w:tc>
          <w:tcPr>
            <w:tcW w:w="962" w:type="dxa"/>
            <w:shd w:val="clear" w:color="auto" w:fill="C4EFCE"/>
            <w:noWrap/>
            <w:vAlign w:val="center"/>
            <w:hideMark/>
          </w:tcPr>
          <w:p w14:paraId="7BFB1270" w14:textId="77777777" w:rsidR="00DC5EC6" w:rsidRDefault="003245A4">
            <w:pPr>
              <w:pStyle w:val="P68B1DB1-Normal8"/>
              <w:spacing w:after="0" w:line="240" w:lineRule="auto"/>
              <w:jc w:val="center"/>
              <w:rPr>
                <w:rFonts w:eastAsia="Times New Roman" w:cs="Calibri"/>
                <w:noProof/>
              </w:rPr>
            </w:pPr>
            <w:r>
              <w:rPr>
                <w:noProof/>
              </w:rPr>
              <w:t> </w:t>
            </w:r>
          </w:p>
        </w:tc>
        <w:tc>
          <w:tcPr>
            <w:tcW w:w="805" w:type="dxa"/>
            <w:shd w:val="clear" w:color="auto" w:fill="C4EFCE"/>
            <w:noWrap/>
            <w:vAlign w:val="center"/>
            <w:hideMark/>
          </w:tcPr>
          <w:p w14:paraId="69FF4A32" w14:textId="77777777" w:rsidR="00DC5EC6" w:rsidRDefault="003245A4">
            <w:pPr>
              <w:pStyle w:val="P68B1DB1-Normal8"/>
              <w:spacing w:after="0" w:line="240" w:lineRule="auto"/>
              <w:jc w:val="center"/>
              <w:rPr>
                <w:rFonts w:eastAsia="Times New Roman" w:cs="Calibri"/>
                <w:noProof/>
              </w:rPr>
            </w:pPr>
            <w:r>
              <w:rPr>
                <w:noProof/>
              </w:rPr>
              <w:t> </w:t>
            </w:r>
          </w:p>
        </w:tc>
        <w:tc>
          <w:tcPr>
            <w:tcW w:w="833" w:type="dxa"/>
            <w:gridSpan w:val="2"/>
            <w:shd w:val="clear" w:color="auto" w:fill="C4EFCE"/>
            <w:noWrap/>
            <w:vAlign w:val="center"/>
            <w:hideMark/>
          </w:tcPr>
          <w:p w14:paraId="01CE5595" w14:textId="0BF9EBC6" w:rsidR="00DC5EC6" w:rsidRDefault="004D4D7D">
            <w:pPr>
              <w:pStyle w:val="P68B1DB1-Normal8"/>
              <w:spacing w:after="0" w:line="240" w:lineRule="auto"/>
              <w:jc w:val="center"/>
              <w:rPr>
                <w:rFonts w:eastAsia="Times New Roman" w:cs="Calibri"/>
                <w:noProof/>
              </w:rPr>
            </w:pPr>
            <w:r>
              <w:rPr>
                <w:noProof/>
              </w:rPr>
              <w:t>3. NEGYEDÉV</w:t>
            </w:r>
          </w:p>
        </w:tc>
        <w:tc>
          <w:tcPr>
            <w:tcW w:w="901" w:type="dxa"/>
            <w:shd w:val="clear" w:color="auto" w:fill="C4EFCE"/>
            <w:noWrap/>
            <w:vAlign w:val="center"/>
            <w:hideMark/>
          </w:tcPr>
          <w:p w14:paraId="63B5DA71" w14:textId="77777777" w:rsidR="00DC5EC6" w:rsidRDefault="003245A4">
            <w:pPr>
              <w:pStyle w:val="P68B1DB1-Normal8"/>
              <w:spacing w:after="0" w:line="240" w:lineRule="auto"/>
              <w:jc w:val="center"/>
              <w:rPr>
                <w:rFonts w:eastAsia="Times New Roman" w:cs="Calibri"/>
                <w:noProof/>
              </w:rPr>
            </w:pPr>
            <w:r>
              <w:rPr>
                <w:noProof/>
              </w:rPr>
              <w:t>2025</w:t>
            </w:r>
          </w:p>
        </w:tc>
        <w:tc>
          <w:tcPr>
            <w:tcW w:w="3981" w:type="dxa"/>
            <w:shd w:val="clear" w:color="auto" w:fill="C4EFCE"/>
            <w:noWrap/>
            <w:vAlign w:val="center"/>
            <w:hideMark/>
          </w:tcPr>
          <w:p w14:paraId="528A0C6D" w14:textId="77777777" w:rsidR="00DC5EC6" w:rsidRDefault="003245A4">
            <w:pPr>
              <w:pStyle w:val="P68B1DB1-Normal8"/>
              <w:spacing w:after="0" w:line="240" w:lineRule="auto"/>
              <w:jc w:val="both"/>
              <w:rPr>
                <w:rFonts w:eastAsia="Times New Roman" w:cs="Calibri"/>
                <w:noProof/>
              </w:rPr>
            </w:pPr>
            <w:r>
              <w:rPr>
                <w:noProof/>
              </w:rPr>
              <w:t>Az egyetemes aktív élettámogató rendszer és a kapcsolódó technológiai platform nemzeti kampányának elindítása annak érdekében, hogy a polgárok jobban megismerjék a rendszeres testmozgás előnyeit minden életkorban és képességüknek megfelelően, azzal a céllal, hogy ösztönözzék az egészségesebb életmód bevezetését.</w:t>
            </w:r>
          </w:p>
        </w:tc>
      </w:tr>
      <w:tr w:rsidR="00DC5EC6" w14:paraId="32DDB6EB" w14:textId="77777777">
        <w:trPr>
          <w:trHeight w:val="640"/>
        </w:trPr>
        <w:tc>
          <w:tcPr>
            <w:tcW w:w="1135" w:type="dxa"/>
            <w:shd w:val="clear" w:color="auto" w:fill="C4EFCE"/>
            <w:noWrap/>
            <w:vAlign w:val="center"/>
          </w:tcPr>
          <w:p w14:paraId="5EA543BD" w14:textId="73E365A0" w:rsidR="00DC5EC6" w:rsidRDefault="003245A4">
            <w:pPr>
              <w:pStyle w:val="P68B1DB1-Normal11"/>
              <w:spacing w:after="0" w:line="240" w:lineRule="auto"/>
              <w:jc w:val="center"/>
              <w:rPr>
                <w:rFonts w:eastAsia="Times New Roman" w:cstheme="minorHAnsi"/>
                <w:noProof/>
              </w:rPr>
            </w:pPr>
            <w:r>
              <w:rPr>
                <w:noProof/>
              </w:rPr>
              <w:t>1.41</w:t>
            </w:r>
          </w:p>
        </w:tc>
        <w:tc>
          <w:tcPr>
            <w:tcW w:w="1276" w:type="dxa"/>
            <w:shd w:val="clear" w:color="auto" w:fill="C4EFCE"/>
            <w:noWrap/>
            <w:vAlign w:val="center"/>
          </w:tcPr>
          <w:p w14:paraId="052499FB" w14:textId="346E2DBB" w:rsidR="00DC5EC6" w:rsidRDefault="003245A4">
            <w:pPr>
              <w:pStyle w:val="P68B1DB1-Normal12"/>
              <w:spacing w:after="0" w:line="240" w:lineRule="auto"/>
              <w:jc w:val="center"/>
              <w:rPr>
                <w:rFonts w:eastAsia="Times New Roman" w:cstheme="minorHAnsi"/>
                <w:noProof/>
                <w:highlight w:val="cyan"/>
              </w:rPr>
            </w:pPr>
            <w:r>
              <w:rPr>
                <w:noProof/>
              </w:rPr>
              <w:t>Újra-C01-i10</w:t>
            </w:r>
          </w:p>
        </w:tc>
        <w:tc>
          <w:tcPr>
            <w:tcW w:w="992" w:type="dxa"/>
            <w:shd w:val="clear" w:color="auto" w:fill="C4EFCE"/>
            <w:noWrap/>
            <w:vAlign w:val="center"/>
          </w:tcPr>
          <w:p w14:paraId="6833F05F" w14:textId="01DD35B4" w:rsidR="00DC5EC6" w:rsidRDefault="003245A4">
            <w:pPr>
              <w:pStyle w:val="P68B1DB1-Normal12"/>
              <w:spacing w:after="0" w:line="240" w:lineRule="auto"/>
              <w:jc w:val="center"/>
              <w:rPr>
                <w:rFonts w:eastAsia="Times New Roman" w:cstheme="minorHAnsi"/>
                <w:noProof/>
                <w:highlight w:val="cyan"/>
              </w:rPr>
            </w:pPr>
            <w:r>
              <w:rPr>
                <w:noProof/>
              </w:rPr>
              <w:t>M</w:t>
            </w:r>
          </w:p>
        </w:tc>
        <w:tc>
          <w:tcPr>
            <w:tcW w:w="1843" w:type="dxa"/>
            <w:shd w:val="clear" w:color="auto" w:fill="C4EFCE"/>
            <w:noWrap/>
            <w:vAlign w:val="center"/>
          </w:tcPr>
          <w:p w14:paraId="2B996393" w14:textId="1E61FAE8" w:rsidR="00DC5EC6" w:rsidRDefault="003245A4">
            <w:pPr>
              <w:pStyle w:val="P68B1DB1-Normal12"/>
              <w:spacing w:after="0" w:line="240" w:lineRule="auto"/>
              <w:jc w:val="center"/>
              <w:rPr>
                <w:rFonts w:eastAsia="Times New Roman" w:cstheme="minorHAnsi"/>
                <w:noProof/>
                <w:highlight w:val="cyan"/>
              </w:rPr>
            </w:pPr>
            <w:r>
              <w:rPr>
                <w:noProof/>
              </w:rPr>
              <w:t>Az NHS nehéz orvosi berendezések iránti igényeit meghatározó jelentés jóváhagyása</w:t>
            </w:r>
          </w:p>
        </w:tc>
        <w:tc>
          <w:tcPr>
            <w:tcW w:w="1418" w:type="dxa"/>
            <w:shd w:val="clear" w:color="auto" w:fill="C4EFCE"/>
            <w:noWrap/>
            <w:vAlign w:val="center"/>
          </w:tcPr>
          <w:p w14:paraId="368DC9EE" w14:textId="2FE358D2" w:rsidR="00DC5EC6" w:rsidRDefault="003245A4">
            <w:pPr>
              <w:pStyle w:val="P68B1DB1-Normal12"/>
              <w:spacing w:after="0" w:line="240" w:lineRule="auto"/>
              <w:jc w:val="center"/>
              <w:rPr>
                <w:rFonts w:eastAsia="Times New Roman" w:cstheme="minorHAnsi"/>
                <w:noProof/>
                <w:highlight w:val="cyan"/>
              </w:rPr>
            </w:pPr>
            <w:r>
              <w:rPr>
                <w:noProof/>
              </w:rPr>
              <w:t>A jelentés jóváhagyása</w:t>
            </w:r>
          </w:p>
        </w:tc>
        <w:tc>
          <w:tcPr>
            <w:tcW w:w="1164" w:type="dxa"/>
            <w:shd w:val="clear" w:color="auto" w:fill="C4EFCE"/>
            <w:noWrap/>
            <w:vAlign w:val="center"/>
          </w:tcPr>
          <w:p w14:paraId="78888CE5" w14:textId="77777777" w:rsidR="00DC5EC6" w:rsidRDefault="00DC5EC6">
            <w:pPr>
              <w:spacing w:after="0" w:line="240" w:lineRule="auto"/>
              <w:jc w:val="center"/>
              <w:rPr>
                <w:rFonts w:eastAsia="Times New Roman" w:cstheme="minorHAnsi"/>
                <w:noProof/>
                <w:sz w:val="16"/>
              </w:rPr>
            </w:pPr>
          </w:p>
        </w:tc>
        <w:tc>
          <w:tcPr>
            <w:tcW w:w="962" w:type="dxa"/>
            <w:shd w:val="clear" w:color="auto" w:fill="C4EFCE"/>
            <w:noWrap/>
            <w:vAlign w:val="center"/>
          </w:tcPr>
          <w:p w14:paraId="29921A70" w14:textId="77777777" w:rsidR="00DC5EC6" w:rsidRDefault="00DC5EC6">
            <w:pPr>
              <w:spacing w:after="0" w:line="240" w:lineRule="auto"/>
              <w:jc w:val="center"/>
              <w:rPr>
                <w:rFonts w:eastAsia="Times New Roman" w:cstheme="minorHAnsi"/>
                <w:noProof/>
                <w:sz w:val="16"/>
              </w:rPr>
            </w:pPr>
          </w:p>
        </w:tc>
        <w:tc>
          <w:tcPr>
            <w:tcW w:w="805" w:type="dxa"/>
            <w:shd w:val="clear" w:color="auto" w:fill="C4EFCE"/>
            <w:noWrap/>
            <w:vAlign w:val="center"/>
          </w:tcPr>
          <w:p w14:paraId="650D0E3B" w14:textId="77777777" w:rsidR="00DC5EC6" w:rsidRDefault="00DC5EC6">
            <w:pPr>
              <w:spacing w:after="0" w:line="240" w:lineRule="auto"/>
              <w:jc w:val="center"/>
              <w:rPr>
                <w:rFonts w:eastAsia="Times New Roman" w:cstheme="minorHAnsi"/>
                <w:noProof/>
                <w:sz w:val="16"/>
              </w:rPr>
            </w:pPr>
          </w:p>
        </w:tc>
        <w:tc>
          <w:tcPr>
            <w:tcW w:w="833" w:type="dxa"/>
            <w:gridSpan w:val="2"/>
            <w:shd w:val="clear" w:color="auto" w:fill="C4EFCE"/>
            <w:noWrap/>
            <w:vAlign w:val="center"/>
          </w:tcPr>
          <w:p w14:paraId="40E7DB94" w14:textId="1FF19DC7" w:rsidR="00DC5EC6" w:rsidRDefault="004D4D7D">
            <w:pPr>
              <w:pStyle w:val="P68B1DB1-Normal12"/>
              <w:spacing w:after="0" w:line="240" w:lineRule="auto"/>
              <w:jc w:val="center"/>
              <w:rPr>
                <w:rFonts w:eastAsia="Times New Roman" w:cstheme="minorHAnsi"/>
                <w:noProof/>
                <w:highlight w:val="cyan"/>
              </w:rPr>
            </w:pPr>
            <w:r>
              <w:rPr>
                <w:noProof/>
              </w:rPr>
              <w:t>3. NEGYEDÉV</w:t>
            </w:r>
          </w:p>
        </w:tc>
        <w:tc>
          <w:tcPr>
            <w:tcW w:w="901" w:type="dxa"/>
            <w:shd w:val="clear" w:color="auto" w:fill="C4EFCE"/>
            <w:noWrap/>
            <w:vAlign w:val="center"/>
          </w:tcPr>
          <w:p w14:paraId="19DF970F" w14:textId="27374C84" w:rsidR="00DC5EC6" w:rsidRDefault="003245A4">
            <w:pPr>
              <w:pStyle w:val="P68B1DB1-Normal12"/>
              <w:spacing w:after="0" w:line="240" w:lineRule="auto"/>
              <w:jc w:val="center"/>
              <w:rPr>
                <w:rFonts w:eastAsia="Times New Roman" w:cstheme="minorHAnsi"/>
                <w:noProof/>
                <w:highlight w:val="cyan"/>
              </w:rPr>
            </w:pPr>
            <w:r>
              <w:rPr>
                <w:noProof/>
              </w:rPr>
              <w:t>2023</w:t>
            </w:r>
          </w:p>
        </w:tc>
        <w:tc>
          <w:tcPr>
            <w:tcW w:w="3981" w:type="dxa"/>
            <w:shd w:val="clear" w:color="auto" w:fill="C4EFCE"/>
            <w:noWrap/>
            <w:vAlign w:val="center"/>
          </w:tcPr>
          <w:p w14:paraId="31B2C935" w14:textId="47B64D40" w:rsidR="00DC5EC6" w:rsidRDefault="003245A4">
            <w:pPr>
              <w:pStyle w:val="P68B1DB1-Normal12"/>
              <w:spacing w:after="0" w:line="240" w:lineRule="auto"/>
              <w:jc w:val="both"/>
              <w:rPr>
                <w:rFonts w:eastAsia="Times New Roman" w:cstheme="minorHAnsi"/>
                <w:noProof/>
                <w:highlight w:val="cyan"/>
              </w:rPr>
            </w:pPr>
            <w:r>
              <w:rPr>
                <w:noProof/>
              </w:rPr>
              <w:t xml:space="preserve">Az Egészségügyi Minisztérium azon jelentésének jóváhagyása, amely azonosítja a nemzeti egészségügyi szolgáltatók nehéz orvosi berendezések iránti igényét. Ebben a jelentésben fel kell tárni az ilyen típusú berendezések első alkalommal történő beszerzésének és a meglévő nehéz orvosi berendezések cseréjének szükségességét. </w:t>
            </w:r>
          </w:p>
        </w:tc>
      </w:tr>
      <w:tr w:rsidR="00DC5EC6" w14:paraId="7BB31006" w14:textId="77777777">
        <w:trPr>
          <w:trHeight w:val="1265"/>
        </w:trPr>
        <w:tc>
          <w:tcPr>
            <w:tcW w:w="1135" w:type="dxa"/>
            <w:shd w:val="clear" w:color="auto" w:fill="C4EFCE"/>
            <w:noWrap/>
            <w:vAlign w:val="center"/>
          </w:tcPr>
          <w:p w14:paraId="2BC5216A" w14:textId="01C240B8" w:rsidR="00DC5EC6" w:rsidRDefault="003245A4">
            <w:pPr>
              <w:pStyle w:val="P68B1DB1-Normal11"/>
              <w:spacing w:after="0" w:line="240" w:lineRule="auto"/>
              <w:jc w:val="center"/>
              <w:rPr>
                <w:rFonts w:eastAsia="Times New Roman" w:cstheme="minorHAnsi"/>
                <w:noProof/>
              </w:rPr>
            </w:pPr>
            <w:r>
              <w:rPr>
                <w:noProof/>
              </w:rPr>
              <w:t>1.42</w:t>
            </w:r>
          </w:p>
        </w:tc>
        <w:tc>
          <w:tcPr>
            <w:tcW w:w="1276" w:type="dxa"/>
            <w:shd w:val="clear" w:color="auto" w:fill="C4EFCE"/>
            <w:noWrap/>
            <w:vAlign w:val="center"/>
          </w:tcPr>
          <w:p w14:paraId="449FB587" w14:textId="4BFA8415" w:rsidR="00DC5EC6" w:rsidRDefault="003245A4">
            <w:pPr>
              <w:pStyle w:val="P68B1DB1-Normal12"/>
              <w:spacing w:after="0" w:line="240" w:lineRule="auto"/>
              <w:jc w:val="center"/>
              <w:rPr>
                <w:rFonts w:eastAsia="Times New Roman" w:cstheme="minorHAnsi"/>
                <w:noProof/>
                <w:highlight w:val="cyan"/>
              </w:rPr>
            </w:pPr>
            <w:r>
              <w:rPr>
                <w:noProof/>
              </w:rPr>
              <w:t>Újra-C01-i10</w:t>
            </w:r>
          </w:p>
        </w:tc>
        <w:tc>
          <w:tcPr>
            <w:tcW w:w="992" w:type="dxa"/>
            <w:shd w:val="clear" w:color="auto" w:fill="C4EFCE"/>
            <w:noWrap/>
            <w:vAlign w:val="center"/>
          </w:tcPr>
          <w:p w14:paraId="3E03C39A" w14:textId="64A9F783" w:rsidR="00DC5EC6" w:rsidRDefault="003245A4">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3173B055" w14:textId="67894D48" w:rsidR="00DC5EC6" w:rsidRDefault="003245A4">
            <w:pPr>
              <w:pStyle w:val="P68B1DB1-Normal12"/>
              <w:spacing w:after="0" w:line="240" w:lineRule="auto"/>
              <w:jc w:val="center"/>
              <w:rPr>
                <w:rFonts w:eastAsia="Times New Roman" w:cstheme="minorHAnsi"/>
                <w:noProof/>
                <w:highlight w:val="cyan"/>
              </w:rPr>
            </w:pPr>
            <w:r>
              <w:rPr>
                <w:noProof/>
              </w:rPr>
              <w:t>Nehéz orvosi berendezések beszerzése</w:t>
            </w:r>
          </w:p>
        </w:tc>
        <w:tc>
          <w:tcPr>
            <w:tcW w:w="1418" w:type="dxa"/>
            <w:shd w:val="clear" w:color="auto" w:fill="C4EFCE"/>
            <w:noWrap/>
            <w:vAlign w:val="center"/>
          </w:tcPr>
          <w:p w14:paraId="3E4067FF" w14:textId="77777777" w:rsidR="00DC5EC6" w:rsidRDefault="00DC5EC6">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47E2878A" w14:textId="1966A431" w:rsidR="00DC5EC6" w:rsidRDefault="003245A4">
            <w:pPr>
              <w:pStyle w:val="P68B1DB1-Normal12"/>
              <w:spacing w:after="0" w:line="240" w:lineRule="auto"/>
              <w:jc w:val="center"/>
              <w:rPr>
                <w:rFonts w:eastAsia="Times New Roman" w:cstheme="minorHAnsi"/>
                <w:noProof/>
              </w:rPr>
            </w:pPr>
            <w:r>
              <w:rPr>
                <w:noProof/>
              </w:rPr>
              <w:t xml:space="preserve">Szám </w:t>
            </w:r>
          </w:p>
        </w:tc>
        <w:tc>
          <w:tcPr>
            <w:tcW w:w="962" w:type="dxa"/>
            <w:shd w:val="clear" w:color="auto" w:fill="C4EFCE"/>
            <w:noWrap/>
            <w:vAlign w:val="center"/>
          </w:tcPr>
          <w:p w14:paraId="5876942B" w14:textId="11B5A7E5" w:rsidR="00DC5EC6" w:rsidRDefault="003245A4">
            <w:pPr>
              <w:pStyle w:val="P68B1DB1-Normal12"/>
              <w:spacing w:after="0" w:line="240" w:lineRule="auto"/>
              <w:jc w:val="center"/>
              <w:rPr>
                <w:rFonts w:eastAsia="Times New Roman" w:cstheme="minorHAnsi"/>
                <w:noProof/>
              </w:rPr>
            </w:pPr>
            <w:r>
              <w:rPr>
                <w:noProof/>
              </w:rPr>
              <w:t>0</w:t>
            </w:r>
          </w:p>
        </w:tc>
        <w:tc>
          <w:tcPr>
            <w:tcW w:w="805" w:type="dxa"/>
            <w:shd w:val="clear" w:color="auto" w:fill="C4EFCE"/>
            <w:noWrap/>
            <w:vAlign w:val="center"/>
          </w:tcPr>
          <w:p w14:paraId="581F2A0F" w14:textId="00F6C999" w:rsidR="00DC5EC6" w:rsidRDefault="003245A4">
            <w:pPr>
              <w:pStyle w:val="P68B1DB1-Normal12"/>
              <w:spacing w:after="0" w:line="240" w:lineRule="auto"/>
              <w:jc w:val="center"/>
              <w:rPr>
                <w:rFonts w:eastAsia="Times New Roman" w:cstheme="minorHAnsi"/>
                <w:noProof/>
              </w:rPr>
            </w:pPr>
            <w:r>
              <w:rPr>
                <w:noProof/>
              </w:rPr>
              <w:t>19</w:t>
            </w:r>
          </w:p>
        </w:tc>
        <w:tc>
          <w:tcPr>
            <w:tcW w:w="833" w:type="dxa"/>
            <w:gridSpan w:val="2"/>
            <w:shd w:val="clear" w:color="auto" w:fill="C4EFCE"/>
            <w:noWrap/>
            <w:vAlign w:val="center"/>
          </w:tcPr>
          <w:p w14:paraId="3E9D65A1" w14:textId="14BD57AF" w:rsidR="00DC5EC6" w:rsidRDefault="004D4D7D">
            <w:pPr>
              <w:pStyle w:val="P68B1DB1-Normal12"/>
              <w:spacing w:after="0" w:line="240" w:lineRule="auto"/>
              <w:jc w:val="center"/>
              <w:rPr>
                <w:rFonts w:eastAsia="Times New Roman" w:cstheme="minorHAnsi"/>
                <w:noProof/>
                <w:highlight w:val="cyan"/>
              </w:rPr>
            </w:pPr>
            <w:r>
              <w:rPr>
                <w:noProof/>
              </w:rPr>
              <w:t>4. NEGYEDÉV</w:t>
            </w:r>
          </w:p>
        </w:tc>
        <w:tc>
          <w:tcPr>
            <w:tcW w:w="901" w:type="dxa"/>
            <w:shd w:val="clear" w:color="auto" w:fill="C4EFCE"/>
            <w:noWrap/>
            <w:vAlign w:val="center"/>
          </w:tcPr>
          <w:p w14:paraId="3750A5B5" w14:textId="29F5D74F" w:rsidR="00DC5EC6" w:rsidRDefault="003245A4">
            <w:pPr>
              <w:pStyle w:val="P68B1DB1-Normal12"/>
              <w:spacing w:after="0" w:line="240" w:lineRule="auto"/>
              <w:jc w:val="center"/>
              <w:rPr>
                <w:rFonts w:eastAsia="Times New Roman" w:cstheme="minorHAnsi"/>
                <w:noProof/>
                <w:highlight w:val="cyan"/>
              </w:rPr>
            </w:pPr>
            <w:r>
              <w:rPr>
                <w:noProof/>
              </w:rPr>
              <w:t>2024</w:t>
            </w:r>
          </w:p>
        </w:tc>
        <w:tc>
          <w:tcPr>
            <w:tcW w:w="3981" w:type="dxa"/>
            <w:shd w:val="clear" w:color="auto" w:fill="C4EFCE"/>
            <w:noWrap/>
            <w:vAlign w:val="center"/>
          </w:tcPr>
          <w:p w14:paraId="2BF1F0E3" w14:textId="204916E6" w:rsidR="00DC5EC6" w:rsidRDefault="003245A4">
            <w:pPr>
              <w:pStyle w:val="P68B1DB1-Bodytext1013"/>
              <w:spacing w:after="0" w:line="240" w:lineRule="auto"/>
              <w:rPr>
                <w:rFonts w:cstheme="minorBidi"/>
                <w:noProof/>
              </w:rPr>
            </w:pPr>
            <w:r>
              <w:rPr>
                <w:noProof/>
              </w:rPr>
              <w:t xml:space="preserve">Az NHS kórházai számára beszerzett nehéz orvosi berendezések száma a jelentésben meghatározott szükségletek szerint, az 1.41. mérföldkőben foglaltak szerint. </w:t>
            </w:r>
          </w:p>
        </w:tc>
      </w:tr>
      <w:tr w:rsidR="00DC5EC6" w14:paraId="53D663E6" w14:textId="77777777">
        <w:trPr>
          <w:trHeight w:val="640"/>
        </w:trPr>
        <w:tc>
          <w:tcPr>
            <w:tcW w:w="1135" w:type="dxa"/>
            <w:shd w:val="clear" w:color="auto" w:fill="C4EFCE"/>
            <w:noWrap/>
            <w:vAlign w:val="center"/>
          </w:tcPr>
          <w:p w14:paraId="3A65D11A" w14:textId="50F5E0C2" w:rsidR="00DC5EC6" w:rsidRDefault="003245A4">
            <w:pPr>
              <w:pStyle w:val="P68B1DB1-Normal11"/>
              <w:spacing w:after="0" w:line="240" w:lineRule="auto"/>
              <w:jc w:val="center"/>
              <w:rPr>
                <w:rFonts w:eastAsia="Times New Roman" w:cstheme="minorHAnsi"/>
                <w:noProof/>
              </w:rPr>
            </w:pPr>
            <w:r>
              <w:rPr>
                <w:noProof/>
              </w:rPr>
              <w:t>1.43</w:t>
            </w:r>
          </w:p>
        </w:tc>
        <w:tc>
          <w:tcPr>
            <w:tcW w:w="1276" w:type="dxa"/>
            <w:shd w:val="clear" w:color="auto" w:fill="C4EFCE"/>
            <w:noWrap/>
            <w:vAlign w:val="center"/>
          </w:tcPr>
          <w:p w14:paraId="6F139DBF" w14:textId="6AAC2AA7" w:rsidR="00DC5EC6" w:rsidRDefault="003245A4">
            <w:pPr>
              <w:pStyle w:val="P68B1DB1-Normal12"/>
              <w:spacing w:after="0" w:line="240" w:lineRule="auto"/>
              <w:jc w:val="center"/>
              <w:rPr>
                <w:rFonts w:eastAsia="Times New Roman" w:cstheme="minorHAnsi"/>
                <w:noProof/>
                <w:highlight w:val="cyan"/>
              </w:rPr>
            </w:pPr>
            <w:r>
              <w:rPr>
                <w:noProof/>
              </w:rPr>
              <w:t>Újra-C01-i10</w:t>
            </w:r>
          </w:p>
        </w:tc>
        <w:tc>
          <w:tcPr>
            <w:tcW w:w="992" w:type="dxa"/>
            <w:shd w:val="clear" w:color="auto" w:fill="C4EFCE"/>
            <w:noWrap/>
            <w:vAlign w:val="center"/>
          </w:tcPr>
          <w:p w14:paraId="5E979747" w14:textId="69ED3709" w:rsidR="00DC5EC6" w:rsidRDefault="003245A4">
            <w:pPr>
              <w:pStyle w:val="P68B1DB1-Normal12"/>
              <w:spacing w:after="0" w:line="240" w:lineRule="auto"/>
              <w:jc w:val="center"/>
              <w:rPr>
                <w:rFonts w:eastAsia="Times New Roman" w:cstheme="minorHAnsi"/>
                <w:noProof/>
                <w:highlight w:val="cyan"/>
              </w:rPr>
            </w:pPr>
            <w:r>
              <w:rPr>
                <w:noProof/>
              </w:rPr>
              <w:t>T</w:t>
            </w:r>
          </w:p>
        </w:tc>
        <w:tc>
          <w:tcPr>
            <w:tcW w:w="1843" w:type="dxa"/>
            <w:shd w:val="clear" w:color="auto" w:fill="C4EFCE"/>
            <w:noWrap/>
            <w:vAlign w:val="center"/>
          </w:tcPr>
          <w:p w14:paraId="78937866" w14:textId="4C654376" w:rsidR="00DC5EC6" w:rsidRDefault="003245A4">
            <w:pPr>
              <w:pStyle w:val="P68B1DB1-Normal12"/>
              <w:spacing w:after="0" w:line="240" w:lineRule="auto"/>
              <w:jc w:val="center"/>
              <w:rPr>
                <w:rFonts w:eastAsia="Times New Roman" w:cstheme="minorHAnsi"/>
                <w:noProof/>
                <w:highlight w:val="cyan"/>
              </w:rPr>
            </w:pPr>
            <w:r>
              <w:rPr>
                <w:noProof/>
              </w:rPr>
              <w:t>Nehéz orvosi berendezések beszerzése</w:t>
            </w:r>
          </w:p>
        </w:tc>
        <w:tc>
          <w:tcPr>
            <w:tcW w:w="1418" w:type="dxa"/>
            <w:shd w:val="clear" w:color="auto" w:fill="C4EFCE"/>
            <w:noWrap/>
            <w:vAlign w:val="center"/>
          </w:tcPr>
          <w:p w14:paraId="4C7ED9B0" w14:textId="77777777" w:rsidR="00DC5EC6" w:rsidRDefault="00DC5EC6">
            <w:pPr>
              <w:spacing w:after="0" w:line="240" w:lineRule="auto"/>
              <w:jc w:val="center"/>
              <w:rPr>
                <w:rFonts w:eastAsia="Times New Roman" w:cstheme="minorHAnsi"/>
                <w:noProof/>
                <w:sz w:val="16"/>
                <w:highlight w:val="cyan"/>
              </w:rPr>
            </w:pPr>
          </w:p>
        </w:tc>
        <w:tc>
          <w:tcPr>
            <w:tcW w:w="1164" w:type="dxa"/>
            <w:shd w:val="clear" w:color="auto" w:fill="C4EFCE"/>
            <w:noWrap/>
            <w:vAlign w:val="center"/>
          </w:tcPr>
          <w:p w14:paraId="39721FDC" w14:textId="63D9F4FC" w:rsidR="00DC5EC6" w:rsidRDefault="003245A4">
            <w:pPr>
              <w:pStyle w:val="P68B1DB1-Normal12"/>
              <w:spacing w:after="0" w:line="240" w:lineRule="auto"/>
              <w:jc w:val="center"/>
              <w:rPr>
                <w:rFonts w:eastAsia="Times New Roman" w:cstheme="minorHAnsi"/>
                <w:noProof/>
              </w:rPr>
            </w:pPr>
            <w:r>
              <w:rPr>
                <w:noProof/>
              </w:rPr>
              <w:t xml:space="preserve">Szám </w:t>
            </w:r>
          </w:p>
        </w:tc>
        <w:tc>
          <w:tcPr>
            <w:tcW w:w="962" w:type="dxa"/>
            <w:shd w:val="clear" w:color="auto" w:fill="C4EFCE"/>
            <w:noWrap/>
            <w:vAlign w:val="center"/>
          </w:tcPr>
          <w:p w14:paraId="6A3D1C7A" w14:textId="3B984FB3" w:rsidR="00DC5EC6" w:rsidRDefault="003245A4">
            <w:pPr>
              <w:pStyle w:val="P68B1DB1-Normal12"/>
              <w:spacing w:after="0" w:line="240" w:lineRule="auto"/>
              <w:jc w:val="center"/>
              <w:rPr>
                <w:rFonts w:eastAsia="Times New Roman" w:cstheme="minorHAnsi"/>
                <w:noProof/>
              </w:rPr>
            </w:pPr>
            <w:r>
              <w:rPr>
                <w:noProof/>
              </w:rPr>
              <w:t>19</w:t>
            </w:r>
          </w:p>
        </w:tc>
        <w:tc>
          <w:tcPr>
            <w:tcW w:w="805" w:type="dxa"/>
            <w:shd w:val="clear" w:color="auto" w:fill="C4EFCE"/>
            <w:noWrap/>
            <w:vAlign w:val="center"/>
          </w:tcPr>
          <w:p w14:paraId="457A6131" w14:textId="5D364BEF" w:rsidR="00DC5EC6" w:rsidRDefault="003245A4">
            <w:pPr>
              <w:pStyle w:val="P68B1DB1-Normal12"/>
              <w:spacing w:after="0" w:line="240" w:lineRule="auto"/>
              <w:jc w:val="center"/>
              <w:rPr>
                <w:rFonts w:eastAsia="Times New Roman" w:cstheme="minorHAnsi"/>
                <w:noProof/>
              </w:rPr>
            </w:pPr>
            <w:r>
              <w:rPr>
                <w:noProof/>
              </w:rPr>
              <w:t>68</w:t>
            </w:r>
          </w:p>
        </w:tc>
        <w:tc>
          <w:tcPr>
            <w:tcW w:w="833" w:type="dxa"/>
            <w:gridSpan w:val="2"/>
            <w:shd w:val="clear" w:color="auto" w:fill="C4EFCE"/>
            <w:noWrap/>
            <w:vAlign w:val="center"/>
          </w:tcPr>
          <w:p w14:paraId="02EF6BB9" w14:textId="3A6A8AB7" w:rsidR="00DC5EC6" w:rsidRDefault="004D4D7D">
            <w:pPr>
              <w:pStyle w:val="P68B1DB1-Normal12"/>
              <w:spacing w:after="0" w:line="240" w:lineRule="auto"/>
              <w:jc w:val="center"/>
              <w:rPr>
                <w:rFonts w:eastAsia="Times New Roman" w:cstheme="minorHAnsi"/>
                <w:noProof/>
                <w:highlight w:val="cyan"/>
              </w:rPr>
            </w:pPr>
            <w:r>
              <w:rPr>
                <w:noProof/>
              </w:rPr>
              <w:t>2. NEGYEDÉV</w:t>
            </w:r>
          </w:p>
        </w:tc>
        <w:tc>
          <w:tcPr>
            <w:tcW w:w="901" w:type="dxa"/>
            <w:shd w:val="clear" w:color="auto" w:fill="C4EFCE"/>
            <w:noWrap/>
            <w:vAlign w:val="center"/>
          </w:tcPr>
          <w:p w14:paraId="3604404B" w14:textId="71C4B142" w:rsidR="00DC5EC6" w:rsidRDefault="003245A4">
            <w:pPr>
              <w:pStyle w:val="P68B1DB1-Normal12"/>
              <w:spacing w:after="0" w:line="240" w:lineRule="auto"/>
              <w:jc w:val="center"/>
              <w:rPr>
                <w:rFonts w:eastAsia="Times New Roman" w:cstheme="minorHAnsi"/>
                <w:noProof/>
                <w:highlight w:val="cyan"/>
              </w:rPr>
            </w:pPr>
            <w:r>
              <w:rPr>
                <w:noProof/>
              </w:rPr>
              <w:t>2026</w:t>
            </w:r>
          </w:p>
        </w:tc>
        <w:tc>
          <w:tcPr>
            <w:tcW w:w="3981" w:type="dxa"/>
            <w:shd w:val="clear" w:color="auto" w:fill="C4EFCE"/>
            <w:noWrap/>
            <w:vAlign w:val="center"/>
          </w:tcPr>
          <w:p w14:paraId="5C235DE8" w14:textId="2F003924" w:rsidR="00DC5EC6" w:rsidRDefault="003245A4">
            <w:pPr>
              <w:pStyle w:val="P68B1DB1-Normal12"/>
              <w:spacing w:after="0" w:line="240" w:lineRule="auto"/>
              <w:jc w:val="both"/>
              <w:rPr>
                <w:rFonts w:eastAsia="Times New Roman"/>
                <w:noProof/>
                <w:highlight w:val="cyan"/>
              </w:rPr>
            </w:pPr>
            <w:r>
              <w:rPr>
                <w:noProof/>
              </w:rPr>
              <w:t xml:space="preserve">Az NHS kórházai számára beszerzett nehéz orvosi berendezések száma a jelentésben azonosított igényeknek megfelelően, az 1.41. mérföldkőben foglaltak szerint. </w:t>
            </w:r>
          </w:p>
        </w:tc>
      </w:tr>
    </w:tbl>
    <w:p w14:paraId="5B15A5F5" w14:textId="77777777" w:rsidR="00DC5EC6" w:rsidRDefault="00DC5EC6">
      <w:pPr>
        <w:rPr>
          <w:rFonts w:ascii="Times New Roman" w:eastAsiaTheme="minorEastAsia" w:hAnsi="Times New Roman" w:cs="Times New Roman"/>
          <w:noProof/>
          <w:sz w:val="24"/>
        </w:rPr>
        <w:sectPr w:rsidR="00DC5EC6" w:rsidSect="00E00EDD">
          <w:headerReference w:type="even" r:id="rId36"/>
          <w:headerReference w:type="default" r:id="rId37"/>
          <w:footerReference w:type="even" r:id="rId38"/>
          <w:footerReference w:type="default" r:id="rId39"/>
          <w:headerReference w:type="first" r:id="rId40"/>
          <w:footerReference w:type="first" r:id="rId41"/>
          <w:pgSz w:w="16839" w:h="11907" w:orient="landscape"/>
          <w:pgMar w:top="1134" w:right="1134" w:bottom="1134" w:left="1134" w:header="567" w:footer="567" w:gutter="0"/>
          <w:cols w:space="720"/>
          <w:docGrid w:linePitch="360"/>
        </w:sectPr>
      </w:pPr>
    </w:p>
    <w:p w14:paraId="688C9CBD" w14:textId="5ED7EC48"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B. 2. </w:t>
      </w:r>
      <w:r w:rsidR="00342815">
        <w:rPr>
          <w:noProof/>
        </w:rPr>
        <w:t>KOMPONENS</w:t>
      </w:r>
      <w:r>
        <w:rPr>
          <w:noProof/>
        </w:rPr>
        <w:t>: Lakhatás</w:t>
      </w:r>
    </w:p>
    <w:p w14:paraId="7565FEB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portugál helyreállítási és rezilienciaépítési terv e komponense a kiszolgáltatott helyzetben lévő csoportok állandó és ideiglenes lakhatási megoldásainak strukturális hiányával kapcsolatos kihívásokkal foglalkozik, mind Portugália szárazföldi részén, mind az Azori-szigetek és Madeira autonóm régiókban, miközben közvetve hozzájárul a szociális védelmi rendszer megerősítéséhez is. Az állami lakások a teljes portugáliai állománynak csupán 2%-át teszik ki, és nem tartják elégségesnek a leginkább rászorulók és a társadalmi kirekesztés kockázatának kitettek szükségleteinek kielégítésére. </w:t>
      </w:r>
    </w:p>
    <w:p w14:paraId="64E9763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fő célkitűzései a következők: a szociális és megfizethető lakhatási kínálat növelése (beleértve az egyéb kapcsolódó szükségletek, például az alapvető infrastruktúra és felszerelések hiányát, az egészségtelen és bizonytalan tartózkodási helyeket, a bizonytalan vagy a szerződéses kapcsolatok hiányát, a túlzsúfoltságot vagy a lakhatás elégtelenségét a fogyatékossággal élő vagy csökkent mozgásképességű személyek sajátos szükségleteinek kielégítésére); a váratlan vagy előre nem látható eseményekből, például természeti katasztrófákból, tüzekből, világjárványokból, migrációs mozgásokból, menedékjog iránti kérelmekből vagy közvetlen veszélyt jelentő helyzetekből, például kapcsolati erőszakból, emberkereskedelemből, kilakoltatások kockázatából és egyéb eseményekből eredő sürgős és átmeneti szállásigényekre adott nemzeti nyilvános válasz kialakítása; és iii. a megfizethető árú diákszállások kínálatának növelése. Az alkotóelembe történő beruházások új lakások építését és a meglévők rehabilitációját foglalják magukban. </w:t>
      </w:r>
    </w:p>
    <w:p w14:paraId="6B68FD9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hozzájárul a 2019-ben és 2020-ban az európai szemeszter keretében Portugáliának címzett országspecifikus ajánlások végrehajtásához, nevezetesen: A szociális biztonsági háló hatékonyságának és megfelelőségének javítása (2019. évi 2. országspecifikus ajánlás); Megfelelő és hatékony szociális védelem és jövedelemtámogatás biztosítása (2020. évi 2. országspecifikus ajánlás); valamint a felsőfokú végzettséggel rendelkezők számának növelése, különösen a tudomány és az információtechnológia területén (a diákok elhelyezésére irányuló beruházások révén) (2019. évi 2. országspecifikus ajánlás). A komponens hozzájárul továbbá az éghajlatvédelmi átálláshoz kapcsolódó országspecifikus ajánlás (2020. évi 3. országspecifikus ajánlás) megvalósításához is. A komponens a szociális jogok európai pillére több alapelvének végrehajtásához is hozzájárul, mint például: „A rászorulók számára biztosítani kell a jó minőségű szociális lakhatáshoz vagy lakhatási támogatáshoz való hozzáférést” (EPSR 19.a); „A kiszolgáltatott helyzetben lévő embereknek joguk van a kényszerkilakoltatással szembeni megfelelő segítséghez és védelemhez” (EPSR 19.b); „A hajléktalanoknak megfelelő menedéket és szolgáltatásokat kell biztosítani társadalmi befogadásuk előmozdítása érdekében” (EPSR 19. c) pont); „Szociális védelem” (EPSR 12); „A fogyatékossággal élő személyek befogadása” (EPSR 17); „Alapvető szolgáltatásokhoz való hozzáférés” (EPSR 20); „Oktatás, képzés és egész életen át tartó tanulás: Mindenkinek joga van a minőségi és inkluzív oktatáshoz, képzéshez és egész életen át tartó tanuláshoz annak érdekében, hogy olyan készségeket tartson fenn és szerezzen, amelyek lehetővé teszik számára, hogy teljes mértékben részt vegyen a társadalomban és sikeresen kezelje a munkaerőpiaci átmeneteket” (EPSR 1). A környezeti dimenziókat is be kell építeni, különösen a magas energiahatékonysági szabványokkal rendelkező új építkezések előmozdítása révén. </w:t>
      </w:r>
    </w:p>
    <w:p w14:paraId="35D63D83"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6D10CF73" w14:textId="24918575" w:rsidR="00DC5EC6" w:rsidRDefault="003245A4">
      <w:pPr>
        <w:rPr>
          <w:rFonts w:ascii="Times New Roman" w:eastAsiaTheme="minorEastAsia" w:hAnsi="Times New Roman" w:cs="Times New Roman"/>
          <w:b/>
          <w:noProof/>
          <w:sz w:val="24"/>
          <w:u w:val="single"/>
        </w:rPr>
      </w:pPr>
      <w:r>
        <w:rPr>
          <w:noProof/>
        </w:rPr>
        <w:br w:type="page"/>
      </w:r>
      <w:r>
        <w:rPr>
          <w:rFonts w:ascii="Times New Roman" w:hAnsi="Times New Roman"/>
          <w:b/>
          <w:noProof/>
          <w:sz w:val="24"/>
          <w:u w:val="single"/>
        </w:rPr>
        <w:t>B.1. Vissza nem térítendő pénzügyi támogatás – a reformok és beruházások ismertetése</w:t>
      </w:r>
    </w:p>
    <w:p w14:paraId="38F34ED6" w14:textId="77777777" w:rsidR="00DC5EC6" w:rsidRDefault="003245A4">
      <w:pPr>
        <w:pStyle w:val="P68B1DB1-Normal5"/>
        <w:spacing w:before="240" w:after="0" w:line="259" w:lineRule="auto"/>
        <w:ind w:left="851"/>
        <w:jc w:val="both"/>
        <w:outlineLvl w:val="2"/>
        <w:rPr>
          <w:rFonts w:ascii="Segoe UI" w:eastAsiaTheme="minorEastAsia" w:hAnsi="Segoe UI" w:cs="Segoe UI"/>
          <w:noProof/>
          <w:sz w:val="18"/>
        </w:rPr>
      </w:pPr>
      <w:r>
        <w:rPr>
          <w:noProof/>
        </w:rPr>
        <w:t>RE-r04 reform: Nemzeti sürgősségi és ideiglenes lakhatási terv</w:t>
      </w:r>
      <w:r>
        <w:rPr>
          <w:b/>
          <w:noProof/>
        </w:rPr>
        <w:t xml:space="preserve"> </w:t>
      </w:r>
    </w:p>
    <w:p w14:paraId="69243C7C" w14:textId="77777777" w:rsidR="00DC5EC6" w:rsidRDefault="003245A4">
      <w:pPr>
        <w:pStyle w:val="P68B1DB1-Normal4"/>
        <w:keepNext/>
        <w:spacing w:before="40" w:after="0" w:line="259" w:lineRule="auto"/>
        <w:jc w:val="both"/>
        <w:rPr>
          <w:rFonts w:eastAsiaTheme="minorEastAsia" w:cs="Times New Roman"/>
          <w:noProof/>
        </w:rPr>
      </w:pPr>
      <w:r>
        <w:rPr>
          <w:noProof/>
        </w:rPr>
        <w:t>A reform célja egy nemzeti állami hálózat létrehozása, amely a portugáliai lakhatási politikák megújításának részeként választ ad a sürgős és átmeneti lakhatási igényekre, az azonosított célcsoportok védelme és szerepvállalásuk növelése, valamint a társadalmi befogadás előmozdítása és az egyenlőtlenségek elleni küzdelem érdekében.</w:t>
      </w:r>
    </w:p>
    <w:p w14:paraId="2E314B9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célja, hogy strukturált és átfogó választ adjon a sürgősségi vagy ideiglenes elhelyezési megoldásokra szorulók számára, és kidolgozza a szükséges jogi és szabályozási keretet a beruházási RE-C02-i02 beruházási modell (nemzeti szükséghelyzeti és ideiglenes szállástámogatás) irányítási modelljének kialakításához, valamint módszereket állapít meg a támogatott személyek számára a szállásra és a szociális támogatásra való utalásra vonatkozóan. </w:t>
      </w:r>
    </w:p>
    <w:p w14:paraId="342DEB4C"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június 31-ig kellett befejezni.</w:t>
      </w:r>
    </w:p>
    <w:p w14:paraId="60A89DB8" w14:textId="77777777" w:rsidR="00DC5EC6" w:rsidRDefault="003245A4">
      <w:pPr>
        <w:pStyle w:val="P68B1DB1-Normal5"/>
        <w:spacing w:before="240" w:after="0" w:line="259" w:lineRule="auto"/>
        <w:ind w:left="851"/>
        <w:jc w:val="both"/>
        <w:outlineLvl w:val="2"/>
        <w:rPr>
          <w:rFonts w:eastAsiaTheme="minorEastAsia" w:cs="Times New Roman"/>
          <w:b/>
          <w:noProof/>
        </w:rPr>
      </w:pPr>
      <w:r>
        <w:rPr>
          <w:noProof/>
        </w:rPr>
        <w:t>RE-C02-i01 beruházás: A lakhatáshoz való hozzáférést támogató program</w:t>
      </w:r>
    </w:p>
    <w:p w14:paraId="3FB79740" w14:textId="77777777" w:rsidR="00DC5EC6" w:rsidRDefault="003245A4">
      <w:pPr>
        <w:pStyle w:val="P68B1DB1-Normal4"/>
        <w:keepNext/>
        <w:spacing w:before="40" w:after="0" w:line="259" w:lineRule="auto"/>
        <w:jc w:val="both"/>
        <w:rPr>
          <w:rFonts w:eastAsiaTheme="minorEastAsia" w:cs="Times New Roman"/>
          <w:noProof/>
        </w:rPr>
      </w:pPr>
      <w:r>
        <w:rPr>
          <w:noProof/>
        </w:rPr>
        <w:t>A beruházás célja, hogy tisztességes és megfelelő lakhatást biztosítson a leginkább rászoruló családok és a legkiszolgáltatottabb csoportok számára. </w:t>
      </w:r>
    </w:p>
    <w:p w14:paraId="01325250" w14:textId="575F3908" w:rsidR="00DC5EC6" w:rsidRDefault="003245A4">
      <w:pPr>
        <w:pStyle w:val="P68B1DB1-Normal4"/>
        <w:keepNext/>
        <w:spacing w:before="40" w:after="0" w:line="259" w:lineRule="auto"/>
        <w:jc w:val="both"/>
        <w:rPr>
          <w:rFonts w:eastAsiaTheme="minorEastAsia" w:cs="Times New Roman"/>
          <w:noProof/>
        </w:rPr>
      </w:pPr>
      <w:r>
        <w:rPr>
          <w:noProof/>
        </w:rPr>
        <w:t xml:space="preserve">A beruházás elsősorban szociális lakhatást biztosít, de pénzügyi támogatást is nyújt felújításhoz vagy építéshez azon azonosított célcsoportok számára, amelyek nem rendelkeznek a saját lakhatásuk megfelelőségének garantálásához szükséges pénzügyi kapacitással, 2026-ig legalább 26000 háztartás számára. A beruházások új épületek építéséből vagy meglévő lakások felújításából, valamint szükség esetén új épületek megvásárlásából vagy albérletbe adásából állnak. </w:t>
      </w:r>
    </w:p>
    <w:p w14:paraId="028C754C"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617C9ADB"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RE-C02–i02 beruházás: Nemzeti sürgősségi és ideiglenes szállástámogatás</w:t>
      </w:r>
    </w:p>
    <w:p w14:paraId="044DBC62" w14:textId="4AD6F74F" w:rsidR="00DC5EC6" w:rsidRDefault="003245A4">
      <w:pPr>
        <w:pStyle w:val="P68B1DB1-Normal4"/>
        <w:spacing w:before="40" w:after="0" w:line="259" w:lineRule="auto"/>
        <w:jc w:val="both"/>
        <w:rPr>
          <w:rFonts w:eastAsia="Times New Roman" w:cs="Times New Roman"/>
          <w:noProof/>
        </w:rPr>
      </w:pPr>
      <w:r>
        <w:rPr>
          <w:noProof/>
        </w:rPr>
        <w:t xml:space="preserve">E beruházás célja, hogy ideiglenes vagy sürgősségi szállást biztosítson a szárazföldön élő lakosság kiszolgáltatott csoportjai számára. Ez a beruházás a nemzeti sürgősségi és ideiglenes lakhatási terv reformjának végrehajtását szolgálja. A tervezett beavatkozásokat a következő kockázatok vagy társadalmi vészhelyzetek határozzák meg: előre nem látható vagy rendkívüli események, a lakhatástól ideiglenesen megfosztott személyek sürgős elhelyezésének és szerepvállalásának szükségessége, beleértve a kapcsolati erőszak áldozatait, az emberkereskedelem áldozatait, a nemzetközi védelem alatt álló személyeket és a hajléktalanokat; olyan személyek sürgős és ideiglenes elhelyezésével kapcsolatos rendkívüli és kellően indokolt igények, akik esetében fennáll annak a közvetlen és tényleges kockázata, hogy szállás nélkül maradnak, vagy az intézményesítettség csökkentése folyamatban van; az állami tisztviselők és alkalmazottak ideiglenes és a közérdek szempontjából nélkülözhetetlen szállásigénye. </w:t>
      </w:r>
    </w:p>
    <w:p w14:paraId="69716809" w14:textId="4ECEDCA8" w:rsidR="00DC5EC6" w:rsidRDefault="003245A4">
      <w:pPr>
        <w:pStyle w:val="P68B1DB1-Normal4"/>
        <w:keepNext/>
        <w:spacing w:before="40" w:after="0" w:line="259" w:lineRule="auto"/>
        <w:jc w:val="both"/>
        <w:rPr>
          <w:rFonts w:eastAsia="Times New Roman" w:cs="Times New Roman"/>
          <w:noProof/>
        </w:rPr>
      </w:pPr>
      <w:r>
        <w:rPr>
          <w:noProof/>
        </w:rPr>
        <w:t>A beruházás 2000 vészhelyzeti szálláshely, 473 lakóegység, (a közérdek által indokolt esetekben) a biztonsági erők három blokkjának, valamint humanitárius vagy biztonsági okokból történő ideiglenes elhelyezésére szolgáló öt központnak a létrehozását foglalja magában.</w:t>
      </w:r>
    </w:p>
    <w:p w14:paraId="0C5E7164" w14:textId="500D2C39"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2DD99C3E" w14:textId="77777777" w:rsidR="00DC5EC6" w:rsidRDefault="00DC5EC6">
      <w:pPr>
        <w:keepNext/>
        <w:spacing w:before="40" w:after="0" w:line="259" w:lineRule="auto"/>
        <w:jc w:val="both"/>
        <w:rPr>
          <w:rFonts w:ascii="Times New Roman" w:eastAsia="Times New Roman" w:hAnsi="Times New Roman" w:cs="Times New Roman"/>
          <w:noProof/>
          <w:sz w:val="24"/>
        </w:rPr>
        <w:sectPr w:rsidR="00DC5EC6" w:rsidSect="00E00EDD">
          <w:headerReference w:type="even" r:id="rId42"/>
          <w:headerReference w:type="default" r:id="rId43"/>
          <w:footerReference w:type="even" r:id="rId44"/>
          <w:footerReference w:type="default" r:id="rId45"/>
          <w:headerReference w:type="first" r:id="rId46"/>
          <w:footerReference w:type="first" r:id="rId47"/>
          <w:pgSz w:w="11907" w:h="16839"/>
          <w:pgMar w:top="1134" w:right="1134" w:bottom="1134" w:left="1134" w:header="567" w:footer="567" w:gutter="0"/>
          <w:cols w:space="720"/>
          <w:docGrid w:linePitch="360"/>
        </w:sectPr>
      </w:pPr>
    </w:p>
    <w:p w14:paraId="1E30C2F3"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RE-C02–i03-RAM beruházás: A szociális lakások kínálatának megerősítése Madeira autonóm régióban</w:t>
      </w:r>
    </w:p>
    <w:p w14:paraId="4FB3B1E7" w14:textId="77777777" w:rsidR="00DC5EC6" w:rsidRDefault="003245A4">
      <w:pPr>
        <w:pStyle w:val="P68B1DB1-Normal4"/>
        <w:keepNext/>
        <w:spacing w:before="40" w:after="0" w:line="259" w:lineRule="auto"/>
        <w:jc w:val="both"/>
        <w:rPr>
          <w:rFonts w:eastAsia="Times New Roman" w:cs="Times New Roman"/>
          <w:noProof/>
        </w:rPr>
      </w:pPr>
      <w:r>
        <w:rPr>
          <w:noProof/>
        </w:rPr>
        <w:t xml:space="preserve">E beruházás célja, hogy kielégítse azoknak a nehéz körülmények között élő családoknak a lakhatási szükségleteit, amelyek nem rendelkeznek a Madeira autonóm régióban a megfelelő lakhatáshoz való hozzáférés költségeinek fedezéséhez szükséges pénzügyi kapacitással. </w:t>
      </w:r>
    </w:p>
    <w:p w14:paraId="3BBCCBA7" w14:textId="70F3E827" w:rsidR="00DC5EC6" w:rsidRDefault="003245A4">
      <w:pPr>
        <w:pStyle w:val="P68B1DB1-Normal4"/>
        <w:keepNext/>
        <w:spacing w:before="40" w:after="0" w:line="259" w:lineRule="auto"/>
        <w:jc w:val="both"/>
        <w:rPr>
          <w:rFonts w:eastAsia="Times New Roman" w:cs="Times New Roman"/>
          <w:noProof/>
        </w:rPr>
      </w:pPr>
      <w:r>
        <w:rPr>
          <w:noProof/>
        </w:rPr>
        <w:t>A beruházás szociális lakások építéséből és/vagy megvásárlásából áll 805 háztartás számára (a beruházásnak magában kell foglalnia a tanulmányokat, projekteket, földvásárlást és -építést is), 325 magánlakás rehabilitációjának támogatását (beleértve a jobb energiahatékonyságot). A beruházás az információs rendszerek és az e-kormányzati megoldások fejlesztésére irányuló szolgáltatások beszerzését is előirányozza a lakásszektorban.</w:t>
      </w:r>
    </w:p>
    <w:p w14:paraId="54DD8C40"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2026. június 30-ig be kell fejezni.</w:t>
      </w:r>
    </w:p>
    <w:p w14:paraId="525A5122" w14:textId="2ED4CDFD" w:rsidR="00DC5EC6" w:rsidRDefault="003245A4">
      <w:pPr>
        <w:pStyle w:val="P68B1DB1-Normal5"/>
        <w:spacing w:before="240" w:after="0" w:line="259" w:lineRule="auto"/>
        <w:ind w:left="851"/>
        <w:jc w:val="both"/>
        <w:outlineLvl w:val="2"/>
        <w:rPr>
          <w:rFonts w:eastAsiaTheme="minorEastAsia" w:cs="Times New Roman"/>
          <w:b/>
          <w:noProof/>
        </w:rPr>
      </w:pPr>
      <w:r>
        <w:rPr>
          <w:noProof/>
        </w:rPr>
        <w:t>RE-02–i04-RAA beruházás: Az Azori-szigetek Autonóm Régió lakásállományának lakhatási körülményeinek javítása</w:t>
      </w:r>
    </w:p>
    <w:p w14:paraId="6DE7760B"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célja, hogy az Azori-szigetek Autonóm Régióban az épületek pusztulásának érzékelhető romlását és az ingatlanpiaci kínálat csökkenését követően különböző szinteken megerősítse a lakáskínálatot. </w:t>
      </w:r>
    </w:p>
    <w:p w14:paraId="63A86507" w14:textId="455DA13E" w:rsidR="00DC5EC6" w:rsidRDefault="003245A4">
      <w:pPr>
        <w:pStyle w:val="P68B1DB1-Normal4"/>
        <w:keepNext/>
        <w:spacing w:before="40" w:after="0" w:line="259" w:lineRule="auto"/>
        <w:jc w:val="both"/>
        <w:rPr>
          <w:rFonts w:eastAsia="Times New Roman" w:cs="Times New Roman"/>
          <w:noProof/>
        </w:rPr>
      </w:pPr>
      <w:r>
        <w:rPr>
          <w:noProof/>
        </w:rPr>
        <w:t>A beruházás a különböző szigeteken a következőkből áll:</w:t>
      </w:r>
    </w:p>
    <w:p w14:paraId="545C36D3" w14:textId="581E192D" w:rsidR="00DC5EC6" w:rsidRDefault="003245A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100 épület építése </w:t>
      </w:r>
    </w:p>
    <w:p w14:paraId="0C226449" w14:textId="15B8BAAD" w:rsidR="00DC5EC6" w:rsidRDefault="003245A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75 lakás véglegesítése; és </w:t>
      </w:r>
    </w:p>
    <w:p w14:paraId="51B9C6BC" w14:textId="10E25141" w:rsidR="00DC5EC6" w:rsidRDefault="003245A4">
      <w:pPr>
        <w:pStyle w:val="P68B1DB1-Normal4"/>
        <w:keepNext/>
        <w:numPr>
          <w:ilvl w:val="0"/>
          <w:numId w:val="68"/>
        </w:numPr>
        <w:spacing w:before="40" w:after="160" w:line="259" w:lineRule="auto"/>
        <w:contextualSpacing/>
        <w:jc w:val="both"/>
        <w:rPr>
          <w:rFonts w:eastAsia="Times New Roman" w:cs="Times New Roman"/>
          <w:noProof/>
        </w:rPr>
      </w:pPr>
      <w:r>
        <w:rPr>
          <w:noProof/>
        </w:rPr>
        <w:t xml:space="preserve">az épületek rehabilitációja (63 épület mélyreható felújítása, 329 épület közepes felújítása és 135 épület kisebb beavatkozása) összesen 527 beavatkozással. </w:t>
      </w:r>
    </w:p>
    <w:p w14:paraId="3F09A5C0" w14:textId="77777777"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0311D212" w14:textId="7E660E09" w:rsidR="00DC5EC6" w:rsidRDefault="003245A4">
      <w:pPr>
        <w:pStyle w:val="P68B1DB1-Normal5"/>
        <w:spacing w:before="240" w:after="0" w:line="259" w:lineRule="auto"/>
        <w:ind w:left="851"/>
        <w:jc w:val="both"/>
        <w:outlineLvl w:val="2"/>
        <w:rPr>
          <w:rFonts w:eastAsia="Times New Roman" w:cs="Times New Roman"/>
          <w:noProof/>
        </w:rPr>
      </w:pPr>
      <w:bookmarkStart w:id="3" w:name="_Toc137472439"/>
      <w:r>
        <w:rPr>
          <w:noProof/>
        </w:rPr>
        <w:t>RE-C02–i07-RAA beruházás: A lakáscélú parcellák infrastruktúrája</w:t>
      </w:r>
      <w:bookmarkEnd w:id="3"/>
    </w:p>
    <w:p w14:paraId="5DB4B2B6" w14:textId="2335FBC6" w:rsidR="00DC5EC6" w:rsidRDefault="003245A4">
      <w:pPr>
        <w:pStyle w:val="P68B1DB1-Normal4"/>
        <w:keepNext/>
        <w:spacing w:before="40" w:after="0" w:line="259" w:lineRule="auto"/>
        <w:jc w:val="both"/>
        <w:rPr>
          <w:rFonts w:eastAsia="Times New Roman" w:cs="Times New Roman"/>
          <w:noProof/>
        </w:rPr>
      </w:pPr>
      <w:r>
        <w:rPr>
          <w:noProof/>
        </w:rPr>
        <w:t>A beruházás célja az Azori-szigetek Autonóm Régióban található parcellák infrastruktúrájának létrehozása vagy fejlesztése, valamint az, hogy azokat a kiválasztott pályázókhoz rendeljék. A cél az, hogy a kiválasztott pályázók ellenőrzött költségek mellett megépíthessék saját házaikat ezeken a parcellákon. Ezt a programot a 2005. augusztus 3-i 21/2005/A. sz. regionális törvényerejű rendelet hozta létre. A beruházás keretében 145 parcellát kell elosztani.</w:t>
      </w:r>
    </w:p>
    <w:p w14:paraId="7838D678"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Amikor kiválasztják a jelölteket, hogy e tételeken saját házat építsenek, elsőbbséget élveznek a fiatalok (egyesület esetén 35 év alattiak, házasok vagy házaspárok esetében 70 év alattiak). </w:t>
      </w:r>
    </w:p>
    <w:p w14:paraId="3788AF15" w14:textId="43A361F9" w:rsidR="00DC5EC6" w:rsidRDefault="003245A4">
      <w:pPr>
        <w:pStyle w:val="P68B1DB1-Normal4"/>
        <w:keepNext/>
        <w:spacing w:before="40" w:after="0" w:line="259" w:lineRule="auto"/>
        <w:jc w:val="both"/>
        <w:rPr>
          <w:rFonts w:eastAsia="Times New Roman" w:cs="Times New Roman"/>
          <w:noProof/>
        </w:rPr>
      </w:pPr>
      <w:r>
        <w:rPr>
          <w:noProof/>
        </w:rPr>
        <w:t xml:space="preserve">A beruházás végrehajtását 2026. június 30-ig be kell fejezni. </w:t>
      </w:r>
    </w:p>
    <w:p w14:paraId="240FFEBB" w14:textId="2C357D8F" w:rsidR="00DC5EC6" w:rsidRDefault="003245A4">
      <w:pPr>
        <w:pStyle w:val="P68B1DB1-Normal5"/>
        <w:spacing w:before="240" w:after="0" w:line="259" w:lineRule="auto"/>
        <w:ind w:left="851"/>
        <w:jc w:val="both"/>
        <w:outlineLvl w:val="2"/>
        <w:rPr>
          <w:rFonts w:eastAsia="Times New Roman" w:cs="Times New Roman"/>
          <w:noProof/>
        </w:rPr>
      </w:pPr>
      <w:r>
        <w:rPr>
          <w:noProof/>
        </w:rPr>
        <w:t>RE-C02-i08-RAA beruházás: A szociális lakásállomány megerősítése</w:t>
      </w:r>
    </w:p>
    <w:p w14:paraId="2049FD50"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célja az Azori-szigetek autonóm régió szociális lakásállományának megerősítése. A beruházás 126 lakás építéséből áll. </w:t>
      </w:r>
    </w:p>
    <w:p w14:paraId="0909839C" w14:textId="51879CAF" w:rsidR="00DC5EC6" w:rsidRDefault="003245A4">
      <w:pPr>
        <w:pStyle w:val="P68B1DB1-Normal4"/>
        <w:keepNext/>
        <w:spacing w:before="40" w:after="0" w:line="259" w:lineRule="auto"/>
        <w:jc w:val="both"/>
        <w:rPr>
          <w:rFonts w:eastAsia="Times New Roman" w:cs="Times New Roman"/>
          <w:noProof/>
        </w:rPr>
      </w:pPr>
      <w:r>
        <w:rPr>
          <w:noProof/>
        </w:rPr>
        <w:t>A beruházás végrehajtását 2025. december 31-ig be kell fejezni.</w:t>
      </w:r>
    </w:p>
    <w:p w14:paraId="3AC718DE"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54C2FD53"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0B7342BB" w14:textId="26242C44"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48"/>
          <w:headerReference w:type="default" r:id="rId49"/>
          <w:footerReference w:type="even" r:id="rId50"/>
          <w:footerReference w:type="default" r:id="rId51"/>
          <w:headerReference w:type="first" r:id="rId52"/>
          <w:footerReference w:type="first" r:id="rId53"/>
          <w:pgSz w:w="11907" w:h="16839"/>
          <w:pgMar w:top="1134" w:right="1134" w:bottom="1134" w:left="1134" w:header="567" w:footer="567" w:gutter="0"/>
          <w:cols w:space="720"/>
          <w:docGrid w:linePitch="360"/>
        </w:sectPr>
      </w:pPr>
    </w:p>
    <w:p w14:paraId="5FD3C9BD" w14:textId="77777777" w:rsidR="00DC5EC6" w:rsidRDefault="00DC5EC6">
      <w:pPr>
        <w:spacing w:before="40" w:after="0" w:line="259" w:lineRule="auto"/>
        <w:jc w:val="both"/>
        <w:rPr>
          <w:rFonts w:ascii="Times New Roman" w:eastAsiaTheme="minorEastAsia" w:hAnsi="Times New Roman" w:cs="Times New Roman"/>
          <w:noProof/>
          <w:sz w:val="24"/>
        </w:rPr>
      </w:pPr>
    </w:p>
    <w:p w14:paraId="5AEF2E47"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B.2. A vissza nem térítendő pénzügyi támogatás nyomon követésének és végrehajtásának mérföldkövei, mutatói és ütemterve.</w:t>
      </w:r>
    </w:p>
    <w:p w14:paraId="24CF32BC" w14:textId="77777777" w:rsidR="00DC5EC6" w:rsidRDefault="00DC5EC6">
      <w:pPr>
        <w:spacing w:before="40" w:after="0" w:line="259" w:lineRule="auto"/>
        <w:jc w:val="both"/>
        <w:rPr>
          <w:rFonts w:ascii="Times New Roman" w:eastAsiaTheme="minorEastAsia" w:hAnsi="Times New Roman" w:cs="Times New Roman"/>
          <w:b/>
          <w:noProof/>
          <w:sz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22"/>
        <w:gridCol w:w="1013"/>
        <w:gridCol w:w="1890"/>
        <w:gridCol w:w="1270"/>
        <w:gridCol w:w="961"/>
        <w:gridCol w:w="1066"/>
        <w:gridCol w:w="847"/>
        <w:gridCol w:w="455"/>
        <w:gridCol w:w="629"/>
        <w:gridCol w:w="4608"/>
      </w:tblGrid>
      <w:tr w:rsidR="00DC5EC6" w14:paraId="26812E46" w14:textId="77777777">
        <w:trPr>
          <w:trHeight w:val="910"/>
          <w:tblHeader/>
        </w:trPr>
        <w:tc>
          <w:tcPr>
            <w:tcW w:w="1134" w:type="dxa"/>
            <w:vMerge w:val="restart"/>
            <w:shd w:val="clear" w:color="auto" w:fill="BDD6EE"/>
            <w:vAlign w:val="center"/>
            <w:hideMark/>
          </w:tcPr>
          <w:p w14:paraId="0A302250"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304" w:type="dxa"/>
            <w:vMerge w:val="restart"/>
            <w:shd w:val="clear" w:color="auto" w:fill="BDD6EE"/>
            <w:vAlign w:val="center"/>
            <w:hideMark/>
          </w:tcPr>
          <w:p w14:paraId="73A11A92"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077" w:type="dxa"/>
            <w:vMerge w:val="restart"/>
            <w:shd w:val="clear" w:color="auto" w:fill="BDD6EE"/>
            <w:vAlign w:val="center"/>
            <w:hideMark/>
          </w:tcPr>
          <w:p w14:paraId="0685462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2026" w:type="dxa"/>
            <w:vMerge w:val="restart"/>
            <w:shd w:val="clear" w:color="auto" w:fill="BDD6EE"/>
            <w:vAlign w:val="center"/>
            <w:hideMark/>
          </w:tcPr>
          <w:p w14:paraId="41E039D4" w14:textId="77777777" w:rsidR="00DC5EC6" w:rsidRDefault="003245A4">
            <w:pPr>
              <w:pStyle w:val="P68B1DB1-Normal6"/>
              <w:spacing w:after="0" w:line="240" w:lineRule="auto"/>
              <w:jc w:val="center"/>
              <w:rPr>
                <w:rFonts w:eastAsia="Times New Roman" w:cs="Times New Roman"/>
                <w:noProof/>
              </w:rPr>
            </w:pPr>
            <w:r>
              <w:rPr>
                <w:noProof/>
              </w:rPr>
              <w:t>Név</w:t>
            </w:r>
          </w:p>
        </w:tc>
        <w:tc>
          <w:tcPr>
            <w:tcW w:w="1355" w:type="dxa"/>
            <w:vMerge w:val="restart"/>
            <w:shd w:val="clear" w:color="auto" w:fill="BDD6EE"/>
            <w:vAlign w:val="center"/>
            <w:hideMark/>
          </w:tcPr>
          <w:p w14:paraId="52174BB0"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453" w:type="dxa"/>
            <w:gridSpan w:val="3"/>
            <w:shd w:val="clear" w:color="auto" w:fill="BDD6EE"/>
            <w:vAlign w:val="center"/>
            <w:hideMark/>
          </w:tcPr>
          <w:p w14:paraId="62BF785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34" w:type="dxa"/>
            <w:gridSpan w:val="2"/>
            <w:shd w:val="clear" w:color="auto" w:fill="BDD6EE"/>
            <w:vAlign w:val="center"/>
            <w:hideMark/>
          </w:tcPr>
          <w:p w14:paraId="6677FCB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969" w:type="dxa"/>
            <w:vMerge w:val="restart"/>
            <w:shd w:val="clear" w:color="auto" w:fill="BDD6EE"/>
            <w:noWrap/>
            <w:vAlign w:val="center"/>
            <w:hideMark/>
          </w:tcPr>
          <w:p w14:paraId="2427D0C7"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43446B6" w14:textId="77777777">
        <w:trPr>
          <w:trHeight w:val="470"/>
          <w:tblHeader/>
        </w:trPr>
        <w:tc>
          <w:tcPr>
            <w:tcW w:w="1134" w:type="dxa"/>
            <w:vMerge/>
            <w:vAlign w:val="center"/>
            <w:hideMark/>
          </w:tcPr>
          <w:p w14:paraId="44D8EDF3" w14:textId="77777777" w:rsidR="00DC5EC6" w:rsidRDefault="00DC5EC6">
            <w:pPr>
              <w:spacing w:after="0" w:line="240" w:lineRule="auto"/>
              <w:rPr>
                <w:rFonts w:ascii="Times New Roman" w:eastAsia="Times New Roman" w:hAnsi="Times New Roman" w:cs="Times New Roman"/>
                <w:b/>
                <w:noProof/>
                <w:sz w:val="18"/>
              </w:rPr>
            </w:pPr>
          </w:p>
        </w:tc>
        <w:tc>
          <w:tcPr>
            <w:tcW w:w="1304" w:type="dxa"/>
            <w:vMerge/>
            <w:vAlign w:val="center"/>
            <w:hideMark/>
          </w:tcPr>
          <w:p w14:paraId="512D57CC" w14:textId="77777777" w:rsidR="00DC5EC6" w:rsidRDefault="00DC5EC6">
            <w:pPr>
              <w:spacing w:after="0" w:line="240" w:lineRule="auto"/>
              <w:rPr>
                <w:rFonts w:ascii="Times New Roman" w:eastAsia="Times New Roman" w:hAnsi="Times New Roman" w:cs="Times New Roman"/>
                <w:b/>
                <w:noProof/>
                <w:sz w:val="18"/>
              </w:rPr>
            </w:pPr>
          </w:p>
        </w:tc>
        <w:tc>
          <w:tcPr>
            <w:tcW w:w="1077" w:type="dxa"/>
            <w:vMerge/>
            <w:vAlign w:val="center"/>
            <w:hideMark/>
          </w:tcPr>
          <w:p w14:paraId="538E02C0" w14:textId="77777777" w:rsidR="00DC5EC6" w:rsidRDefault="00DC5EC6">
            <w:pPr>
              <w:spacing w:after="0" w:line="240" w:lineRule="auto"/>
              <w:jc w:val="center"/>
              <w:rPr>
                <w:rFonts w:ascii="Times New Roman" w:eastAsia="Times New Roman" w:hAnsi="Times New Roman" w:cs="Times New Roman"/>
                <w:b/>
                <w:noProof/>
                <w:sz w:val="18"/>
              </w:rPr>
            </w:pPr>
          </w:p>
        </w:tc>
        <w:tc>
          <w:tcPr>
            <w:tcW w:w="2026" w:type="dxa"/>
            <w:vMerge/>
            <w:vAlign w:val="center"/>
            <w:hideMark/>
          </w:tcPr>
          <w:p w14:paraId="0A0C7132" w14:textId="77777777" w:rsidR="00DC5EC6" w:rsidRDefault="00DC5EC6">
            <w:pPr>
              <w:spacing w:after="0" w:line="240" w:lineRule="auto"/>
              <w:rPr>
                <w:rFonts w:ascii="Times New Roman" w:eastAsia="Times New Roman" w:hAnsi="Times New Roman" w:cs="Times New Roman"/>
                <w:b/>
                <w:noProof/>
                <w:sz w:val="18"/>
              </w:rPr>
            </w:pPr>
          </w:p>
        </w:tc>
        <w:tc>
          <w:tcPr>
            <w:tcW w:w="1355" w:type="dxa"/>
            <w:vMerge/>
            <w:vAlign w:val="center"/>
            <w:hideMark/>
          </w:tcPr>
          <w:p w14:paraId="1A5F3ECB" w14:textId="77777777" w:rsidR="00DC5EC6" w:rsidRDefault="00DC5EC6">
            <w:pPr>
              <w:spacing w:after="0" w:line="240" w:lineRule="auto"/>
              <w:rPr>
                <w:rFonts w:ascii="Times New Roman" w:eastAsia="Times New Roman" w:hAnsi="Times New Roman" w:cs="Times New Roman"/>
                <w:b/>
                <w:noProof/>
                <w:sz w:val="18"/>
              </w:rPr>
            </w:pPr>
          </w:p>
        </w:tc>
        <w:tc>
          <w:tcPr>
            <w:tcW w:w="1021" w:type="dxa"/>
            <w:shd w:val="clear" w:color="auto" w:fill="BDD6EE"/>
            <w:vAlign w:val="center"/>
            <w:hideMark/>
          </w:tcPr>
          <w:p w14:paraId="52F8AAFE"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1134" w:type="dxa"/>
            <w:shd w:val="clear" w:color="auto" w:fill="BDD6EE"/>
            <w:vAlign w:val="center"/>
            <w:hideMark/>
          </w:tcPr>
          <w:p w14:paraId="28C4A36C"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97" w:type="dxa"/>
            <w:shd w:val="clear" w:color="auto" w:fill="BDD6EE"/>
            <w:vAlign w:val="center"/>
            <w:hideMark/>
          </w:tcPr>
          <w:p w14:paraId="1ABE3536" w14:textId="77777777" w:rsidR="00DC5EC6" w:rsidRDefault="003245A4">
            <w:pPr>
              <w:pStyle w:val="P68B1DB1-Normal6"/>
              <w:spacing w:after="0" w:line="240" w:lineRule="auto"/>
              <w:jc w:val="center"/>
              <w:rPr>
                <w:rFonts w:eastAsia="Times New Roman" w:cs="Times New Roman"/>
                <w:noProof/>
              </w:rPr>
            </w:pPr>
            <w:r>
              <w:rPr>
                <w:noProof/>
              </w:rPr>
              <w:t>Cél</w:t>
            </w:r>
          </w:p>
        </w:tc>
        <w:tc>
          <w:tcPr>
            <w:tcW w:w="473" w:type="dxa"/>
            <w:shd w:val="clear" w:color="auto" w:fill="BDD6EE"/>
            <w:vAlign w:val="center"/>
            <w:hideMark/>
          </w:tcPr>
          <w:p w14:paraId="0E0C1D54" w14:textId="5BBCCC10" w:rsidR="00DC5EC6" w:rsidRDefault="00F84F8B">
            <w:pPr>
              <w:pStyle w:val="P68B1DB1-Normal6"/>
              <w:spacing w:after="0" w:line="240" w:lineRule="auto"/>
              <w:jc w:val="center"/>
              <w:rPr>
                <w:rFonts w:eastAsia="Times New Roman" w:cs="Times New Roman"/>
                <w:noProof/>
              </w:rPr>
            </w:pPr>
            <w:r>
              <w:rPr>
                <w:noProof/>
              </w:rPr>
              <w:t>Negyedév</w:t>
            </w:r>
          </w:p>
        </w:tc>
        <w:tc>
          <w:tcPr>
            <w:tcW w:w="625" w:type="dxa"/>
            <w:shd w:val="clear" w:color="auto" w:fill="BDD6EE"/>
            <w:vAlign w:val="center"/>
            <w:hideMark/>
          </w:tcPr>
          <w:p w14:paraId="01CDE8A6" w14:textId="74ED6337" w:rsidR="00DC5EC6" w:rsidRDefault="003245A4">
            <w:pPr>
              <w:pStyle w:val="P68B1DB1-Normal6"/>
              <w:spacing w:after="0" w:line="240" w:lineRule="auto"/>
              <w:jc w:val="center"/>
              <w:rPr>
                <w:rFonts w:eastAsia="Times New Roman" w:cs="Times New Roman"/>
                <w:noProof/>
              </w:rPr>
            </w:pPr>
            <w:r>
              <w:rPr>
                <w:noProof/>
              </w:rPr>
              <w:t>Év</w:t>
            </w:r>
          </w:p>
        </w:tc>
        <w:tc>
          <w:tcPr>
            <w:tcW w:w="4969" w:type="dxa"/>
            <w:vMerge/>
            <w:vAlign w:val="center"/>
            <w:hideMark/>
          </w:tcPr>
          <w:p w14:paraId="5362E692" w14:textId="77777777" w:rsidR="00DC5EC6" w:rsidRDefault="00DC5EC6">
            <w:pPr>
              <w:spacing w:after="0" w:line="240" w:lineRule="auto"/>
              <w:rPr>
                <w:rFonts w:ascii="Times New Roman" w:eastAsia="Times New Roman" w:hAnsi="Times New Roman" w:cs="Times New Roman"/>
                <w:b/>
                <w:noProof/>
                <w:sz w:val="18"/>
              </w:rPr>
            </w:pPr>
          </w:p>
        </w:tc>
      </w:tr>
      <w:tr w:rsidR="00DC5EC6" w14:paraId="6A7FC94D" w14:textId="77777777">
        <w:trPr>
          <w:trHeight w:val="290"/>
        </w:trPr>
        <w:tc>
          <w:tcPr>
            <w:tcW w:w="1134" w:type="dxa"/>
            <w:shd w:val="clear" w:color="auto" w:fill="C5EFCE"/>
            <w:vAlign w:val="center"/>
            <w:hideMark/>
          </w:tcPr>
          <w:p w14:paraId="34896C2A" w14:textId="77777777" w:rsidR="00DC5EC6" w:rsidRDefault="003245A4">
            <w:pPr>
              <w:pStyle w:val="P68B1DB1-Normal7"/>
              <w:spacing w:after="0" w:line="240" w:lineRule="auto"/>
              <w:jc w:val="center"/>
              <w:rPr>
                <w:rFonts w:eastAsia="Times New Roman" w:cs="Calibri"/>
                <w:noProof/>
              </w:rPr>
            </w:pPr>
            <w:r>
              <w:rPr>
                <w:noProof/>
              </w:rPr>
              <w:t>2.1</w:t>
            </w:r>
          </w:p>
        </w:tc>
        <w:tc>
          <w:tcPr>
            <w:tcW w:w="1304" w:type="dxa"/>
            <w:shd w:val="clear" w:color="auto" w:fill="C4EFCE"/>
            <w:vAlign w:val="center"/>
            <w:hideMark/>
          </w:tcPr>
          <w:p w14:paraId="17075C01" w14:textId="7777777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1061568D"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1421DF1" w14:textId="77777777" w:rsidR="00DC5EC6" w:rsidRDefault="003245A4">
            <w:pPr>
              <w:pStyle w:val="P68B1DB1-Normal8"/>
              <w:spacing w:after="0" w:line="240" w:lineRule="auto"/>
              <w:jc w:val="center"/>
              <w:rPr>
                <w:rFonts w:eastAsia="Times New Roman" w:cs="Calibri"/>
                <w:noProof/>
              </w:rPr>
            </w:pPr>
            <w:r>
              <w:rPr>
                <w:noProof/>
              </w:rPr>
              <w:t>A lakhatáshoz való hozzáférést támogató program – aláírt együttműködési vagy finanszírozási megállapodások</w:t>
            </w:r>
          </w:p>
        </w:tc>
        <w:tc>
          <w:tcPr>
            <w:tcW w:w="1355" w:type="dxa"/>
            <w:shd w:val="clear" w:color="auto" w:fill="C4EFCE"/>
            <w:vAlign w:val="center"/>
            <w:hideMark/>
          </w:tcPr>
          <w:p w14:paraId="60835B4C"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A526E05" w14:textId="5E4CF0F6"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37537AFA"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8A19566" w14:textId="77777777" w:rsidR="00DC5EC6" w:rsidRDefault="003245A4">
            <w:pPr>
              <w:pStyle w:val="P68B1DB1-Normal8"/>
              <w:spacing w:after="0" w:line="240" w:lineRule="auto"/>
              <w:jc w:val="center"/>
              <w:rPr>
                <w:rFonts w:eastAsia="Times New Roman" w:cs="Calibri"/>
                <w:noProof/>
              </w:rPr>
            </w:pPr>
            <w:r>
              <w:rPr>
                <w:noProof/>
              </w:rPr>
              <w:t>75</w:t>
            </w:r>
          </w:p>
        </w:tc>
        <w:tc>
          <w:tcPr>
            <w:tcW w:w="473" w:type="dxa"/>
            <w:shd w:val="clear" w:color="auto" w:fill="C4EFCE"/>
            <w:vAlign w:val="center"/>
            <w:hideMark/>
          </w:tcPr>
          <w:p w14:paraId="09ED35F6" w14:textId="3A2E0236"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6C3BD1EA" w14:textId="77777777" w:rsidR="00DC5EC6" w:rsidRDefault="003245A4">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4DF0FD03" w14:textId="77777777" w:rsidR="00DC5EC6" w:rsidRDefault="003245A4">
            <w:pPr>
              <w:pStyle w:val="P68B1DB1-Normal8"/>
              <w:spacing w:after="0" w:line="240" w:lineRule="auto"/>
              <w:rPr>
                <w:rFonts w:eastAsia="Times New Roman" w:cs="Calibri"/>
                <w:noProof/>
              </w:rPr>
            </w:pPr>
            <w:r>
              <w:rPr>
                <w:noProof/>
              </w:rPr>
              <w:t xml:space="preserve">Együttműködési vagy finanszírozási megállapodások aláírása. </w:t>
            </w:r>
          </w:p>
          <w:p w14:paraId="3127316F" w14:textId="77777777" w:rsidR="00DC5EC6" w:rsidRDefault="00DC5EC6">
            <w:pPr>
              <w:spacing w:after="0" w:line="240" w:lineRule="auto"/>
              <w:rPr>
                <w:rFonts w:ascii="Calibri" w:eastAsia="Times New Roman" w:hAnsi="Calibri" w:cs="Calibri"/>
                <w:noProof/>
                <w:sz w:val="16"/>
              </w:rPr>
            </w:pPr>
          </w:p>
          <w:p w14:paraId="47A044E4" w14:textId="5553DF5D" w:rsidR="00DC5EC6" w:rsidRDefault="003245A4">
            <w:pPr>
              <w:pStyle w:val="P68B1DB1-Normal8"/>
              <w:spacing w:after="0" w:line="240" w:lineRule="auto"/>
              <w:jc w:val="both"/>
              <w:rPr>
                <w:rFonts w:eastAsia="Times New Roman" w:cs="Calibri"/>
                <w:noProof/>
              </w:rPr>
            </w:pPr>
            <w:r>
              <w:rPr>
                <w:noProof/>
              </w:rPr>
              <w:t>A helyi szállásstratégiákat az önkormányzatok ismertetik. Ezek a stratégiák meghatározzák 1) az e program keretében támogatható valamennyi igényt (a június 4-i 37/2018. sz. törvényerejű rendeletben meghatározottak szerint), és 2) a lakhatási megoldásokat előmozdító szervezeteket. Miután az IHRU (Housing and Urban Rehabilitation Institute) validálta, hogy a helyi lakhatási stratégiák megfelelnek a programnak, aláírásra kerülnek az önkormányzatokkal kötött együttműködési megállapodások vagy a többi kedvezményezettel kötött finanszírozási megállapodások, amelyek meghatározzák a támogatandó konkrét beruházásokat, és megjelölik azok végrehajtásának határidejét.</w:t>
            </w:r>
          </w:p>
        </w:tc>
      </w:tr>
      <w:tr w:rsidR="00DC5EC6" w14:paraId="31DBD300" w14:textId="77777777">
        <w:trPr>
          <w:trHeight w:val="2949"/>
        </w:trPr>
        <w:tc>
          <w:tcPr>
            <w:tcW w:w="1134" w:type="dxa"/>
            <w:shd w:val="clear" w:color="auto" w:fill="C5EFCE"/>
            <w:vAlign w:val="center"/>
            <w:hideMark/>
          </w:tcPr>
          <w:p w14:paraId="435A6D15" w14:textId="77777777" w:rsidR="00DC5EC6" w:rsidRDefault="003245A4">
            <w:pPr>
              <w:pStyle w:val="P68B1DB1-Normal7"/>
              <w:spacing w:after="0" w:line="240" w:lineRule="auto"/>
              <w:jc w:val="center"/>
              <w:rPr>
                <w:rFonts w:eastAsia="Times New Roman" w:cs="Calibri"/>
                <w:noProof/>
              </w:rPr>
            </w:pPr>
            <w:r>
              <w:rPr>
                <w:noProof/>
              </w:rPr>
              <w:t>2.2</w:t>
            </w:r>
          </w:p>
        </w:tc>
        <w:tc>
          <w:tcPr>
            <w:tcW w:w="1304" w:type="dxa"/>
            <w:shd w:val="clear" w:color="auto" w:fill="C4EFCE"/>
            <w:vAlign w:val="center"/>
            <w:hideMark/>
          </w:tcPr>
          <w:p w14:paraId="7F179DDC" w14:textId="7777777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480FFBF4"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841A35F" w14:textId="77777777" w:rsidR="00DC5EC6" w:rsidRDefault="003245A4">
            <w:pPr>
              <w:pStyle w:val="P68B1DB1-Normal8"/>
              <w:spacing w:after="0" w:line="240" w:lineRule="auto"/>
              <w:jc w:val="center"/>
              <w:rPr>
                <w:rFonts w:eastAsia="Times New Roman" w:cs="Calibri"/>
                <w:noProof/>
              </w:rPr>
            </w:pPr>
            <w:r>
              <w:rPr>
                <w:noProof/>
              </w:rPr>
              <w:t>Lakhatáshoz való hozzáférést támogató program – háztartásoknak nyújtott vásárolt, épített (nagy energiahatékonyságú) vagy rehabilitált (jobb energiahatékonyságú) lakások</w:t>
            </w:r>
          </w:p>
        </w:tc>
        <w:tc>
          <w:tcPr>
            <w:tcW w:w="1355" w:type="dxa"/>
            <w:shd w:val="clear" w:color="auto" w:fill="C4EFCE"/>
            <w:vAlign w:val="center"/>
            <w:hideMark/>
          </w:tcPr>
          <w:p w14:paraId="79254448"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5B97704"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5717ADD7"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427505B2" w14:textId="0DACC7D5" w:rsidR="00DC5EC6" w:rsidRDefault="003245A4">
            <w:pPr>
              <w:pStyle w:val="P68B1DB1-Normal8"/>
              <w:spacing w:after="0" w:line="240" w:lineRule="auto"/>
              <w:jc w:val="center"/>
              <w:rPr>
                <w:rFonts w:eastAsia="Times New Roman" w:cs="Calibri"/>
                <w:noProof/>
              </w:rPr>
            </w:pPr>
            <w:r>
              <w:rPr>
                <w:noProof/>
              </w:rPr>
              <w:t>1 500</w:t>
            </w:r>
          </w:p>
        </w:tc>
        <w:tc>
          <w:tcPr>
            <w:tcW w:w="473" w:type="dxa"/>
            <w:shd w:val="clear" w:color="auto" w:fill="C4EFCE"/>
            <w:vAlign w:val="center"/>
            <w:hideMark/>
          </w:tcPr>
          <w:p w14:paraId="1E68496B" w14:textId="390C5286"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21D559DA" w14:textId="77777777" w:rsidR="00DC5EC6" w:rsidRDefault="003245A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10E4BAB8" w14:textId="44115244" w:rsidR="00DC5EC6" w:rsidRDefault="003245A4">
            <w:pPr>
              <w:pStyle w:val="P68B1DB1-Normal8"/>
              <w:spacing w:after="0" w:line="240" w:lineRule="auto"/>
              <w:jc w:val="both"/>
              <w:rPr>
                <w:rFonts w:eastAsia="Times New Roman" w:cs="Calibr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(kivéve a folyamatban lévő és a 2021-re és 2022-ra előirányzott projekteket, ami az ezen intézkedésre elkülönített teljes összeg legfeljebb 188 250 000 EUR-t tesz ki). </w:t>
            </w:r>
          </w:p>
        </w:tc>
      </w:tr>
      <w:tr w:rsidR="00DC5EC6" w14:paraId="375E02BE" w14:textId="77777777">
        <w:trPr>
          <w:trHeight w:val="1691"/>
        </w:trPr>
        <w:tc>
          <w:tcPr>
            <w:tcW w:w="1134" w:type="dxa"/>
            <w:shd w:val="clear" w:color="auto" w:fill="C5EFCE"/>
            <w:vAlign w:val="center"/>
          </w:tcPr>
          <w:p w14:paraId="31060937" w14:textId="2D4F963A" w:rsidR="00DC5EC6" w:rsidRDefault="003245A4">
            <w:pPr>
              <w:pStyle w:val="P68B1DB1-Normal7"/>
              <w:spacing w:after="0" w:line="240" w:lineRule="auto"/>
              <w:jc w:val="center"/>
              <w:rPr>
                <w:rFonts w:eastAsia="Times New Roman" w:cs="Calibri"/>
                <w:noProof/>
              </w:rPr>
            </w:pPr>
            <w:r>
              <w:rPr>
                <w:noProof/>
              </w:rPr>
              <w:t>2.29</w:t>
            </w:r>
          </w:p>
        </w:tc>
        <w:tc>
          <w:tcPr>
            <w:tcW w:w="1304" w:type="dxa"/>
            <w:shd w:val="clear" w:color="auto" w:fill="C4EFCE"/>
            <w:vAlign w:val="center"/>
          </w:tcPr>
          <w:p w14:paraId="4F9C5B9F" w14:textId="67E3029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tcPr>
          <w:p w14:paraId="3C73B808" w14:textId="0AE73BAB"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tcPr>
          <w:p w14:paraId="3E67D982" w14:textId="71A6CE76" w:rsidR="00DC5EC6" w:rsidRDefault="003245A4">
            <w:pPr>
              <w:pStyle w:val="P68B1DB1-Normal8"/>
              <w:spacing w:after="0" w:line="240" w:lineRule="auto"/>
              <w:jc w:val="center"/>
              <w:rPr>
                <w:rFonts w:eastAsia="Times New Roman" w:cs="Calibri"/>
                <w:noProof/>
              </w:rPr>
            </w:pPr>
            <w:r>
              <w:rPr>
                <w:noProof/>
              </w:rPr>
              <w:t>Lakhatáshoz való hozzáférést támogató program – háztartásoknak nyújtott vásárolt, épített (nagy energiahatékonyságú) vagy rehabilitált (jobb energiahatékonyságú) lakások</w:t>
            </w:r>
          </w:p>
        </w:tc>
        <w:tc>
          <w:tcPr>
            <w:tcW w:w="1355" w:type="dxa"/>
            <w:shd w:val="clear" w:color="auto" w:fill="C4EFCE"/>
            <w:vAlign w:val="center"/>
          </w:tcPr>
          <w:p w14:paraId="31101875" w14:textId="77777777" w:rsidR="00DC5EC6" w:rsidRDefault="00DC5EC6">
            <w:pPr>
              <w:spacing w:after="0" w:line="240" w:lineRule="auto"/>
              <w:jc w:val="center"/>
              <w:rPr>
                <w:rFonts w:ascii="Calibri" w:eastAsia="Times New Roman" w:hAnsi="Calibri" w:cs="Calibri"/>
                <w:noProof/>
                <w:sz w:val="16"/>
              </w:rPr>
            </w:pPr>
          </w:p>
        </w:tc>
        <w:tc>
          <w:tcPr>
            <w:tcW w:w="1021" w:type="dxa"/>
            <w:shd w:val="clear" w:color="auto" w:fill="C4EFCE"/>
            <w:vAlign w:val="center"/>
          </w:tcPr>
          <w:p w14:paraId="51871E3D" w14:textId="14F82F6A"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tcPr>
          <w:p w14:paraId="479FECEA" w14:textId="103FA3F7" w:rsidR="00DC5EC6" w:rsidRDefault="003245A4">
            <w:pPr>
              <w:pStyle w:val="P68B1DB1-Normal8"/>
              <w:spacing w:after="0" w:line="240" w:lineRule="auto"/>
              <w:jc w:val="center"/>
              <w:rPr>
                <w:rFonts w:eastAsia="Times New Roman" w:cs="Calibri"/>
                <w:noProof/>
              </w:rPr>
            </w:pPr>
            <w:r>
              <w:rPr>
                <w:noProof/>
              </w:rPr>
              <w:t>1 500</w:t>
            </w:r>
          </w:p>
        </w:tc>
        <w:tc>
          <w:tcPr>
            <w:tcW w:w="897" w:type="dxa"/>
            <w:shd w:val="clear" w:color="auto" w:fill="C4EFCE"/>
            <w:vAlign w:val="center"/>
          </w:tcPr>
          <w:p w14:paraId="5D50B648" w14:textId="748205E1" w:rsidR="00DC5EC6" w:rsidRDefault="003245A4">
            <w:pPr>
              <w:pStyle w:val="P68B1DB1-Normal8"/>
              <w:spacing w:after="0" w:line="240" w:lineRule="auto"/>
              <w:jc w:val="center"/>
              <w:rPr>
                <w:rFonts w:eastAsia="Times New Roman" w:cs="Calibri"/>
                <w:noProof/>
              </w:rPr>
            </w:pPr>
            <w:r>
              <w:rPr>
                <w:noProof/>
              </w:rPr>
              <w:t>10 000</w:t>
            </w:r>
          </w:p>
        </w:tc>
        <w:tc>
          <w:tcPr>
            <w:tcW w:w="473" w:type="dxa"/>
            <w:shd w:val="clear" w:color="auto" w:fill="C4EFCE"/>
            <w:vAlign w:val="center"/>
          </w:tcPr>
          <w:p w14:paraId="7C6DC9DC" w14:textId="6A70BA2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tcPr>
          <w:p w14:paraId="1AE5F7BB" w14:textId="1E2B6B17" w:rsidR="00DC5EC6" w:rsidRDefault="003245A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tcPr>
          <w:p w14:paraId="035D8FB0" w14:textId="678DD79D" w:rsidR="00DC5EC6" w:rsidRDefault="003245A4">
            <w:pPr>
              <w:pStyle w:val="P68B1DB1-Normal8"/>
              <w:spacing w:after="0" w:line="240" w:lineRule="auto"/>
              <w:jc w:val="both"/>
              <w:rPr>
                <w:rFonts w:eastAsia="Times New Roman" w:cs="Calibr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(kivéve a folyamatban lévő és a 2021-re és 2022-ra előirányzott projekteket, ami az ezen intézkedésre elkülönített teljes összeg legfeljebb 188 250 000 EUR-t tesz ki). </w:t>
            </w:r>
          </w:p>
        </w:tc>
      </w:tr>
      <w:tr w:rsidR="00DC5EC6" w14:paraId="6BC82244" w14:textId="77777777">
        <w:trPr>
          <w:trHeight w:val="509"/>
        </w:trPr>
        <w:tc>
          <w:tcPr>
            <w:tcW w:w="1134" w:type="dxa"/>
            <w:shd w:val="clear" w:color="auto" w:fill="C5EFCE"/>
            <w:vAlign w:val="center"/>
            <w:hideMark/>
          </w:tcPr>
          <w:p w14:paraId="59350F65" w14:textId="77777777" w:rsidR="00DC5EC6" w:rsidRDefault="003245A4">
            <w:pPr>
              <w:pStyle w:val="P68B1DB1-Normal7"/>
              <w:spacing w:after="0" w:line="240" w:lineRule="auto"/>
              <w:jc w:val="center"/>
              <w:rPr>
                <w:rFonts w:eastAsia="Times New Roman" w:cs="Calibri"/>
                <w:noProof/>
              </w:rPr>
            </w:pPr>
            <w:r>
              <w:rPr>
                <w:noProof/>
              </w:rPr>
              <w:t>2.3</w:t>
            </w:r>
          </w:p>
        </w:tc>
        <w:tc>
          <w:tcPr>
            <w:tcW w:w="1304" w:type="dxa"/>
            <w:shd w:val="clear" w:color="auto" w:fill="C4EFCE"/>
            <w:vAlign w:val="center"/>
            <w:hideMark/>
          </w:tcPr>
          <w:p w14:paraId="639C84CF" w14:textId="77777777" w:rsidR="00DC5EC6" w:rsidRDefault="003245A4">
            <w:pPr>
              <w:pStyle w:val="P68B1DB1-Normal8"/>
              <w:spacing w:after="0" w:line="240" w:lineRule="auto"/>
              <w:jc w:val="center"/>
              <w:rPr>
                <w:rFonts w:eastAsia="Times New Roman" w:cs="Calibri"/>
                <w:noProof/>
              </w:rPr>
            </w:pPr>
            <w:r>
              <w:rPr>
                <w:noProof/>
              </w:rPr>
              <w:t>Re-C02-i01</w:t>
            </w:r>
          </w:p>
        </w:tc>
        <w:tc>
          <w:tcPr>
            <w:tcW w:w="1077" w:type="dxa"/>
            <w:shd w:val="clear" w:color="auto" w:fill="C4EFCE"/>
            <w:vAlign w:val="center"/>
            <w:hideMark/>
          </w:tcPr>
          <w:p w14:paraId="069FE15A"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E94FF9B" w14:textId="77777777" w:rsidR="00DC5EC6" w:rsidRDefault="003245A4">
            <w:pPr>
              <w:pStyle w:val="P68B1DB1-Normal8"/>
              <w:spacing w:after="0" w:line="240" w:lineRule="auto"/>
              <w:jc w:val="center"/>
              <w:rPr>
                <w:rFonts w:eastAsia="Times New Roman" w:cs="Calibri"/>
                <w:noProof/>
              </w:rPr>
            </w:pPr>
            <w:r>
              <w:rPr>
                <w:noProof/>
              </w:rPr>
              <w:t xml:space="preserve">Lakhatáshoz való hozzáférést támogató program – háztartásoknak nyújtott vásárolt, épített (nagy energiahatékonyságú) vagy rehabilitált (jobb energiahatékonyságú) lakások </w:t>
            </w:r>
          </w:p>
        </w:tc>
        <w:tc>
          <w:tcPr>
            <w:tcW w:w="1355" w:type="dxa"/>
            <w:shd w:val="clear" w:color="auto" w:fill="C4EFCE"/>
            <w:vAlign w:val="center"/>
            <w:hideMark/>
          </w:tcPr>
          <w:p w14:paraId="751EA2D7"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35A0186"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1EF94F6B" w14:textId="113A63A7" w:rsidR="00DC5EC6" w:rsidRDefault="003245A4">
            <w:pPr>
              <w:pStyle w:val="P68B1DB1-Normal8"/>
              <w:spacing w:after="0" w:line="240" w:lineRule="auto"/>
              <w:jc w:val="center"/>
              <w:rPr>
                <w:rFonts w:eastAsia="Times New Roman" w:cs="Calibri"/>
                <w:noProof/>
              </w:rPr>
            </w:pPr>
            <w:r>
              <w:rPr>
                <w:noProof/>
              </w:rPr>
              <w:t>10 000</w:t>
            </w:r>
          </w:p>
        </w:tc>
        <w:tc>
          <w:tcPr>
            <w:tcW w:w="897" w:type="dxa"/>
            <w:shd w:val="clear" w:color="auto" w:fill="C4EFCE"/>
            <w:vAlign w:val="center"/>
            <w:hideMark/>
          </w:tcPr>
          <w:p w14:paraId="5D687843" w14:textId="4E170287" w:rsidR="00DC5EC6" w:rsidRDefault="003245A4">
            <w:pPr>
              <w:pStyle w:val="P68B1DB1-Normal8"/>
              <w:spacing w:after="0" w:line="240" w:lineRule="auto"/>
              <w:jc w:val="center"/>
              <w:rPr>
                <w:rFonts w:eastAsia="Times New Roman" w:cs="Calibri"/>
                <w:noProof/>
              </w:rPr>
            </w:pPr>
            <w:r>
              <w:rPr>
                <w:noProof/>
              </w:rPr>
              <w:t>22 360</w:t>
            </w:r>
          </w:p>
        </w:tc>
        <w:tc>
          <w:tcPr>
            <w:tcW w:w="473" w:type="dxa"/>
            <w:shd w:val="clear" w:color="auto" w:fill="C4EFCE"/>
            <w:vAlign w:val="center"/>
            <w:hideMark/>
          </w:tcPr>
          <w:p w14:paraId="0BDA8B9E" w14:textId="7BC46AB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A2AE7BE"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B093878" w14:textId="3B9713FE" w:rsidR="00DC5EC6" w:rsidRDefault="003245A4">
            <w:pPr>
              <w:pStyle w:val="P68B1DB1-Normal8"/>
              <w:spacing w:after="0" w:line="240" w:lineRule="auto"/>
              <w:jc w:val="both"/>
              <w:rPr>
                <w:rFonts w:eastAsia="Times New Roman" w:cs="Calibr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(kivéve a folyamatban lévő és a 2021-re és 2022-ra előirányzott projekteket, ami az ezen intézkedésre elkülönített teljes összeg legfeljebb 188 250 000 EUR-t tesz ki). A rehabilitációhoz a lakásonkénti referenciaegység 73 négyzetméter, az új épületek esetében 95 négyzetméter a 22360 lakás esetében. </w:t>
            </w:r>
          </w:p>
        </w:tc>
      </w:tr>
      <w:tr w:rsidR="00DC5EC6" w14:paraId="1B7EC0D5" w14:textId="77777777">
        <w:trPr>
          <w:trHeight w:val="290"/>
        </w:trPr>
        <w:tc>
          <w:tcPr>
            <w:tcW w:w="1134" w:type="dxa"/>
            <w:shd w:val="clear" w:color="auto" w:fill="C5EFCE"/>
            <w:vAlign w:val="center"/>
            <w:hideMark/>
          </w:tcPr>
          <w:p w14:paraId="77D78043" w14:textId="77777777" w:rsidR="00DC5EC6" w:rsidRDefault="003245A4">
            <w:pPr>
              <w:pStyle w:val="P68B1DB1-Normal7"/>
              <w:spacing w:after="0" w:line="240" w:lineRule="auto"/>
              <w:jc w:val="center"/>
              <w:rPr>
                <w:rFonts w:eastAsia="Times New Roman" w:cs="Calibri"/>
                <w:noProof/>
              </w:rPr>
            </w:pPr>
            <w:r>
              <w:rPr>
                <w:noProof/>
              </w:rPr>
              <w:t>2.4</w:t>
            </w:r>
          </w:p>
        </w:tc>
        <w:tc>
          <w:tcPr>
            <w:tcW w:w="1304" w:type="dxa"/>
            <w:shd w:val="clear" w:color="auto" w:fill="C4EFCE"/>
            <w:vAlign w:val="center"/>
            <w:hideMark/>
          </w:tcPr>
          <w:p w14:paraId="21608A65"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FAA0881" w14:textId="77777777" w:rsidR="00DC5EC6" w:rsidRDefault="003245A4">
            <w:pPr>
              <w:pStyle w:val="P68B1DB1-Normal8"/>
              <w:spacing w:after="0" w:line="240" w:lineRule="auto"/>
              <w:jc w:val="center"/>
              <w:rPr>
                <w:rFonts w:eastAsia="Times New Roman" w:cs="Calibri"/>
                <w:noProof/>
              </w:rPr>
            </w:pPr>
            <w:r>
              <w:rPr>
                <w:noProof/>
              </w:rPr>
              <w:t> T</w:t>
            </w:r>
          </w:p>
        </w:tc>
        <w:tc>
          <w:tcPr>
            <w:tcW w:w="2026" w:type="dxa"/>
            <w:shd w:val="clear" w:color="auto" w:fill="C4EFCE"/>
            <w:vAlign w:val="center"/>
            <w:hideMark/>
          </w:tcPr>
          <w:p w14:paraId="0914FF1B" w14:textId="77777777"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A sürgősségi és átmeneti szállásra vonatkozó finanszírozási megállapodások aláírása</w:t>
            </w:r>
          </w:p>
        </w:tc>
        <w:tc>
          <w:tcPr>
            <w:tcW w:w="1355" w:type="dxa"/>
            <w:shd w:val="clear" w:color="auto" w:fill="C4EFCE"/>
            <w:vAlign w:val="center"/>
            <w:hideMark/>
          </w:tcPr>
          <w:p w14:paraId="058B51CE"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CCDF8A5"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14C89D3F"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6F45426A" w14:textId="77777777" w:rsidR="00DC5EC6" w:rsidRDefault="003245A4">
            <w:pPr>
              <w:pStyle w:val="P68B1DB1-Normal8"/>
              <w:spacing w:after="0" w:line="240" w:lineRule="auto"/>
              <w:jc w:val="center"/>
              <w:rPr>
                <w:rFonts w:eastAsia="Times New Roman" w:cs="Calibri"/>
                <w:noProof/>
              </w:rPr>
            </w:pPr>
            <w:r>
              <w:rPr>
                <w:noProof/>
              </w:rPr>
              <w:t>500</w:t>
            </w:r>
          </w:p>
        </w:tc>
        <w:tc>
          <w:tcPr>
            <w:tcW w:w="473" w:type="dxa"/>
            <w:shd w:val="clear" w:color="auto" w:fill="C4EFCE"/>
            <w:vAlign w:val="center"/>
            <w:hideMark/>
          </w:tcPr>
          <w:p w14:paraId="4F11D61E" w14:textId="4B9A06B1" w:rsidR="00DC5EC6" w:rsidRDefault="00F84F8B">
            <w:pPr>
              <w:pStyle w:val="P68B1DB1-Normal8"/>
              <w:spacing w:after="0" w:line="240" w:lineRule="auto"/>
              <w:jc w:val="center"/>
              <w:rPr>
                <w:rFonts w:eastAsia="Times New Roman" w:cs="Calibri"/>
                <w:noProof/>
              </w:rPr>
            </w:pPr>
            <w:r>
              <w:rPr>
                <w:noProof/>
              </w:rPr>
              <w:t xml:space="preserve">3. NEGYEDÉV </w:t>
            </w:r>
          </w:p>
        </w:tc>
        <w:tc>
          <w:tcPr>
            <w:tcW w:w="625" w:type="dxa"/>
            <w:shd w:val="clear" w:color="auto" w:fill="C4EFCE"/>
            <w:vAlign w:val="center"/>
            <w:hideMark/>
          </w:tcPr>
          <w:p w14:paraId="7A500F3E" w14:textId="77777777" w:rsidR="00DC5EC6" w:rsidRDefault="003245A4">
            <w:pPr>
              <w:pStyle w:val="P68B1DB1-Normal8"/>
              <w:spacing w:after="0" w:line="240" w:lineRule="auto"/>
              <w:jc w:val="center"/>
              <w:rPr>
                <w:rFonts w:eastAsia="Times New Roman" w:cs="Calibri"/>
                <w:noProof/>
              </w:rPr>
            </w:pPr>
            <w:r>
              <w:rPr>
                <w:noProof/>
              </w:rPr>
              <w:t>2022</w:t>
            </w:r>
          </w:p>
        </w:tc>
        <w:tc>
          <w:tcPr>
            <w:tcW w:w="4969" w:type="dxa"/>
            <w:shd w:val="clear" w:color="auto" w:fill="C4EFCE"/>
            <w:vAlign w:val="center"/>
            <w:hideMark/>
          </w:tcPr>
          <w:p w14:paraId="6C65AF43" w14:textId="2DE6C2A7" w:rsidR="00DC5EC6" w:rsidRDefault="003245A4">
            <w:pPr>
              <w:pStyle w:val="P68B1DB1-Normal8"/>
              <w:spacing w:after="0" w:line="240" w:lineRule="auto"/>
              <w:jc w:val="both"/>
              <w:rPr>
                <w:rFonts w:eastAsia="Times New Roman" w:cs="Calibri"/>
                <w:noProof/>
              </w:rPr>
            </w:pPr>
            <w:r>
              <w:rPr>
                <w:noProof/>
              </w:rPr>
              <w:t xml:space="preserve">Azon szálláshelyek száma, amelyekre vonatkozóan finanszírozási megállapodásokat írtak alá. </w:t>
            </w:r>
          </w:p>
          <w:p w14:paraId="1401935B" w14:textId="77777777" w:rsidR="00DC5EC6" w:rsidRDefault="003245A4">
            <w:pPr>
              <w:pStyle w:val="P68B1DB1-Normal8"/>
              <w:spacing w:after="0" w:line="240" w:lineRule="auto"/>
              <w:jc w:val="both"/>
              <w:rPr>
                <w:rFonts w:eastAsia="Times New Roman" w:cs="Calibri"/>
                <w:noProof/>
              </w:rPr>
            </w:pPr>
            <w:r>
              <w:rPr>
                <w:noProof/>
              </w:rPr>
              <w:t>A szervezetek a finanszírozás iránti kérelmüket az IHRU (lakás- és városrehabilitációs intézet) által meghirdetett ajánlati felhívásban nyújtják be, amely – miután értékelte és kikérte az ISS véleményét a benyújtott pályázatok érvényességéről és megvalósíthatóságáról – megköti a finanszírozást, és meghatározza a végrehajtás határidejét. „Szálláshely”: egy önálló megközelítésű épület egy vagy több lakótérből és több háztartás számára fenntartott további magánterületekből vagy lakóegységekből álló része.</w:t>
            </w:r>
          </w:p>
        </w:tc>
      </w:tr>
      <w:tr w:rsidR="00DC5EC6" w14:paraId="301EE51C" w14:textId="77777777">
        <w:trPr>
          <w:trHeight w:val="2674"/>
        </w:trPr>
        <w:tc>
          <w:tcPr>
            <w:tcW w:w="1134" w:type="dxa"/>
            <w:shd w:val="clear" w:color="auto" w:fill="C5EFCE"/>
            <w:vAlign w:val="center"/>
            <w:hideMark/>
          </w:tcPr>
          <w:p w14:paraId="68B87CC0" w14:textId="77777777" w:rsidR="00DC5EC6" w:rsidRDefault="003245A4">
            <w:pPr>
              <w:pStyle w:val="P68B1DB1-Normal7"/>
              <w:spacing w:after="0" w:line="240" w:lineRule="auto"/>
              <w:jc w:val="center"/>
              <w:rPr>
                <w:rFonts w:eastAsia="Times New Roman" w:cs="Calibri"/>
                <w:noProof/>
              </w:rPr>
            </w:pPr>
            <w:r>
              <w:rPr>
                <w:noProof/>
              </w:rPr>
              <w:t>2.5</w:t>
            </w:r>
          </w:p>
        </w:tc>
        <w:tc>
          <w:tcPr>
            <w:tcW w:w="1304" w:type="dxa"/>
            <w:shd w:val="clear" w:color="auto" w:fill="C4EFCE"/>
            <w:vAlign w:val="center"/>
            <w:hideMark/>
          </w:tcPr>
          <w:p w14:paraId="0896B5A2"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18C2C033"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2542EC9" w14:textId="77777777"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A sürgősségi és átmeneti szálláshelyekre vonatkozó finanszírozási megállapodások aláírása</w:t>
            </w:r>
          </w:p>
        </w:tc>
        <w:tc>
          <w:tcPr>
            <w:tcW w:w="1355" w:type="dxa"/>
            <w:shd w:val="clear" w:color="auto" w:fill="C4EFCE"/>
            <w:vAlign w:val="center"/>
            <w:hideMark/>
          </w:tcPr>
          <w:p w14:paraId="729388B8"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0F0E16D" w14:textId="48C4EEB3"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5404D043" w14:textId="77777777" w:rsidR="00DC5EC6" w:rsidRDefault="003245A4">
            <w:pPr>
              <w:pStyle w:val="P68B1DB1-Normal8"/>
              <w:spacing w:after="0" w:line="240" w:lineRule="auto"/>
              <w:jc w:val="center"/>
              <w:rPr>
                <w:rFonts w:eastAsia="Times New Roman" w:cs="Calibri"/>
                <w:noProof/>
              </w:rPr>
            </w:pPr>
            <w:r>
              <w:rPr>
                <w:noProof/>
              </w:rPr>
              <w:t>500</w:t>
            </w:r>
          </w:p>
        </w:tc>
        <w:tc>
          <w:tcPr>
            <w:tcW w:w="897" w:type="dxa"/>
            <w:shd w:val="clear" w:color="auto" w:fill="C4EFCE"/>
            <w:vAlign w:val="center"/>
            <w:hideMark/>
          </w:tcPr>
          <w:p w14:paraId="57B686FC" w14:textId="77777777" w:rsidR="00DC5EC6" w:rsidRDefault="003245A4">
            <w:pPr>
              <w:pStyle w:val="P68B1DB1-Normal8"/>
              <w:spacing w:after="0" w:line="240" w:lineRule="auto"/>
              <w:jc w:val="center"/>
              <w:rPr>
                <w:rFonts w:eastAsia="Times New Roman" w:cs="Calibri"/>
                <w:noProof/>
              </w:rPr>
            </w:pPr>
            <w:r>
              <w:rPr>
                <w:noProof/>
              </w:rPr>
              <w:t>1 000</w:t>
            </w:r>
          </w:p>
        </w:tc>
        <w:tc>
          <w:tcPr>
            <w:tcW w:w="473" w:type="dxa"/>
            <w:shd w:val="clear" w:color="auto" w:fill="C4EFCE"/>
            <w:vAlign w:val="center"/>
            <w:hideMark/>
          </w:tcPr>
          <w:p w14:paraId="106559ED" w14:textId="7AE2344A"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1B378D8D" w14:textId="77777777" w:rsidR="00DC5EC6" w:rsidRDefault="003245A4">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tcPr>
          <w:p w14:paraId="1296F222" w14:textId="08C6502C" w:rsidR="00DC5EC6" w:rsidRDefault="003245A4">
            <w:pPr>
              <w:pStyle w:val="P68B1DB1-Normal8"/>
              <w:spacing w:after="0" w:line="240" w:lineRule="auto"/>
              <w:jc w:val="both"/>
              <w:rPr>
                <w:rFonts w:eastAsia="Times New Roman" w:cs="Calibri"/>
                <w:noProof/>
              </w:rPr>
            </w:pPr>
            <w:r>
              <w:rPr>
                <w:noProof/>
              </w:rPr>
              <w:t>Azon szálláshelyek száma, amelyekre vonatkozóan finanszírozási megállapodásokat írtak alá.</w:t>
            </w:r>
          </w:p>
          <w:p w14:paraId="3D3E1365" w14:textId="769D7B7A" w:rsidR="00DC5EC6" w:rsidRDefault="003245A4">
            <w:pPr>
              <w:pStyle w:val="P68B1DB1-Normal8"/>
              <w:spacing w:after="0" w:line="240" w:lineRule="auto"/>
              <w:jc w:val="both"/>
              <w:rPr>
                <w:rFonts w:eastAsia="Times New Roman" w:cs="Calibri"/>
                <w:noProof/>
              </w:rPr>
            </w:pPr>
            <w:r>
              <w:rPr>
                <w:noProof/>
              </w:rPr>
              <w:t>A szervezetek a finanszírozás iránti kérelmüket az IHRU (lakás- és városrehabilitációs intézet) által meghirdetett ajánlati felhívásban nyújtják be, amely – miután értékelte és kikérte az ISS véleményét a benyújtott pályázatok érvényességéről és megvalósíthatóságáról – megköti a finanszírozást, és meghatározza a végrehajtás határidejét. „Szálláshely”: egy önálló megközelítésű épület egy vagy több lakótérből és több háztartás számára fenntartott további magánterületekből vagy lakóegységekből álló része.</w:t>
            </w:r>
          </w:p>
          <w:p w14:paraId="117AD3E0" w14:textId="77777777" w:rsidR="00DC5EC6" w:rsidRDefault="00DC5EC6">
            <w:pPr>
              <w:spacing w:after="0" w:line="240" w:lineRule="auto"/>
              <w:jc w:val="both"/>
              <w:rPr>
                <w:rFonts w:ascii="Calibri" w:eastAsia="Times New Roman" w:hAnsi="Calibri" w:cs="Calibri"/>
                <w:noProof/>
                <w:sz w:val="16"/>
              </w:rPr>
            </w:pPr>
          </w:p>
        </w:tc>
      </w:tr>
      <w:tr w:rsidR="00DC5EC6" w14:paraId="4D975256" w14:textId="77777777">
        <w:trPr>
          <w:trHeight w:val="2253"/>
        </w:trPr>
        <w:tc>
          <w:tcPr>
            <w:tcW w:w="1134" w:type="dxa"/>
            <w:shd w:val="clear" w:color="auto" w:fill="C5EFCE"/>
            <w:vAlign w:val="center"/>
            <w:hideMark/>
          </w:tcPr>
          <w:p w14:paraId="2C482782" w14:textId="77777777" w:rsidR="00DC5EC6" w:rsidRDefault="003245A4">
            <w:pPr>
              <w:pStyle w:val="P68B1DB1-Normal7"/>
              <w:spacing w:after="0" w:line="240" w:lineRule="auto"/>
              <w:jc w:val="center"/>
              <w:rPr>
                <w:rFonts w:eastAsia="Times New Roman" w:cs="Calibri"/>
                <w:noProof/>
              </w:rPr>
            </w:pPr>
            <w:r>
              <w:rPr>
                <w:noProof/>
              </w:rPr>
              <w:t>2.6</w:t>
            </w:r>
          </w:p>
        </w:tc>
        <w:tc>
          <w:tcPr>
            <w:tcW w:w="1304" w:type="dxa"/>
            <w:shd w:val="clear" w:color="auto" w:fill="C4EFCE"/>
            <w:vAlign w:val="center"/>
            <w:hideMark/>
          </w:tcPr>
          <w:p w14:paraId="672072E0"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62E3F49B"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E2BDA77" w14:textId="3AFE50BF"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építés alatt álló (energiahatékonysági szabvány szerint megépítendő vagy megvásárolandó, vagy jobb energiahatékonysággal helyreállítandó) vészhelyzeti és átmeneti szálláshelyek építési munkáinak megkezdése vagy beszerzése</w:t>
            </w:r>
          </w:p>
        </w:tc>
        <w:tc>
          <w:tcPr>
            <w:tcW w:w="1355" w:type="dxa"/>
            <w:shd w:val="clear" w:color="auto" w:fill="C4EFCE"/>
            <w:vAlign w:val="center"/>
            <w:hideMark/>
          </w:tcPr>
          <w:p w14:paraId="5368E03F"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796FA2A1" w14:textId="460620FE"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4ABF0136"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9E3EE0" w14:textId="496C8208" w:rsidR="00DC5EC6" w:rsidRDefault="003245A4">
            <w:pPr>
              <w:pStyle w:val="P68B1DB1-Normal8"/>
              <w:spacing w:after="0" w:line="240" w:lineRule="auto"/>
              <w:jc w:val="center"/>
              <w:rPr>
                <w:rFonts w:eastAsia="Times New Roman" w:cs="Calibri"/>
                <w:noProof/>
              </w:rPr>
            </w:pPr>
            <w:r>
              <w:rPr>
                <w:noProof/>
              </w:rPr>
              <w:t>350</w:t>
            </w:r>
          </w:p>
        </w:tc>
        <w:tc>
          <w:tcPr>
            <w:tcW w:w="473" w:type="dxa"/>
            <w:shd w:val="clear" w:color="auto" w:fill="C4EFCE"/>
            <w:vAlign w:val="center"/>
            <w:hideMark/>
          </w:tcPr>
          <w:p w14:paraId="7DDECB12" w14:textId="2CFC167E" w:rsidR="00DC5EC6" w:rsidRDefault="00F84F8B">
            <w:pPr>
              <w:pStyle w:val="P68B1DB1-Normal8"/>
              <w:spacing w:after="0" w:line="240" w:lineRule="auto"/>
              <w:jc w:val="center"/>
              <w:rPr>
                <w:rFonts w:eastAsia="Times New Roman" w:cs="Calibri"/>
                <w:noProof/>
              </w:rPr>
            </w:pPr>
            <w:r>
              <w:rPr>
                <w:noProof/>
              </w:rPr>
              <w:t>3. NEGYEDÉV</w:t>
            </w:r>
          </w:p>
        </w:tc>
        <w:tc>
          <w:tcPr>
            <w:tcW w:w="625" w:type="dxa"/>
            <w:shd w:val="clear" w:color="auto" w:fill="C4EFCE"/>
            <w:vAlign w:val="center"/>
            <w:hideMark/>
          </w:tcPr>
          <w:p w14:paraId="67217E7A" w14:textId="77777777" w:rsidR="00DC5EC6" w:rsidRDefault="003245A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0AFE01CA" w14:textId="473A67E9" w:rsidR="00DC5EC6" w:rsidRDefault="003245A4">
            <w:pPr>
              <w:pStyle w:val="P68B1DB1-Normal8"/>
              <w:spacing w:after="0" w:line="240" w:lineRule="auto"/>
              <w:jc w:val="both"/>
              <w:rPr>
                <w:rFonts w:eastAsia="Times New Roman" w:cs="Calibri"/>
                <w:noProof/>
              </w:rPr>
            </w:pPr>
            <w:r>
              <w:rPr>
                <w:noProof/>
              </w:rPr>
              <w:t xml:space="preserve">Olyan szálláshelyek, amelyek esetében építési munkálatok kezdődtek, vagy a szálláshelyek beszerzése. A finanszírozási szerződés megkötését követően az összeget a szerződés teljesítésétől függően felszabadítják a jogalanyoknak. Az új épületek primerenergia-szükségletének legalább 20%-kal alacsonyabbnak kell lennie a közel nulla energiaigényű épületekre vonatkozó követelményeknél (kivéve a folyamatban lévő és a 2021-re és 2022-ra előirányzott projekteket, amelyek az ezen intézkedésre elkülönített teljes összegből 14 800 000 EUR-t tesznek ki). </w:t>
            </w:r>
          </w:p>
        </w:tc>
      </w:tr>
      <w:tr w:rsidR="00DC5EC6" w14:paraId="5D93E105" w14:textId="77777777">
        <w:trPr>
          <w:trHeight w:val="509"/>
        </w:trPr>
        <w:tc>
          <w:tcPr>
            <w:tcW w:w="1134" w:type="dxa"/>
            <w:shd w:val="clear" w:color="auto" w:fill="C5EFCE"/>
            <w:vAlign w:val="center"/>
            <w:hideMark/>
          </w:tcPr>
          <w:p w14:paraId="413E90AC" w14:textId="77777777" w:rsidR="00DC5EC6" w:rsidRDefault="003245A4">
            <w:pPr>
              <w:pStyle w:val="P68B1DB1-Normal7"/>
              <w:spacing w:after="0" w:line="240" w:lineRule="auto"/>
              <w:jc w:val="center"/>
              <w:rPr>
                <w:rFonts w:eastAsia="Times New Roman" w:cs="Calibri"/>
                <w:noProof/>
              </w:rPr>
            </w:pPr>
            <w:r>
              <w:rPr>
                <w:noProof/>
              </w:rPr>
              <w:t>2.7</w:t>
            </w:r>
          </w:p>
        </w:tc>
        <w:tc>
          <w:tcPr>
            <w:tcW w:w="1304" w:type="dxa"/>
            <w:shd w:val="clear" w:color="auto" w:fill="C4EFCE"/>
            <w:vAlign w:val="center"/>
            <w:hideMark/>
          </w:tcPr>
          <w:p w14:paraId="1840F1C0"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0E870F5F"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6E6560F6" w14:textId="5E9818E4" w:rsidR="00DC5EC6" w:rsidRDefault="003245A4">
            <w:pPr>
              <w:pStyle w:val="P68B1DB1-Normal8"/>
              <w:spacing w:after="0" w:line="240" w:lineRule="auto"/>
              <w:jc w:val="center"/>
              <w:rPr>
                <w:rFonts w:eastAsia="Times New Roman" w:cs="Calibri"/>
                <w:noProof/>
              </w:rPr>
            </w:pPr>
            <w:r>
              <w:rPr>
                <w:noProof/>
              </w:rPr>
              <w:t>Nemzeti szükséghelyzeti és ideiglenes lakhatási támogatás – Veszélyhelyzeti és átmeneti szálláshelyek, amelyeket (energiahatékonysági szabvány szerint építettek vagy vásároltak, vagy rehabilitáltak, többek között vásároltak, jobb energiahatékonysággal) és a fejlesztőknek szállítottak</w:t>
            </w:r>
          </w:p>
        </w:tc>
        <w:tc>
          <w:tcPr>
            <w:tcW w:w="1355" w:type="dxa"/>
            <w:shd w:val="clear" w:color="auto" w:fill="C4EFCE"/>
            <w:vAlign w:val="center"/>
            <w:hideMark/>
          </w:tcPr>
          <w:p w14:paraId="4245B913"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07D9E38D" w14:textId="742C938D"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4CFB3CF0"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D5D9D2D" w14:textId="77777777" w:rsidR="00DC5EC6" w:rsidRDefault="003245A4">
            <w:pPr>
              <w:pStyle w:val="P68B1DB1-Normal8"/>
              <w:spacing w:after="0" w:line="240" w:lineRule="auto"/>
              <w:jc w:val="center"/>
              <w:rPr>
                <w:rFonts w:eastAsia="Times New Roman" w:cs="Calibri"/>
                <w:noProof/>
              </w:rPr>
            </w:pPr>
            <w:r>
              <w:rPr>
                <w:noProof/>
              </w:rPr>
              <w:t>2 000</w:t>
            </w:r>
          </w:p>
        </w:tc>
        <w:tc>
          <w:tcPr>
            <w:tcW w:w="473" w:type="dxa"/>
            <w:shd w:val="clear" w:color="auto" w:fill="C4EFCE"/>
            <w:vAlign w:val="center"/>
            <w:hideMark/>
          </w:tcPr>
          <w:p w14:paraId="6B63A6F4" w14:textId="031453A9"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6908D626"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130C6538" w14:textId="26B12645" w:rsidR="00DC5EC6" w:rsidRDefault="003245A4">
            <w:pPr>
              <w:pStyle w:val="P68B1DB1-Normal8"/>
              <w:spacing w:after="0" w:line="240" w:lineRule="auto"/>
              <w:jc w:val="both"/>
              <w:rPr>
                <w:rFonts w:eastAsia="Times New Roman" w:cs="Calibri"/>
                <w:noProof/>
              </w:rPr>
            </w:pPr>
            <w:r>
              <w:rPr>
                <w:noProof/>
              </w:rPr>
              <w:t xml:space="preserve">Szállás átadása a támogató szerveknek. „Szálláshely”: egy önálló megközelítésű épület egy vagy több lakótérből és több háztartás számára fenntartott további magánterületekből vagy lakóegységekből álló része. Az új épületek primerenergia-szükségletének legalább 20%-kal alacsonyabbnak kell lennie a közel nulla energiaigényű épületekre vonatkozó követelményeknél (kivéve a folyamatban lévő és a 2021-re és 2022-ra előirányzott projekteket, amelyek az ezen intézkedésre elkülönített teljes összegből 14 800 000 EUR-t tesznek ki). A referenciaegység átlagosan 73 négyzetméter a 2000 lakótérben. </w:t>
            </w:r>
          </w:p>
        </w:tc>
      </w:tr>
      <w:tr w:rsidR="00DC5EC6" w14:paraId="7427DF73" w14:textId="77777777">
        <w:trPr>
          <w:trHeight w:val="1114"/>
        </w:trPr>
        <w:tc>
          <w:tcPr>
            <w:tcW w:w="1134" w:type="dxa"/>
            <w:shd w:val="clear" w:color="auto" w:fill="C5EFCE"/>
            <w:vAlign w:val="center"/>
            <w:hideMark/>
          </w:tcPr>
          <w:p w14:paraId="0D2C6831" w14:textId="77777777" w:rsidR="00DC5EC6" w:rsidRDefault="003245A4">
            <w:pPr>
              <w:pStyle w:val="P68B1DB1-Normal7"/>
              <w:spacing w:after="0" w:line="240" w:lineRule="auto"/>
              <w:jc w:val="center"/>
              <w:rPr>
                <w:rFonts w:eastAsia="Times New Roman" w:cs="Calibri"/>
                <w:noProof/>
              </w:rPr>
            </w:pPr>
            <w:r>
              <w:rPr>
                <w:noProof/>
              </w:rPr>
              <w:t>2.8</w:t>
            </w:r>
          </w:p>
        </w:tc>
        <w:tc>
          <w:tcPr>
            <w:tcW w:w="1304" w:type="dxa"/>
            <w:shd w:val="clear" w:color="auto" w:fill="C4EFCE"/>
            <w:vAlign w:val="center"/>
            <w:hideMark/>
          </w:tcPr>
          <w:p w14:paraId="7BA5DE70" w14:textId="77777777" w:rsidR="00DC5EC6" w:rsidRDefault="003245A4">
            <w:pPr>
              <w:pStyle w:val="P68B1DB1-Normal8"/>
              <w:spacing w:after="0" w:line="240" w:lineRule="auto"/>
              <w:jc w:val="center"/>
              <w:rPr>
                <w:rFonts w:eastAsia="Times New Roman" w:cs="Calibri"/>
                <w:noProof/>
              </w:rPr>
            </w:pPr>
            <w:r>
              <w:rPr>
                <w:noProof/>
              </w:rPr>
              <w:t>Re-C02-i02</w:t>
            </w:r>
          </w:p>
        </w:tc>
        <w:tc>
          <w:tcPr>
            <w:tcW w:w="1077" w:type="dxa"/>
            <w:shd w:val="clear" w:color="auto" w:fill="C4EFCE"/>
            <w:vAlign w:val="center"/>
            <w:hideMark/>
          </w:tcPr>
          <w:p w14:paraId="25536932"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BF77C68" w14:textId="7515E99F" w:rsidR="00DC5EC6" w:rsidRDefault="003245A4">
            <w:pPr>
              <w:pStyle w:val="P68B1DB1-Normal8"/>
              <w:spacing w:after="0" w:line="240" w:lineRule="auto"/>
              <w:jc w:val="center"/>
              <w:rPr>
                <w:rFonts w:eastAsia="Times New Roman" w:cs="Calibri"/>
                <w:noProof/>
              </w:rPr>
            </w:pPr>
            <w:r>
              <w:rPr>
                <w:noProof/>
              </w:rPr>
              <w:t>Biztonsági erőknek átadott szállás és humanitárius vagy biztonsági okokból kiszállított ideiglenes szállás</w:t>
            </w:r>
          </w:p>
        </w:tc>
        <w:tc>
          <w:tcPr>
            <w:tcW w:w="1355" w:type="dxa"/>
            <w:shd w:val="clear" w:color="auto" w:fill="C4EFCE"/>
            <w:vAlign w:val="center"/>
            <w:hideMark/>
          </w:tcPr>
          <w:p w14:paraId="306C6212"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FB2089"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51BF2FF"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7C46088F" w14:textId="77777777" w:rsidR="00DC5EC6" w:rsidRDefault="003245A4">
            <w:pPr>
              <w:pStyle w:val="P68B1DB1-Normal8"/>
              <w:spacing w:after="0" w:line="240" w:lineRule="auto"/>
              <w:jc w:val="center"/>
              <w:rPr>
                <w:rFonts w:eastAsia="Times New Roman" w:cs="Calibri"/>
                <w:noProof/>
              </w:rPr>
            </w:pPr>
            <w:r>
              <w:rPr>
                <w:noProof/>
              </w:rPr>
              <w:t>473</w:t>
            </w:r>
          </w:p>
        </w:tc>
        <w:tc>
          <w:tcPr>
            <w:tcW w:w="473" w:type="dxa"/>
            <w:shd w:val="clear" w:color="auto" w:fill="C4EFCE"/>
            <w:vAlign w:val="center"/>
            <w:hideMark/>
          </w:tcPr>
          <w:p w14:paraId="25C353AE" w14:textId="75B71A57"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16E0C42"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05D915D9" w14:textId="6245803B" w:rsidR="00DC5EC6" w:rsidRDefault="003245A4">
            <w:pPr>
              <w:pStyle w:val="P68B1DB1-Normal8"/>
              <w:spacing w:after="0" w:line="240" w:lineRule="auto"/>
              <w:jc w:val="both"/>
              <w:rPr>
                <w:rFonts w:eastAsia="Times New Roman" w:cs="Calibri"/>
                <w:noProof/>
              </w:rPr>
            </w:pPr>
            <w:r>
              <w:rPr>
                <w:noProof/>
              </w:rPr>
              <w:t>A biztonsági erőknek átadott lakások száma (SSGNR – Szociális Szolgálat a Nemzeti Köztársasági Gárda számára; SSPSP – Szociális szolgáltatások a közbiztonsági rendőrség számára) az ideiglenes szállásigények fedezésére, beleértve a biztonsági erők három blokkját (a közérdek által indokolt esetekben). A beruházás öt humanitárius vagy biztonsági okokból ideiglenes szállást biztosító központot is magában foglal. Az új épületek primerenergia-szükségletének legalább 20%-kal alacsonyabbnak kell lennie a közel nulla energiaigényű épületekre vonatkozó követelményeknél.</w:t>
            </w:r>
          </w:p>
        </w:tc>
      </w:tr>
      <w:tr w:rsidR="00DC5EC6" w14:paraId="7B72B6C0" w14:textId="77777777">
        <w:trPr>
          <w:trHeight w:val="1299"/>
        </w:trPr>
        <w:tc>
          <w:tcPr>
            <w:tcW w:w="1134" w:type="dxa"/>
            <w:shd w:val="clear" w:color="auto" w:fill="C5EFCE"/>
            <w:vAlign w:val="center"/>
            <w:hideMark/>
          </w:tcPr>
          <w:p w14:paraId="516C1714" w14:textId="77777777" w:rsidR="00DC5EC6" w:rsidRDefault="003245A4">
            <w:pPr>
              <w:pStyle w:val="P68B1DB1-Normal7"/>
              <w:spacing w:after="0" w:line="240" w:lineRule="auto"/>
              <w:jc w:val="center"/>
              <w:rPr>
                <w:rFonts w:eastAsia="Times New Roman" w:cs="Calibri"/>
                <w:noProof/>
              </w:rPr>
            </w:pPr>
            <w:r>
              <w:rPr>
                <w:noProof/>
              </w:rPr>
              <w:t>2.10</w:t>
            </w:r>
          </w:p>
        </w:tc>
        <w:tc>
          <w:tcPr>
            <w:tcW w:w="1304" w:type="dxa"/>
            <w:shd w:val="clear" w:color="auto" w:fill="C4EFCE"/>
            <w:vAlign w:val="center"/>
            <w:hideMark/>
          </w:tcPr>
          <w:p w14:paraId="3ABE46D6" w14:textId="77777777" w:rsidR="00DC5EC6" w:rsidRDefault="003245A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30B06126"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798BCDBC" w14:textId="77777777" w:rsidR="00DC5EC6" w:rsidRDefault="003245A4">
            <w:pPr>
              <w:pStyle w:val="P68B1DB1-Normal8"/>
              <w:spacing w:after="0" w:line="240" w:lineRule="auto"/>
              <w:jc w:val="center"/>
              <w:rPr>
                <w:rFonts w:eastAsia="Times New Roman" w:cs="Calibri"/>
                <w:noProof/>
              </w:rPr>
            </w:pPr>
            <w:r>
              <w:rPr>
                <w:noProof/>
              </w:rPr>
              <w:t>Támogatott lakhatás Madeira autonóm régióban</w:t>
            </w:r>
          </w:p>
        </w:tc>
        <w:tc>
          <w:tcPr>
            <w:tcW w:w="1355" w:type="dxa"/>
            <w:shd w:val="clear" w:color="auto" w:fill="C4EFCE"/>
            <w:vAlign w:val="center"/>
            <w:hideMark/>
          </w:tcPr>
          <w:p w14:paraId="0360AAD3"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860824" w14:textId="520F84DE"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6F31C5A" w14:textId="6271036C"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7938948" w14:textId="77777777" w:rsidR="00DC5EC6" w:rsidRDefault="003245A4">
            <w:pPr>
              <w:pStyle w:val="P68B1DB1-Normal8"/>
              <w:spacing w:after="0" w:line="240" w:lineRule="auto"/>
              <w:jc w:val="center"/>
              <w:rPr>
                <w:rFonts w:eastAsia="Times New Roman" w:cs="Calibri"/>
                <w:noProof/>
              </w:rPr>
            </w:pPr>
            <w:r>
              <w:rPr>
                <w:noProof/>
              </w:rPr>
              <w:t>590</w:t>
            </w:r>
          </w:p>
        </w:tc>
        <w:tc>
          <w:tcPr>
            <w:tcW w:w="473" w:type="dxa"/>
            <w:shd w:val="clear" w:color="auto" w:fill="C4EFCE"/>
            <w:vAlign w:val="center"/>
            <w:hideMark/>
          </w:tcPr>
          <w:p w14:paraId="120647CE" w14:textId="4B1B2DE8"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15FD699A" w14:textId="77777777" w:rsidR="00DC5EC6" w:rsidRDefault="003245A4">
            <w:pPr>
              <w:pStyle w:val="P68B1DB1-Normal8"/>
              <w:spacing w:after="0" w:line="240" w:lineRule="auto"/>
              <w:jc w:val="center"/>
              <w:rPr>
                <w:rFonts w:eastAsia="Times New Roman" w:cs="Calibri"/>
                <w:noProof/>
              </w:rPr>
            </w:pPr>
            <w:r>
              <w:rPr>
                <w:noProof/>
              </w:rPr>
              <w:t>2024</w:t>
            </w:r>
          </w:p>
        </w:tc>
        <w:tc>
          <w:tcPr>
            <w:tcW w:w="4969" w:type="dxa"/>
            <w:shd w:val="clear" w:color="auto" w:fill="C4EFCE"/>
            <w:vAlign w:val="center"/>
            <w:hideMark/>
          </w:tcPr>
          <w:p w14:paraId="35C90287" w14:textId="0A2F9A09" w:rsidR="00DC5EC6" w:rsidRDefault="003245A4">
            <w:pPr>
              <w:pStyle w:val="P68B1DB1-Normal8"/>
              <w:spacing w:after="0" w:line="240" w:lineRule="auto"/>
              <w:jc w:val="both"/>
              <w:rPr>
                <w:rFonts w:eastAsia="Times New Roman" w:cs="Calibri"/>
                <w:noProof/>
              </w:rPr>
            </w:pPr>
            <w:r>
              <w:rPr>
                <w:noProof/>
              </w:rPr>
              <w:t xml:space="preserve">A szociális lakások építésével vagy támogatott szociális lakások vásárlásával kapcsolatban a jogosult háztartásoknak kiosztott lakások száma. Az új épületek primerenergia-szükségletének legalább 20%-kal alacsonyabbnak kell lennie a közel nulla energiaigényű épületekre vonatkozó követelményeknél. </w:t>
            </w:r>
          </w:p>
        </w:tc>
      </w:tr>
      <w:tr w:rsidR="00DC5EC6" w14:paraId="5BA4E6AD" w14:textId="77777777">
        <w:trPr>
          <w:trHeight w:val="1260"/>
        </w:trPr>
        <w:tc>
          <w:tcPr>
            <w:tcW w:w="1134" w:type="dxa"/>
            <w:shd w:val="clear" w:color="auto" w:fill="C5EFCE"/>
            <w:vAlign w:val="center"/>
            <w:hideMark/>
          </w:tcPr>
          <w:p w14:paraId="7AD9EF6A" w14:textId="77777777" w:rsidR="00DC5EC6" w:rsidRDefault="003245A4">
            <w:pPr>
              <w:pStyle w:val="P68B1DB1-Normal7"/>
              <w:spacing w:after="0" w:line="240" w:lineRule="auto"/>
              <w:jc w:val="center"/>
              <w:rPr>
                <w:rFonts w:eastAsia="Times New Roman" w:cs="Calibri"/>
                <w:noProof/>
              </w:rPr>
            </w:pPr>
            <w:r>
              <w:rPr>
                <w:noProof/>
              </w:rPr>
              <w:t>2.11</w:t>
            </w:r>
          </w:p>
        </w:tc>
        <w:tc>
          <w:tcPr>
            <w:tcW w:w="1304" w:type="dxa"/>
            <w:shd w:val="clear" w:color="auto" w:fill="C4EFCE"/>
            <w:vAlign w:val="center"/>
            <w:hideMark/>
          </w:tcPr>
          <w:p w14:paraId="15C2A587" w14:textId="77777777" w:rsidR="00DC5EC6" w:rsidRDefault="003245A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6754F4CC"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1401E43" w14:textId="77777777" w:rsidR="00DC5EC6" w:rsidRDefault="003245A4">
            <w:pPr>
              <w:pStyle w:val="P68B1DB1-Normal8"/>
              <w:spacing w:after="0" w:line="240" w:lineRule="auto"/>
              <w:jc w:val="center"/>
              <w:rPr>
                <w:rFonts w:eastAsia="Times New Roman" w:cs="Calibri"/>
                <w:noProof/>
              </w:rPr>
            </w:pPr>
            <w:r>
              <w:rPr>
                <w:noProof/>
              </w:rPr>
              <w:t>Támogatott lakhatás Madeira autonóm régióban</w:t>
            </w:r>
          </w:p>
        </w:tc>
        <w:tc>
          <w:tcPr>
            <w:tcW w:w="1355" w:type="dxa"/>
            <w:shd w:val="clear" w:color="auto" w:fill="C4EFCE"/>
            <w:vAlign w:val="center"/>
            <w:hideMark/>
          </w:tcPr>
          <w:p w14:paraId="53D5B63F"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48BD7AC9" w14:textId="38690FCA"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281C3A14" w14:textId="77777777" w:rsidR="00DC5EC6" w:rsidRDefault="003245A4">
            <w:pPr>
              <w:pStyle w:val="P68B1DB1-Normal8"/>
              <w:spacing w:after="0" w:line="240" w:lineRule="auto"/>
              <w:jc w:val="center"/>
              <w:rPr>
                <w:rFonts w:eastAsia="Times New Roman" w:cs="Calibri"/>
                <w:noProof/>
              </w:rPr>
            </w:pPr>
            <w:r>
              <w:rPr>
                <w:noProof/>
              </w:rPr>
              <w:t>590</w:t>
            </w:r>
          </w:p>
        </w:tc>
        <w:tc>
          <w:tcPr>
            <w:tcW w:w="897" w:type="dxa"/>
            <w:shd w:val="clear" w:color="auto" w:fill="C4EFCE"/>
            <w:vAlign w:val="center"/>
            <w:hideMark/>
          </w:tcPr>
          <w:p w14:paraId="5DECC890" w14:textId="5F34FF58" w:rsidR="00DC5EC6" w:rsidRDefault="003245A4">
            <w:pPr>
              <w:pStyle w:val="P68B1DB1-Normal8"/>
              <w:spacing w:after="0" w:line="240" w:lineRule="auto"/>
              <w:jc w:val="center"/>
              <w:rPr>
                <w:rFonts w:eastAsia="Times New Roman" w:cs="Calibri"/>
                <w:noProof/>
              </w:rPr>
            </w:pPr>
            <w:r>
              <w:rPr>
                <w:noProof/>
              </w:rPr>
              <w:t>805</w:t>
            </w:r>
          </w:p>
        </w:tc>
        <w:tc>
          <w:tcPr>
            <w:tcW w:w="473" w:type="dxa"/>
            <w:shd w:val="clear" w:color="auto" w:fill="C4EFCE"/>
            <w:vAlign w:val="center"/>
            <w:hideMark/>
          </w:tcPr>
          <w:p w14:paraId="5FD71819" w14:textId="2838F3B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9C4647A"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5E4F7DA7" w14:textId="16DA01F2" w:rsidR="00DC5EC6" w:rsidRDefault="003245A4">
            <w:pPr>
              <w:pStyle w:val="P68B1DB1-Normal8"/>
              <w:spacing w:after="0" w:line="240" w:lineRule="auto"/>
              <w:jc w:val="both"/>
              <w:rPr>
                <w:rFonts w:eastAsia="Times New Roman" w:cs="Calibri"/>
                <w:noProof/>
              </w:rPr>
            </w:pPr>
            <w:r>
              <w:rPr>
                <w:noProof/>
              </w:rPr>
              <w:t xml:space="preserve">A szociális lakások építésével vagy támogatott szociális lakások vásárlásával kapcsolatban a jogosult háztartásoknak kiosztott lakások száma. Az új épületek primerenergia-szükségletének legalább 20%-kal alacsonyabbnak kell lennie a közel nulla energiaigényű épületekre vonatkozó követelményeknél. A referenciaegység lakásonként átlagosan 90 négyzetméter a 805 lakás esetében. </w:t>
            </w:r>
          </w:p>
          <w:p w14:paraId="158CF522" w14:textId="7FF039D2" w:rsidR="00DC5EC6" w:rsidRDefault="003245A4">
            <w:pPr>
              <w:pStyle w:val="P68B1DB1-Normal8"/>
              <w:spacing w:after="0" w:line="240" w:lineRule="auto"/>
              <w:jc w:val="both"/>
              <w:rPr>
                <w:rFonts w:eastAsia="Times New Roman" w:cs="Calibri"/>
                <w:noProof/>
              </w:rPr>
            </w:pPr>
            <w:r>
              <w:rPr>
                <w:noProof/>
              </w:rPr>
              <w:t>Ezen túlmenően a beruházás magában foglalja az információs rendszerek és az e-kormányzati megoldások fejlesztésére irányuló szolgáltatások beszerzését is a lakásszektorban.</w:t>
            </w:r>
          </w:p>
        </w:tc>
      </w:tr>
      <w:tr w:rsidR="00DC5EC6" w14:paraId="28EAD265" w14:textId="77777777">
        <w:trPr>
          <w:trHeight w:val="1049"/>
        </w:trPr>
        <w:tc>
          <w:tcPr>
            <w:tcW w:w="1134" w:type="dxa"/>
            <w:shd w:val="clear" w:color="auto" w:fill="C5EFCE"/>
            <w:vAlign w:val="center"/>
            <w:hideMark/>
          </w:tcPr>
          <w:p w14:paraId="60326612" w14:textId="77777777" w:rsidR="00DC5EC6" w:rsidRDefault="003245A4">
            <w:pPr>
              <w:pStyle w:val="P68B1DB1-Normal7"/>
              <w:spacing w:after="0" w:line="240" w:lineRule="auto"/>
              <w:jc w:val="center"/>
              <w:rPr>
                <w:rFonts w:eastAsia="Times New Roman" w:cs="Calibri"/>
                <w:noProof/>
              </w:rPr>
            </w:pPr>
            <w:r>
              <w:rPr>
                <w:noProof/>
              </w:rPr>
              <w:t>2.12</w:t>
            </w:r>
          </w:p>
        </w:tc>
        <w:tc>
          <w:tcPr>
            <w:tcW w:w="1304" w:type="dxa"/>
            <w:shd w:val="clear" w:color="auto" w:fill="C4EFCE"/>
            <w:vAlign w:val="center"/>
            <w:hideMark/>
          </w:tcPr>
          <w:p w14:paraId="0882979C" w14:textId="77777777" w:rsidR="00DC5EC6" w:rsidRDefault="003245A4">
            <w:pPr>
              <w:pStyle w:val="P68B1DB1-Normal8"/>
              <w:spacing w:after="0" w:line="240" w:lineRule="auto"/>
              <w:jc w:val="center"/>
              <w:rPr>
                <w:rFonts w:eastAsia="Times New Roman" w:cs="Calibri"/>
                <w:noProof/>
              </w:rPr>
            </w:pPr>
            <w:r>
              <w:rPr>
                <w:noProof/>
              </w:rPr>
              <w:t>Re-C02-i03-RAM</w:t>
            </w:r>
          </w:p>
        </w:tc>
        <w:tc>
          <w:tcPr>
            <w:tcW w:w="1077" w:type="dxa"/>
            <w:shd w:val="clear" w:color="auto" w:fill="C4EFCE"/>
            <w:vAlign w:val="center"/>
            <w:hideMark/>
          </w:tcPr>
          <w:p w14:paraId="14FEF1B3"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138B1215" w14:textId="77777777" w:rsidR="00DC5EC6" w:rsidRDefault="003245A4">
            <w:pPr>
              <w:pStyle w:val="P68B1DB1-Normal8"/>
              <w:spacing w:after="0" w:line="240" w:lineRule="auto"/>
              <w:jc w:val="center"/>
              <w:rPr>
                <w:rFonts w:eastAsia="Times New Roman" w:cs="Calibri"/>
                <w:noProof/>
              </w:rPr>
            </w:pPr>
            <w:r>
              <w:rPr>
                <w:noProof/>
              </w:rPr>
              <w:t>A magántulajdonos által lakott, többek között energiahatékonyság szempontjából felújított lakások száma</w:t>
            </w:r>
          </w:p>
        </w:tc>
        <w:tc>
          <w:tcPr>
            <w:tcW w:w="1355" w:type="dxa"/>
            <w:shd w:val="clear" w:color="auto" w:fill="C4EFCE"/>
            <w:vAlign w:val="center"/>
            <w:hideMark/>
          </w:tcPr>
          <w:p w14:paraId="59416FFE"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E723E3D"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3FCA7144"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54682601" w14:textId="77777777" w:rsidR="00DC5EC6" w:rsidRDefault="003245A4">
            <w:pPr>
              <w:pStyle w:val="P68B1DB1-Normal8"/>
              <w:spacing w:after="0" w:line="240" w:lineRule="auto"/>
              <w:jc w:val="center"/>
              <w:rPr>
                <w:rFonts w:eastAsia="Times New Roman" w:cs="Calibri"/>
                <w:noProof/>
              </w:rPr>
            </w:pPr>
            <w:r>
              <w:rPr>
                <w:noProof/>
              </w:rPr>
              <w:t>325</w:t>
            </w:r>
          </w:p>
        </w:tc>
        <w:tc>
          <w:tcPr>
            <w:tcW w:w="473" w:type="dxa"/>
            <w:shd w:val="clear" w:color="auto" w:fill="C4EFCE"/>
            <w:vAlign w:val="center"/>
            <w:hideMark/>
          </w:tcPr>
          <w:p w14:paraId="3A86C835" w14:textId="0B4EE45F" w:rsidR="00DC5EC6" w:rsidRDefault="00F84F8B">
            <w:pPr>
              <w:pStyle w:val="P68B1DB1-Normal8"/>
              <w:spacing w:after="0" w:line="240" w:lineRule="auto"/>
              <w:jc w:val="center"/>
              <w:rPr>
                <w:rFonts w:eastAsia="Times New Roman" w:cs="Calibri"/>
                <w:noProof/>
              </w:rPr>
            </w:pPr>
            <w:r>
              <w:rPr>
                <w:noProof/>
              </w:rPr>
              <w:t>2. NEGYEDÉV</w:t>
            </w:r>
          </w:p>
        </w:tc>
        <w:tc>
          <w:tcPr>
            <w:tcW w:w="625" w:type="dxa"/>
            <w:shd w:val="clear" w:color="auto" w:fill="C4EFCE"/>
            <w:vAlign w:val="center"/>
            <w:hideMark/>
          </w:tcPr>
          <w:p w14:paraId="5FBB7CE8" w14:textId="77777777" w:rsidR="00DC5EC6" w:rsidRDefault="003245A4">
            <w:pPr>
              <w:pStyle w:val="P68B1DB1-Normal8"/>
              <w:spacing w:after="0" w:line="240" w:lineRule="auto"/>
              <w:jc w:val="center"/>
              <w:rPr>
                <w:rFonts w:eastAsia="Times New Roman" w:cs="Calibri"/>
                <w:noProof/>
              </w:rPr>
            </w:pPr>
            <w:r>
              <w:rPr>
                <w:noProof/>
              </w:rPr>
              <w:t>2026</w:t>
            </w:r>
          </w:p>
        </w:tc>
        <w:tc>
          <w:tcPr>
            <w:tcW w:w="4969" w:type="dxa"/>
            <w:shd w:val="clear" w:color="auto" w:fill="C4EFCE"/>
            <w:vAlign w:val="center"/>
            <w:hideMark/>
          </w:tcPr>
          <w:p w14:paraId="36B3C073" w14:textId="77777777" w:rsidR="00DC5EC6" w:rsidRDefault="003245A4">
            <w:pPr>
              <w:pStyle w:val="P68B1DB1-Normal8"/>
              <w:spacing w:after="0" w:line="240" w:lineRule="auto"/>
              <w:jc w:val="both"/>
              <w:rPr>
                <w:rFonts w:eastAsia="Times New Roman" w:cs="Calibri"/>
                <w:noProof/>
              </w:rPr>
            </w:pPr>
            <w:r>
              <w:rPr>
                <w:noProof/>
              </w:rPr>
              <w:t xml:space="preserve">A rehabilitációs munkálatok elvégzéséhez pénzügyi forrásokkal nem rendelkező célcsoportok számára felújított, saját tulajdonú magánlakások száma. </w:t>
            </w:r>
          </w:p>
        </w:tc>
      </w:tr>
      <w:tr w:rsidR="00DC5EC6" w14:paraId="05FD9A8C" w14:textId="77777777">
        <w:trPr>
          <w:trHeight w:val="420"/>
        </w:trPr>
        <w:tc>
          <w:tcPr>
            <w:tcW w:w="1134" w:type="dxa"/>
            <w:shd w:val="clear" w:color="auto" w:fill="C5EFCE"/>
            <w:vAlign w:val="center"/>
            <w:hideMark/>
          </w:tcPr>
          <w:p w14:paraId="539645A1" w14:textId="77777777" w:rsidR="00DC5EC6" w:rsidRDefault="003245A4">
            <w:pPr>
              <w:pStyle w:val="P68B1DB1-Normal7"/>
              <w:spacing w:after="0" w:line="240" w:lineRule="auto"/>
              <w:jc w:val="center"/>
              <w:rPr>
                <w:rFonts w:eastAsia="Times New Roman" w:cs="Calibri"/>
                <w:noProof/>
              </w:rPr>
            </w:pPr>
            <w:r>
              <w:rPr>
                <w:noProof/>
              </w:rPr>
              <w:t>2.13</w:t>
            </w:r>
          </w:p>
        </w:tc>
        <w:tc>
          <w:tcPr>
            <w:tcW w:w="1304" w:type="dxa"/>
            <w:shd w:val="clear" w:color="auto" w:fill="C4EFCE"/>
            <w:vAlign w:val="center"/>
            <w:hideMark/>
          </w:tcPr>
          <w:p w14:paraId="46FA22A1"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50F5EF9"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39BB19D3" w14:textId="0F34B607" w:rsidR="00DC5EC6" w:rsidRDefault="003245A4">
            <w:pPr>
              <w:pStyle w:val="P68B1DB1-Normal8"/>
              <w:spacing w:after="0" w:line="240" w:lineRule="auto"/>
              <w:jc w:val="center"/>
              <w:rPr>
                <w:rFonts w:eastAsia="Times New Roman" w:cs="Calibri"/>
                <w:noProof/>
              </w:rPr>
            </w:pPr>
            <w:r>
              <w:rPr>
                <w:noProof/>
              </w:rPr>
              <w:t xml:space="preserve">Beavatkozások az Azori-szigetek Autonóm Régió köztulajdonú lakásállományában </w:t>
            </w:r>
          </w:p>
        </w:tc>
        <w:tc>
          <w:tcPr>
            <w:tcW w:w="1355" w:type="dxa"/>
            <w:shd w:val="clear" w:color="auto" w:fill="C4EFCE"/>
            <w:vAlign w:val="center"/>
            <w:hideMark/>
          </w:tcPr>
          <w:p w14:paraId="59DA834D"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EEBFE09" w14:textId="777777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2E7D69AD" w14:textId="77777777"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1C4BD37D" w14:textId="77777777" w:rsidR="00DC5EC6" w:rsidRDefault="003245A4">
            <w:pPr>
              <w:pStyle w:val="P68B1DB1-Normal8"/>
              <w:spacing w:after="0" w:line="240" w:lineRule="auto"/>
              <w:jc w:val="center"/>
              <w:rPr>
                <w:rFonts w:eastAsia="Times New Roman" w:cs="Calibri"/>
                <w:noProof/>
              </w:rPr>
            </w:pPr>
            <w:r>
              <w:rPr>
                <w:noProof/>
              </w:rPr>
              <w:t>24</w:t>
            </w:r>
          </w:p>
        </w:tc>
        <w:tc>
          <w:tcPr>
            <w:tcW w:w="473" w:type="dxa"/>
            <w:shd w:val="clear" w:color="auto" w:fill="C4EFCE"/>
            <w:vAlign w:val="center"/>
            <w:hideMark/>
          </w:tcPr>
          <w:p w14:paraId="23FD1A62" w14:textId="2F08D81D"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3FE9EF61" w14:textId="77777777" w:rsidR="00DC5EC6" w:rsidRDefault="003245A4">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0C91248C" w14:textId="77777777" w:rsidR="00DC5EC6" w:rsidRDefault="003245A4">
            <w:pPr>
              <w:pStyle w:val="P68B1DB1-Normal8"/>
              <w:spacing w:after="0" w:line="240" w:lineRule="auto"/>
              <w:jc w:val="both"/>
              <w:rPr>
                <w:rFonts w:eastAsia="Times New Roman" w:cs="Calibri"/>
                <w:noProof/>
              </w:rPr>
            </w:pPr>
            <w:r>
              <w:rPr>
                <w:noProof/>
              </w:rPr>
              <w:t xml:space="preserve">A szociális lakásállomány növelését célzó munkálatok befejezésével járó beavatkozások száma, beleértve szükség esetén a földterületek urbanizációját is. </w:t>
            </w:r>
          </w:p>
          <w:p w14:paraId="3733CD33" w14:textId="77777777" w:rsidR="00DC5EC6" w:rsidRDefault="003245A4">
            <w:pPr>
              <w:pStyle w:val="P68B1DB1-Normal8"/>
              <w:spacing w:after="0" w:line="240" w:lineRule="auto"/>
              <w:jc w:val="both"/>
              <w:rPr>
                <w:rFonts w:eastAsia="Times New Roman" w:cs="Calibri"/>
                <w:noProof/>
              </w:rPr>
            </w:pPr>
            <w:r>
              <w:rPr>
                <w:noProof/>
              </w:rPr>
              <w:t>Amennyiben új építésről van szó, az új épületek primerenergia-szükségletének legalább 20%-kal a közel nulla energiaigényű épületekre vonatkozó követelmények alatt kell lennie.</w:t>
            </w:r>
          </w:p>
          <w:p w14:paraId="5953FC29" w14:textId="77777777" w:rsidR="00DC5EC6" w:rsidRDefault="003245A4">
            <w:pPr>
              <w:pStyle w:val="P68B1DB1-Normal8"/>
              <w:spacing w:after="0" w:line="240" w:lineRule="auto"/>
              <w:jc w:val="both"/>
              <w:rPr>
                <w:rFonts w:eastAsia="Times New Roman" w:cs="Calibri"/>
                <w:noProof/>
              </w:rPr>
            </w:pPr>
            <w:r>
              <w:rPr>
                <w:noProof/>
              </w:rPr>
              <w:t>A lakások átlagos mérete körülbelül 120 négyzetméter.</w:t>
            </w:r>
          </w:p>
        </w:tc>
      </w:tr>
      <w:tr w:rsidR="00DC5EC6" w14:paraId="14A54223" w14:textId="77777777">
        <w:trPr>
          <w:trHeight w:val="420"/>
        </w:trPr>
        <w:tc>
          <w:tcPr>
            <w:tcW w:w="1134" w:type="dxa"/>
            <w:shd w:val="clear" w:color="auto" w:fill="C5EFCE"/>
            <w:vAlign w:val="center"/>
            <w:hideMark/>
          </w:tcPr>
          <w:p w14:paraId="6D1EA4AE" w14:textId="77777777" w:rsidR="00DC5EC6" w:rsidRDefault="003245A4">
            <w:pPr>
              <w:pStyle w:val="P68B1DB1-Normal7"/>
              <w:spacing w:after="0" w:line="240" w:lineRule="auto"/>
              <w:jc w:val="center"/>
              <w:rPr>
                <w:rFonts w:eastAsia="Times New Roman" w:cs="Calibri"/>
                <w:noProof/>
              </w:rPr>
            </w:pPr>
            <w:r>
              <w:rPr>
                <w:noProof/>
              </w:rPr>
              <w:t>2.14</w:t>
            </w:r>
          </w:p>
        </w:tc>
        <w:tc>
          <w:tcPr>
            <w:tcW w:w="1304" w:type="dxa"/>
            <w:shd w:val="clear" w:color="auto" w:fill="C4EFCE"/>
            <w:vAlign w:val="center"/>
            <w:hideMark/>
          </w:tcPr>
          <w:p w14:paraId="4BA08D6A"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695DEC0E"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5335B90A" w14:textId="77777777" w:rsidR="00DC5EC6" w:rsidRDefault="003245A4">
            <w:pPr>
              <w:pStyle w:val="P68B1DB1-Normal8"/>
              <w:spacing w:after="0" w:line="240" w:lineRule="auto"/>
              <w:jc w:val="center"/>
              <w:rPr>
                <w:rFonts w:eastAsia="Times New Roman" w:cs="Calibri"/>
                <w:noProof/>
              </w:rPr>
            </w:pPr>
            <w:r>
              <w:rPr>
                <w:noProof/>
              </w:rPr>
              <w:t xml:space="preserve">Beavatkozások az Azori-szigetek Autonóm Régió középület-állományában – felújítás </w:t>
            </w:r>
          </w:p>
        </w:tc>
        <w:tc>
          <w:tcPr>
            <w:tcW w:w="1355" w:type="dxa"/>
            <w:shd w:val="clear" w:color="auto" w:fill="C4EFCE"/>
            <w:vAlign w:val="center"/>
            <w:hideMark/>
          </w:tcPr>
          <w:p w14:paraId="4F089A4F"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814B533" w14:textId="318F9BBD"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D78199A" w14:textId="6D5675F4" w:rsidR="00DC5EC6" w:rsidRDefault="003245A4">
            <w:pPr>
              <w:pStyle w:val="P68B1DB1-Normal8"/>
              <w:spacing w:after="0" w:line="240" w:lineRule="auto"/>
              <w:jc w:val="center"/>
              <w:rPr>
                <w:rFonts w:eastAsia="Times New Roman" w:cs="Calibri"/>
                <w:noProof/>
              </w:rPr>
            </w:pPr>
            <w:r>
              <w:rPr>
                <w:noProof/>
              </w:rPr>
              <w:t>0</w:t>
            </w:r>
          </w:p>
        </w:tc>
        <w:tc>
          <w:tcPr>
            <w:tcW w:w="897" w:type="dxa"/>
            <w:shd w:val="clear" w:color="auto" w:fill="C4EFCE"/>
            <w:vAlign w:val="center"/>
            <w:hideMark/>
          </w:tcPr>
          <w:p w14:paraId="337B0C00" w14:textId="77777777" w:rsidR="00DC5EC6" w:rsidRDefault="003245A4">
            <w:pPr>
              <w:pStyle w:val="P68B1DB1-Normal8"/>
              <w:spacing w:after="0" w:line="240" w:lineRule="auto"/>
              <w:jc w:val="center"/>
              <w:rPr>
                <w:rFonts w:eastAsia="Times New Roman" w:cs="Calibri"/>
                <w:noProof/>
              </w:rPr>
            </w:pPr>
            <w:r>
              <w:rPr>
                <w:noProof/>
              </w:rPr>
              <w:t>40</w:t>
            </w:r>
          </w:p>
        </w:tc>
        <w:tc>
          <w:tcPr>
            <w:tcW w:w="473" w:type="dxa"/>
            <w:shd w:val="clear" w:color="auto" w:fill="C4EFCE"/>
            <w:vAlign w:val="center"/>
            <w:hideMark/>
          </w:tcPr>
          <w:p w14:paraId="12883AF0" w14:textId="5FAD3828"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0F49C1FD" w14:textId="77777777" w:rsidR="00DC5EC6" w:rsidRDefault="003245A4">
            <w:pPr>
              <w:pStyle w:val="P68B1DB1-Normal8"/>
              <w:spacing w:after="0" w:line="240" w:lineRule="auto"/>
              <w:jc w:val="center"/>
              <w:rPr>
                <w:rFonts w:eastAsia="Times New Roman" w:cs="Calibri"/>
                <w:noProof/>
              </w:rPr>
            </w:pPr>
            <w:r>
              <w:rPr>
                <w:noProof/>
              </w:rPr>
              <w:t>2021</w:t>
            </w:r>
          </w:p>
        </w:tc>
        <w:tc>
          <w:tcPr>
            <w:tcW w:w="4969" w:type="dxa"/>
            <w:shd w:val="clear" w:color="auto" w:fill="C4EFCE"/>
            <w:vAlign w:val="center"/>
            <w:hideMark/>
          </w:tcPr>
          <w:p w14:paraId="1BA3AE40" w14:textId="77777777" w:rsidR="00DC5EC6" w:rsidRDefault="003245A4">
            <w:pPr>
              <w:pStyle w:val="P68B1DB1-Normal8"/>
              <w:spacing w:after="0" w:line="240" w:lineRule="auto"/>
              <w:jc w:val="both"/>
              <w:rPr>
                <w:rFonts w:eastAsia="Times New Roman" w:cs="Calibri"/>
                <w:noProof/>
              </w:rPr>
            </w:pPr>
            <w:r>
              <w:rPr>
                <w:noProof/>
              </w:rPr>
              <w:t xml:space="preserve">A beruházás magában foglalja az épületek és lakások felújítását vagy véglegesítését, a beavatkozások számával mérve. </w:t>
            </w:r>
          </w:p>
          <w:p w14:paraId="71608E96" w14:textId="77777777" w:rsidR="00DC5EC6" w:rsidRDefault="003245A4">
            <w:pPr>
              <w:pStyle w:val="P68B1DB1-Normal8"/>
              <w:spacing w:after="0" w:line="240" w:lineRule="auto"/>
              <w:jc w:val="both"/>
              <w:rPr>
                <w:rFonts w:eastAsia="Times New Roman" w:cs="Calibri"/>
                <w:noProof/>
              </w:rPr>
            </w:pPr>
            <w:r>
              <w:rPr>
                <w:noProof/>
              </w:rPr>
              <w:t>A beavatkozások közé tartoznak a következők:</w:t>
            </w:r>
          </w:p>
          <w:p w14:paraId="204AF952" w14:textId="77777777" w:rsidR="00DC5EC6" w:rsidRDefault="003245A4">
            <w:pPr>
              <w:pStyle w:val="P68B1DB1-Normal8"/>
              <w:spacing w:after="0" w:line="240" w:lineRule="auto"/>
              <w:jc w:val="both"/>
              <w:rPr>
                <w:rFonts w:eastAsia="Times New Roman" w:cs="Calibri"/>
                <w:noProof/>
              </w:rPr>
            </w:pPr>
            <w:r>
              <w:rPr>
                <w:noProof/>
              </w:rPr>
              <w:t xml:space="preserve">nem lakáscélú középületek lakássá alakítása, </w:t>
            </w:r>
          </w:p>
          <w:p w14:paraId="774B76C2" w14:textId="77777777" w:rsidR="00DC5EC6" w:rsidRDefault="003245A4">
            <w:pPr>
              <w:pStyle w:val="P68B1DB1-Normal8"/>
              <w:spacing w:after="0" w:line="240" w:lineRule="auto"/>
              <w:jc w:val="both"/>
              <w:rPr>
                <w:rFonts w:eastAsia="Times New Roman" w:cs="Calibri"/>
                <w:noProof/>
              </w:rPr>
            </w:pPr>
            <w:r>
              <w:rPr>
                <w:noProof/>
              </w:rPr>
              <w:t>Pénzügyi támogatás a degradálódott szociális épületek átalakításához (Bairros Sociais)</w:t>
            </w:r>
          </w:p>
          <w:p w14:paraId="2517E49E" w14:textId="77777777" w:rsidR="00DC5EC6" w:rsidRDefault="003245A4">
            <w:pPr>
              <w:pStyle w:val="P68B1DB1-Normal8"/>
              <w:spacing w:after="0" w:line="240" w:lineRule="auto"/>
              <w:jc w:val="both"/>
              <w:rPr>
                <w:rFonts w:eastAsia="Times New Roman" w:cs="Calibri"/>
                <w:noProof/>
              </w:rPr>
            </w:pPr>
            <w:r>
              <w:rPr>
                <w:noProof/>
              </w:rPr>
              <w:t>a köztulajdonú lakások felújítása a lakhatásra vonatkozó hatályos jogszabályoknak, főként az energiahatékonysági követelményeknek való megfelelés érdekében.</w:t>
            </w:r>
          </w:p>
          <w:p w14:paraId="20AA49DB" w14:textId="77777777" w:rsidR="00DC5EC6" w:rsidRDefault="003245A4">
            <w:pPr>
              <w:pStyle w:val="P68B1DB1-Normal8"/>
              <w:spacing w:after="0" w:line="240" w:lineRule="auto"/>
              <w:jc w:val="both"/>
              <w:rPr>
                <w:rFonts w:eastAsia="Times New Roman" w:cs="Calibri"/>
                <w:noProof/>
              </w:rPr>
            </w:pPr>
            <w:r>
              <w:rPr>
                <w:noProof/>
              </w:rPr>
              <w:t>Az energiahatékonysági felújításoknak átlagosan legalább az épületek felújításáról szóló (EU) 2019/786 bizottsági ajánlásban meghatározott közepes mélységű felújítást kell megvalósítaniuk.</w:t>
            </w:r>
          </w:p>
          <w:p w14:paraId="3FE022D6" w14:textId="77777777" w:rsidR="00DC5EC6" w:rsidRDefault="003245A4">
            <w:pPr>
              <w:pStyle w:val="P68B1DB1-Normal8"/>
              <w:spacing w:after="0" w:line="240" w:lineRule="auto"/>
              <w:jc w:val="both"/>
              <w:rPr>
                <w:rFonts w:eastAsia="Times New Roman" w:cs="Calibri"/>
                <w:noProof/>
              </w:rPr>
            </w:pPr>
            <w:r>
              <w:rPr>
                <w:noProof/>
              </w:rPr>
              <w:t>Az érintett lakás átlagos mérete körülbelül 100 négyzetméter.</w:t>
            </w:r>
          </w:p>
        </w:tc>
      </w:tr>
      <w:tr w:rsidR="00DC5EC6" w14:paraId="0FFD0E64" w14:textId="77777777">
        <w:trPr>
          <w:trHeight w:val="2824"/>
        </w:trPr>
        <w:tc>
          <w:tcPr>
            <w:tcW w:w="1134" w:type="dxa"/>
            <w:shd w:val="clear" w:color="auto" w:fill="C5EFCE"/>
            <w:vAlign w:val="center"/>
            <w:hideMark/>
          </w:tcPr>
          <w:p w14:paraId="55203759" w14:textId="77777777" w:rsidR="00DC5EC6" w:rsidRDefault="003245A4">
            <w:pPr>
              <w:pStyle w:val="P68B1DB1-Normal7"/>
              <w:spacing w:after="0" w:line="240" w:lineRule="auto"/>
              <w:jc w:val="center"/>
              <w:rPr>
                <w:rFonts w:eastAsia="Times New Roman" w:cs="Calibri"/>
                <w:noProof/>
              </w:rPr>
            </w:pPr>
            <w:r>
              <w:rPr>
                <w:noProof/>
              </w:rPr>
              <w:t>2.16</w:t>
            </w:r>
          </w:p>
        </w:tc>
        <w:tc>
          <w:tcPr>
            <w:tcW w:w="1304" w:type="dxa"/>
            <w:shd w:val="clear" w:color="auto" w:fill="C4EFCE"/>
            <w:vAlign w:val="center"/>
            <w:hideMark/>
          </w:tcPr>
          <w:p w14:paraId="4FF83330"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7FD09AD1"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00D030BA" w14:textId="77777777" w:rsidR="00DC5EC6" w:rsidRDefault="003245A4">
            <w:pPr>
              <w:pStyle w:val="P68B1DB1-Normal8"/>
              <w:spacing w:after="0" w:line="240" w:lineRule="auto"/>
              <w:jc w:val="center"/>
              <w:rPr>
                <w:rFonts w:eastAsia="Times New Roman" w:cs="Calibri"/>
                <w:noProof/>
              </w:rPr>
            </w:pPr>
            <w:r>
              <w:rPr>
                <w:noProof/>
              </w:rPr>
              <w:t xml:space="preserve">Beavatkozások az Azori-szigetek Autonóm Régió középület-állományában – felújítás </w:t>
            </w:r>
          </w:p>
        </w:tc>
        <w:tc>
          <w:tcPr>
            <w:tcW w:w="1355" w:type="dxa"/>
            <w:shd w:val="clear" w:color="auto" w:fill="C4EFCE"/>
            <w:vAlign w:val="center"/>
            <w:hideMark/>
          </w:tcPr>
          <w:p w14:paraId="4DE9F928"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2408461B" w14:textId="4C0E6877"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6C763F31" w14:textId="77777777" w:rsidR="00DC5EC6" w:rsidRDefault="003245A4">
            <w:pPr>
              <w:pStyle w:val="P68B1DB1-Normal8"/>
              <w:spacing w:after="0" w:line="240" w:lineRule="auto"/>
              <w:jc w:val="center"/>
              <w:rPr>
                <w:rFonts w:eastAsia="Times New Roman" w:cs="Calibri"/>
                <w:noProof/>
              </w:rPr>
            </w:pPr>
            <w:r>
              <w:rPr>
                <w:noProof/>
              </w:rPr>
              <w:t>40</w:t>
            </w:r>
          </w:p>
        </w:tc>
        <w:tc>
          <w:tcPr>
            <w:tcW w:w="897" w:type="dxa"/>
            <w:shd w:val="clear" w:color="auto" w:fill="C4EFCE"/>
            <w:vAlign w:val="center"/>
            <w:hideMark/>
          </w:tcPr>
          <w:p w14:paraId="0F631C49" w14:textId="32CD02EE" w:rsidR="00DC5EC6" w:rsidRDefault="003245A4">
            <w:pPr>
              <w:pStyle w:val="P68B1DB1-Normal8"/>
              <w:spacing w:after="0" w:line="240" w:lineRule="auto"/>
              <w:jc w:val="center"/>
              <w:rPr>
                <w:rFonts w:eastAsia="Times New Roman" w:cs="Calibri"/>
                <w:noProof/>
              </w:rPr>
            </w:pPr>
            <w:r>
              <w:rPr>
                <w:noProof/>
              </w:rPr>
              <w:t>101</w:t>
            </w:r>
          </w:p>
        </w:tc>
        <w:tc>
          <w:tcPr>
            <w:tcW w:w="473" w:type="dxa"/>
            <w:shd w:val="clear" w:color="auto" w:fill="C4EFCE"/>
            <w:vAlign w:val="center"/>
            <w:hideMark/>
          </w:tcPr>
          <w:p w14:paraId="6840DC22" w14:textId="0F4FB92F"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1B49E65C" w14:textId="77777777" w:rsidR="00DC5EC6" w:rsidRDefault="003245A4">
            <w:pPr>
              <w:pStyle w:val="P68B1DB1-Normal8"/>
              <w:spacing w:after="0" w:line="240" w:lineRule="auto"/>
              <w:jc w:val="center"/>
              <w:rPr>
                <w:rFonts w:eastAsia="Times New Roman" w:cs="Calibri"/>
                <w:noProof/>
              </w:rPr>
            </w:pPr>
            <w:r>
              <w:rPr>
                <w:noProof/>
              </w:rPr>
              <w:t>2023</w:t>
            </w:r>
          </w:p>
        </w:tc>
        <w:tc>
          <w:tcPr>
            <w:tcW w:w="4969" w:type="dxa"/>
            <w:shd w:val="clear" w:color="auto" w:fill="C4EFCE"/>
            <w:vAlign w:val="center"/>
            <w:hideMark/>
          </w:tcPr>
          <w:p w14:paraId="7D17215F" w14:textId="091C177D" w:rsidR="00DC5EC6" w:rsidRDefault="003245A4">
            <w:pPr>
              <w:pStyle w:val="P68B1DB1-Normal8"/>
              <w:spacing w:after="0" w:line="240" w:lineRule="auto"/>
              <w:jc w:val="both"/>
              <w:rPr>
                <w:rFonts w:eastAsia="Times New Roman" w:cs="Calibri"/>
                <w:noProof/>
              </w:rPr>
            </w:pPr>
            <w:r>
              <w:rPr>
                <w:noProof/>
              </w:rPr>
              <w:t xml:space="preserve">A beruházás magában foglalja az épületek és lakások felújítását vagy véglegesítését, a beavatkozások számával mérve, a munkálatok befejezésével. </w:t>
            </w:r>
          </w:p>
          <w:p w14:paraId="7B68446D" w14:textId="11D8397B" w:rsidR="00DC5EC6" w:rsidRDefault="003245A4">
            <w:pPr>
              <w:pStyle w:val="P68B1DB1-Normal8"/>
              <w:spacing w:after="0" w:line="240" w:lineRule="auto"/>
              <w:jc w:val="both"/>
              <w:rPr>
                <w:rFonts w:eastAsia="Times New Roman" w:cs="Calibri"/>
                <w:noProof/>
              </w:rPr>
            </w:pPr>
            <w:r>
              <w:rPr>
                <w:noProof/>
              </w:rPr>
              <w:t>A beavatkozások a következőket foglalhatják magukban:</w:t>
            </w:r>
          </w:p>
          <w:p w14:paraId="6A1600CE" w14:textId="3C884396" w:rsidR="00DC5EC6" w:rsidRDefault="003245A4">
            <w:pPr>
              <w:pStyle w:val="P68B1DB1-Normal8"/>
              <w:spacing w:after="0" w:line="240" w:lineRule="auto"/>
              <w:jc w:val="both"/>
              <w:rPr>
                <w:rFonts w:eastAsia="Times New Roman" w:cs="Calibri"/>
                <w:noProof/>
              </w:rPr>
            </w:pPr>
            <w:r>
              <w:rPr>
                <w:noProof/>
              </w:rPr>
              <w:t xml:space="preserve">nem lakáscélú középületek lakássá alakítása, </w:t>
            </w:r>
          </w:p>
          <w:p w14:paraId="6929DEBD" w14:textId="5295AB7B" w:rsidR="00DC5EC6" w:rsidRDefault="003245A4">
            <w:pPr>
              <w:pStyle w:val="P68B1DB1-Normal8"/>
              <w:spacing w:after="0" w:line="240" w:lineRule="auto"/>
              <w:jc w:val="both"/>
              <w:rPr>
                <w:rFonts w:eastAsia="Times New Roman" w:cs="Calibri"/>
                <w:noProof/>
              </w:rPr>
            </w:pPr>
            <w:r>
              <w:rPr>
                <w:noProof/>
              </w:rPr>
              <w:t>Pénzügyi támogatás a degradálódott szociális épületek átalakításához (Bairros Sociais)</w:t>
            </w:r>
          </w:p>
          <w:p w14:paraId="0652D4D3" w14:textId="77777777" w:rsidR="00DC5EC6" w:rsidRDefault="003245A4">
            <w:pPr>
              <w:pStyle w:val="P68B1DB1-Normal8"/>
              <w:spacing w:after="0" w:line="240" w:lineRule="auto"/>
              <w:jc w:val="both"/>
              <w:rPr>
                <w:rFonts w:eastAsia="Times New Roman" w:cs="Calibri"/>
                <w:noProof/>
              </w:rPr>
            </w:pPr>
            <w:r>
              <w:rPr>
                <w:noProof/>
              </w:rPr>
              <w:t>A köztulajdonú lakások felújítása a lakhatásra vonatkozó hatályos jogszabályoknak, főként az energiahatékonysági követelményeknek való megfelelés érdekében.</w:t>
            </w:r>
          </w:p>
          <w:p w14:paraId="32BB662A" w14:textId="77777777" w:rsidR="00DC5EC6" w:rsidRDefault="003245A4">
            <w:pPr>
              <w:pStyle w:val="P68B1DB1-Normal8"/>
              <w:spacing w:after="0" w:line="240" w:lineRule="auto"/>
              <w:jc w:val="both"/>
              <w:rPr>
                <w:rFonts w:eastAsia="Times New Roman" w:cs="Calibri"/>
                <w:noProof/>
              </w:rPr>
            </w:pPr>
            <w:r>
              <w:rPr>
                <w:noProof/>
              </w:rPr>
              <w:t>Az energiahatékonysági felújításoknak átlagosan legalább az épületek felújításáról szóló (EU) 2019/786 bizottsági ajánlásban meghatározott közepes mélységű felújítást kell megvalósítaniuk.</w:t>
            </w:r>
          </w:p>
          <w:p w14:paraId="5A4B25FC" w14:textId="77777777" w:rsidR="00DC5EC6" w:rsidRDefault="003245A4">
            <w:pPr>
              <w:pStyle w:val="P68B1DB1-Normal8"/>
              <w:spacing w:after="0" w:line="240" w:lineRule="auto"/>
              <w:jc w:val="both"/>
              <w:rPr>
                <w:rFonts w:eastAsia="Times New Roman" w:cs="Calibri"/>
                <w:noProof/>
              </w:rPr>
            </w:pPr>
            <w:r>
              <w:rPr>
                <w:noProof/>
              </w:rPr>
              <w:t>Az érintett lakás átlagos mérete körülbelül 100 négyzetméter.</w:t>
            </w:r>
          </w:p>
        </w:tc>
      </w:tr>
      <w:tr w:rsidR="00DC5EC6" w14:paraId="0FEE8F26" w14:textId="77777777">
        <w:trPr>
          <w:trHeight w:val="420"/>
        </w:trPr>
        <w:tc>
          <w:tcPr>
            <w:tcW w:w="1134" w:type="dxa"/>
            <w:shd w:val="clear" w:color="auto" w:fill="C5EFCE"/>
            <w:vAlign w:val="center"/>
            <w:hideMark/>
          </w:tcPr>
          <w:p w14:paraId="7A1DBDA2" w14:textId="77777777" w:rsidR="00DC5EC6" w:rsidRDefault="003245A4">
            <w:pPr>
              <w:pStyle w:val="P68B1DB1-Normal7"/>
              <w:spacing w:after="0" w:line="240" w:lineRule="auto"/>
              <w:jc w:val="center"/>
              <w:rPr>
                <w:rFonts w:eastAsia="Times New Roman" w:cs="Calibri"/>
                <w:noProof/>
              </w:rPr>
            </w:pPr>
            <w:r>
              <w:rPr>
                <w:noProof/>
              </w:rPr>
              <w:t>2.17</w:t>
            </w:r>
          </w:p>
        </w:tc>
        <w:tc>
          <w:tcPr>
            <w:tcW w:w="1304" w:type="dxa"/>
            <w:shd w:val="clear" w:color="auto" w:fill="C4EFCE"/>
            <w:vAlign w:val="center"/>
            <w:hideMark/>
          </w:tcPr>
          <w:p w14:paraId="6200EF9A"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58F4DB9C"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4499C265" w14:textId="77777777" w:rsidR="00DC5EC6" w:rsidRDefault="003245A4">
            <w:pPr>
              <w:pStyle w:val="P68B1DB1-Normal8"/>
              <w:spacing w:after="0" w:line="240" w:lineRule="auto"/>
              <w:jc w:val="center"/>
              <w:rPr>
                <w:rFonts w:eastAsia="Times New Roman" w:cs="Calibri"/>
                <w:noProof/>
              </w:rPr>
            </w:pPr>
            <w:r>
              <w:rPr>
                <w:noProof/>
              </w:rPr>
              <w:t>Beavatkozások az Azori-szigetek Autonóm Régió középület-állományában – épületépítés</w:t>
            </w:r>
          </w:p>
        </w:tc>
        <w:tc>
          <w:tcPr>
            <w:tcW w:w="1355" w:type="dxa"/>
            <w:shd w:val="clear" w:color="auto" w:fill="C4EFCE"/>
            <w:vAlign w:val="center"/>
            <w:hideMark/>
          </w:tcPr>
          <w:p w14:paraId="59C3648C"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37F5301E" w14:textId="5FCA7618"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5443BFE5" w14:textId="7DF628DE" w:rsidR="00DC5EC6" w:rsidRDefault="003245A4">
            <w:pPr>
              <w:pStyle w:val="P68B1DB1-Normal8"/>
              <w:spacing w:after="0" w:line="240" w:lineRule="auto"/>
              <w:jc w:val="center"/>
              <w:rPr>
                <w:rFonts w:eastAsia="Times New Roman" w:cs="Calibri"/>
                <w:noProof/>
              </w:rPr>
            </w:pPr>
            <w:r>
              <w:rPr>
                <w:noProof/>
              </w:rPr>
              <w:t>24</w:t>
            </w:r>
          </w:p>
        </w:tc>
        <w:tc>
          <w:tcPr>
            <w:tcW w:w="897" w:type="dxa"/>
            <w:shd w:val="clear" w:color="auto" w:fill="C4EFCE"/>
            <w:vAlign w:val="center"/>
            <w:hideMark/>
          </w:tcPr>
          <w:p w14:paraId="46259B98" w14:textId="678AC6A1" w:rsidR="00DC5EC6" w:rsidRDefault="003245A4">
            <w:pPr>
              <w:pStyle w:val="P68B1DB1-Normal8"/>
              <w:spacing w:after="0" w:line="240" w:lineRule="auto"/>
              <w:jc w:val="center"/>
              <w:rPr>
                <w:rFonts w:eastAsia="Times New Roman" w:cs="Calibri"/>
                <w:noProof/>
              </w:rPr>
            </w:pPr>
            <w:r>
              <w:rPr>
                <w:noProof/>
              </w:rPr>
              <w:t>100</w:t>
            </w:r>
          </w:p>
        </w:tc>
        <w:tc>
          <w:tcPr>
            <w:tcW w:w="473" w:type="dxa"/>
            <w:shd w:val="clear" w:color="auto" w:fill="C4EFCE"/>
            <w:vAlign w:val="center"/>
            <w:hideMark/>
          </w:tcPr>
          <w:p w14:paraId="2BCEE32C" w14:textId="497BD06A"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3AEDD75E" w14:textId="77777777" w:rsidR="00DC5EC6" w:rsidRDefault="003245A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516BF675" w14:textId="77777777" w:rsidR="00DC5EC6" w:rsidRDefault="003245A4">
            <w:pPr>
              <w:pStyle w:val="P68B1DB1-Normal8"/>
              <w:spacing w:after="0" w:line="240" w:lineRule="auto"/>
              <w:jc w:val="both"/>
              <w:rPr>
                <w:rFonts w:eastAsia="Times New Roman" w:cs="Calibri"/>
                <w:noProof/>
              </w:rPr>
            </w:pPr>
            <w:r>
              <w:rPr>
                <w:noProof/>
              </w:rPr>
              <w:t xml:space="preserve">A szociális lakásállomány növelését célzó munkálatok befejezésével járó beavatkozások száma, beleértve szükség esetén a földterületek urbanizációját is. </w:t>
            </w:r>
          </w:p>
          <w:p w14:paraId="35DAC105" w14:textId="77777777" w:rsidR="00DC5EC6" w:rsidRDefault="003245A4">
            <w:pPr>
              <w:pStyle w:val="P68B1DB1-Normal8"/>
              <w:spacing w:after="0" w:line="240" w:lineRule="auto"/>
              <w:jc w:val="both"/>
              <w:rPr>
                <w:rFonts w:eastAsia="Times New Roman" w:cs="Calibri"/>
                <w:noProof/>
              </w:rPr>
            </w:pPr>
            <w:r>
              <w:rPr>
                <w:noProof/>
              </w:rPr>
              <w:t>Amennyiben új építésről van szó, az új épületek primerenergia-szükségletének legalább 20%-kal a közel nulla energiaigényű épületekre vonatkozó követelmények alatt kell lennie.</w:t>
            </w:r>
          </w:p>
          <w:p w14:paraId="38B842FC" w14:textId="0042F4F2" w:rsidR="00DC5EC6" w:rsidRDefault="003245A4">
            <w:pPr>
              <w:pStyle w:val="P68B1DB1-Normal8"/>
              <w:spacing w:after="0" w:line="240" w:lineRule="auto"/>
              <w:jc w:val="both"/>
              <w:rPr>
                <w:rFonts w:eastAsia="Times New Roman" w:cs="Calibri"/>
                <w:noProof/>
              </w:rPr>
            </w:pPr>
            <w:r>
              <w:rPr>
                <w:noProof/>
              </w:rPr>
              <w:t>A lakások átlagos mérete körülbelül 120 négyzetméter.</w:t>
            </w:r>
          </w:p>
        </w:tc>
      </w:tr>
      <w:tr w:rsidR="00DC5EC6" w14:paraId="25FEA8B5" w14:textId="77777777">
        <w:trPr>
          <w:trHeight w:val="831"/>
        </w:trPr>
        <w:tc>
          <w:tcPr>
            <w:tcW w:w="1134" w:type="dxa"/>
            <w:shd w:val="clear" w:color="auto" w:fill="C5EFCE"/>
            <w:vAlign w:val="center"/>
            <w:hideMark/>
          </w:tcPr>
          <w:p w14:paraId="4DF650DD" w14:textId="77777777" w:rsidR="00DC5EC6" w:rsidRDefault="003245A4">
            <w:pPr>
              <w:pStyle w:val="P68B1DB1-Normal7"/>
              <w:spacing w:after="0" w:line="240" w:lineRule="auto"/>
              <w:jc w:val="center"/>
              <w:rPr>
                <w:rFonts w:eastAsia="Times New Roman" w:cs="Calibri"/>
                <w:noProof/>
              </w:rPr>
            </w:pPr>
            <w:r>
              <w:rPr>
                <w:noProof/>
              </w:rPr>
              <w:t>2.18</w:t>
            </w:r>
          </w:p>
        </w:tc>
        <w:tc>
          <w:tcPr>
            <w:tcW w:w="1304" w:type="dxa"/>
            <w:shd w:val="clear" w:color="auto" w:fill="C4EFCE"/>
            <w:vAlign w:val="center"/>
            <w:hideMark/>
          </w:tcPr>
          <w:p w14:paraId="7D8900A1" w14:textId="77777777" w:rsidR="00DC5EC6" w:rsidRDefault="003245A4">
            <w:pPr>
              <w:pStyle w:val="P68B1DB1-Normal8"/>
              <w:spacing w:after="0" w:line="240" w:lineRule="auto"/>
              <w:jc w:val="center"/>
              <w:rPr>
                <w:rFonts w:eastAsia="Times New Roman" w:cs="Calibri"/>
                <w:noProof/>
              </w:rPr>
            </w:pPr>
            <w:r>
              <w:rPr>
                <w:noProof/>
              </w:rPr>
              <w:t>Re-C02-i04-RAA</w:t>
            </w:r>
          </w:p>
        </w:tc>
        <w:tc>
          <w:tcPr>
            <w:tcW w:w="1077" w:type="dxa"/>
            <w:shd w:val="clear" w:color="auto" w:fill="C4EFCE"/>
            <w:vAlign w:val="center"/>
            <w:hideMark/>
          </w:tcPr>
          <w:p w14:paraId="0BEA123C" w14:textId="77777777" w:rsidR="00DC5EC6" w:rsidRDefault="003245A4">
            <w:pPr>
              <w:pStyle w:val="P68B1DB1-Normal8"/>
              <w:spacing w:after="0" w:line="240" w:lineRule="auto"/>
              <w:jc w:val="center"/>
              <w:rPr>
                <w:rFonts w:eastAsia="Times New Roman" w:cs="Calibri"/>
                <w:noProof/>
              </w:rPr>
            </w:pPr>
            <w:r>
              <w:rPr>
                <w:noProof/>
              </w:rPr>
              <w:t>T</w:t>
            </w:r>
          </w:p>
        </w:tc>
        <w:tc>
          <w:tcPr>
            <w:tcW w:w="2026" w:type="dxa"/>
            <w:shd w:val="clear" w:color="auto" w:fill="C4EFCE"/>
            <w:vAlign w:val="center"/>
            <w:hideMark/>
          </w:tcPr>
          <w:p w14:paraId="2DCA3115" w14:textId="77777777" w:rsidR="00DC5EC6" w:rsidRDefault="003245A4">
            <w:pPr>
              <w:pStyle w:val="P68B1DB1-Normal8"/>
              <w:spacing w:after="0" w:line="240" w:lineRule="auto"/>
              <w:jc w:val="center"/>
              <w:rPr>
                <w:rFonts w:eastAsia="Times New Roman" w:cs="Calibri"/>
                <w:noProof/>
              </w:rPr>
            </w:pPr>
            <w:r>
              <w:rPr>
                <w:noProof/>
              </w:rPr>
              <w:t>Beavatkozások az Azori-szigetek Autonóm Régió középület-állományában – felújítás</w:t>
            </w:r>
          </w:p>
        </w:tc>
        <w:tc>
          <w:tcPr>
            <w:tcW w:w="1355" w:type="dxa"/>
            <w:shd w:val="clear" w:color="auto" w:fill="C4EFCE"/>
            <w:vAlign w:val="center"/>
            <w:hideMark/>
          </w:tcPr>
          <w:p w14:paraId="40C9CFB1" w14:textId="77777777" w:rsidR="00DC5EC6" w:rsidRDefault="003245A4">
            <w:pPr>
              <w:pStyle w:val="P68B1DB1-Normal8"/>
              <w:spacing w:after="0" w:line="240" w:lineRule="auto"/>
              <w:jc w:val="center"/>
              <w:rPr>
                <w:rFonts w:eastAsia="Times New Roman" w:cs="Calibri"/>
                <w:noProof/>
              </w:rPr>
            </w:pPr>
            <w:r>
              <w:rPr>
                <w:noProof/>
              </w:rPr>
              <w:t> </w:t>
            </w:r>
          </w:p>
        </w:tc>
        <w:tc>
          <w:tcPr>
            <w:tcW w:w="1021" w:type="dxa"/>
            <w:shd w:val="clear" w:color="auto" w:fill="C4EFCE"/>
            <w:vAlign w:val="center"/>
            <w:hideMark/>
          </w:tcPr>
          <w:p w14:paraId="193183B5" w14:textId="752160E4" w:rsidR="00DC5EC6" w:rsidRDefault="003245A4">
            <w:pPr>
              <w:pStyle w:val="P68B1DB1-Normal8"/>
              <w:spacing w:after="0" w:line="240" w:lineRule="auto"/>
              <w:jc w:val="center"/>
              <w:rPr>
                <w:rFonts w:eastAsia="Times New Roman" w:cs="Calibri"/>
                <w:noProof/>
              </w:rPr>
            </w:pPr>
            <w:r>
              <w:rPr>
                <w:noProof/>
              </w:rPr>
              <w:t>Szám</w:t>
            </w:r>
          </w:p>
        </w:tc>
        <w:tc>
          <w:tcPr>
            <w:tcW w:w="1134" w:type="dxa"/>
            <w:shd w:val="clear" w:color="auto" w:fill="C4EFCE"/>
            <w:vAlign w:val="center"/>
            <w:hideMark/>
          </w:tcPr>
          <w:p w14:paraId="1B967865" w14:textId="51F3039A" w:rsidR="00DC5EC6" w:rsidRDefault="003245A4">
            <w:pPr>
              <w:pStyle w:val="P68B1DB1-Normal8"/>
              <w:spacing w:after="0" w:line="240" w:lineRule="auto"/>
              <w:jc w:val="center"/>
              <w:rPr>
                <w:rFonts w:eastAsia="Times New Roman" w:cs="Calibri"/>
                <w:noProof/>
              </w:rPr>
            </w:pPr>
            <w:r>
              <w:rPr>
                <w:noProof/>
              </w:rPr>
              <w:t>101</w:t>
            </w:r>
          </w:p>
        </w:tc>
        <w:tc>
          <w:tcPr>
            <w:tcW w:w="897" w:type="dxa"/>
            <w:shd w:val="clear" w:color="auto" w:fill="C4EFCE"/>
            <w:vAlign w:val="center"/>
            <w:hideMark/>
          </w:tcPr>
          <w:p w14:paraId="769572A9" w14:textId="49DD8B07" w:rsidR="00DC5EC6" w:rsidRDefault="003245A4">
            <w:pPr>
              <w:pStyle w:val="P68B1DB1-Normal8"/>
              <w:spacing w:after="0" w:line="240" w:lineRule="auto"/>
              <w:jc w:val="center"/>
              <w:rPr>
                <w:rFonts w:eastAsia="Times New Roman" w:cs="Calibri"/>
                <w:noProof/>
              </w:rPr>
            </w:pPr>
            <w:r>
              <w:rPr>
                <w:noProof/>
              </w:rPr>
              <w:t>602</w:t>
            </w:r>
          </w:p>
        </w:tc>
        <w:tc>
          <w:tcPr>
            <w:tcW w:w="473" w:type="dxa"/>
            <w:shd w:val="clear" w:color="auto" w:fill="C4EFCE"/>
            <w:vAlign w:val="center"/>
            <w:hideMark/>
          </w:tcPr>
          <w:p w14:paraId="5E5CB188" w14:textId="704E4C1F" w:rsidR="00DC5EC6" w:rsidRDefault="00F84F8B">
            <w:pPr>
              <w:pStyle w:val="P68B1DB1-Normal8"/>
              <w:spacing w:after="0" w:line="240" w:lineRule="auto"/>
              <w:jc w:val="center"/>
              <w:rPr>
                <w:rFonts w:eastAsia="Times New Roman" w:cs="Calibri"/>
                <w:noProof/>
              </w:rPr>
            </w:pPr>
            <w:r>
              <w:rPr>
                <w:noProof/>
              </w:rPr>
              <w:t>4. NEGYEDÉV</w:t>
            </w:r>
          </w:p>
        </w:tc>
        <w:tc>
          <w:tcPr>
            <w:tcW w:w="625" w:type="dxa"/>
            <w:shd w:val="clear" w:color="auto" w:fill="C4EFCE"/>
            <w:vAlign w:val="center"/>
            <w:hideMark/>
          </w:tcPr>
          <w:p w14:paraId="25139D3A" w14:textId="77777777" w:rsidR="00DC5EC6" w:rsidRDefault="003245A4">
            <w:pPr>
              <w:pStyle w:val="P68B1DB1-Normal8"/>
              <w:spacing w:after="0" w:line="240" w:lineRule="auto"/>
              <w:jc w:val="center"/>
              <w:rPr>
                <w:rFonts w:eastAsia="Times New Roman" w:cs="Calibri"/>
                <w:noProof/>
              </w:rPr>
            </w:pPr>
            <w:r>
              <w:rPr>
                <w:noProof/>
              </w:rPr>
              <w:t>2025</w:t>
            </w:r>
          </w:p>
        </w:tc>
        <w:tc>
          <w:tcPr>
            <w:tcW w:w="4969" w:type="dxa"/>
            <w:shd w:val="clear" w:color="auto" w:fill="C4EFCE"/>
            <w:vAlign w:val="center"/>
            <w:hideMark/>
          </w:tcPr>
          <w:p w14:paraId="7C838658" w14:textId="2AF73229" w:rsidR="00DC5EC6" w:rsidRDefault="003245A4">
            <w:pPr>
              <w:pStyle w:val="P68B1DB1-Normal8"/>
              <w:spacing w:after="0" w:line="240" w:lineRule="auto"/>
              <w:jc w:val="both"/>
              <w:rPr>
                <w:rFonts w:eastAsia="Times New Roman" w:cs="Calibri"/>
                <w:noProof/>
              </w:rPr>
            </w:pPr>
            <w:r>
              <w:rPr>
                <w:noProof/>
              </w:rPr>
              <w:t xml:space="preserve">A beruházás magában foglalja az épületek és lakások felújítását vagy véglegesítését, a beavatkozások számával mérve. </w:t>
            </w:r>
          </w:p>
          <w:p w14:paraId="5CC5DAB9" w14:textId="0CE72A03" w:rsidR="00DC5EC6" w:rsidRDefault="003245A4">
            <w:pPr>
              <w:pStyle w:val="P68B1DB1-Normal8"/>
              <w:spacing w:after="0" w:line="240" w:lineRule="auto"/>
              <w:jc w:val="both"/>
              <w:rPr>
                <w:rFonts w:eastAsia="Times New Roman" w:cs="Calibri"/>
                <w:noProof/>
              </w:rPr>
            </w:pPr>
            <w:r>
              <w:rPr>
                <w:noProof/>
              </w:rPr>
              <w:t>A beavatkozások a következőket foglalhatják magukban:</w:t>
            </w:r>
          </w:p>
          <w:p w14:paraId="2D64D5AE" w14:textId="684C0690" w:rsidR="00DC5EC6" w:rsidRDefault="003245A4">
            <w:pPr>
              <w:pStyle w:val="P68B1DB1-Normal8"/>
              <w:spacing w:after="0" w:line="240" w:lineRule="auto"/>
              <w:jc w:val="both"/>
              <w:rPr>
                <w:rFonts w:eastAsia="Times New Roman" w:cs="Calibri"/>
                <w:noProof/>
              </w:rPr>
            </w:pPr>
            <w:r>
              <w:rPr>
                <w:noProof/>
              </w:rPr>
              <w:t xml:space="preserve">nem lakáscélú középületek lakássá alakítása, </w:t>
            </w:r>
          </w:p>
          <w:p w14:paraId="10665253" w14:textId="532B6F1F" w:rsidR="00DC5EC6" w:rsidRDefault="003245A4">
            <w:pPr>
              <w:pStyle w:val="P68B1DB1-Normal8"/>
              <w:spacing w:after="0" w:line="240" w:lineRule="auto"/>
              <w:jc w:val="both"/>
              <w:rPr>
                <w:rFonts w:eastAsia="Times New Roman" w:cs="Calibri"/>
                <w:noProof/>
              </w:rPr>
            </w:pPr>
            <w:r>
              <w:rPr>
                <w:noProof/>
              </w:rPr>
              <w:t xml:space="preserve">– a fiatalok bérlésének előmozdítására irányuló terv működőképessé tétele (pl. helyi szállás – Alojamento Local – átalakítása hosszú távú bérbeadássá, városközpontok rehabilitációja). </w:t>
            </w:r>
          </w:p>
          <w:p w14:paraId="4070F306" w14:textId="0A1C2EF3" w:rsidR="00DC5EC6" w:rsidRDefault="003245A4">
            <w:pPr>
              <w:pStyle w:val="P68B1DB1-Normal8"/>
              <w:spacing w:after="0" w:line="240" w:lineRule="auto"/>
              <w:jc w:val="both"/>
              <w:rPr>
                <w:rFonts w:eastAsia="Times New Roman" w:cs="Calibri"/>
                <w:noProof/>
              </w:rPr>
            </w:pPr>
            <w:r>
              <w:rPr>
                <w:noProof/>
              </w:rPr>
              <w:t>Pénzügyi támogatás a degradálódott szociális épületek átalakításához (Bairros Sociais)</w:t>
            </w:r>
          </w:p>
          <w:p w14:paraId="482801D9" w14:textId="77777777" w:rsidR="00DC5EC6" w:rsidRDefault="003245A4">
            <w:pPr>
              <w:pStyle w:val="P68B1DB1-Normal8"/>
              <w:spacing w:after="0" w:line="240" w:lineRule="auto"/>
              <w:jc w:val="both"/>
              <w:rPr>
                <w:rFonts w:eastAsia="Times New Roman" w:cs="Calibri"/>
                <w:noProof/>
              </w:rPr>
            </w:pPr>
            <w:r>
              <w:rPr>
                <w:noProof/>
              </w:rPr>
              <w:t>a köztulajdonú lakások felújítása a lakhatásra vonatkozó hatályos jogszabályoknak, főként az energiahatékonysági követelményeknek való megfelelés érdekében.</w:t>
            </w:r>
          </w:p>
          <w:p w14:paraId="41DBC569" w14:textId="77777777" w:rsidR="00DC5EC6" w:rsidRDefault="003245A4">
            <w:pPr>
              <w:pStyle w:val="P68B1DB1-Normal8"/>
              <w:spacing w:after="0" w:line="240" w:lineRule="auto"/>
              <w:jc w:val="both"/>
              <w:rPr>
                <w:rFonts w:eastAsia="Times New Roman" w:cs="Calibri"/>
                <w:noProof/>
              </w:rPr>
            </w:pPr>
            <w:r>
              <w:rPr>
                <w:noProof/>
              </w:rPr>
              <w:t>Az energiahatékonysági felújításoknak átlagosan legalább az épületek felújításáról szóló (EU) 2019/786 bizottsági ajánlásban meghatározott közepes mélységű felújítást kell megvalósítaniuk.</w:t>
            </w:r>
          </w:p>
          <w:p w14:paraId="27313658" w14:textId="77777777" w:rsidR="00DC5EC6" w:rsidRDefault="003245A4">
            <w:pPr>
              <w:pStyle w:val="P68B1DB1-Normal8"/>
              <w:spacing w:after="0" w:line="240" w:lineRule="auto"/>
              <w:jc w:val="both"/>
              <w:rPr>
                <w:rFonts w:eastAsia="Times New Roman" w:cs="Calibri"/>
                <w:noProof/>
              </w:rPr>
            </w:pPr>
            <w:r>
              <w:rPr>
                <w:noProof/>
              </w:rPr>
              <w:t>Az érintett lakások átlagos mérete körülbelül 100 négyzetméter.</w:t>
            </w:r>
          </w:p>
        </w:tc>
      </w:tr>
      <w:tr w:rsidR="00DC5EC6" w14:paraId="347B37FF" w14:textId="77777777">
        <w:trPr>
          <w:trHeight w:val="1897"/>
        </w:trPr>
        <w:tc>
          <w:tcPr>
            <w:tcW w:w="1134" w:type="dxa"/>
            <w:shd w:val="clear" w:color="auto" w:fill="C4EFCE"/>
            <w:vAlign w:val="center"/>
          </w:tcPr>
          <w:p w14:paraId="55D5B2CB" w14:textId="77777777" w:rsidR="00DC5EC6" w:rsidRDefault="003245A4">
            <w:pPr>
              <w:pStyle w:val="P68B1DB1-Normal7"/>
              <w:spacing w:after="0" w:line="240" w:lineRule="auto"/>
              <w:jc w:val="center"/>
              <w:rPr>
                <w:rFonts w:eastAsia="Times New Roman" w:cs="Calibri"/>
                <w:noProof/>
              </w:rPr>
            </w:pPr>
            <w:r>
              <w:rPr>
                <w:noProof/>
              </w:rPr>
              <w:t>2.19</w:t>
            </w:r>
          </w:p>
        </w:tc>
        <w:tc>
          <w:tcPr>
            <w:tcW w:w="1304" w:type="dxa"/>
            <w:shd w:val="clear" w:color="auto" w:fill="C4EFCE"/>
            <w:vAlign w:val="center"/>
          </w:tcPr>
          <w:p w14:paraId="02390AF0" w14:textId="77777777" w:rsidR="00DC5EC6" w:rsidRDefault="003245A4">
            <w:pPr>
              <w:pStyle w:val="P68B1DB1-Normal8"/>
              <w:spacing w:after="0" w:line="240" w:lineRule="auto"/>
              <w:jc w:val="center"/>
              <w:rPr>
                <w:rFonts w:eastAsia="Times New Roman" w:cs="Calibri"/>
                <w:noProof/>
              </w:rPr>
            </w:pPr>
            <w:r>
              <w:rPr>
                <w:noProof/>
              </w:rPr>
              <w:t>Re-C02-r04</w:t>
            </w:r>
          </w:p>
        </w:tc>
        <w:tc>
          <w:tcPr>
            <w:tcW w:w="1077" w:type="dxa"/>
            <w:shd w:val="clear" w:color="auto" w:fill="C4EFCE"/>
            <w:vAlign w:val="center"/>
          </w:tcPr>
          <w:p w14:paraId="61654FF5" w14:textId="77777777" w:rsidR="00DC5EC6" w:rsidRDefault="003245A4">
            <w:pPr>
              <w:pStyle w:val="P68B1DB1-Normal8"/>
              <w:spacing w:after="0" w:line="240" w:lineRule="auto"/>
              <w:jc w:val="center"/>
              <w:rPr>
                <w:rFonts w:eastAsia="Times New Roman" w:cs="Calibri"/>
                <w:noProof/>
              </w:rPr>
            </w:pPr>
            <w:r>
              <w:rPr>
                <w:noProof/>
              </w:rPr>
              <w:t>M</w:t>
            </w:r>
          </w:p>
        </w:tc>
        <w:tc>
          <w:tcPr>
            <w:tcW w:w="2026" w:type="dxa"/>
            <w:shd w:val="clear" w:color="auto" w:fill="C4EFCE"/>
            <w:vAlign w:val="center"/>
          </w:tcPr>
          <w:p w14:paraId="06B961BF" w14:textId="77777777" w:rsidR="00DC5EC6" w:rsidRDefault="003245A4">
            <w:pPr>
              <w:pStyle w:val="P68B1DB1-Normal9"/>
              <w:spacing w:after="0" w:line="240" w:lineRule="auto"/>
              <w:rPr>
                <w:rFonts w:eastAsia="Times New Roman" w:cs="Calibri"/>
                <w:noProof/>
                <w:sz w:val="16"/>
              </w:rPr>
            </w:pPr>
            <w:r>
              <w:rPr>
                <w:noProof/>
                <w:sz w:val="16"/>
              </w:rPr>
              <w:t>A nemzeti sürgősségi és ideiglenes lakhatási tervjogi keretét jóváhagyó törvényerejű rendelet hatálybalépése</w:t>
            </w:r>
          </w:p>
        </w:tc>
        <w:tc>
          <w:tcPr>
            <w:tcW w:w="1355" w:type="dxa"/>
            <w:shd w:val="clear" w:color="auto" w:fill="C4EFCE"/>
            <w:vAlign w:val="center"/>
          </w:tcPr>
          <w:p w14:paraId="10E78A8C" w14:textId="77777777" w:rsidR="00DC5EC6" w:rsidRDefault="003245A4">
            <w:pPr>
              <w:pStyle w:val="P68B1DB1-Normal8"/>
              <w:spacing w:after="0" w:line="240" w:lineRule="auto"/>
              <w:rPr>
                <w:rFonts w:eastAsia="Times New Roman" w:cs="Calibri"/>
                <w:noProof/>
              </w:rPr>
            </w:pPr>
            <w:r>
              <w:rPr>
                <w:noProof/>
              </w:rPr>
              <w:t>A törvényerejű rendelet hatálybalépése</w:t>
            </w:r>
          </w:p>
        </w:tc>
        <w:tc>
          <w:tcPr>
            <w:tcW w:w="1021" w:type="dxa"/>
            <w:shd w:val="clear" w:color="auto" w:fill="C4EFCE"/>
            <w:vAlign w:val="center"/>
          </w:tcPr>
          <w:p w14:paraId="1DBACC24" w14:textId="1C8EF36E" w:rsidR="00DC5EC6" w:rsidRDefault="00DC5EC6">
            <w:pPr>
              <w:spacing w:after="0" w:line="240" w:lineRule="auto"/>
              <w:jc w:val="center"/>
              <w:rPr>
                <w:rFonts w:ascii="Calibri" w:eastAsia="Times New Roman" w:hAnsi="Calibri" w:cs="Calibri"/>
                <w:noProof/>
                <w:sz w:val="16"/>
              </w:rPr>
            </w:pPr>
          </w:p>
        </w:tc>
        <w:tc>
          <w:tcPr>
            <w:tcW w:w="1134" w:type="dxa"/>
            <w:shd w:val="clear" w:color="auto" w:fill="C4EFCE"/>
            <w:vAlign w:val="center"/>
          </w:tcPr>
          <w:p w14:paraId="22364C29" w14:textId="331D8C51" w:rsidR="00DC5EC6" w:rsidRDefault="00DC5EC6">
            <w:pPr>
              <w:spacing w:after="0" w:line="240" w:lineRule="auto"/>
              <w:jc w:val="center"/>
              <w:rPr>
                <w:rFonts w:ascii="Calibri" w:eastAsia="Times New Roman" w:hAnsi="Calibri" w:cs="Calibri"/>
                <w:noProof/>
                <w:sz w:val="16"/>
              </w:rPr>
            </w:pPr>
          </w:p>
        </w:tc>
        <w:tc>
          <w:tcPr>
            <w:tcW w:w="897" w:type="dxa"/>
            <w:shd w:val="clear" w:color="auto" w:fill="C4EFCE"/>
            <w:vAlign w:val="center"/>
          </w:tcPr>
          <w:p w14:paraId="18147486" w14:textId="0F9CD299" w:rsidR="00DC5EC6" w:rsidRDefault="00DC5EC6">
            <w:pPr>
              <w:spacing w:after="0" w:line="240" w:lineRule="auto"/>
              <w:jc w:val="center"/>
              <w:rPr>
                <w:rFonts w:ascii="Calibri" w:eastAsia="Times New Roman" w:hAnsi="Calibri" w:cs="Calibri"/>
                <w:noProof/>
                <w:sz w:val="16"/>
              </w:rPr>
            </w:pPr>
          </w:p>
        </w:tc>
        <w:tc>
          <w:tcPr>
            <w:tcW w:w="473" w:type="dxa"/>
            <w:shd w:val="clear" w:color="auto" w:fill="C4EFCE"/>
            <w:vAlign w:val="center"/>
          </w:tcPr>
          <w:p w14:paraId="63C6F1EC" w14:textId="3AD56F6E" w:rsidR="00DC5EC6" w:rsidRDefault="00F84F8B">
            <w:pPr>
              <w:pStyle w:val="P68B1DB1-Normal8"/>
              <w:spacing w:after="0" w:line="240" w:lineRule="auto"/>
              <w:rPr>
                <w:rFonts w:eastAsia="Times New Roman" w:cs="Calibri"/>
                <w:noProof/>
              </w:rPr>
            </w:pPr>
            <w:r>
              <w:rPr>
                <w:noProof/>
              </w:rPr>
              <w:t>2. NEGYEDÉV</w:t>
            </w:r>
          </w:p>
        </w:tc>
        <w:tc>
          <w:tcPr>
            <w:tcW w:w="625" w:type="dxa"/>
            <w:shd w:val="clear" w:color="auto" w:fill="C4EFCE"/>
            <w:vAlign w:val="center"/>
          </w:tcPr>
          <w:p w14:paraId="623BE23E" w14:textId="77777777" w:rsidR="00DC5EC6" w:rsidRDefault="003245A4">
            <w:pPr>
              <w:pStyle w:val="P68B1DB1-Normal8"/>
              <w:spacing w:after="0" w:line="240" w:lineRule="auto"/>
              <w:rPr>
                <w:rFonts w:eastAsia="Times New Roman" w:cs="Calibri"/>
                <w:noProof/>
              </w:rPr>
            </w:pPr>
            <w:r>
              <w:rPr>
                <w:noProof/>
              </w:rPr>
              <w:t>2021</w:t>
            </w:r>
          </w:p>
        </w:tc>
        <w:tc>
          <w:tcPr>
            <w:tcW w:w="4969" w:type="dxa"/>
            <w:shd w:val="clear" w:color="auto" w:fill="C4EFCE"/>
            <w:vAlign w:val="center"/>
          </w:tcPr>
          <w:p w14:paraId="2E6359DD" w14:textId="77777777" w:rsidR="00DC5EC6" w:rsidRDefault="003245A4">
            <w:pPr>
              <w:pStyle w:val="P68B1DB1-Normal8"/>
              <w:spacing w:after="0" w:line="240" w:lineRule="auto"/>
              <w:jc w:val="both"/>
              <w:rPr>
                <w:rFonts w:eastAsia="Times New Roman" w:cs="Calibri"/>
                <w:noProof/>
              </w:rPr>
            </w:pPr>
            <w:r>
              <w:rPr>
                <w:noProof/>
              </w:rPr>
              <w:t>A törvényerejű rendelet meghatározza a terv szerkezetét és a lakásállományt, különös tekintettel a támogatható kedvezményezettekre, a lakhatási megoldásokra és a finanszírozási modellre. A nemzeti lakhatási tervet a jogi keret mellett a Kormány elé terjeszti és hagyja jóvá, amely magában foglalja a támogatandó lakhatási megoldások stratégiai tervezését és az ehhez szükséges támogatást, a helyi igényektől és sajátosságoktól, valamint a társadalmi-területi kohéziótól függően.</w:t>
            </w:r>
          </w:p>
        </w:tc>
      </w:tr>
      <w:tr w:rsidR="00DC5EC6" w14:paraId="4A43709F" w14:textId="77777777">
        <w:trPr>
          <w:trHeight w:val="982"/>
        </w:trPr>
        <w:tc>
          <w:tcPr>
            <w:tcW w:w="1134" w:type="dxa"/>
            <w:shd w:val="clear" w:color="auto" w:fill="C4EFCE"/>
            <w:vAlign w:val="center"/>
          </w:tcPr>
          <w:p w14:paraId="4CC0270E" w14:textId="60006A58" w:rsidR="00DC5EC6" w:rsidRDefault="003245A4">
            <w:pPr>
              <w:pStyle w:val="P68B1DB1-Normal11"/>
              <w:spacing w:after="0" w:line="240" w:lineRule="auto"/>
              <w:jc w:val="center"/>
              <w:rPr>
                <w:rFonts w:eastAsia="Times New Roman" w:cstheme="minorHAnsi"/>
                <w:noProof/>
              </w:rPr>
            </w:pPr>
            <w:r>
              <w:rPr>
                <w:noProof/>
              </w:rPr>
              <w:t>2.30</w:t>
            </w:r>
          </w:p>
        </w:tc>
        <w:tc>
          <w:tcPr>
            <w:tcW w:w="1304" w:type="dxa"/>
            <w:shd w:val="clear" w:color="auto" w:fill="C4EFCE"/>
            <w:vAlign w:val="center"/>
          </w:tcPr>
          <w:p w14:paraId="02A729EB" w14:textId="0AFCA7AF" w:rsidR="00DC5EC6" w:rsidRDefault="003245A4">
            <w:pPr>
              <w:pStyle w:val="P68B1DB1-Normal12"/>
              <w:spacing w:after="0" w:line="240" w:lineRule="auto"/>
              <w:jc w:val="center"/>
              <w:rPr>
                <w:rFonts w:eastAsia="Times New Roman" w:cstheme="minorHAnsi"/>
                <w:noProof/>
              </w:rPr>
            </w:pPr>
            <w:r>
              <w:rPr>
                <w:noProof/>
              </w:rPr>
              <w:t>Re-C02-i07-RAA</w:t>
            </w:r>
          </w:p>
        </w:tc>
        <w:tc>
          <w:tcPr>
            <w:tcW w:w="1077" w:type="dxa"/>
            <w:shd w:val="clear" w:color="auto" w:fill="C4EFCE"/>
            <w:vAlign w:val="center"/>
          </w:tcPr>
          <w:p w14:paraId="61FFCA13" w14:textId="7B8D2070" w:rsidR="00DC5EC6" w:rsidRDefault="003245A4">
            <w:pPr>
              <w:pStyle w:val="P68B1DB1-Normal12"/>
              <w:spacing w:after="0" w:line="240" w:lineRule="auto"/>
              <w:jc w:val="center"/>
              <w:rPr>
                <w:rFonts w:eastAsia="Times New Roman" w:cstheme="minorHAnsi"/>
                <w:noProof/>
              </w:rPr>
            </w:pPr>
            <w:r>
              <w:rPr>
                <w:noProof/>
              </w:rPr>
              <w:t>T</w:t>
            </w:r>
          </w:p>
        </w:tc>
        <w:tc>
          <w:tcPr>
            <w:tcW w:w="2026" w:type="dxa"/>
            <w:shd w:val="clear" w:color="auto" w:fill="C4EFCE"/>
            <w:vAlign w:val="center"/>
          </w:tcPr>
          <w:p w14:paraId="2CF83377" w14:textId="702263B8" w:rsidR="00DC5EC6" w:rsidRDefault="003245A4">
            <w:pPr>
              <w:pStyle w:val="P68B1DB1-Normal12"/>
              <w:spacing w:after="0" w:line="240" w:lineRule="auto"/>
              <w:rPr>
                <w:rFonts w:eastAsia="Times New Roman" w:cstheme="minorHAnsi"/>
                <w:noProof/>
              </w:rPr>
            </w:pPr>
            <w:r>
              <w:rPr>
                <w:noProof/>
              </w:rPr>
              <w:t>Földparcellák infrastruktúrája</w:t>
            </w:r>
          </w:p>
        </w:tc>
        <w:tc>
          <w:tcPr>
            <w:tcW w:w="1355" w:type="dxa"/>
            <w:shd w:val="clear" w:color="auto" w:fill="C4EFCE"/>
            <w:vAlign w:val="center"/>
          </w:tcPr>
          <w:p w14:paraId="48DB30AD" w14:textId="77777777" w:rsidR="00DC5EC6" w:rsidRDefault="00DC5EC6">
            <w:pPr>
              <w:spacing w:after="0" w:line="240" w:lineRule="auto"/>
              <w:rPr>
                <w:rFonts w:eastAsia="Times New Roman" w:cstheme="minorHAnsi"/>
                <w:noProof/>
                <w:sz w:val="16"/>
              </w:rPr>
            </w:pPr>
          </w:p>
        </w:tc>
        <w:tc>
          <w:tcPr>
            <w:tcW w:w="1021" w:type="dxa"/>
            <w:shd w:val="clear" w:color="auto" w:fill="C4EFCE"/>
            <w:vAlign w:val="center"/>
          </w:tcPr>
          <w:p w14:paraId="1BE72B86" w14:textId="72586D92" w:rsidR="00DC5EC6" w:rsidRDefault="003245A4">
            <w:pPr>
              <w:pStyle w:val="P68B1DB1-Normal12"/>
              <w:spacing w:after="0" w:line="240" w:lineRule="auto"/>
              <w:jc w:val="center"/>
              <w:rPr>
                <w:rFonts w:eastAsia="Times New Roman" w:cstheme="minorHAnsi"/>
                <w:noProof/>
              </w:rPr>
            </w:pPr>
            <w:r>
              <w:rPr>
                <w:noProof/>
              </w:rPr>
              <w:t>Szám</w:t>
            </w:r>
          </w:p>
        </w:tc>
        <w:tc>
          <w:tcPr>
            <w:tcW w:w="1134" w:type="dxa"/>
            <w:shd w:val="clear" w:color="auto" w:fill="C4EFCE"/>
            <w:vAlign w:val="center"/>
          </w:tcPr>
          <w:p w14:paraId="0E7D82E2" w14:textId="45707140" w:rsidR="00DC5EC6" w:rsidRDefault="003245A4">
            <w:pPr>
              <w:pStyle w:val="P68B1DB1-Normal12"/>
              <w:spacing w:after="0" w:line="240" w:lineRule="auto"/>
              <w:jc w:val="center"/>
              <w:rPr>
                <w:rFonts w:eastAsia="Times New Roman" w:cstheme="minorHAnsi"/>
                <w:noProof/>
              </w:rPr>
            </w:pPr>
            <w:r>
              <w:rPr>
                <w:noProof/>
              </w:rPr>
              <w:t>0</w:t>
            </w:r>
          </w:p>
        </w:tc>
        <w:tc>
          <w:tcPr>
            <w:tcW w:w="897" w:type="dxa"/>
            <w:shd w:val="clear" w:color="auto" w:fill="C4EFCE"/>
            <w:vAlign w:val="center"/>
          </w:tcPr>
          <w:p w14:paraId="0012CB5B" w14:textId="05B57DCB" w:rsidR="00DC5EC6" w:rsidRDefault="003245A4">
            <w:pPr>
              <w:pStyle w:val="P68B1DB1-Normal12"/>
              <w:spacing w:after="0" w:line="240" w:lineRule="auto"/>
              <w:jc w:val="center"/>
              <w:rPr>
                <w:rFonts w:eastAsia="Times New Roman" w:cstheme="minorHAnsi"/>
                <w:noProof/>
              </w:rPr>
            </w:pPr>
            <w:r>
              <w:rPr>
                <w:noProof/>
              </w:rPr>
              <w:t>145</w:t>
            </w:r>
          </w:p>
        </w:tc>
        <w:tc>
          <w:tcPr>
            <w:tcW w:w="473" w:type="dxa"/>
            <w:shd w:val="clear" w:color="auto" w:fill="C4EFCE"/>
            <w:vAlign w:val="center"/>
          </w:tcPr>
          <w:p w14:paraId="6C101ED3" w14:textId="667CA0AF" w:rsidR="00DC5EC6" w:rsidRDefault="00F84F8B">
            <w:pPr>
              <w:pStyle w:val="P68B1DB1-Normal12"/>
              <w:spacing w:after="0" w:line="240" w:lineRule="auto"/>
              <w:rPr>
                <w:rFonts w:eastAsia="Times New Roman" w:cstheme="minorHAnsi"/>
                <w:noProof/>
              </w:rPr>
            </w:pPr>
            <w:r>
              <w:rPr>
                <w:noProof/>
              </w:rPr>
              <w:t>2. NEGYEDÉV</w:t>
            </w:r>
          </w:p>
        </w:tc>
        <w:tc>
          <w:tcPr>
            <w:tcW w:w="625" w:type="dxa"/>
            <w:shd w:val="clear" w:color="auto" w:fill="C4EFCE"/>
            <w:vAlign w:val="center"/>
          </w:tcPr>
          <w:p w14:paraId="417B6A68" w14:textId="1C7AE05F" w:rsidR="00DC5EC6" w:rsidRDefault="003245A4">
            <w:pPr>
              <w:pStyle w:val="P68B1DB1-Normal12"/>
              <w:spacing w:after="0" w:line="240" w:lineRule="auto"/>
              <w:rPr>
                <w:rFonts w:eastAsia="Times New Roman" w:cstheme="minorHAnsi"/>
                <w:noProof/>
              </w:rPr>
            </w:pPr>
            <w:r>
              <w:rPr>
                <w:noProof/>
              </w:rPr>
              <w:t>2026</w:t>
            </w:r>
          </w:p>
        </w:tc>
        <w:tc>
          <w:tcPr>
            <w:tcW w:w="4969" w:type="dxa"/>
            <w:shd w:val="clear" w:color="auto" w:fill="C4EFCE"/>
            <w:vAlign w:val="center"/>
          </w:tcPr>
          <w:p w14:paraId="36ADF2AC" w14:textId="5E49F17C" w:rsidR="00DC5EC6" w:rsidRDefault="003245A4">
            <w:pPr>
              <w:pStyle w:val="P68B1DB1-Normal12"/>
              <w:spacing w:after="0" w:line="240" w:lineRule="auto"/>
              <w:jc w:val="both"/>
              <w:rPr>
                <w:rFonts w:eastAsia="Times New Roman" w:cstheme="minorHAnsi"/>
                <w:noProof/>
              </w:rPr>
            </w:pPr>
            <w:r>
              <w:rPr>
                <w:noProof/>
              </w:rPr>
              <w:t>A kiválasztási feltételeket és követelményeket meghatározó kiválasztási eljárást követően létrehozott vagy javított infrastruktúrával rendelkező és a kiválasztott pályázóknak kiosztott parcellák száma. A fiataloknak elsőbbséget kell biztosítani a beruházás leírásában meghatározottak szerint.</w:t>
            </w:r>
          </w:p>
        </w:tc>
      </w:tr>
      <w:tr w:rsidR="00DC5EC6" w14:paraId="01719C1D" w14:textId="77777777">
        <w:trPr>
          <w:trHeight w:val="981"/>
        </w:trPr>
        <w:tc>
          <w:tcPr>
            <w:tcW w:w="1134" w:type="dxa"/>
            <w:shd w:val="clear" w:color="auto" w:fill="C4EFCE"/>
            <w:vAlign w:val="center"/>
          </w:tcPr>
          <w:p w14:paraId="364FFF3B" w14:textId="22B6B22B" w:rsidR="00DC5EC6" w:rsidRDefault="003245A4">
            <w:pPr>
              <w:pStyle w:val="P68B1DB1-Normal11"/>
              <w:spacing w:after="0" w:line="240" w:lineRule="auto"/>
              <w:jc w:val="center"/>
              <w:rPr>
                <w:rFonts w:cstheme="minorHAnsi"/>
                <w:noProof/>
              </w:rPr>
            </w:pPr>
            <w:r>
              <w:rPr>
                <w:noProof/>
              </w:rPr>
              <w:t>2.31</w:t>
            </w:r>
          </w:p>
        </w:tc>
        <w:tc>
          <w:tcPr>
            <w:tcW w:w="1304" w:type="dxa"/>
            <w:shd w:val="clear" w:color="auto" w:fill="C4EFCE"/>
            <w:vAlign w:val="center"/>
          </w:tcPr>
          <w:p w14:paraId="35FF57B8" w14:textId="021904BB" w:rsidR="00DC5EC6" w:rsidRDefault="003245A4">
            <w:pPr>
              <w:pStyle w:val="P68B1DB1-Normal12"/>
              <w:spacing w:after="0" w:line="240" w:lineRule="auto"/>
              <w:jc w:val="center"/>
              <w:rPr>
                <w:rFonts w:cstheme="minorHAnsi"/>
                <w:noProof/>
              </w:rPr>
            </w:pPr>
            <w:r>
              <w:rPr>
                <w:noProof/>
              </w:rPr>
              <w:t>Re-C02-i08-RAA</w:t>
            </w:r>
          </w:p>
        </w:tc>
        <w:tc>
          <w:tcPr>
            <w:tcW w:w="1077" w:type="dxa"/>
            <w:shd w:val="clear" w:color="auto" w:fill="C4EFCE"/>
            <w:vAlign w:val="center"/>
          </w:tcPr>
          <w:p w14:paraId="1FD50D28" w14:textId="3A075D13" w:rsidR="00DC5EC6" w:rsidRDefault="003245A4">
            <w:pPr>
              <w:pStyle w:val="P68B1DB1-Normal12"/>
              <w:spacing w:after="0" w:line="240" w:lineRule="auto"/>
              <w:jc w:val="center"/>
              <w:rPr>
                <w:rFonts w:cstheme="minorHAnsi"/>
                <w:noProof/>
              </w:rPr>
            </w:pPr>
            <w:r>
              <w:rPr>
                <w:noProof/>
              </w:rPr>
              <w:t>T</w:t>
            </w:r>
          </w:p>
        </w:tc>
        <w:tc>
          <w:tcPr>
            <w:tcW w:w="2026" w:type="dxa"/>
            <w:shd w:val="clear" w:color="auto" w:fill="C4EFCE"/>
            <w:vAlign w:val="center"/>
          </w:tcPr>
          <w:p w14:paraId="4B666CCE" w14:textId="478A7D51" w:rsidR="00DC5EC6" w:rsidRDefault="003245A4">
            <w:pPr>
              <w:pStyle w:val="P68B1DB1-Normal12"/>
              <w:spacing w:after="0" w:line="240" w:lineRule="auto"/>
              <w:rPr>
                <w:rFonts w:cstheme="minorHAnsi"/>
                <w:noProof/>
              </w:rPr>
            </w:pPr>
            <w:r>
              <w:rPr>
                <w:noProof/>
              </w:rPr>
              <w:t>Az Azori-szigetek autonóm régió szociális lakásállományának megerősítése – épített lakások</w:t>
            </w:r>
          </w:p>
        </w:tc>
        <w:tc>
          <w:tcPr>
            <w:tcW w:w="1355" w:type="dxa"/>
            <w:shd w:val="clear" w:color="auto" w:fill="C4EFCE"/>
            <w:vAlign w:val="center"/>
          </w:tcPr>
          <w:p w14:paraId="3368FA4C" w14:textId="77777777" w:rsidR="00DC5EC6" w:rsidRDefault="00DC5EC6">
            <w:pPr>
              <w:spacing w:after="0" w:line="240" w:lineRule="auto"/>
              <w:rPr>
                <w:rFonts w:eastAsia="Times New Roman" w:cstheme="minorHAnsi"/>
                <w:noProof/>
                <w:sz w:val="16"/>
              </w:rPr>
            </w:pPr>
          </w:p>
        </w:tc>
        <w:tc>
          <w:tcPr>
            <w:tcW w:w="1021" w:type="dxa"/>
            <w:shd w:val="clear" w:color="auto" w:fill="C4EFCE"/>
            <w:vAlign w:val="center"/>
          </w:tcPr>
          <w:p w14:paraId="5D56F8D2" w14:textId="26F656FB" w:rsidR="00DC5EC6" w:rsidRDefault="003245A4">
            <w:pPr>
              <w:pStyle w:val="P68B1DB1-Normal12"/>
              <w:spacing w:after="0" w:line="240" w:lineRule="auto"/>
              <w:jc w:val="center"/>
              <w:rPr>
                <w:rFonts w:cstheme="minorHAnsi"/>
                <w:noProof/>
              </w:rPr>
            </w:pPr>
            <w:r>
              <w:rPr>
                <w:noProof/>
              </w:rPr>
              <w:t>Szám</w:t>
            </w:r>
          </w:p>
        </w:tc>
        <w:tc>
          <w:tcPr>
            <w:tcW w:w="1134" w:type="dxa"/>
            <w:shd w:val="clear" w:color="auto" w:fill="C4EFCE"/>
            <w:vAlign w:val="center"/>
          </w:tcPr>
          <w:p w14:paraId="6C946781" w14:textId="5373AAC2" w:rsidR="00DC5EC6" w:rsidRDefault="003245A4">
            <w:pPr>
              <w:pStyle w:val="P68B1DB1-Normal12"/>
              <w:spacing w:after="0" w:line="240" w:lineRule="auto"/>
              <w:jc w:val="center"/>
              <w:rPr>
                <w:rFonts w:cstheme="minorHAnsi"/>
                <w:noProof/>
              </w:rPr>
            </w:pPr>
            <w:r>
              <w:rPr>
                <w:noProof/>
              </w:rPr>
              <w:t>0</w:t>
            </w:r>
          </w:p>
        </w:tc>
        <w:tc>
          <w:tcPr>
            <w:tcW w:w="897" w:type="dxa"/>
            <w:shd w:val="clear" w:color="auto" w:fill="C4EFCE"/>
            <w:vAlign w:val="center"/>
          </w:tcPr>
          <w:p w14:paraId="1453AA31" w14:textId="176AAA92" w:rsidR="00DC5EC6" w:rsidRDefault="003245A4">
            <w:pPr>
              <w:pStyle w:val="P68B1DB1-Normal12"/>
              <w:spacing w:after="0" w:line="240" w:lineRule="auto"/>
              <w:jc w:val="center"/>
              <w:rPr>
                <w:rFonts w:cstheme="minorHAnsi"/>
                <w:noProof/>
              </w:rPr>
            </w:pPr>
            <w:r>
              <w:rPr>
                <w:noProof/>
              </w:rPr>
              <w:t>126</w:t>
            </w:r>
          </w:p>
        </w:tc>
        <w:tc>
          <w:tcPr>
            <w:tcW w:w="473" w:type="dxa"/>
            <w:shd w:val="clear" w:color="auto" w:fill="C4EFCE"/>
            <w:vAlign w:val="center"/>
          </w:tcPr>
          <w:p w14:paraId="68B4C3AF" w14:textId="0EDA2BE1" w:rsidR="00DC5EC6" w:rsidRDefault="00F84F8B">
            <w:pPr>
              <w:pStyle w:val="P68B1DB1-Normal12"/>
              <w:spacing w:after="0" w:line="240" w:lineRule="auto"/>
              <w:rPr>
                <w:rFonts w:cstheme="minorHAnsi"/>
                <w:noProof/>
              </w:rPr>
            </w:pPr>
            <w:r>
              <w:rPr>
                <w:noProof/>
              </w:rPr>
              <w:t>4. NEGYEDÉV</w:t>
            </w:r>
          </w:p>
        </w:tc>
        <w:tc>
          <w:tcPr>
            <w:tcW w:w="625" w:type="dxa"/>
            <w:shd w:val="clear" w:color="auto" w:fill="C4EFCE"/>
            <w:vAlign w:val="center"/>
          </w:tcPr>
          <w:p w14:paraId="79C3FF04" w14:textId="14F788F1" w:rsidR="00DC5EC6" w:rsidRDefault="003245A4">
            <w:pPr>
              <w:pStyle w:val="P68B1DB1-Normal12"/>
              <w:spacing w:after="0" w:line="240" w:lineRule="auto"/>
              <w:rPr>
                <w:rFonts w:cstheme="minorHAnsi"/>
                <w:noProof/>
              </w:rPr>
            </w:pPr>
            <w:r>
              <w:rPr>
                <w:noProof/>
              </w:rPr>
              <w:t>2025</w:t>
            </w:r>
          </w:p>
        </w:tc>
        <w:tc>
          <w:tcPr>
            <w:tcW w:w="4969" w:type="dxa"/>
            <w:shd w:val="clear" w:color="auto" w:fill="C4EFCE"/>
            <w:vAlign w:val="center"/>
          </w:tcPr>
          <w:p w14:paraId="6F1B329D" w14:textId="70FC1EBF" w:rsidR="00DC5EC6" w:rsidRDefault="003245A4">
            <w:pPr>
              <w:pStyle w:val="P68B1DB1-Normal12"/>
              <w:spacing w:after="0" w:line="240" w:lineRule="auto"/>
              <w:jc w:val="both"/>
              <w:rPr>
                <w:rFonts w:cstheme="minorHAnsi"/>
                <w:noProof/>
              </w:rPr>
            </w:pPr>
            <w:r>
              <w:rPr>
                <w:noProof/>
              </w:rPr>
              <w:t xml:space="preserve">A befejezett épített lakások száma. Az új épületek primerenergia-szükségletének legalább 20%-kal alacsonyabbnak kell lennie a közel nulla energiaigényű épületekre vonatkozó követelményeknél. A lakások átlagos mérete körülbelül 101 négyzetméter. </w:t>
            </w:r>
          </w:p>
        </w:tc>
      </w:tr>
    </w:tbl>
    <w:p w14:paraId="097E5357" w14:textId="77777777" w:rsidR="00DC5EC6" w:rsidRDefault="00DC5EC6">
      <w:pPr>
        <w:spacing w:before="40" w:after="0" w:line="259" w:lineRule="auto"/>
        <w:jc w:val="both"/>
        <w:rPr>
          <w:rFonts w:ascii="Times New Roman" w:eastAsiaTheme="minorEastAsia" w:hAnsi="Times New Roman" w:cs="Times New Roman"/>
          <w:b/>
          <w:noProof/>
          <w:sz w:val="24"/>
        </w:rPr>
      </w:pPr>
    </w:p>
    <w:p w14:paraId="4E113063" w14:textId="77777777" w:rsidR="00DC5EC6" w:rsidRDefault="00DC5EC6">
      <w:pPr>
        <w:spacing w:before="40" w:after="0" w:line="259" w:lineRule="auto"/>
        <w:jc w:val="both"/>
        <w:rPr>
          <w:rFonts w:ascii="Times New Roman" w:eastAsiaTheme="minorEastAsia" w:hAnsi="Times New Roman" w:cs="Times New Roman"/>
          <w:b/>
          <w:noProof/>
          <w:sz w:val="24"/>
        </w:rPr>
        <w:sectPr w:rsidR="00DC5EC6" w:rsidSect="00E00EDD">
          <w:headerReference w:type="even" r:id="rId54"/>
          <w:headerReference w:type="default" r:id="rId55"/>
          <w:footerReference w:type="even" r:id="rId56"/>
          <w:footerReference w:type="default" r:id="rId57"/>
          <w:headerReference w:type="first" r:id="rId58"/>
          <w:footerReference w:type="first" r:id="rId59"/>
          <w:pgSz w:w="16839" w:h="11907" w:orient="landscape"/>
          <w:pgMar w:top="1134" w:right="1134" w:bottom="1134" w:left="1134" w:header="567" w:footer="567" w:gutter="0"/>
          <w:cols w:space="720"/>
          <w:docGrid w:linePitch="360"/>
        </w:sectPr>
      </w:pPr>
    </w:p>
    <w:p w14:paraId="047A1851" w14:textId="77777777" w:rsidR="00DC5EC6" w:rsidRDefault="00DC5EC6">
      <w:pPr>
        <w:spacing w:before="40" w:after="0" w:line="259" w:lineRule="auto"/>
        <w:jc w:val="both"/>
        <w:rPr>
          <w:rFonts w:ascii="Times New Roman" w:eastAsiaTheme="minorEastAsia" w:hAnsi="Times New Roman" w:cs="Times New Roman"/>
          <w:noProof/>
          <w:sz w:val="24"/>
        </w:rPr>
      </w:pPr>
    </w:p>
    <w:p w14:paraId="5B038070" w14:textId="77777777"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B.3. A hitelhez kapcsolódó reformok és beruházások ismertetése</w:t>
      </w:r>
    </w:p>
    <w:p w14:paraId="30633E8D" w14:textId="77777777" w:rsidR="00DC5EC6" w:rsidRDefault="003245A4">
      <w:pPr>
        <w:pStyle w:val="P68B1DB1-Normal5"/>
        <w:spacing w:before="240" w:after="0" w:line="259" w:lineRule="auto"/>
        <w:ind w:left="851"/>
        <w:jc w:val="both"/>
        <w:outlineLvl w:val="3"/>
        <w:rPr>
          <w:rFonts w:eastAsiaTheme="minorEastAsia" w:cs="Times New Roman"/>
          <w:b/>
          <w:noProof/>
        </w:rPr>
      </w:pPr>
      <w:r>
        <w:rPr>
          <w:noProof/>
        </w:rPr>
        <w:t>RE-C02–i05 beruházás: Megfizethető állami lakásállomány</w:t>
      </w:r>
    </w:p>
    <w:p w14:paraId="6A637658"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célja, hogy reagáljon a lakásárak jelenlegi dinamikájára a portugál háztartások jövedelmi szintjével szemben, különösen a nagyvárosi környezetben, azáltal, hogy bizonyos célcsoportok számára megfizethető áron bérelhető középületeket biztosít. </w:t>
      </w:r>
    </w:p>
    <w:p w14:paraId="04C006FB"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magában foglalja új épületek építését, beleértve az új épületek megvásárlását és a középületek rehabilitációját 6800 szálláshely biztosítása érdekében, valamint ezt követően megfizethető áron történő bérlést az azonosított célcsoportok számára. </w:t>
      </w:r>
    </w:p>
    <w:p w14:paraId="55D88C12"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6F8273EA"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RE-C02–i06 beruházás: Hallgatói szálláshelyek megfizethető áron</w:t>
      </w:r>
    </w:p>
    <w:p w14:paraId="7AA5CEFE"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 megfizethető diákszállások nemzeti kínálatának növelése, mivel továbbra is ez a felsőoktatáshoz való hozzáférés egyik legnagyobb akadálya. E szállásoknak hozzá kell járulniuk a diákok és családjaik közvetlen költségeinek csökkentéséhez, különös tekintettel a társadalmi és gazdasági szempontból legkiszolgáltatottabb diákokra. A meglévő kínálat a szállásra szoruló diákoknak csak kis részét (mintegy 10%-át) támogatja, tekintettel a lakhatási költségek jelentős növekedésére, különösen a legnagyobb városközpontokban, ahol a felsőoktatási intézmények koncentrálódnak. </w:t>
      </w:r>
    </w:p>
    <w:p w14:paraId="4602D132" w14:textId="51E322E5" w:rsidR="00DC5EC6" w:rsidRDefault="003245A4">
      <w:pPr>
        <w:pStyle w:val="P68B1DB1-Normal4"/>
        <w:keepNext/>
        <w:spacing w:before="40" w:after="0" w:line="259" w:lineRule="auto"/>
        <w:jc w:val="both"/>
        <w:rPr>
          <w:rFonts w:eastAsiaTheme="minorEastAsia" w:cs="Times New Roman"/>
          <w:noProof/>
        </w:rPr>
      </w:pPr>
      <w:r>
        <w:rPr>
          <w:noProof/>
        </w:rPr>
        <w:t>A beruházás 18000 új és felújított ágyat biztosít új épületek építésével, meglévő épületek rehabilitációjával, valamint a meglévő diákszálláshely-egységek korszerűsítésével és bővítésével, elsősorban a diákok általi használatra. Ezenkívül – és csak a hallgatói igények kielégítését követően – az ágyakat a felsőoktatási intézmények kutatói, tanárai és nem oktató személyzete számára is elérhetővé lehet tenni, különösen a nemzeti vagy nemzetközi mobilitás terén, többek között az ERASMUS+, az „Európai Egyetemek” hálózatai és a portugál állammal kötött egyéb nemzetközi mobilitási megállapodások keretében.</w:t>
      </w:r>
    </w:p>
    <w:p w14:paraId="75204CCB" w14:textId="77777777" w:rsidR="00DC5EC6" w:rsidRDefault="003245A4">
      <w:pPr>
        <w:pStyle w:val="P68B1DB1-Normal4"/>
        <w:keepNext/>
        <w:spacing w:before="40" w:after="0" w:line="259" w:lineRule="auto"/>
        <w:jc w:val="both"/>
        <w:rPr>
          <w:rFonts w:eastAsia="Times New Roman" w:cs="Times New Roman"/>
          <w:noProof/>
        </w:rPr>
      </w:pPr>
      <w:r>
        <w:rPr>
          <w:noProof/>
        </w:rPr>
        <w:t xml:space="preserve">A beruházás végrehajtását 2026. március 31-ig be kell fejezni. </w:t>
      </w:r>
    </w:p>
    <w:p w14:paraId="1558FB4C" w14:textId="1B1EAE65" w:rsidR="00DC5EC6" w:rsidRDefault="003245A4">
      <w:pPr>
        <w:pStyle w:val="P68B1DB1-Normal5"/>
        <w:spacing w:before="240" w:after="0" w:line="259" w:lineRule="auto"/>
        <w:ind w:left="851"/>
        <w:jc w:val="both"/>
        <w:outlineLvl w:val="3"/>
        <w:rPr>
          <w:rFonts w:eastAsiaTheme="minorEastAsia" w:cs="Times New Roman"/>
          <w:noProof/>
        </w:rPr>
      </w:pPr>
      <w:bookmarkStart w:id="4" w:name="_Hlk143873116"/>
      <w:r>
        <w:rPr>
          <w:noProof/>
        </w:rPr>
        <w:t>RE-C02-i09 beruházás: Bővített intézkedés: A lakhatáshoz (hitelhez) való hozzáférést támogató program</w:t>
      </w:r>
    </w:p>
    <w:p w14:paraId="11AD560D" w14:textId="5F5C3FC8" w:rsidR="00DC5EC6" w:rsidRDefault="003245A4">
      <w:pPr>
        <w:pStyle w:val="P68B1DB1-Normal4"/>
        <w:keepNext/>
        <w:spacing w:before="40" w:after="0" w:line="259" w:lineRule="auto"/>
        <w:jc w:val="both"/>
        <w:rPr>
          <w:rFonts w:eastAsiaTheme="minorEastAsia" w:cs="Times New Roman"/>
          <w:noProof/>
        </w:rPr>
      </w:pPr>
      <w:r>
        <w:rPr>
          <w:noProof/>
        </w:rPr>
        <w:t>A beruházás célja az RE-C02-i01 beruházások növelése: A lakhatáshoz való hozzáférést támogató program, a 2. komponens keretében. Az intézkedés bővített részének növelnie kell a háztartásoknak nyújtott lakások számát.</w:t>
      </w:r>
    </w:p>
    <w:p w14:paraId="41CADB9F"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bookmarkEnd w:id="4"/>
    <w:p w14:paraId="3A847D52" w14:textId="77777777" w:rsidR="00DC5EC6" w:rsidRDefault="00DC5EC6">
      <w:pPr>
        <w:keepNext/>
        <w:spacing w:before="40" w:after="0" w:line="259" w:lineRule="auto"/>
        <w:jc w:val="both"/>
        <w:rPr>
          <w:rFonts w:ascii="Times New Roman" w:eastAsia="Times New Roman" w:hAnsi="Times New Roman" w:cs="Times New Roman"/>
          <w:noProof/>
          <w:sz w:val="24"/>
        </w:rPr>
      </w:pPr>
    </w:p>
    <w:p w14:paraId="0CBADF13" w14:textId="77777777" w:rsidR="00DC5EC6" w:rsidRDefault="00DC5EC6">
      <w:pPr>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60"/>
          <w:headerReference w:type="default" r:id="rId61"/>
          <w:footerReference w:type="even" r:id="rId62"/>
          <w:footerReference w:type="default" r:id="rId63"/>
          <w:headerReference w:type="first" r:id="rId64"/>
          <w:footerReference w:type="first" r:id="rId65"/>
          <w:pgSz w:w="11907" w:h="16839"/>
          <w:pgMar w:top="1134" w:right="1134" w:bottom="1134" w:left="1134" w:header="567" w:footer="567" w:gutter="0"/>
          <w:cols w:space="720"/>
          <w:docGrid w:linePitch="360"/>
        </w:sectPr>
      </w:pPr>
    </w:p>
    <w:p w14:paraId="780C899B" w14:textId="77777777" w:rsidR="00DC5EC6" w:rsidRDefault="003245A4">
      <w:pPr>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B.4. </w:t>
      </w:r>
      <w:r>
        <w:rPr>
          <w:noProof/>
        </w:rPr>
        <w:tab/>
      </w:r>
      <w:r>
        <w:rPr>
          <w:rFonts w:ascii="Times New Roman" w:hAnsi="Times New Roman"/>
          <w:b/>
          <w:noProof/>
          <w:sz w:val="24"/>
          <w:u w:val="single"/>
        </w:rPr>
        <w:t>Hitel – a végrehajtáshoz és a nyomon követéshez kapcsolódó mérföldkövek, célok, mutatók és ütemterv</w:t>
      </w:r>
    </w:p>
    <w:p w14:paraId="1407F7DF" w14:textId="77777777" w:rsidR="00DC5EC6" w:rsidRDefault="00DC5EC6">
      <w:pPr>
        <w:spacing w:before="40" w:after="0" w:line="259" w:lineRule="auto"/>
        <w:jc w:val="both"/>
        <w:rPr>
          <w:rFonts w:ascii="Times New Roman" w:eastAsiaTheme="minorEastAsia" w:hAnsi="Times New Roman" w:cs="Times New Roman"/>
          <w:noProof/>
          <w:sz w:val="24"/>
        </w:rPr>
      </w:pPr>
    </w:p>
    <w:tbl>
      <w:tblPr>
        <w:tblW w:w="149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59"/>
        <w:gridCol w:w="1119"/>
        <w:gridCol w:w="1677"/>
        <w:gridCol w:w="1258"/>
        <w:gridCol w:w="981"/>
        <w:gridCol w:w="980"/>
        <w:gridCol w:w="701"/>
        <w:gridCol w:w="561"/>
        <w:gridCol w:w="700"/>
        <w:gridCol w:w="4606"/>
      </w:tblGrid>
      <w:tr w:rsidR="00DC5EC6" w14:paraId="4C665869" w14:textId="77777777">
        <w:trPr>
          <w:trHeight w:val="910"/>
          <w:tblHeader/>
        </w:trPr>
        <w:tc>
          <w:tcPr>
            <w:tcW w:w="1121" w:type="dxa"/>
            <w:vMerge w:val="restart"/>
            <w:shd w:val="clear" w:color="auto" w:fill="BDD6EE"/>
            <w:vAlign w:val="center"/>
            <w:hideMark/>
          </w:tcPr>
          <w:p w14:paraId="10BCE388"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59" w:type="dxa"/>
            <w:vMerge w:val="restart"/>
            <w:shd w:val="clear" w:color="auto" w:fill="BDD6EE"/>
            <w:vAlign w:val="center"/>
            <w:hideMark/>
          </w:tcPr>
          <w:p w14:paraId="397190C1"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19" w:type="dxa"/>
            <w:vMerge w:val="restart"/>
            <w:shd w:val="clear" w:color="auto" w:fill="BDD6EE"/>
            <w:vAlign w:val="center"/>
            <w:hideMark/>
          </w:tcPr>
          <w:p w14:paraId="42500290" w14:textId="77777777" w:rsidR="00DC5EC6" w:rsidRDefault="003245A4">
            <w:pPr>
              <w:pStyle w:val="P68B1DB1-Normal6"/>
              <w:spacing w:after="0" w:line="240" w:lineRule="auto"/>
              <w:jc w:val="center"/>
              <w:rPr>
                <w:rFonts w:eastAsia="Times New Roman" w:cs="Times New Roman"/>
                <w:noProof/>
              </w:rPr>
            </w:pPr>
            <w:r>
              <w:rPr>
                <w:noProof/>
              </w:rPr>
              <w:t>Mérföldkő/</w:t>
            </w:r>
          </w:p>
          <w:p w14:paraId="54CB065E" w14:textId="127F2F46" w:rsidR="00DC5EC6" w:rsidRDefault="003245A4">
            <w:pPr>
              <w:pStyle w:val="P68B1DB1-Normal6"/>
              <w:spacing w:after="0" w:line="240" w:lineRule="auto"/>
              <w:jc w:val="center"/>
              <w:rPr>
                <w:rFonts w:eastAsia="Times New Roman" w:cs="Times New Roman"/>
                <w:noProof/>
              </w:rPr>
            </w:pPr>
            <w:r>
              <w:rPr>
                <w:noProof/>
              </w:rPr>
              <w:t>Cél</w:t>
            </w:r>
          </w:p>
        </w:tc>
        <w:tc>
          <w:tcPr>
            <w:tcW w:w="1677" w:type="dxa"/>
            <w:vMerge w:val="restart"/>
            <w:shd w:val="clear" w:color="auto" w:fill="BDD6EE"/>
            <w:vAlign w:val="center"/>
            <w:hideMark/>
          </w:tcPr>
          <w:p w14:paraId="0BC01E3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58" w:type="dxa"/>
            <w:vMerge w:val="restart"/>
            <w:shd w:val="clear" w:color="auto" w:fill="BDD6EE"/>
            <w:vAlign w:val="center"/>
            <w:hideMark/>
          </w:tcPr>
          <w:p w14:paraId="6453E43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62" w:type="dxa"/>
            <w:gridSpan w:val="3"/>
            <w:shd w:val="clear" w:color="auto" w:fill="BDD6EE"/>
            <w:vAlign w:val="center"/>
            <w:hideMark/>
          </w:tcPr>
          <w:p w14:paraId="01661F32"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61" w:type="dxa"/>
            <w:gridSpan w:val="2"/>
            <w:shd w:val="clear" w:color="auto" w:fill="BDD6EE"/>
            <w:vAlign w:val="center"/>
            <w:hideMark/>
          </w:tcPr>
          <w:p w14:paraId="45C76A26"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606" w:type="dxa"/>
            <w:vMerge w:val="restart"/>
            <w:shd w:val="clear" w:color="auto" w:fill="BDD6EE"/>
            <w:noWrap/>
            <w:vAlign w:val="center"/>
            <w:hideMark/>
          </w:tcPr>
          <w:p w14:paraId="0E401B5C"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5F9D413E" w14:textId="77777777">
        <w:trPr>
          <w:trHeight w:val="470"/>
          <w:tblHeader/>
        </w:trPr>
        <w:tc>
          <w:tcPr>
            <w:tcW w:w="1121" w:type="dxa"/>
            <w:vMerge/>
            <w:vAlign w:val="center"/>
            <w:hideMark/>
          </w:tcPr>
          <w:p w14:paraId="0D5A92A2" w14:textId="77777777" w:rsidR="00DC5EC6" w:rsidRDefault="00DC5EC6">
            <w:pPr>
              <w:spacing w:after="0" w:line="240" w:lineRule="auto"/>
              <w:rPr>
                <w:rFonts w:ascii="Times New Roman" w:eastAsia="Times New Roman" w:hAnsi="Times New Roman" w:cs="Times New Roman"/>
                <w:b/>
                <w:noProof/>
                <w:sz w:val="18"/>
              </w:rPr>
            </w:pPr>
          </w:p>
        </w:tc>
        <w:tc>
          <w:tcPr>
            <w:tcW w:w="1259" w:type="dxa"/>
            <w:vMerge/>
            <w:vAlign w:val="center"/>
            <w:hideMark/>
          </w:tcPr>
          <w:p w14:paraId="66B80633" w14:textId="77777777" w:rsidR="00DC5EC6" w:rsidRDefault="00DC5EC6">
            <w:pPr>
              <w:spacing w:after="0" w:line="240" w:lineRule="auto"/>
              <w:rPr>
                <w:rFonts w:ascii="Times New Roman" w:eastAsia="Times New Roman" w:hAnsi="Times New Roman" w:cs="Times New Roman"/>
                <w:b/>
                <w:noProof/>
                <w:sz w:val="18"/>
              </w:rPr>
            </w:pPr>
          </w:p>
        </w:tc>
        <w:tc>
          <w:tcPr>
            <w:tcW w:w="1119" w:type="dxa"/>
            <w:vMerge/>
            <w:vAlign w:val="center"/>
            <w:hideMark/>
          </w:tcPr>
          <w:p w14:paraId="3CD2B8F4" w14:textId="5872AC7C" w:rsidR="00DC5EC6" w:rsidRDefault="00DC5EC6">
            <w:pPr>
              <w:spacing w:after="0" w:line="240" w:lineRule="auto"/>
              <w:jc w:val="center"/>
              <w:rPr>
                <w:rFonts w:ascii="Times New Roman" w:eastAsia="Times New Roman" w:hAnsi="Times New Roman" w:cs="Times New Roman"/>
                <w:b/>
                <w:noProof/>
                <w:sz w:val="18"/>
              </w:rPr>
            </w:pPr>
          </w:p>
        </w:tc>
        <w:tc>
          <w:tcPr>
            <w:tcW w:w="1677" w:type="dxa"/>
            <w:vMerge/>
            <w:vAlign w:val="center"/>
            <w:hideMark/>
          </w:tcPr>
          <w:p w14:paraId="7B0E4E17" w14:textId="77777777" w:rsidR="00DC5EC6" w:rsidRDefault="00DC5EC6">
            <w:pPr>
              <w:spacing w:after="0" w:line="240" w:lineRule="auto"/>
              <w:rPr>
                <w:rFonts w:ascii="Times New Roman" w:eastAsia="Times New Roman" w:hAnsi="Times New Roman" w:cs="Times New Roman"/>
                <w:b/>
                <w:noProof/>
                <w:sz w:val="18"/>
              </w:rPr>
            </w:pPr>
          </w:p>
        </w:tc>
        <w:tc>
          <w:tcPr>
            <w:tcW w:w="1258" w:type="dxa"/>
            <w:vMerge/>
            <w:vAlign w:val="center"/>
            <w:hideMark/>
          </w:tcPr>
          <w:p w14:paraId="6ED6C64F" w14:textId="77777777" w:rsidR="00DC5EC6" w:rsidRDefault="00DC5EC6">
            <w:pPr>
              <w:spacing w:after="0" w:line="240" w:lineRule="auto"/>
              <w:rPr>
                <w:rFonts w:ascii="Times New Roman" w:eastAsia="Times New Roman" w:hAnsi="Times New Roman" w:cs="Times New Roman"/>
                <w:b/>
                <w:noProof/>
                <w:sz w:val="18"/>
              </w:rPr>
            </w:pPr>
          </w:p>
        </w:tc>
        <w:tc>
          <w:tcPr>
            <w:tcW w:w="981" w:type="dxa"/>
            <w:shd w:val="clear" w:color="auto" w:fill="BDD6EE"/>
            <w:vAlign w:val="center"/>
            <w:hideMark/>
          </w:tcPr>
          <w:p w14:paraId="4082AB93"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80" w:type="dxa"/>
            <w:shd w:val="clear" w:color="auto" w:fill="BDD6EE"/>
            <w:vAlign w:val="center"/>
            <w:hideMark/>
          </w:tcPr>
          <w:p w14:paraId="6FFD0F60"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1" w:type="dxa"/>
            <w:shd w:val="clear" w:color="auto" w:fill="BDD6EE"/>
            <w:vAlign w:val="center"/>
            <w:hideMark/>
          </w:tcPr>
          <w:p w14:paraId="5A43C212"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1" w:type="dxa"/>
            <w:shd w:val="clear" w:color="auto" w:fill="BDD6EE"/>
            <w:vAlign w:val="center"/>
            <w:hideMark/>
          </w:tcPr>
          <w:p w14:paraId="74791177" w14:textId="55E04057" w:rsidR="00DC5EC6" w:rsidRDefault="006E607E">
            <w:pPr>
              <w:pStyle w:val="P68B1DB1-Normal6"/>
              <w:spacing w:after="0" w:line="240" w:lineRule="auto"/>
              <w:jc w:val="center"/>
              <w:rPr>
                <w:rFonts w:eastAsia="Times New Roman" w:cs="Times New Roman"/>
                <w:noProof/>
              </w:rPr>
            </w:pPr>
            <w:r>
              <w:rPr>
                <w:noProof/>
              </w:rPr>
              <w:t>Negyedév</w:t>
            </w:r>
          </w:p>
        </w:tc>
        <w:tc>
          <w:tcPr>
            <w:tcW w:w="700" w:type="dxa"/>
            <w:shd w:val="clear" w:color="auto" w:fill="BDD6EE"/>
            <w:vAlign w:val="center"/>
            <w:hideMark/>
          </w:tcPr>
          <w:p w14:paraId="639FF5C5" w14:textId="1CEE33C7" w:rsidR="00DC5EC6" w:rsidRDefault="003245A4">
            <w:pPr>
              <w:pStyle w:val="P68B1DB1-Normal6"/>
              <w:spacing w:after="0" w:line="240" w:lineRule="auto"/>
              <w:jc w:val="center"/>
              <w:rPr>
                <w:rFonts w:eastAsia="Times New Roman" w:cs="Times New Roman"/>
                <w:noProof/>
              </w:rPr>
            </w:pPr>
            <w:r>
              <w:rPr>
                <w:noProof/>
              </w:rPr>
              <w:t>Év</w:t>
            </w:r>
          </w:p>
        </w:tc>
        <w:tc>
          <w:tcPr>
            <w:tcW w:w="4606" w:type="dxa"/>
            <w:vMerge/>
            <w:vAlign w:val="center"/>
            <w:hideMark/>
          </w:tcPr>
          <w:p w14:paraId="0AA46401" w14:textId="77777777" w:rsidR="00DC5EC6" w:rsidRDefault="00DC5EC6">
            <w:pPr>
              <w:spacing w:after="0" w:line="240" w:lineRule="auto"/>
              <w:rPr>
                <w:rFonts w:ascii="Times New Roman" w:eastAsia="Times New Roman" w:hAnsi="Times New Roman" w:cs="Times New Roman"/>
                <w:b/>
                <w:noProof/>
                <w:sz w:val="18"/>
              </w:rPr>
            </w:pPr>
          </w:p>
        </w:tc>
      </w:tr>
      <w:tr w:rsidR="00DC5EC6" w14:paraId="6365BE4E" w14:textId="77777777">
        <w:trPr>
          <w:trHeight w:val="1260"/>
        </w:trPr>
        <w:tc>
          <w:tcPr>
            <w:tcW w:w="1121" w:type="dxa"/>
            <w:shd w:val="clear" w:color="auto" w:fill="C4EFCE"/>
            <w:vAlign w:val="center"/>
            <w:hideMark/>
          </w:tcPr>
          <w:p w14:paraId="2EDCE149" w14:textId="77777777" w:rsidR="00DC5EC6" w:rsidRDefault="003245A4">
            <w:pPr>
              <w:pStyle w:val="P68B1DB1-Normal7"/>
              <w:spacing w:after="0" w:line="240" w:lineRule="auto"/>
              <w:jc w:val="center"/>
              <w:rPr>
                <w:rFonts w:eastAsia="Times New Roman" w:cs="Calibri"/>
                <w:noProof/>
              </w:rPr>
            </w:pPr>
            <w:r>
              <w:rPr>
                <w:noProof/>
              </w:rPr>
              <w:t>2.20</w:t>
            </w:r>
          </w:p>
        </w:tc>
        <w:tc>
          <w:tcPr>
            <w:tcW w:w="1259" w:type="dxa"/>
            <w:shd w:val="clear" w:color="auto" w:fill="C4EFCE"/>
            <w:vAlign w:val="center"/>
            <w:hideMark/>
          </w:tcPr>
          <w:p w14:paraId="6ABB675D"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2793D51"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03220CB" w14:textId="5E5D9102" w:rsidR="00DC5EC6" w:rsidRDefault="003245A4">
            <w:pPr>
              <w:pStyle w:val="P68B1DB1-Normal8"/>
              <w:spacing w:after="0" w:line="240" w:lineRule="auto"/>
              <w:jc w:val="center"/>
              <w:rPr>
                <w:rFonts w:eastAsia="Times New Roman" w:cs="Calibri"/>
                <w:noProof/>
              </w:rPr>
            </w:pPr>
            <w:r>
              <w:rPr>
                <w:noProof/>
              </w:rPr>
              <w:t>Megfizethető közlakásállomány – Megkezdődő lakások (magas energiahatékonysággal vagy jobb energiahatékonysággal helyreállítva)</w:t>
            </w:r>
          </w:p>
        </w:tc>
        <w:tc>
          <w:tcPr>
            <w:tcW w:w="1258" w:type="dxa"/>
            <w:shd w:val="clear" w:color="auto" w:fill="C4EFCE"/>
            <w:vAlign w:val="center"/>
            <w:hideMark/>
          </w:tcPr>
          <w:p w14:paraId="4E20F9D1"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621C9A52"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7E591BFE"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3B93E82B" w14:textId="77777777" w:rsidR="00DC5EC6" w:rsidRDefault="003245A4">
            <w:pPr>
              <w:pStyle w:val="P68B1DB1-Normal8"/>
              <w:spacing w:after="0" w:line="240" w:lineRule="auto"/>
              <w:jc w:val="center"/>
              <w:rPr>
                <w:rFonts w:eastAsia="Times New Roman" w:cs="Calibri"/>
                <w:noProof/>
              </w:rPr>
            </w:pPr>
            <w:r>
              <w:rPr>
                <w:noProof/>
              </w:rPr>
              <w:t>520</w:t>
            </w:r>
          </w:p>
        </w:tc>
        <w:tc>
          <w:tcPr>
            <w:tcW w:w="561" w:type="dxa"/>
            <w:shd w:val="clear" w:color="auto" w:fill="C4EFCE"/>
            <w:vAlign w:val="center"/>
            <w:hideMark/>
          </w:tcPr>
          <w:p w14:paraId="343E8E11" w14:textId="1480E881"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5EDCF0D9" w14:textId="77777777" w:rsidR="00DC5EC6" w:rsidRDefault="003245A4">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5D10AA65" w14:textId="77777777" w:rsidR="00DC5EC6" w:rsidRDefault="003245A4">
            <w:pPr>
              <w:pStyle w:val="P68B1DB1-Normal8"/>
              <w:spacing w:after="0" w:line="240" w:lineRule="auto"/>
              <w:jc w:val="both"/>
              <w:rPr>
                <w:rFonts w:eastAsia="Times New Roman" w:cs="Calibri"/>
                <w:noProof/>
              </w:rPr>
            </w:pPr>
            <w:r>
              <w:rPr>
                <w:noProof/>
              </w:rPr>
              <w:t>Azon lakások száma, amelyek esetében a munkálatok a pályázati eljárást és a szerződés aláírását követően megkezdődnek. Amennyiben új építésről van szó, az új épületek primerenergia-szükségletének legalább 20%-kal a közel nulla energiaigényű épületekre vonatkozó követelmények alatt kell lennie.</w:t>
            </w:r>
          </w:p>
        </w:tc>
      </w:tr>
      <w:tr w:rsidR="00DC5EC6" w14:paraId="33B4307F" w14:textId="77777777">
        <w:trPr>
          <w:trHeight w:val="1066"/>
        </w:trPr>
        <w:tc>
          <w:tcPr>
            <w:tcW w:w="1121" w:type="dxa"/>
            <w:shd w:val="clear" w:color="auto" w:fill="C4EFCE"/>
            <w:vAlign w:val="center"/>
            <w:hideMark/>
          </w:tcPr>
          <w:p w14:paraId="0EA394FE" w14:textId="77777777" w:rsidR="00DC5EC6" w:rsidRDefault="003245A4">
            <w:pPr>
              <w:pStyle w:val="P68B1DB1-Normal7"/>
              <w:spacing w:after="0" w:line="240" w:lineRule="auto"/>
              <w:jc w:val="center"/>
              <w:rPr>
                <w:rFonts w:eastAsia="Times New Roman" w:cs="Calibri"/>
                <w:noProof/>
              </w:rPr>
            </w:pPr>
            <w:r>
              <w:rPr>
                <w:noProof/>
              </w:rPr>
              <w:t>2.21</w:t>
            </w:r>
          </w:p>
        </w:tc>
        <w:tc>
          <w:tcPr>
            <w:tcW w:w="1259" w:type="dxa"/>
            <w:shd w:val="clear" w:color="auto" w:fill="C4EFCE"/>
            <w:vAlign w:val="center"/>
            <w:hideMark/>
          </w:tcPr>
          <w:p w14:paraId="34979C95"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375EBE78"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8BDE03A" w14:textId="7879BBFF" w:rsidR="00DC5EC6" w:rsidRDefault="003245A4">
            <w:pPr>
              <w:pStyle w:val="P68B1DB1-Normal8"/>
              <w:spacing w:after="0" w:line="240" w:lineRule="auto"/>
              <w:jc w:val="center"/>
              <w:rPr>
                <w:rFonts w:eastAsia="Times New Roman" w:cs="Calibri"/>
                <w:noProof/>
              </w:rPr>
            </w:pPr>
            <w:r>
              <w:rPr>
                <w:noProof/>
              </w:rPr>
              <w:t>Megfizethető közlakásállomány – Megkezdődő lakások (magas energiahatékonysággal vagy jobb energiahatékonysággal helyreállítva)</w:t>
            </w:r>
          </w:p>
        </w:tc>
        <w:tc>
          <w:tcPr>
            <w:tcW w:w="1258" w:type="dxa"/>
            <w:shd w:val="clear" w:color="auto" w:fill="C4EFCE"/>
            <w:vAlign w:val="center"/>
            <w:hideMark/>
          </w:tcPr>
          <w:p w14:paraId="374FFAB8"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2524308"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78E249BE" w14:textId="77777777" w:rsidR="00DC5EC6" w:rsidRDefault="003245A4">
            <w:pPr>
              <w:pStyle w:val="P68B1DB1-Normal8"/>
              <w:spacing w:after="0" w:line="240" w:lineRule="auto"/>
              <w:jc w:val="center"/>
              <w:rPr>
                <w:rFonts w:eastAsia="Times New Roman" w:cs="Calibri"/>
                <w:noProof/>
              </w:rPr>
            </w:pPr>
            <w:r>
              <w:rPr>
                <w:noProof/>
              </w:rPr>
              <w:t>520</w:t>
            </w:r>
          </w:p>
        </w:tc>
        <w:tc>
          <w:tcPr>
            <w:tcW w:w="701" w:type="dxa"/>
            <w:shd w:val="clear" w:color="auto" w:fill="C4EFCE"/>
            <w:vAlign w:val="center"/>
            <w:hideMark/>
          </w:tcPr>
          <w:p w14:paraId="1C33F4F0" w14:textId="11BE8C74" w:rsidR="00DC5EC6" w:rsidRDefault="003245A4">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104858DB" w14:textId="1670287E"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42858FD7" w14:textId="77777777" w:rsidR="00DC5EC6" w:rsidRDefault="003245A4">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18EC137C" w14:textId="77777777" w:rsidR="00DC5EC6" w:rsidRDefault="003245A4">
            <w:pPr>
              <w:pStyle w:val="P68B1DB1-Normal8"/>
              <w:spacing w:after="0" w:line="240" w:lineRule="auto"/>
              <w:jc w:val="both"/>
              <w:rPr>
                <w:rFonts w:eastAsia="Times New Roman" w:cs="Calibri"/>
                <w:noProof/>
              </w:rPr>
            </w:pPr>
            <w:r>
              <w:rPr>
                <w:noProof/>
              </w:rPr>
              <w:t>Azon lakások száma, amelyek esetében a munkálatok a pályázati eljárást és a szerződés aláírását követően megkezdődnek. Amennyiben új építésről van szó, az új épületek primerenergia-szükségletének legalább 20%-kal a közel nulla energiaigényű épületekre vonatkozó követelmények alatt kell lennie.</w:t>
            </w:r>
          </w:p>
        </w:tc>
      </w:tr>
      <w:tr w:rsidR="00DC5EC6" w14:paraId="367756BF" w14:textId="77777777">
        <w:trPr>
          <w:trHeight w:val="1050"/>
        </w:trPr>
        <w:tc>
          <w:tcPr>
            <w:tcW w:w="1121" w:type="dxa"/>
            <w:shd w:val="clear" w:color="auto" w:fill="C4EFCE"/>
            <w:vAlign w:val="center"/>
            <w:hideMark/>
          </w:tcPr>
          <w:p w14:paraId="06EC68F7" w14:textId="77777777" w:rsidR="00DC5EC6" w:rsidRDefault="003245A4">
            <w:pPr>
              <w:pStyle w:val="P68B1DB1-Normal7"/>
              <w:spacing w:after="0" w:line="240" w:lineRule="auto"/>
              <w:jc w:val="center"/>
              <w:rPr>
                <w:rFonts w:eastAsia="Times New Roman" w:cs="Calibri"/>
                <w:noProof/>
              </w:rPr>
            </w:pPr>
            <w:r>
              <w:rPr>
                <w:noProof/>
              </w:rPr>
              <w:t>2.22</w:t>
            </w:r>
          </w:p>
        </w:tc>
        <w:tc>
          <w:tcPr>
            <w:tcW w:w="1259" w:type="dxa"/>
            <w:shd w:val="clear" w:color="auto" w:fill="C4EFCE"/>
            <w:vAlign w:val="center"/>
            <w:hideMark/>
          </w:tcPr>
          <w:p w14:paraId="36837DB5"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D7A6883"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0C0848AD" w14:textId="599D6981" w:rsidR="00DC5EC6" w:rsidRDefault="003245A4">
            <w:pPr>
              <w:pStyle w:val="P68B1DB1-Normal8"/>
              <w:spacing w:after="0" w:line="240" w:lineRule="auto"/>
              <w:jc w:val="center"/>
              <w:rPr>
                <w:rFonts w:eastAsia="Times New Roman" w:cs="Calibri"/>
                <w:noProof/>
              </w:rPr>
            </w:pPr>
            <w:r>
              <w:rPr>
                <w:noProof/>
              </w:rPr>
              <w:t>Megfizethető állami lakásállomány – Célhoz kötött lakások (magas energiahatékonyságú vagy jobb energiahatékonyságú rehabilitált)</w:t>
            </w:r>
          </w:p>
        </w:tc>
        <w:tc>
          <w:tcPr>
            <w:tcW w:w="1258" w:type="dxa"/>
            <w:shd w:val="clear" w:color="auto" w:fill="C4EFCE"/>
            <w:vAlign w:val="center"/>
            <w:hideMark/>
          </w:tcPr>
          <w:p w14:paraId="34D8DBA8"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E6F8874"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17D2D4D6"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0E3BD19D" w14:textId="561EE8C6" w:rsidR="00DC5EC6" w:rsidRDefault="003245A4">
            <w:pPr>
              <w:pStyle w:val="P68B1DB1-Normal8"/>
              <w:spacing w:after="0" w:line="240" w:lineRule="auto"/>
              <w:jc w:val="center"/>
              <w:rPr>
                <w:rFonts w:eastAsia="Calibri" w:cs="Calibri"/>
                <w:noProof/>
              </w:rPr>
            </w:pPr>
            <w:r>
              <w:rPr>
                <w:noProof/>
              </w:rPr>
              <w:t>520</w:t>
            </w:r>
          </w:p>
        </w:tc>
        <w:tc>
          <w:tcPr>
            <w:tcW w:w="561" w:type="dxa"/>
            <w:shd w:val="clear" w:color="auto" w:fill="C4EFCE"/>
            <w:vAlign w:val="center"/>
            <w:hideMark/>
          </w:tcPr>
          <w:p w14:paraId="27E52C88" w14:textId="53EF34FC"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1DEA3599" w14:textId="77777777" w:rsidR="00DC5EC6" w:rsidRDefault="003245A4">
            <w:pPr>
              <w:pStyle w:val="P68B1DB1-Normal8"/>
              <w:spacing w:after="0" w:line="240" w:lineRule="auto"/>
              <w:jc w:val="center"/>
              <w:rPr>
                <w:rFonts w:eastAsia="Times New Roman" w:cs="Calibri"/>
                <w:noProof/>
              </w:rPr>
            </w:pPr>
            <w:r>
              <w:rPr>
                <w:noProof/>
              </w:rPr>
              <w:t>2024</w:t>
            </w:r>
          </w:p>
        </w:tc>
        <w:tc>
          <w:tcPr>
            <w:tcW w:w="4606" w:type="dxa"/>
            <w:shd w:val="clear" w:color="auto" w:fill="C4EFCE"/>
            <w:vAlign w:val="center"/>
            <w:hideMark/>
          </w:tcPr>
          <w:p w14:paraId="3D170067" w14:textId="77777777" w:rsidR="00DC5EC6" w:rsidRDefault="003245A4">
            <w:pPr>
              <w:pStyle w:val="P68B1DB1-Normal8"/>
              <w:spacing w:after="0" w:line="240" w:lineRule="auto"/>
              <w:jc w:val="both"/>
              <w:rPr>
                <w:rFonts w:eastAsia="Times New Roman" w:cs="Calibri"/>
                <w:noProof/>
              </w:rPr>
            </w:pPr>
            <w:r>
              <w:rPr>
                <w:noProof/>
              </w:rPr>
              <w:t>A támogatható háztartásoknak a megfizethető áron történő lakáscserén (DL 82/2020, október 2.) vagy önkormányzati programon keresztül szállított lakások száma. A megfizethető lakhatás a május 22-i 68/2019. sz. törvényerejű rendelettel létrehozott Access Lízingprogramnak, a december 19-i 81/2014. sz. módosított törvénnyel létrehozott bérleti rendszernek, a december 19-i 80/2014. sz. törvénnyel létrehozott feltételes bérleti rendszernek, a február 19-i 65/2019. sz. miniszteri végrehajtási rendelet által szabályozott ellenőrzött költségek rendszerének vagy a különleges önkormányzati programoknak megfelelően rendelkezésre bocsátott lakás. Amennyiben új építésről van szó, az új épületek primerenergia-szükségletének legalább 20%-kal a közel nulla energiaigényű épületekre vonatkozó követelmények alatt kell lennie.</w:t>
            </w:r>
          </w:p>
        </w:tc>
      </w:tr>
      <w:tr w:rsidR="00DC5EC6" w14:paraId="3D12978B" w14:textId="77777777">
        <w:trPr>
          <w:trHeight w:val="1050"/>
        </w:trPr>
        <w:tc>
          <w:tcPr>
            <w:tcW w:w="1121" w:type="dxa"/>
            <w:shd w:val="clear" w:color="auto" w:fill="C4EFCE"/>
            <w:vAlign w:val="center"/>
            <w:hideMark/>
          </w:tcPr>
          <w:p w14:paraId="1C8AA54B" w14:textId="77777777" w:rsidR="00DC5EC6" w:rsidRDefault="003245A4">
            <w:pPr>
              <w:pStyle w:val="P68B1DB1-Normal7"/>
              <w:spacing w:after="0" w:line="240" w:lineRule="auto"/>
              <w:jc w:val="center"/>
              <w:rPr>
                <w:rFonts w:eastAsia="Times New Roman" w:cs="Calibri"/>
                <w:noProof/>
              </w:rPr>
            </w:pPr>
            <w:r>
              <w:rPr>
                <w:noProof/>
              </w:rPr>
              <w:t>2.23</w:t>
            </w:r>
          </w:p>
        </w:tc>
        <w:tc>
          <w:tcPr>
            <w:tcW w:w="1259" w:type="dxa"/>
            <w:shd w:val="clear" w:color="auto" w:fill="C4EFCE"/>
            <w:vAlign w:val="center"/>
            <w:hideMark/>
          </w:tcPr>
          <w:p w14:paraId="0DF3ED6A"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1E7B3B4"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10E5E313" w14:textId="292E0959" w:rsidR="00DC5EC6" w:rsidRDefault="003245A4">
            <w:pPr>
              <w:pStyle w:val="P68B1DB1-Normal8"/>
              <w:spacing w:after="0" w:line="240" w:lineRule="auto"/>
              <w:jc w:val="center"/>
              <w:rPr>
                <w:rFonts w:eastAsia="Times New Roman" w:cs="Calibri"/>
                <w:noProof/>
              </w:rPr>
            </w:pPr>
            <w:r>
              <w:rPr>
                <w:noProof/>
              </w:rPr>
              <w:t>Megfizethető állami lakásállomány – Célhoz kötött lakások (magas energiahatékonyságú vagy jobb energiahatékonyságú rehabilitált)</w:t>
            </w:r>
          </w:p>
        </w:tc>
        <w:tc>
          <w:tcPr>
            <w:tcW w:w="1258" w:type="dxa"/>
            <w:shd w:val="clear" w:color="auto" w:fill="C4EFCE"/>
            <w:vAlign w:val="center"/>
            <w:hideMark/>
          </w:tcPr>
          <w:p w14:paraId="5E450BD8"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9E4434D"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4F68EAD" w14:textId="7AD4DB54" w:rsidR="00DC5EC6" w:rsidRDefault="003245A4">
            <w:pPr>
              <w:pStyle w:val="P68B1DB1-Normal8"/>
              <w:spacing w:after="0" w:line="240" w:lineRule="auto"/>
              <w:jc w:val="center"/>
              <w:rPr>
                <w:rFonts w:eastAsia="Calibri" w:cs="Calibri"/>
                <w:noProof/>
              </w:rPr>
            </w:pPr>
            <w:r>
              <w:rPr>
                <w:noProof/>
              </w:rPr>
              <w:t>520</w:t>
            </w:r>
          </w:p>
        </w:tc>
        <w:tc>
          <w:tcPr>
            <w:tcW w:w="701" w:type="dxa"/>
            <w:shd w:val="clear" w:color="auto" w:fill="C4EFCE"/>
            <w:vAlign w:val="center"/>
            <w:hideMark/>
          </w:tcPr>
          <w:p w14:paraId="61CC7B68" w14:textId="52EF18D4" w:rsidR="00DC5EC6" w:rsidRDefault="003245A4">
            <w:pPr>
              <w:pStyle w:val="P68B1DB1-Normal8"/>
              <w:spacing w:after="0" w:line="240" w:lineRule="auto"/>
              <w:jc w:val="center"/>
              <w:rPr>
                <w:rFonts w:eastAsia="Calibri" w:cs="Calibri"/>
                <w:noProof/>
              </w:rPr>
            </w:pPr>
            <w:r>
              <w:rPr>
                <w:noProof/>
              </w:rPr>
              <w:t>1400</w:t>
            </w:r>
          </w:p>
        </w:tc>
        <w:tc>
          <w:tcPr>
            <w:tcW w:w="561" w:type="dxa"/>
            <w:shd w:val="clear" w:color="auto" w:fill="C4EFCE"/>
            <w:vAlign w:val="center"/>
            <w:hideMark/>
          </w:tcPr>
          <w:p w14:paraId="7CA72895" w14:textId="40EE51DC"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33CCDA3C" w14:textId="77777777" w:rsidR="00DC5EC6" w:rsidRDefault="003245A4">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54DCFE3F" w14:textId="77777777" w:rsidR="00DC5EC6" w:rsidRDefault="003245A4">
            <w:pPr>
              <w:pStyle w:val="P68B1DB1-Normal8"/>
              <w:spacing w:after="0" w:line="240" w:lineRule="auto"/>
              <w:jc w:val="both"/>
              <w:rPr>
                <w:rFonts w:eastAsia="Times New Roman" w:cs="Calibri"/>
                <w:noProof/>
              </w:rPr>
            </w:pPr>
            <w:r>
              <w:rPr>
                <w:noProof/>
              </w:rPr>
              <w:t>A támogatható háztartásoknak a megfizethető áron történő lakáscserén (DL 82/2020, október 2.) vagy önkormányzati programon keresztül szállított lakások száma. A megfizethető lakhatás a május 22-i 68/2019. sz. törvényerejű rendelettel létrehozott Access Lízingprogramnak, a december 19-i 81/2014. sz. módosított törvénnyel létrehozott bérleti rendszernek, a december 19-i 80/2014. sz. törvénnyel létrehozott feltételes bérleti rendszernek, a február 19-i 65/2019. sz. miniszteri végrehajtási rendelet által szabályozott ellenőrzött költségek rendszerének vagy a különleges önkormányzati programoknak megfelelően rendelkezésre bocsátott lakás. Amennyiben új építésről van szó, az új épületek primerenergia-szükségletének legalább 20%-kal a közel nulla energiaigényű épületekre vonatkozó követelmények alatt kell lennie.</w:t>
            </w:r>
          </w:p>
        </w:tc>
      </w:tr>
      <w:tr w:rsidR="00DC5EC6" w14:paraId="609C4778" w14:textId="77777777">
        <w:trPr>
          <w:trHeight w:val="1050"/>
        </w:trPr>
        <w:tc>
          <w:tcPr>
            <w:tcW w:w="1121" w:type="dxa"/>
            <w:shd w:val="clear" w:color="auto" w:fill="C4EFCE"/>
            <w:vAlign w:val="center"/>
            <w:hideMark/>
          </w:tcPr>
          <w:p w14:paraId="30CCA252" w14:textId="77777777" w:rsidR="00DC5EC6" w:rsidRDefault="003245A4">
            <w:pPr>
              <w:pStyle w:val="P68B1DB1-Normal7"/>
              <w:spacing w:after="0" w:line="240" w:lineRule="auto"/>
              <w:jc w:val="center"/>
              <w:rPr>
                <w:rFonts w:eastAsia="Times New Roman" w:cs="Calibri"/>
                <w:noProof/>
              </w:rPr>
            </w:pPr>
            <w:r>
              <w:rPr>
                <w:noProof/>
              </w:rPr>
              <w:t>2.24</w:t>
            </w:r>
          </w:p>
        </w:tc>
        <w:tc>
          <w:tcPr>
            <w:tcW w:w="1259" w:type="dxa"/>
            <w:shd w:val="clear" w:color="auto" w:fill="C4EFCE"/>
            <w:vAlign w:val="center"/>
            <w:hideMark/>
          </w:tcPr>
          <w:p w14:paraId="357BE13B" w14:textId="77777777" w:rsidR="00DC5EC6" w:rsidRDefault="003245A4">
            <w:pPr>
              <w:pStyle w:val="P68B1DB1-Normal8"/>
              <w:spacing w:after="0" w:line="240" w:lineRule="auto"/>
              <w:jc w:val="center"/>
              <w:rPr>
                <w:rFonts w:eastAsia="Times New Roman" w:cs="Calibri"/>
                <w:noProof/>
              </w:rPr>
            </w:pPr>
            <w:r>
              <w:rPr>
                <w:noProof/>
              </w:rPr>
              <w:t>Re-C02-i05</w:t>
            </w:r>
          </w:p>
        </w:tc>
        <w:tc>
          <w:tcPr>
            <w:tcW w:w="1119" w:type="dxa"/>
            <w:shd w:val="clear" w:color="auto" w:fill="C4EFCE"/>
            <w:vAlign w:val="center"/>
            <w:hideMark/>
          </w:tcPr>
          <w:p w14:paraId="6C7C6C2C"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C4EC8B8" w14:textId="7569987A" w:rsidR="00DC5EC6" w:rsidRDefault="003245A4">
            <w:pPr>
              <w:pStyle w:val="P68B1DB1-Normal8"/>
              <w:spacing w:after="0" w:line="240" w:lineRule="auto"/>
              <w:jc w:val="center"/>
              <w:rPr>
                <w:rFonts w:eastAsia="Times New Roman" w:cs="Calibri"/>
                <w:noProof/>
              </w:rPr>
            </w:pPr>
            <w:r>
              <w:rPr>
                <w:noProof/>
              </w:rPr>
              <w:t>Megfizethető állami lakásállomány – Célhoz kötött lakások (magas energiahatékonyságú vagy jobb energiahatékonyságú rehabilitált)</w:t>
            </w:r>
          </w:p>
        </w:tc>
        <w:tc>
          <w:tcPr>
            <w:tcW w:w="1258" w:type="dxa"/>
            <w:shd w:val="clear" w:color="auto" w:fill="C4EFCE"/>
            <w:vAlign w:val="center"/>
            <w:hideMark/>
          </w:tcPr>
          <w:p w14:paraId="75773B0B"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7A210D1A"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100A53D" w14:textId="39986BD6" w:rsidR="00DC5EC6" w:rsidRDefault="003245A4">
            <w:pPr>
              <w:pStyle w:val="P68B1DB1-Normal8"/>
              <w:spacing w:after="0" w:line="240" w:lineRule="auto"/>
              <w:jc w:val="center"/>
              <w:rPr>
                <w:rFonts w:eastAsia="Calibri" w:cs="Calibri"/>
                <w:noProof/>
              </w:rPr>
            </w:pPr>
            <w:r>
              <w:rPr>
                <w:noProof/>
              </w:rPr>
              <w:t>1400</w:t>
            </w:r>
          </w:p>
        </w:tc>
        <w:tc>
          <w:tcPr>
            <w:tcW w:w="701" w:type="dxa"/>
            <w:shd w:val="clear" w:color="auto" w:fill="C4EFCE"/>
            <w:vAlign w:val="center"/>
            <w:hideMark/>
          </w:tcPr>
          <w:p w14:paraId="70D00CAB" w14:textId="77777777" w:rsidR="00DC5EC6" w:rsidRDefault="003245A4">
            <w:pPr>
              <w:pStyle w:val="P68B1DB1-Normal8"/>
              <w:spacing w:after="0" w:line="240" w:lineRule="auto"/>
              <w:jc w:val="center"/>
              <w:rPr>
                <w:rFonts w:eastAsia="Times New Roman" w:cs="Calibri"/>
                <w:noProof/>
              </w:rPr>
            </w:pPr>
            <w:r>
              <w:rPr>
                <w:noProof/>
              </w:rPr>
              <w:t>6 800</w:t>
            </w:r>
          </w:p>
        </w:tc>
        <w:tc>
          <w:tcPr>
            <w:tcW w:w="561" w:type="dxa"/>
            <w:shd w:val="clear" w:color="auto" w:fill="C4EFCE"/>
            <w:vAlign w:val="center"/>
            <w:hideMark/>
          </w:tcPr>
          <w:p w14:paraId="7882F175" w14:textId="71B78FE2" w:rsidR="00DC5EC6" w:rsidRDefault="006E607E">
            <w:pPr>
              <w:pStyle w:val="P68B1DB1-Normal8"/>
              <w:spacing w:after="0" w:line="240" w:lineRule="auto"/>
              <w:jc w:val="center"/>
              <w:rPr>
                <w:rFonts w:eastAsia="Times New Roman" w:cs="Calibri"/>
                <w:noProof/>
              </w:rPr>
            </w:pPr>
            <w:r>
              <w:rPr>
                <w:noProof/>
              </w:rPr>
              <w:t>2. NEGYEDÉÉV</w:t>
            </w:r>
          </w:p>
        </w:tc>
        <w:tc>
          <w:tcPr>
            <w:tcW w:w="700" w:type="dxa"/>
            <w:shd w:val="clear" w:color="auto" w:fill="C4EFCE"/>
            <w:vAlign w:val="center"/>
            <w:hideMark/>
          </w:tcPr>
          <w:p w14:paraId="527600BA" w14:textId="77777777" w:rsidR="00DC5EC6" w:rsidRDefault="003245A4">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1406B6B7" w14:textId="77777777" w:rsidR="00DC5EC6" w:rsidRDefault="003245A4">
            <w:pPr>
              <w:pStyle w:val="P68B1DB1-Normal8"/>
              <w:spacing w:after="0" w:line="240" w:lineRule="auto"/>
              <w:jc w:val="both"/>
              <w:rPr>
                <w:rFonts w:eastAsia="Times New Roman" w:cs="Calibri"/>
                <w:noProof/>
              </w:rPr>
            </w:pPr>
            <w:r>
              <w:rPr>
                <w:noProof/>
              </w:rPr>
              <w:t>A támogatható háztartásoknak a megfizethető áron történő lakáscserén (DL 82/2020, október 2.) vagy önkormányzati programon keresztül szállított lakások száma. A megfizethető lakhatás a május 22-i 68/2019. sz. törvényerejű rendelettel létrehozott Access Lízingprogramnak, a december 19-i 81/2014. sz. módosított törvénnyel létrehozott bérleti rendszernek, a december 19-i 80/2014. sz. törvénnyel létrehozott feltételes bérleti rendszernek, a február 19-i 65/2019. sz. miniszteri végrehajtási rendelet által szabályozott ellenőrzött költségek rendszerének vagy a különleges önkormányzati programoknak megfelelően rendelkezésre bocsátott lakás. Amennyiben új építésről van szó, az új épületek primerenergia-szükségletének legalább 20%-kal a közel nulla energiaigényű épületekre vonatkozó követelmények alatt kell lennie.</w:t>
            </w:r>
          </w:p>
        </w:tc>
      </w:tr>
      <w:tr w:rsidR="00DC5EC6" w14:paraId="0C0D0EA3" w14:textId="77777777">
        <w:trPr>
          <w:trHeight w:val="2254"/>
        </w:trPr>
        <w:tc>
          <w:tcPr>
            <w:tcW w:w="1121" w:type="dxa"/>
            <w:shd w:val="clear" w:color="auto" w:fill="C4EFCE"/>
            <w:vAlign w:val="center"/>
            <w:hideMark/>
          </w:tcPr>
          <w:p w14:paraId="4DFAE66D" w14:textId="77777777" w:rsidR="00DC5EC6" w:rsidRDefault="003245A4">
            <w:pPr>
              <w:pStyle w:val="P68B1DB1-Normal7"/>
              <w:spacing w:after="0" w:line="240" w:lineRule="auto"/>
              <w:jc w:val="center"/>
              <w:rPr>
                <w:rFonts w:eastAsia="Times New Roman" w:cs="Calibri"/>
                <w:noProof/>
              </w:rPr>
            </w:pPr>
            <w:r>
              <w:rPr>
                <w:noProof/>
              </w:rPr>
              <w:t>2.25</w:t>
            </w:r>
          </w:p>
        </w:tc>
        <w:tc>
          <w:tcPr>
            <w:tcW w:w="1259" w:type="dxa"/>
            <w:shd w:val="clear" w:color="auto" w:fill="C4EFCE"/>
            <w:vAlign w:val="center"/>
            <w:hideMark/>
          </w:tcPr>
          <w:p w14:paraId="2D66C9F3"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B5E4DC3"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05985C2" w14:textId="52462DC9" w:rsidR="00DC5EC6" w:rsidRDefault="003245A4">
            <w:pPr>
              <w:pStyle w:val="P68B1DB1-Normal8"/>
              <w:spacing w:after="0" w:line="240" w:lineRule="auto"/>
              <w:jc w:val="center"/>
              <w:rPr>
                <w:rFonts w:eastAsia="Times New Roman" w:cs="Calibri"/>
                <w:noProof/>
              </w:rPr>
            </w:pPr>
            <w:r>
              <w:rPr>
                <w:noProof/>
              </w:rPr>
              <w:t>Hallgatói szállás megfizethető áron – a meghirdetett pályázatokon részt vevő diákszálláshelyek száma</w:t>
            </w:r>
          </w:p>
        </w:tc>
        <w:tc>
          <w:tcPr>
            <w:tcW w:w="1258" w:type="dxa"/>
            <w:shd w:val="clear" w:color="auto" w:fill="C4EFCE"/>
            <w:vAlign w:val="center"/>
            <w:hideMark/>
          </w:tcPr>
          <w:p w14:paraId="456D3B11"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0A7FE1FB"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70D15C0"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7C085019" w14:textId="77777777" w:rsidR="00DC5EC6" w:rsidRDefault="003245A4">
            <w:pPr>
              <w:pStyle w:val="P68B1DB1-Normal8"/>
              <w:spacing w:after="0" w:line="240" w:lineRule="auto"/>
              <w:jc w:val="center"/>
              <w:rPr>
                <w:rFonts w:eastAsia="Times New Roman" w:cs="Calibri"/>
                <w:noProof/>
              </w:rPr>
            </w:pPr>
            <w:r>
              <w:rPr>
                <w:noProof/>
              </w:rPr>
              <w:t>7000</w:t>
            </w:r>
          </w:p>
        </w:tc>
        <w:tc>
          <w:tcPr>
            <w:tcW w:w="561" w:type="dxa"/>
            <w:shd w:val="clear" w:color="auto" w:fill="C4EFCE"/>
            <w:vAlign w:val="center"/>
            <w:hideMark/>
          </w:tcPr>
          <w:p w14:paraId="65F5B7C1" w14:textId="2120036C"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1E975DE1" w14:textId="77777777" w:rsidR="00DC5EC6" w:rsidRDefault="003245A4">
            <w:pPr>
              <w:pStyle w:val="P68B1DB1-Normal8"/>
              <w:spacing w:after="0" w:line="240" w:lineRule="auto"/>
              <w:jc w:val="center"/>
              <w:rPr>
                <w:rFonts w:eastAsia="Times New Roman" w:cs="Calibri"/>
                <w:noProof/>
              </w:rPr>
            </w:pPr>
            <w:r>
              <w:rPr>
                <w:noProof/>
              </w:rPr>
              <w:t>2022</w:t>
            </w:r>
          </w:p>
        </w:tc>
        <w:tc>
          <w:tcPr>
            <w:tcW w:w="4606" w:type="dxa"/>
            <w:shd w:val="clear" w:color="auto" w:fill="C4EFCE"/>
            <w:vAlign w:val="center"/>
            <w:hideMark/>
          </w:tcPr>
          <w:p w14:paraId="2FF93065" w14:textId="787D3203" w:rsidR="00DC5EC6" w:rsidRDefault="003245A4">
            <w:pPr>
              <w:pStyle w:val="P68B1DB1-Normal8"/>
              <w:spacing w:after="0" w:line="240" w:lineRule="auto"/>
              <w:jc w:val="both"/>
              <w:rPr>
                <w:rFonts w:eastAsia="Times New Roman" w:cs="Calibri"/>
                <w:noProof/>
              </w:rPr>
            </w:pPr>
            <w:r>
              <w:rPr>
                <w:noProof/>
              </w:rPr>
              <w:t>Azon új és felújított szálláshelyek száma elsősorban felsőoktatási hallgatók számára, amelyekre közbeszerzési eljárást indítottak.</w:t>
            </w:r>
          </w:p>
          <w:p w14:paraId="05C25A40" w14:textId="77777777"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0D33B44C" w14:textId="77777777">
        <w:trPr>
          <w:trHeight w:val="543"/>
        </w:trPr>
        <w:tc>
          <w:tcPr>
            <w:tcW w:w="1121" w:type="dxa"/>
            <w:shd w:val="clear" w:color="auto" w:fill="C4EFCE"/>
            <w:vAlign w:val="center"/>
            <w:hideMark/>
          </w:tcPr>
          <w:p w14:paraId="6BF73E55" w14:textId="77777777" w:rsidR="00DC5EC6" w:rsidRDefault="003245A4">
            <w:pPr>
              <w:pStyle w:val="P68B1DB1-Normal7"/>
              <w:spacing w:after="0" w:line="240" w:lineRule="auto"/>
              <w:jc w:val="center"/>
              <w:rPr>
                <w:rFonts w:eastAsia="Times New Roman" w:cs="Calibri"/>
                <w:noProof/>
              </w:rPr>
            </w:pPr>
            <w:r>
              <w:rPr>
                <w:noProof/>
              </w:rPr>
              <w:t>2.26</w:t>
            </w:r>
          </w:p>
        </w:tc>
        <w:tc>
          <w:tcPr>
            <w:tcW w:w="1259" w:type="dxa"/>
            <w:shd w:val="clear" w:color="auto" w:fill="C4EFCE"/>
            <w:vAlign w:val="center"/>
            <w:hideMark/>
          </w:tcPr>
          <w:p w14:paraId="071F28C9"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516C5BB2"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450689BD" w14:textId="77777777" w:rsidR="00DC5EC6" w:rsidRDefault="003245A4">
            <w:pPr>
              <w:pStyle w:val="P68B1DB1-Normal8"/>
              <w:spacing w:after="0" w:line="240" w:lineRule="auto"/>
              <w:jc w:val="center"/>
              <w:rPr>
                <w:rFonts w:eastAsia="Times New Roman" w:cs="Calibri"/>
                <w:noProof/>
              </w:rPr>
            </w:pPr>
            <w:r>
              <w:rPr>
                <w:noProof/>
              </w:rPr>
              <w:t xml:space="preserve">Hallgatói szállás megfizethető áron </w:t>
            </w:r>
          </w:p>
        </w:tc>
        <w:tc>
          <w:tcPr>
            <w:tcW w:w="1258" w:type="dxa"/>
            <w:shd w:val="clear" w:color="auto" w:fill="C4EFCE"/>
            <w:vAlign w:val="center"/>
            <w:hideMark/>
          </w:tcPr>
          <w:p w14:paraId="26DEFBD7"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53703B53"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13A0BF4A" w14:textId="77777777" w:rsidR="00DC5EC6" w:rsidRDefault="003245A4">
            <w:pPr>
              <w:pStyle w:val="P68B1DB1-Normal8"/>
              <w:spacing w:after="0" w:line="240" w:lineRule="auto"/>
              <w:jc w:val="center"/>
              <w:rPr>
                <w:rFonts w:eastAsia="Times New Roman" w:cs="Calibri"/>
                <w:noProof/>
              </w:rPr>
            </w:pPr>
            <w:r>
              <w:rPr>
                <w:noProof/>
              </w:rPr>
              <w:t>0</w:t>
            </w:r>
          </w:p>
        </w:tc>
        <w:tc>
          <w:tcPr>
            <w:tcW w:w="701" w:type="dxa"/>
            <w:shd w:val="clear" w:color="auto" w:fill="C4EFCE"/>
            <w:vAlign w:val="center"/>
            <w:hideMark/>
          </w:tcPr>
          <w:p w14:paraId="18D72F16" w14:textId="276DBD05" w:rsidR="00DC5EC6" w:rsidRDefault="003245A4">
            <w:pPr>
              <w:pStyle w:val="P68B1DB1-Normal8"/>
              <w:spacing w:after="0" w:line="240" w:lineRule="auto"/>
              <w:jc w:val="center"/>
              <w:rPr>
                <w:rFonts w:eastAsia="Times New Roman" w:cs="Calibri"/>
                <w:noProof/>
              </w:rPr>
            </w:pPr>
            <w:r>
              <w:rPr>
                <w:noProof/>
              </w:rPr>
              <w:t>7 200</w:t>
            </w:r>
          </w:p>
        </w:tc>
        <w:tc>
          <w:tcPr>
            <w:tcW w:w="561" w:type="dxa"/>
            <w:shd w:val="clear" w:color="auto" w:fill="C4EFCE"/>
            <w:vAlign w:val="center"/>
            <w:hideMark/>
          </w:tcPr>
          <w:p w14:paraId="1236111F" w14:textId="5F133D12"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3F3B9998" w14:textId="37F93F36" w:rsidR="00DC5EC6" w:rsidRDefault="003245A4">
            <w:pPr>
              <w:pStyle w:val="P68B1DB1-Normal8"/>
              <w:spacing w:after="0" w:line="240" w:lineRule="auto"/>
              <w:jc w:val="both"/>
              <w:rPr>
                <w:rFonts w:eastAsia="Times New Roman" w:cs="Calibri"/>
                <w:noProof/>
              </w:rPr>
            </w:pPr>
            <w:r>
              <w:rPr>
                <w:noProof/>
              </w:rPr>
              <w:t>2024</w:t>
            </w:r>
          </w:p>
        </w:tc>
        <w:tc>
          <w:tcPr>
            <w:tcW w:w="4606" w:type="dxa"/>
            <w:shd w:val="clear" w:color="auto" w:fill="C4EFCE"/>
            <w:vAlign w:val="center"/>
            <w:hideMark/>
          </w:tcPr>
          <w:p w14:paraId="778022FF" w14:textId="62E05FA1" w:rsidR="00DC5EC6" w:rsidRDefault="003245A4">
            <w:pPr>
              <w:pStyle w:val="P68B1DB1-Normal8"/>
              <w:spacing w:after="0" w:line="240" w:lineRule="auto"/>
              <w:jc w:val="both"/>
              <w:rPr>
                <w:rFonts w:eastAsia="Times New Roman" w:cs="Calibri"/>
                <w:noProof/>
              </w:rPr>
            </w:pPr>
            <w:r>
              <w:rPr>
                <w:noProof/>
              </w:rPr>
              <w:t xml:space="preserve">Az elsősorban felsőoktatási hallgatók számára városi vagy vegyes épületekben rendelkezésre bocsátott új és felújított helyek száma, amelyeket részben vagy egészben a lakóhelyüktől eltérő helyen tanuló diákok ideiglenes elszállásolására szánnak, és felsőoktatási tanulmányok folytatása céljából szállásra van szükségük, beleértve a felsőoktatásban részt vevő diákok lakóhelyét, amely szükségszerűen magában foglalja a szobákat, a fürdőszobákat, a konyhákat és az étkezési helyiségeket, és magában foglalhatja a tanulmányi és szálláshelyeket, a parkolást és a felszerelést is; </w:t>
            </w:r>
          </w:p>
          <w:p w14:paraId="6C80330F" w14:textId="606400D0"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6E7A4C44" w14:textId="77777777">
        <w:trPr>
          <w:trHeight w:val="543"/>
        </w:trPr>
        <w:tc>
          <w:tcPr>
            <w:tcW w:w="1121" w:type="dxa"/>
            <w:shd w:val="clear" w:color="auto" w:fill="C4EFCE"/>
            <w:vAlign w:val="center"/>
            <w:hideMark/>
          </w:tcPr>
          <w:p w14:paraId="2FE553C4" w14:textId="77777777" w:rsidR="00DC5EC6" w:rsidRDefault="003245A4">
            <w:pPr>
              <w:pStyle w:val="P68B1DB1-Normal7"/>
              <w:spacing w:after="0" w:line="240" w:lineRule="auto"/>
              <w:jc w:val="center"/>
              <w:rPr>
                <w:rFonts w:eastAsia="Times New Roman" w:cs="Calibri"/>
                <w:noProof/>
              </w:rPr>
            </w:pPr>
            <w:r>
              <w:rPr>
                <w:noProof/>
              </w:rPr>
              <w:t>2.27</w:t>
            </w:r>
          </w:p>
        </w:tc>
        <w:tc>
          <w:tcPr>
            <w:tcW w:w="1259" w:type="dxa"/>
            <w:shd w:val="clear" w:color="auto" w:fill="C4EFCE"/>
            <w:vAlign w:val="center"/>
            <w:hideMark/>
          </w:tcPr>
          <w:p w14:paraId="0BCB48BE"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10B25FE4"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26157084" w14:textId="77777777" w:rsidR="00DC5EC6" w:rsidRDefault="003245A4">
            <w:pPr>
              <w:pStyle w:val="P68B1DB1-Normal8"/>
              <w:spacing w:after="0" w:line="240" w:lineRule="auto"/>
              <w:jc w:val="center"/>
              <w:rPr>
                <w:rFonts w:eastAsia="Times New Roman" w:cs="Calibri"/>
                <w:noProof/>
              </w:rPr>
            </w:pPr>
            <w:r>
              <w:rPr>
                <w:noProof/>
              </w:rPr>
              <w:t xml:space="preserve">Hallgatói szállás megfizethető áron </w:t>
            </w:r>
          </w:p>
        </w:tc>
        <w:tc>
          <w:tcPr>
            <w:tcW w:w="1258" w:type="dxa"/>
            <w:shd w:val="clear" w:color="auto" w:fill="C4EFCE"/>
            <w:vAlign w:val="center"/>
            <w:hideMark/>
          </w:tcPr>
          <w:p w14:paraId="1F8A44C2"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167C80EC" w14:textId="77777777" w:rsidR="00DC5EC6" w:rsidRDefault="003245A4">
            <w:pPr>
              <w:pStyle w:val="P68B1DB1-Normal8"/>
              <w:spacing w:after="0" w:line="240" w:lineRule="auto"/>
              <w:jc w:val="center"/>
              <w:rPr>
                <w:rFonts w:eastAsia="Times New Roman" w:cs="Calibri"/>
                <w:noProof/>
              </w:rPr>
            </w:pPr>
            <w:r>
              <w:rPr>
                <w:noProof/>
              </w:rPr>
              <w:t>Szám</w:t>
            </w:r>
          </w:p>
        </w:tc>
        <w:tc>
          <w:tcPr>
            <w:tcW w:w="980" w:type="dxa"/>
            <w:shd w:val="clear" w:color="auto" w:fill="C4EFCE"/>
            <w:vAlign w:val="center"/>
            <w:hideMark/>
          </w:tcPr>
          <w:p w14:paraId="416AAB49" w14:textId="54C17EC0" w:rsidR="00DC5EC6" w:rsidRDefault="003245A4">
            <w:pPr>
              <w:pStyle w:val="P68B1DB1-Normal8"/>
              <w:spacing w:after="0" w:line="240" w:lineRule="auto"/>
              <w:jc w:val="center"/>
              <w:rPr>
                <w:rFonts w:eastAsia="Times New Roman" w:cs="Calibri"/>
                <w:noProof/>
              </w:rPr>
            </w:pPr>
            <w:r>
              <w:rPr>
                <w:noProof/>
              </w:rPr>
              <w:t>7 200</w:t>
            </w:r>
          </w:p>
        </w:tc>
        <w:tc>
          <w:tcPr>
            <w:tcW w:w="701" w:type="dxa"/>
            <w:shd w:val="clear" w:color="auto" w:fill="C4EFCE"/>
            <w:vAlign w:val="center"/>
            <w:hideMark/>
          </w:tcPr>
          <w:p w14:paraId="3439E949" w14:textId="1E287A32" w:rsidR="00DC5EC6" w:rsidRDefault="003245A4">
            <w:pPr>
              <w:pStyle w:val="P68B1DB1-Normal8"/>
              <w:spacing w:after="0" w:line="240" w:lineRule="auto"/>
              <w:jc w:val="center"/>
              <w:rPr>
                <w:rFonts w:eastAsia="Times New Roman" w:cs="Calibri"/>
                <w:noProof/>
              </w:rPr>
            </w:pPr>
            <w:r>
              <w:rPr>
                <w:noProof/>
              </w:rPr>
              <w:t>13 300</w:t>
            </w:r>
          </w:p>
        </w:tc>
        <w:tc>
          <w:tcPr>
            <w:tcW w:w="561" w:type="dxa"/>
            <w:shd w:val="clear" w:color="auto" w:fill="C4EFCE"/>
            <w:vAlign w:val="center"/>
            <w:hideMark/>
          </w:tcPr>
          <w:p w14:paraId="2CB76039" w14:textId="0B99C17E" w:rsidR="00DC5EC6" w:rsidRDefault="006E607E">
            <w:pPr>
              <w:pStyle w:val="P68B1DB1-Normal8"/>
              <w:spacing w:after="0" w:line="240" w:lineRule="auto"/>
              <w:jc w:val="center"/>
              <w:rPr>
                <w:rFonts w:eastAsia="Times New Roman" w:cs="Calibri"/>
                <w:noProof/>
              </w:rPr>
            </w:pPr>
            <w:r>
              <w:rPr>
                <w:noProof/>
              </w:rPr>
              <w:t>3. NEGYEDÉV</w:t>
            </w:r>
          </w:p>
        </w:tc>
        <w:tc>
          <w:tcPr>
            <w:tcW w:w="700" w:type="dxa"/>
            <w:shd w:val="clear" w:color="auto" w:fill="C4EFCE"/>
            <w:vAlign w:val="center"/>
            <w:hideMark/>
          </w:tcPr>
          <w:p w14:paraId="11F34838" w14:textId="11E49FF7" w:rsidR="00DC5EC6" w:rsidRDefault="003245A4">
            <w:pPr>
              <w:pStyle w:val="P68B1DB1-Normal8"/>
              <w:spacing w:after="0" w:line="240" w:lineRule="auto"/>
              <w:jc w:val="center"/>
              <w:rPr>
                <w:rFonts w:eastAsia="Times New Roman" w:cs="Calibri"/>
                <w:noProof/>
              </w:rPr>
            </w:pPr>
            <w:r>
              <w:rPr>
                <w:noProof/>
              </w:rPr>
              <w:t>2025</w:t>
            </w:r>
          </w:p>
        </w:tc>
        <w:tc>
          <w:tcPr>
            <w:tcW w:w="4606" w:type="dxa"/>
            <w:shd w:val="clear" w:color="auto" w:fill="C4EFCE"/>
            <w:vAlign w:val="center"/>
            <w:hideMark/>
          </w:tcPr>
          <w:p w14:paraId="3D265A32" w14:textId="56C4574F" w:rsidR="00DC5EC6" w:rsidRDefault="003245A4">
            <w:pPr>
              <w:pStyle w:val="P68B1DB1-Normal8"/>
              <w:spacing w:after="0" w:line="240" w:lineRule="auto"/>
              <w:jc w:val="both"/>
              <w:rPr>
                <w:rFonts w:eastAsia="Times New Roman" w:cs="Calibri"/>
                <w:noProof/>
              </w:rPr>
            </w:pPr>
            <w:r>
              <w:rPr>
                <w:noProof/>
              </w:rPr>
              <w:t>Az elsősorban felsőoktatási hallgatók számára városi vagy vegyes épületekben rendelkezésre bocsátott új és felújított férőhelyek száma, amelyek részben vagy egészben a lakóhelyüktől eltérő helyen tanulmányokat folytató és felsőfokú tanulmányok folytatása céljából szállást igénylő diákok ideiglenes elszállásolására szolgálnak, beleértve a felsőoktatási hallgatói lakóhelyeket, amelyek szükségszerűen magukban foglalják a szobákat, a fürdőszobákat, a konyhákat és az étkezési helyiségeket, és amelyek magukban foglalhatnak tanulmányi és szállást, parkolást és felszerelést;</w:t>
            </w:r>
          </w:p>
          <w:p w14:paraId="035EFF71" w14:textId="77777777"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3787F6D4" w14:textId="77777777">
        <w:trPr>
          <w:trHeight w:val="1050"/>
        </w:trPr>
        <w:tc>
          <w:tcPr>
            <w:tcW w:w="1121" w:type="dxa"/>
            <w:shd w:val="clear" w:color="auto" w:fill="C4EFCE"/>
            <w:vAlign w:val="center"/>
            <w:hideMark/>
          </w:tcPr>
          <w:p w14:paraId="64CCD213" w14:textId="77777777" w:rsidR="00DC5EC6" w:rsidRDefault="003245A4">
            <w:pPr>
              <w:pStyle w:val="P68B1DB1-Normal7"/>
              <w:spacing w:after="0" w:line="240" w:lineRule="auto"/>
              <w:jc w:val="center"/>
              <w:rPr>
                <w:rFonts w:eastAsia="Times New Roman" w:cs="Calibri"/>
                <w:noProof/>
              </w:rPr>
            </w:pPr>
            <w:r>
              <w:rPr>
                <w:noProof/>
              </w:rPr>
              <w:t>2.28</w:t>
            </w:r>
          </w:p>
        </w:tc>
        <w:tc>
          <w:tcPr>
            <w:tcW w:w="1259" w:type="dxa"/>
            <w:shd w:val="clear" w:color="auto" w:fill="C4EFCE"/>
            <w:vAlign w:val="center"/>
            <w:hideMark/>
          </w:tcPr>
          <w:p w14:paraId="20A40908" w14:textId="77777777" w:rsidR="00DC5EC6" w:rsidRDefault="003245A4">
            <w:pPr>
              <w:pStyle w:val="P68B1DB1-Normal8"/>
              <w:spacing w:after="0" w:line="240" w:lineRule="auto"/>
              <w:jc w:val="center"/>
              <w:rPr>
                <w:rFonts w:eastAsia="Times New Roman" w:cs="Calibri"/>
                <w:noProof/>
              </w:rPr>
            </w:pPr>
            <w:r>
              <w:rPr>
                <w:noProof/>
              </w:rPr>
              <w:t>Re-C02-i06</w:t>
            </w:r>
          </w:p>
        </w:tc>
        <w:tc>
          <w:tcPr>
            <w:tcW w:w="1119" w:type="dxa"/>
            <w:shd w:val="clear" w:color="auto" w:fill="C4EFCE"/>
            <w:vAlign w:val="center"/>
            <w:hideMark/>
          </w:tcPr>
          <w:p w14:paraId="4FFB417C" w14:textId="77777777" w:rsidR="00DC5EC6" w:rsidRDefault="003245A4">
            <w:pPr>
              <w:pStyle w:val="P68B1DB1-Normal8"/>
              <w:spacing w:after="0" w:line="240" w:lineRule="auto"/>
              <w:jc w:val="center"/>
              <w:rPr>
                <w:rFonts w:eastAsia="Times New Roman" w:cs="Calibri"/>
                <w:noProof/>
              </w:rPr>
            </w:pPr>
            <w:r>
              <w:rPr>
                <w:noProof/>
              </w:rPr>
              <w:t>T</w:t>
            </w:r>
          </w:p>
        </w:tc>
        <w:tc>
          <w:tcPr>
            <w:tcW w:w="1677" w:type="dxa"/>
            <w:shd w:val="clear" w:color="auto" w:fill="C4EFCE"/>
            <w:vAlign w:val="center"/>
            <w:hideMark/>
          </w:tcPr>
          <w:p w14:paraId="750C1A1F" w14:textId="77777777" w:rsidR="00DC5EC6" w:rsidRDefault="003245A4">
            <w:pPr>
              <w:pStyle w:val="P68B1DB1-Normal8"/>
              <w:spacing w:after="0" w:line="240" w:lineRule="auto"/>
              <w:jc w:val="center"/>
              <w:rPr>
                <w:rFonts w:eastAsia="Times New Roman" w:cs="Calibri"/>
                <w:noProof/>
              </w:rPr>
            </w:pPr>
            <w:r>
              <w:rPr>
                <w:noProof/>
              </w:rPr>
              <w:t xml:space="preserve">Hallgatói szállás megfizethető áron </w:t>
            </w:r>
          </w:p>
        </w:tc>
        <w:tc>
          <w:tcPr>
            <w:tcW w:w="1258" w:type="dxa"/>
            <w:shd w:val="clear" w:color="auto" w:fill="C4EFCE"/>
            <w:vAlign w:val="center"/>
            <w:hideMark/>
          </w:tcPr>
          <w:p w14:paraId="6C52FC90" w14:textId="77777777" w:rsidR="00DC5EC6" w:rsidRDefault="003245A4">
            <w:pPr>
              <w:pStyle w:val="P68B1DB1-Normal8"/>
              <w:spacing w:after="0" w:line="240" w:lineRule="auto"/>
              <w:jc w:val="center"/>
              <w:rPr>
                <w:rFonts w:eastAsia="Times New Roman" w:cs="Calibri"/>
                <w:noProof/>
              </w:rPr>
            </w:pPr>
            <w:r>
              <w:rPr>
                <w:noProof/>
              </w:rPr>
              <w:t> </w:t>
            </w:r>
          </w:p>
        </w:tc>
        <w:tc>
          <w:tcPr>
            <w:tcW w:w="981" w:type="dxa"/>
            <w:shd w:val="clear" w:color="auto" w:fill="C4EFCE"/>
            <w:vAlign w:val="center"/>
            <w:hideMark/>
          </w:tcPr>
          <w:p w14:paraId="46B01055"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80" w:type="dxa"/>
            <w:shd w:val="clear" w:color="auto" w:fill="C4EFCE"/>
            <w:vAlign w:val="center"/>
            <w:hideMark/>
          </w:tcPr>
          <w:p w14:paraId="6B6F55A2" w14:textId="430D0E78" w:rsidR="00DC5EC6" w:rsidRDefault="003245A4">
            <w:pPr>
              <w:pStyle w:val="P68B1DB1-Normal8"/>
              <w:spacing w:after="0" w:line="240" w:lineRule="auto"/>
              <w:jc w:val="center"/>
              <w:rPr>
                <w:rFonts w:eastAsia="Times New Roman" w:cs="Calibri"/>
                <w:noProof/>
              </w:rPr>
            </w:pPr>
            <w:r>
              <w:rPr>
                <w:noProof/>
              </w:rPr>
              <w:t>13 300</w:t>
            </w:r>
          </w:p>
        </w:tc>
        <w:tc>
          <w:tcPr>
            <w:tcW w:w="701" w:type="dxa"/>
            <w:shd w:val="clear" w:color="auto" w:fill="C4EFCE"/>
            <w:vAlign w:val="center"/>
            <w:hideMark/>
          </w:tcPr>
          <w:p w14:paraId="29351001" w14:textId="15915456" w:rsidR="00DC5EC6" w:rsidRDefault="003245A4" w:rsidP="006E607E">
            <w:pPr>
              <w:pStyle w:val="P68B1DB1-Normal8"/>
              <w:numPr>
                <w:ilvl w:val="0"/>
                <w:numId w:val="123"/>
              </w:numPr>
              <w:spacing w:after="0" w:line="240" w:lineRule="auto"/>
              <w:jc w:val="center"/>
              <w:rPr>
                <w:rFonts w:eastAsia="Times New Roman" w:cs="Calibri"/>
                <w:noProof/>
              </w:rPr>
            </w:pPr>
            <w:r>
              <w:rPr>
                <w:noProof/>
              </w:rPr>
              <w:t>000</w:t>
            </w:r>
          </w:p>
        </w:tc>
        <w:tc>
          <w:tcPr>
            <w:tcW w:w="561" w:type="dxa"/>
            <w:shd w:val="clear" w:color="auto" w:fill="C4EFCE"/>
            <w:vAlign w:val="center"/>
            <w:hideMark/>
          </w:tcPr>
          <w:p w14:paraId="73B3BC6B" w14:textId="395F43A9" w:rsidR="00DC5EC6" w:rsidRDefault="006E607E" w:rsidP="006E607E">
            <w:pPr>
              <w:pStyle w:val="P68B1DB1-Normal8"/>
              <w:spacing w:after="0" w:line="240" w:lineRule="auto"/>
              <w:rPr>
                <w:rFonts w:eastAsia="Times New Roman" w:cs="Calibri"/>
                <w:noProof/>
              </w:rPr>
            </w:pPr>
            <w:r>
              <w:rPr>
                <w:noProof/>
              </w:rPr>
              <w:t>1.NEGYEDÉV</w:t>
            </w:r>
          </w:p>
        </w:tc>
        <w:tc>
          <w:tcPr>
            <w:tcW w:w="700" w:type="dxa"/>
            <w:shd w:val="clear" w:color="auto" w:fill="C4EFCE"/>
            <w:vAlign w:val="center"/>
            <w:hideMark/>
          </w:tcPr>
          <w:p w14:paraId="51504EB4" w14:textId="77777777" w:rsidR="00DC5EC6" w:rsidRDefault="003245A4">
            <w:pPr>
              <w:pStyle w:val="P68B1DB1-Normal8"/>
              <w:spacing w:after="0" w:line="240" w:lineRule="auto"/>
              <w:jc w:val="center"/>
              <w:rPr>
                <w:rFonts w:eastAsia="Times New Roman" w:cs="Calibri"/>
                <w:noProof/>
              </w:rPr>
            </w:pPr>
            <w:r>
              <w:rPr>
                <w:noProof/>
              </w:rPr>
              <w:t>2026</w:t>
            </w:r>
          </w:p>
        </w:tc>
        <w:tc>
          <w:tcPr>
            <w:tcW w:w="4606" w:type="dxa"/>
            <w:shd w:val="clear" w:color="auto" w:fill="C4EFCE"/>
            <w:vAlign w:val="center"/>
            <w:hideMark/>
          </w:tcPr>
          <w:p w14:paraId="41184E03" w14:textId="7273E775" w:rsidR="00DC5EC6" w:rsidRDefault="003245A4">
            <w:pPr>
              <w:pStyle w:val="P68B1DB1-Normal8"/>
              <w:spacing w:after="0" w:line="240" w:lineRule="auto"/>
              <w:jc w:val="both"/>
              <w:rPr>
                <w:rFonts w:eastAsia="Times New Roman" w:cs="Calibri"/>
                <w:noProof/>
              </w:rPr>
            </w:pPr>
            <w:r>
              <w:rPr>
                <w:noProof/>
              </w:rPr>
              <w:t xml:space="preserve">Az elsősorban felsőoktatási hallgatók számára városi vagy vegyes épületekben rendelkezésre bocsátott új és felújított férőhelyek száma, amelyek részben vagy egészben a lakóhelyüktől eltérő helyen tanulmányokat folytató és felsőfokú tanulmányok folytatása céljából szállást igénylő diákok ideiglenes elszállásolására szolgálnak, beleértve a felsőoktatási hallgatói lakóhelyeket, amelyek szükségszerűen magukban foglalják a szobákat, a fürdőszobákat, a konyhákat és az étkezési helyiségeket, és amelyek magukban foglalhatnak tanulmányi és szállást, parkolást és felszerelést; </w:t>
            </w:r>
          </w:p>
          <w:p w14:paraId="10E836B8" w14:textId="26AC752F" w:rsidR="00DC5EC6" w:rsidRDefault="003245A4">
            <w:pPr>
              <w:pStyle w:val="P68B1DB1-Normal8"/>
              <w:spacing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DC5EC6" w14:paraId="60C698ED" w14:textId="77777777">
        <w:trPr>
          <w:trHeight w:val="1050"/>
        </w:trPr>
        <w:tc>
          <w:tcPr>
            <w:tcW w:w="1121" w:type="dxa"/>
            <w:shd w:val="clear" w:color="auto" w:fill="C4EFCE"/>
            <w:vAlign w:val="center"/>
          </w:tcPr>
          <w:p w14:paraId="4705E034" w14:textId="4AC666D2" w:rsidR="00DC5EC6" w:rsidRDefault="003245A4">
            <w:pPr>
              <w:pStyle w:val="P68B1DB1-Normal11"/>
              <w:spacing w:after="0" w:line="240" w:lineRule="auto"/>
              <w:jc w:val="center"/>
              <w:rPr>
                <w:rFonts w:eastAsia="Times New Roman" w:cstheme="minorHAnsi"/>
                <w:noProof/>
              </w:rPr>
            </w:pPr>
            <w:r>
              <w:rPr>
                <w:noProof/>
              </w:rPr>
              <w:t>2.32</w:t>
            </w:r>
          </w:p>
        </w:tc>
        <w:tc>
          <w:tcPr>
            <w:tcW w:w="1259" w:type="dxa"/>
            <w:shd w:val="clear" w:color="auto" w:fill="C4EFCE"/>
            <w:vAlign w:val="center"/>
          </w:tcPr>
          <w:p w14:paraId="4776F9DD" w14:textId="58DFAFA4" w:rsidR="00DC5EC6" w:rsidRDefault="003245A4">
            <w:pPr>
              <w:pStyle w:val="P68B1DB1-Normal12"/>
              <w:spacing w:after="0" w:line="240" w:lineRule="auto"/>
              <w:jc w:val="center"/>
              <w:rPr>
                <w:rFonts w:eastAsia="Times New Roman" w:cstheme="minorHAnsi"/>
                <w:noProof/>
              </w:rPr>
            </w:pPr>
            <w:r>
              <w:rPr>
                <w:noProof/>
              </w:rPr>
              <w:t>Re-C02-i09</w:t>
            </w:r>
          </w:p>
        </w:tc>
        <w:tc>
          <w:tcPr>
            <w:tcW w:w="1119" w:type="dxa"/>
            <w:shd w:val="clear" w:color="auto" w:fill="C4EFCE"/>
            <w:vAlign w:val="center"/>
          </w:tcPr>
          <w:p w14:paraId="3A5C7E5C" w14:textId="2BCC6FAF" w:rsidR="00DC5EC6" w:rsidRDefault="003245A4">
            <w:pPr>
              <w:pStyle w:val="P68B1DB1-Normal12"/>
              <w:spacing w:after="0" w:line="240" w:lineRule="auto"/>
              <w:jc w:val="center"/>
              <w:rPr>
                <w:rFonts w:eastAsia="Times New Roman" w:cstheme="minorHAnsi"/>
                <w:noProof/>
              </w:rPr>
            </w:pPr>
            <w:r>
              <w:rPr>
                <w:noProof/>
              </w:rPr>
              <w:t>T</w:t>
            </w:r>
          </w:p>
        </w:tc>
        <w:tc>
          <w:tcPr>
            <w:tcW w:w="1677" w:type="dxa"/>
            <w:shd w:val="clear" w:color="auto" w:fill="C4EFCE"/>
            <w:vAlign w:val="center"/>
          </w:tcPr>
          <w:p w14:paraId="0968588E" w14:textId="5CE5582D" w:rsidR="00DC5EC6" w:rsidRDefault="003245A4">
            <w:pPr>
              <w:pStyle w:val="P68B1DB1-Normal12"/>
              <w:spacing w:after="0" w:line="240" w:lineRule="auto"/>
              <w:jc w:val="center"/>
              <w:rPr>
                <w:rFonts w:eastAsia="Times New Roman" w:cstheme="minorHAnsi"/>
                <w:noProof/>
              </w:rPr>
            </w:pPr>
            <w:r>
              <w:rPr>
                <w:noProof/>
              </w:rPr>
              <w:t>Lakhatáshoz (hitelhez) való hozzáférést támogató program – háztartásoknak nyújtott vásárolt, épített (magas energiahatékonyságú) vagy rehabilitált (jobb energiahatékonyságú) lakások</w:t>
            </w:r>
          </w:p>
        </w:tc>
        <w:tc>
          <w:tcPr>
            <w:tcW w:w="1258" w:type="dxa"/>
            <w:shd w:val="clear" w:color="auto" w:fill="C4EFCE"/>
            <w:vAlign w:val="center"/>
          </w:tcPr>
          <w:p w14:paraId="0319FDDB" w14:textId="77777777" w:rsidR="00DC5EC6" w:rsidRDefault="00DC5EC6">
            <w:pPr>
              <w:spacing w:after="0" w:line="240" w:lineRule="auto"/>
              <w:jc w:val="center"/>
              <w:rPr>
                <w:rFonts w:eastAsia="Times New Roman" w:cstheme="minorHAnsi"/>
                <w:noProof/>
                <w:sz w:val="16"/>
              </w:rPr>
            </w:pPr>
          </w:p>
        </w:tc>
        <w:tc>
          <w:tcPr>
            <w:tcW w:w="981" w:type="dxa"/>
            <w:shd w:val="clear" w:color="auto" w:fill="C4EFCE"/>
            <w:vAlign w:val="center"/>
          </w:tcPr>
          <w:p w14:paraId="172C6BDD" w14:textId="4AB1B921" w:rsidR="00DC5EC6" w:rsidRDefault="003245A4">
            <w:pPr>
              <w:pStyle w:val="P68B1DB1-Normal12"/>
              <w:spacing w:after="0" w:line="240" w:lineRule="auto"/>
              <w:jc w:val="center"/>
              <w:rPr>
                <w:rFonts w:eastAsia="Times New Roman" w:cstheme="minorHAnsi"/>
                <w:noProof/>
              </w:rPr>
            </w:pPr>
            <w:r>
              <w:rPr>
                <w:noProof/>
              </w:rPr>
              <w:t>Szám</w:t>
            </w:r>
          </w:p>
        </w:tc>
        <w:tc>
          <w:tcPr>
            <w:tcW w:w="980" w:type="dxa"/>
            <w:shd w:val="clear" w:color="auto" w:fill="C4EFCE"/>
            <w:vAlign w:val="center"/>
          </w:tcPr>
          <w:p w14:paraId="1E32C4B2" w14:textId="13724816" w:rsidR="00DC5EC6" w:rsidRDefault="003245A4">
            <w:pPr>
              <w:pStyle w:val="P68B1DB1-Normal12"/>
              <w:spacing w:after="0" w:line="240" w:lineRule="auto"/>
              <w:jc w:val="center"/>
              <w:rPr>
                <w:rFonts w:eastAsia="Times New Roman" w:cstheme="minorHAnsi"/>
                <w:noProof/>
              </w:rPr>
            </w:pPr>
            <w:r>
              <w:rPr>
                <w:noProof/>
              </w:rPr>
              <w:t>22 360</w:t>
            </w:r>
          </w:p>
        </w:tc>
        <w:tc>
          <w:tcPr>
            <w:tcW w:w="701" w:type="dxa"/>
            <w:shd w:val="clear" w:color="auto" w:fill="C4EFCE"/>
            <w:vAlign w:val="center"/>
          </w:tcPr>
          <w:p w14:paraId="1CB0AF1E" w14:textId="43D15A0F" w:rsidR="00DC5EC6" w:rsidRDefault="003245A4">
            <w:pPr>
              <w:pStyle w:val="P68B1DB1-Normal12"/>
              <w:spacing w:after="0" w:line="240" w:lineRule="auto"/>
              <w:jc w:val="center"/>
              <w:rPr>
                <w:rFonts w:eastAsia="Times New Roman" w:cstheme="minorHAnsi"/>
                <w:noProof/>
              </w:rPr>
            </w:pPr>
            <w:r>
              <w:rPr>
                <w:noProof/>
              </w:rPr>
              <w:t>26 000</w:t>
            </w:r>
          </w:p>
        </w:tc>
        <w:tc>
          <w:tcPr>
            <w:tcW w:w="561" w:type="dxa"/>
            <w:shd w:val="clear" w:color="auto" w:fill="C4EFCE"/>
            <w:vAlign w:val="center"/>
          </w:tcPr>
          <w:p w14:paraId="413ACC31" w14:textId="7FC804C2" w:rsidR="00DC5EC6" w:rsidRDefault="006E607E">
            <w:pPr>
              <w:pStyle w:val="P68B1DB1-Normal12"/>
              <w:spacing w:after="0" w:line="240" w:lineRule="auto"/>
              <w:jc w:val="center"/>
              <w:rPr>
                <w:rFonts w:eastAsia="Times New Roman" w:cstheme="minorHAnsi"/>
                <w:noProof/>
              </w:rPr>
            </w:pPr>
            <w:r>
              <w:rPr>
                <w:noProof/>
              </w:rPr>
              <w:t>2. NEGYEDÉÉV</w:t>
            </w:r>
          </w:p>
        </w:tc>
        <w:tc>
          <w:tcPr>
            <w:tcW w:w="700" w:type="dxa"/>
            <w:shd w:val="clear" w:color="auto" w:fill="C4EFCE"/>
            <w:vAlign w:val="center"/>
          </w:tcPr>
          <w:p w14:paraId="07B859C8" w14:textId="44A10FA7" w:rsidR="00DC5EC6" w:rsidRDefault="003245A4">
            <w:pPr>
              <w:pStyle w:val="P68B1DB1-Normal12"/>
              <w:spacing w:after="0" w:line="240" w:lineRule="auto"/>
              <w:jc w:val="center"/>
              <w:rPr>
                <w:rFonts w:eastAsia="Times New Roman" w:cstheme="minorHAnsi"/>
                <w:noProof/>
              </w:rPr>
            </w:pPr>
            <w:r>
              <w:rPr>
                <w:noProof/>
              </w:rPr>
              <w:t>2026</w:t>
            </w:r>
          </w:p>
        </w:tc>
        <w:tc>
          <w:tcPr>
            <w:tcW w:w="4606" w:type="dxa"/>
            <w:shd w:val="clear" w:color="auto" w:fill="C4EFCE"/>
            <w:vAlign w:val="center"/>
          </w:tcPr>
          <w:p w14:paraId="4659094D" w14:textId="2882B7AB" w:rsidR="00DC5EC6" w:rsidRDefault="003245A4">
            <w:pPr>
              <w:pStyle w:val="P68B1DB1-Normal12"/>
              <w:spacing w:after="0" w:line="240" w:lineRule="auto"/>
              <w:jc w:val="both"/>
              <w:rPr>
                <w:rFonts w:eastAsia="Times New Roman" w:cstheme="minorHAnsi"/>
                <w:noProof/>
              </w:rPr>
            </w:pPr>
            <w:r>
              <w:rPr>
                <w:noProof/>
              </w:rPr>
              <w:t xml:space="preserve">A programban támogatható háztartásoknak szállított lakások száma. Az új épületek primerenergia-szükségletének legalább 20%-kal alacsonyabbnak kell lennie a közel nulla energiaigényű épületekre vonatkozó követelményeknél. A rehabilitációhoz a referenciaegység lakásonként 73 négyzetméter, az új épületek esetében 95 négyzetméter a 3640 lakás esetében.  </w:t>
            </w:r>
          </w:p>
        </w:tc>
      </w:tr>
    </w:tbl>
    <w:p w14:paraId="3369A928"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66"/>
          <w:headerReference w:type="default" r:id="rId67"/>
          <w:footerReference w:type="even" r:id="rId68"/>
          <w:footerReference w:type="default" r:id="rId69"/>
          <w:headerReference w:type="first" r:id="rId70"/>
          <w:footerReference w:type="first" r:id="rId71"/>
          <w:pgSz w:w="16839" w:h="11907" w:orient="landscape"/>
          <w:pgMar w:top="1134" w:right="1134" w:bottom="1134" w:left="1134" w:header="567" w:footer="567" w:gutter="0"/>
          <w:cols w:space="720"/>
          <w:docGrid w:linePitch="360"/>
        </w:sectPr>
      </w:pPr>
    </w:p>
    <w:p w14:paraId="778B2B3C" w14:textId="606FC8C0"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C. 3. </w:t>
      </w:r>
      <w:r w:rsidR="00342815">
        <w:rPr>
          <w:noProof/>
        </w:rPr>
        <w:t>KOMPONENS</w:t>
      </w:r>
      <w:r>
        <w:rPr>
          <w:noProof/>
        </w:rPr>
        <w:t>: Társadalmi válaszok</w:t>
      </w:r>
    </w:p>
    <w:p w14:paraId="3106967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Portugália évek óta jelentős demográfiai és társadalmi-gazdasági kihívásokkal néz szembe, amelyeket a Covid19-világjárvány felerősített. A portugál helyreállítási és rezilienciaépítési terv e komponense a következő kihívásokkal foglalkozik: a népesség elöregedése, a fogyatékossággal élő személyek és más eltartott személyek jogai, valamint a szegénységben és társadalmi kirekesztettségben élők jogai a hátrányos helyzetű közösségek és csoportok körében. </w:t>
      </w:r>
    </w:p>
    <w:p w14:paraId="64C7C5E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az összefüggésben ez a komponens a rászoruló népességcsoportok/régiók szociális ellátásának strukturális kihívásaival és hiányával foglalkozik, mind Portugália kontinentális területén, mind az Azori-szigetek és Madeira autonóm régiókban. </w:t>
      </w:r>
    </w:p>
    <w:p w14:paraId="5F00D562" w14:textId="77777777" w:rsidR="00DC5EC6" w:rsidRDefault="003245A4">
      <w:pPr>
        <w:pStyle w:val="P68B1DB1-Normal4"/>
        <w:keepNext/>
        <w:spacing w:before="40" w:after="0" w:line="259" w:lineRule="auto"/>
        <w:jc w:val="both"/>
        <w:rPr>
          <w:rFonts w:eastAsiaTheme="minorEastAsia" w:cs="Times New Roman"/>
          <w:noProof/>
        </w:rPr>
      </w:pPr>
      <w:r>
        <w:rPr>
          <w:noProof/>
        </w:rPr>
        <w:t>A komponens fő célkitűzései a következők: a szociális ellátó létesítmények javítása és a jobb területi lefedettség biztosítása; a szociális válaszok hálózatának megerősítése és bővítése innovatív megoldásokkal, kísérleti projektekkel és beavatkozásokkal; új, közösségi alapú támogatási válaszok kidolgozása, hozzájárulva az önálló életvitel előmozdításához, a függőség megelőzéséhez és a nem intézményesítésre adott válaszok kidolgozásához a fogyatékossággal élő személyek jogairól szóló ENSZ-egyezménnyel összhangban; az inkluzív élethez való hozzáférés, valamint a társadalomban és a gazdaságban való részvétel biztosítása a fogyatékossággal élő személyek számára; valamint v. a szegénység felszámolásának előmozdítása a legsérülékenyebb és leghátrányosabb helyzetű közösségekre összpontosító, mindenre kiterjedő nemzeti stratégia kidolgozásával.</w:t>
      </w:r>
    </w:p>
    <w:p w14:paraId="3E070AF6" w14:textId="6383616C" w:rsidR="00DC5EC6" w:rsidRDefault="003245A4">
      <w:pPr>
        <w:pStyle w:val="P68B1DB1-Normal4"/>
        <w:keepNext/>
        <w:spacing w:before="40" w:after="0" w:line="259" w:lineRule="auto"/>
        <w:jc w:val="both"/>
        <w:rPr>
          <w:rFonts w:eastAsiaTheme="minorEastAsia" w:cs="Times New Roman"/>
          <w:noProof/>
        </w:rPr>
      </w:pPr>
      <w:r>
        <w:rPr>
          <w:noProof/>
        </w:rPr>
        <w:t>A komponens támogatja az egészségügyi rendszer rezilienciájának megerősítéséről, valamint a minőségi egészségügyi ellátáshoz és a tartós ápolás-gondozáshoz való egyenlő hozzáférés biztosításáról szóló országspecifikus ajánlás (2020. évi 1. országspecifikus ajánlás) végrehajtását. Emellett hozzájárul a szociális biztonsági háló hatékonyságának és megfelelőségének javításáról, valamint a lakosság készségszintjének javításáról szóló országspecifikus ajánlás (2019. évi 2. országspecifikus ajánlás) végrehajtásához, a megfelelő szociális védelem és jövedelemtámogatás garantálásáról, valamint a minőségi oktatáshoz és képzéshez való egyenlő hozzáférés biztosításáról (2020. évi 2. országspecifikus ajánlás), valamint a portugál szociális védelmi rendszer hatékonyságának javításához, különösen a keret egyszerűsítése révén (2022. és 2023. évi 1. országspecifikus ajánlás). A komponens közvetett módon támogatja a beruházásoknak a zöld és digitális átállásra való összpontosításáról szóló országspecifikus ajánlás (2020. évi 3. országspecifikus ajánlás) végrehajtását is.</w:t>
      </w:r>
    </w:p>
    <w:p w14:paraId="2F3C4A9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várhatóan hozzájárul mind a zöld, mind a digitális átálláshoz. A szociális reagálási létesítmények építésével, bővítésével és felújításával kapcsolatos projekteknek az energiahatékonyságra, a megújuló energia saját fogyasztásra való felhasználására, valamint az energia- és üzemanyagköltségek csökkentésére kell összpontosítaniuk. A környezeti dimenziókat be kell építeni a magas energiahatékonysági szabványokkal rendelkező új építkezések előmozdítása révén. Emellett az érintett szervezeteket kibocsátásmentes könnyűgépjárművekkel kell felszerelni. Végezetül ez a komponens olyan intézkedéseket foglal magában, amelyek fokozzák a digitális eszközök használatát, különösen az időseknek támogatást nyújtó szociális szolgáltatások, valamint a fogyatékossággal élő személyeket célzó IKT-eszközök és e-szolgáltatások létrehozása révén. </w:t>
      </w:r>
    </w:p>
    <w:p w14:paraId="37069125"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11FB0FD0"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79A4A18"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A vissza nem térítendő pénzügyi támogatást célzó reformok és beruházások ismertetése</w:t>
      </w:r>
    </w:p>
    <w:p w14:paraId="25196904"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RE-r05 reform: Létesítmények és a szociális válaszintézkedések ellátási reformja </w:t>
      </w:r>
    </w:p>
    <w:p w14:paraId="5ADE8050" w14:textId="77777777" w:rsidR="00DC5EC6" w:rsidRDefault="003245A4">
      <w:pPr>
        <w:pStyle w:val="P68B1DB1-Normal4"/>
        <w:keepNext/>
        <w:spacing w:before="40" w:after="0" w:line="259" w:lineRule="auto"/>
        <w:jc w:val="both"/>
        <w:rPr>
          <w:rFonts w:eastAsia="Times New Roman" w:cs="Times New Roman"/>
          <w:noProof/>
        </w:rPr>
      </w:pPr>
      <w:r>
        <w:rPr>
          <w:noProof/>
        </w:rPr>
        <w:t>Ezen intézkedés célja, hogy bővítse, korszerűsítse és rehabilitálja az állami és magán szociális intézmények által nyújtott szociális szolgáltatások hálózatát és létesítményeit. Az intézkedés gazdasági, társadalmi és egészségügyi szempontból különösen kiszolgáltatott csoportokat céloz meg, például a szegénységben élő vagy alacsony jövedelmű személyeket és családokat, az időseket és az eltartottakat, a fogyatékossággal élő személyeket, a gyermekeket és a fiatalokat. Ezen túlmenően az ezen intézkedés által előirányzott integrált egészségügyi és szociális támogatási beavatkozásoknak elő kell mozdítaniuk az eltartott személyek autonómiáját rehabilitációjuk és társadalmi visszailleszkedésük révén, összhangban a fogyatékossággal élő személyek jogairól szóló ENSZ-egyezménnyel, a fogyatékossággal élő személyek jogairól szóló európai stratégiával (2021–2030),</w:t>
      </w:r>
      <w:r>
        <w:rPr>
          <w:noProof/>
        </w:rPr>
        <w:footnoteReference w:id="2"/>
      </w:r>
      <w:r>
        <w:rPr>
          <w:noProof/>
        </w:rPr>
        <w:t xml:space="preserve"> valamint az idősödésről – a nemzedékek közötti szolidaritás és felelősség előmozdítása című</w:t>
      </w:r>
      <w:r>
        <w:rPr>
          <w:noProof/>
        </w:rPr>
        <w:footnoteReference w:id="3"/>
      </w:r>
      <w:r>
        <w:rPr>
          <w:noProof/>
        </w:rPr>
        <w:t xml:space="preserve"> zöld könyvvel</w:t>
      </w:r>
      <w:r>
        <w:rPr>
          <w:noProof/>
        </w:rPr>
        <w:footnoteReference w:id="4"/>
      </w:r>
      <w:r>
        <w:rPr>
          <w:noProof/>
        </w:rPr>
        <w:t xml:space="preserve">. </w:t>
      </w:r>
    </w:p>
    <w:p w14:paraId="036C6475" w14:textId="77777777" w:rsidR="00DC5EC6" w:rsidRDefault="003245A4">
      <w:pPr>
        <w:pStyle w:val="P68B1DB1-Normal4"/>
        <w:keepNext/>
        <w:spacing w:before="40" w:after="0" w:line="259" w:lineRule="auto"/>
        <w:jc w:val="both"/>
        <w:rPr>
          <w:rFonts w:eastAsia="Times New Roman" w:cs="Times New Roman"/>
          <w:noProof/>
        </w:rPr>
      </w:pPr>
      <w:r>
        <w:rPr>
          <w:noProof/>
        </w:rPr>
        <w:t xml:space="preserve">Ez a reform a berendezések új generációja és a szociális reagálási program elindításából áll a szociális berendezések telepítésére vonatkozó rendszer egyszerűsítése révén. A program olyan intézkedésekre összpontosít, mint: </w:t>
      </w:r>
    </w:p>
    <w:p w14:paraId="70568603"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bentlakásos idősotthonokban nyújtott szociális ellátás és személyre szabott szolgáltatások javítása, igényfelmérést követően;</w:t>
      </w:r>
    </w:p>
    <w:p w14:paraId="4260130E"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Az ERPI-k engedélyezésének és/vagy szabályossá tételének előmozdítása a hivatalos rendszeren kívül;</w:t>
      </w:r>
    </w:p>
    <w:p w14:paraId="7AC7E490"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 xml:space="preserve">A szociális létesítmények engedélyezésére vonatkozó jogszabályi keret felülvizsgálata, </w:t>
      </w:r>
    </w:p>
    <w:p w14:paraId="61985867"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Az innovatív szociális válaszok, például a kisléptékű, együttműködésen alapuló lakhatás előmozdítása;</w:t>
      </w:r>
    </w:p>
    <w:p w14:paraId="2C845D6E"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Innovatív otthontámogatási modell kidolgozása;</w:t>
      </w:r>
    </w:p>
    <w:p w14:paraId="6D012205"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társadalmi elszigeteltségben élők szociális támogatásának megerősítése multidiszciplináris csoportok létrehozása, valamint a szociálisan kiszolgáltatott helyzetek feltérképezésére és nyomon követésére szolgáló mechanizmus létrehozása révén (Radar szociális projektek);</w:t>
      </w:r>
    </w:p>
    <w:p w14:paraId="5F830A95"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munkaerő szintjének és a szociális reagálási szolgáltatások minőségének javítása, főként az alacsony lefedettségű területeken;</w:t>
      </w:r>
    </w:p>
    <w:p w14:paraId="4139DE34" w14:textId="77777777" w:rsidR="00DC5EC6" w:rsidRDefault="003245A4">
      <w:pPr>
        <w:pStyle w:val="P68B1DB1-Normal4"/>
        <w:keepNext/>
        <w:numPr>
          <w:ilvl w:val="0"/>
          <w:numId w:val="62"/>
        </w:numPr>
        <w:spacing w:before="40" w:after="160" w:line="259" w:lineRule="auto"/>
        <w:contextualSpacing/>
        <w:jc w:val="both"/>
        <w:rPr>
          <w:rFonts w:eastAsia="Times New Roman" w:cs="Times New Roman"/>
          <w:noProof/>
        </w:rPr>
      </w:pPr>
      <w:r>
        <w:rPr>
          <w:noProof/>
        </w:rPr>
        <w:t>A fogyatékossággal élő vagy eltartott személyeket célzó szociális szolgáltatások és támogatás megerősítése, valamint önállóságuk és önálló életvitelük előmozdítása.</w:t>
      </w:r>
    </w:p>
    <w:p w14:paraId="640E5631" w14:textId="77777777" w:rsidR="00DC5EC6" w:rsidRDefault="003245A4">
      <w:pPr>
        <w:pStyle w:val="P68B1DB1-Normal4"/>
        <w:keepNext/>
        <w:spacing w:before="40" w:after="0" w:line="259" w:lineRule="auto"/>
        <w:jc w:val="both"/>
        <w:rPr>
          <w:rFonts w:eastAsia="Times New Roman" w:cs="Times New Roman"/>
          <w:noProof/>
        </w:rPr>
      </w:pPr>
      <w:r>
        <w:rPr>
          <w:noProof/>
        </w:rPr>
        <w:t xml:space="preserve">RE-C03–i01 beruházás – A berendezések új generációja és a szociális válaszok hozzájárulnak a reform végrehajtásához. </w:t>
      </w:r>
    </w:p>
    <w:p w14:paraId="150D85D2" w14:textId="77777777" w:rsidR="00DC5EC6" w:rsidRDefault="003245A4">
      <w:pPr>
        <w:pStyle w:val="P68B1DB1-Normal4"/>
        <w:keepNext/>
        <w:spacing w:before="40" w:after="0" w:line="259" w:lineRule="auto"/>
        <w:jc w:val="both"/>
        <w:rPr>
          <w:rFonts w:eastAsia="Times New Roman" w:cs="Times New Roman"/>
          <w:noProof/>
        </w:rPr>
      </w:pPr>
      <w:r>
        <w:rPr>
          <w:noProof/>
        </w:rPr>
        <w:t>A reform végrehajtásához kapcsolódó mérföldkőnek 2021. december 31-ig be kell fejeződnie.</w:t>
      </w:r>
    </w:p>
    <w:p w14:paraId="42D391F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RE-r06 reform: A fogyatékossággal élő személyek befogadására vonatkozó nemzeti stratégia (2021–2025)</w:t>
      </w:r>
    </w:p>
    <w:p w14:paraId="4993B847" w14:textId="77777777" w:rsidR="00DC5EC6" w:rsidRDefault="003245A4">
      <w:pPr>
        <w:pStyle w:val="P68B1DB1-Normal4"/>
        <w:keepNext/>
        <w:spacing w:before="40" w:after="0" w:line="259" w:lineRule="auto"/>
        <w:jc w:val="both"/>
        <w:rPr>
          <w:rFonts w:eastAsia="Times New Roman" w:cs="Times New Roman"/>
          <w:noProof/>
        </w:rPr>
      </w:pPr>
      <w:r>
        <w:rPr>
          <w:noProof/>
        </w:rPr>
        <w:t>Ezen intézkedés célja, hogy megkönnyítse és elmélyítse a fogyatékossággal élő személyek befogadását az élet minden területén, előmozdítsa önállóságukat, függetlenségüket és önrendelkezésüket, valamint egyenlő esélyeket biztosítson minden polgár számára, képességeiktől függetlenül.</w:t>
      </w:r>
    </w:p>
    <w:p w14:paraId="431145D2" w14:textId="77777777" w:rsidR="00DC5EC6" w:rsidRDefault="003245A4">
      <w:pPr>
        <w:pStyle w:val="P68B1DB1-Normal4"/>
        <w:keepNext/>
        <w:spacing w:before="40" w:after="0" w:line="259" w:lineRule="auto"/>
        <w:jc w:val="both"/>
        <w:rPr>
          <w:rFonts w:eastAsia="Times New Roman" w:cs="Times New Roman"/>
          <w:noProof/>
        </w:rPr>
      </w:pPr>
      <w:r>
        <w:rPr>
          <w:noProof/>
        </w:rPr>
        <w:t>Ez a reform a fogyatékossággal élő személyek befogadására irányuló 2021–2025-ös nemzeti stratégia elfogadását foglalja magában. A stratégia tükrözi a fogyatékossággal élő személyek jogairól szóló ENSZ-egyezményben foglalt kötelezettségvállalásokat,</w:t>
      </w:r>
      <w:r>
        <w:rPr>
          <w:noProof/>
        </w:rPr>
        <w:footnoteReference w:id="5"/>
      </w:r>
      <w:r>
        <w:rPr>
          <w:noProof/>
        </w:rPr>
        <w:t xml:space="preserve"> és lehetővé teszi olyan intézkedések meghozatalát, mint például:</w:t>
      </w:r>
    </w:p>
    <w:p w14:paraId="747E1C23"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 xml:space="preserve">Szükség esetén a jelenlegi szabályozási keret újrafogalmazása; </w:t>
      </w:r>
    </w:p>
    <w:p w14:paraId="250A5CFC"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fogyatékosság-értékelési és -tanúsítási rendszer újrafogalmazása;</w:t>
      </w:r>
    </w:p>
    <w:p w14:paraId="199DE32D"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fogyatékossággal élő személyek átfogó diagnosztizálása adatgyűjtési rendszerek és a döntéshozatalt támogató mutatók nyomon követésére szolgáló rendszerek kifejlesztése révén;</w:t>
      </w:r>
    </w:p>
    <w:p w14:paraId="5920EE97"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Közterületeken történő beavatkozások a fogyatékossággal élő személyek hozzáférésének megkönnyítése érdekében;</w:t>
      </w:r>
    </w:p>
    <w:p w14:paraId="5F6E0E5D"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fogyatékossággal élő személyek képzési, foglalkoztatási és képesítési rendszereinek kiigazítása;</w:t>
      </w:r>
    </w:p>
    <w:p w14:paraId="1C29FB20"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Innovatív szociális szolgáltatások és közösségi alapú megközelítések kidolgozása;</w:t>
      </w:r>
    </w:p>
    <w:p w14:paraId="1193BF56"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 fogyatékossággal élő személyek sport-, kulturális és szabadidős tevékenységekben való részvétele.</w:t>
      </w:r>
    </w:p>
    <w:p w14:paraId="6C200F5F" w14:textId="77777777" w:rsidR="00DC5EC6" w:rsidRDefault="003245A4">
      <w:pPr>
        <w:pStyle w:val="P68B1DB1-Normal4"/>
        <w:keepNext/>
        <w:numPr>
          <w:ilvl w:val="0"/>
          <w:numId w:val="63"/>
        </w:numPr>
        <w:spacing w:before="40" w:after="160" w:line="259" w:lineRule="auto"/>
        <w:contextualSpacing/>
        <w:jc w:val="both"/>
        <w:rPr>
          <w:rFonts w:eastAsia="Times New Roman" w:cs="Times New Roman"/>
          <w:noProof/>
        </w:rPr>
      </w:pPr>
      <w:r>
        <w:rPr>
          <w:noProof/>
        </w:rPr>
        <w:t>Az önálló életvitelt támogató modell kiterjesztése, amely személyes segítséget nyújt a fogyatékossággal élő személyeknek;</w:t>
      </w:r>
    </w:p>
    <w:p w14:paraId="24FA9424" w14:textId="77777777" w:rsidR="00DC5EC6" w:rsidRDefault="003245A4">
      <w:pPr>
        <w:pStyle w:val="P68B1DB1-Normal4"/>
        <w:keepNext/>
        <w:spacing w:before="40" w:after="0" w:line="259" w:lineRule="auto"/>
        <w:jc w:val="both"/>
        <w:rPr>
          <w:rFonts w:eastAsia="Times New Roman" w:cs="Times New Roman"/>
          <w:noProof/>
        </w:rPr>
      </w:pPr>
      <w:r>
        <w:rPr>
          <w:noProof/>
        </w:rPr>
        <w:t xml:space="preserve">RE-C03–i02 beruházások: Akadálymentesség 360° és RE-C03-i05: Platform és hozzáférés, valamint RE-C01–i02 beruházás: Az integrált folyamatos gondozás nemzeti hálózata és a palliatív ellátás nemzeti hálózata hozzájárul a reform végrehajtásához. </w:t>
      </w:r>
    </w:p>
    <w:p w14:paraId="3C1200D2" w14:textId="77777777" w:rsidR="00DC5EC6" w:rsidRDefault="003245A4">
      <w:pPr>
        <w:pStyle w:val="P68B1DB1-Normal4"/>
        <w:keepNext/>
        <w:spacing w:before="40" w:after="0" w:line="259" w:lineRule="auto"/>
        <w:jc w:val="both"/>
        <w:rPr>
          <w:rFonts w:eastAsia="Times New Roman" w:cs="Times New Roman"/>
          <w:noProof/>
        </w:rPr>
      </w:pPr>
      <w:r>
        <w:rPr>
          <w:noProof/>
        </w:rPr>
        <w:t>A reform végrehajtásához kapcsolódó mérföldkőnek 2021. december 31-ig be kell fejeződnie.</w:t>
      </w:r>
    </w:p>
    <w:p w14:paraId="19B646AB"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RE-r07 reform: A nagyvárosi területek hátrányos helyzetű közösségeit támogató integrált támogatási programok megkötése</w:t>
      </w:r>
    </w:p>
    <w:p w14:paraId="00C1C17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szegénység és a társadalmi kirekesztés elleni küzdelem a lisszaboni és portói nagyvárosi területek leghátrányosabb helyzetű településein. </w:t>
      </w:r>
    </w:p>
    <w:p w14:paraId="24271C8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reform a sajátos közösségi igények értékelését és azonosítását követően kidolgozandó integrált kísérleti intézkedésekből áll. E diagnosztikai szakaszt követően az integrált beavatkozásokat két területre kell összpontosítani: </w:t>
      </w:r>
    </w:p>
    <w:p w14:paraId="0B7DAF3A"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Közterületekbe és szociális infrastruktúrákba, például bölcsődékbe és általános iskolákba, egészségügyi létesítményekbe, valamint társadalmi és kulturális rendezvények, műhelyek és/vagy képzések helyszíneibe történő beavatkozások; és</w:t>
      </w:r>
    </w:p>
    <w:p w14:paraId="6FB7F6AF" w14:textId="423D580E"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Immateriális jellegű beavatkozások a társadalmi kohézió előmozdítása érdekében, például a közösségek aktív bevonása azok kialakításába és megvalósításába, a kis, helyi székhelyű vállalkozások vállalkozói készségének előmozdítása, az iskolai kudarc és a lemorzsolódás elleni küzdelemre irányuló projektek kidolgozása, a szakképzés biztosítása és a sport előmozdítása. </w:t>
      </w:r>
    </w:p>
    <w:p w14:paraId="7F7F790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Ezt a reformot Portugália szegénység elleni küzdelemre irányuló első nemzeti stratégiájával (ENCP) és az abban meghatározott konkrét csoportokra vonatkozó tematikus beavatkozásokkal összhangban kell alátámasztani és strukturálni. </w:t>
      </w:r>
    </w:p>
    <w:p w14:paraId="5852842A"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végrehajtása az RE-C03–i06 – Integrált műveletek a lisszaboni és portói nagyvárosi területek hátrányos helyzetű közösségeiben.</w:t>
      </w:r>
    </w:p>
    <w:p w14:paraId="70A526E2"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végrehajtásához kapcsolódó mérföldkőnek 2021. december 31-ig be kell fejeződnie.</w:t>
      </w:r>
    </w:p>
    <w:p w14:paraId="0AD18DF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Reform RE-r08: A szegénység elleni küzdelemre irányuló nemzeti stratégia</w:t>
      </w:r>
    </w:p>
    <w:p w14:paraId="243FD289" w14:textId="77777777" w:rsidR="00DC5EC6" w:rsidRDefault="003245A4">
      <w:pPr>
        <w:pStyle w:val="P68B1DB1-Normal4"/>
        <w:keepNext/>
        <w:spacing w:before="40" w:after="0" w:line="259" w:lineRule="auto"/>
        <w:jc w:val="both"/>
        <w:rPr>
          <w:rFonts w:eastAsia="Times New Roman" w:cs="Times New Roman"/>
          <w:noProof/>
        </w:rPr>
      </w:pPr>
      <w:r>
        <w:rPr>
          <w:noProof/>
        </w:rPr>
        <w:t>Ezen intézkedés célja a szegénység elleni küzdelem többdimenziós, integrált, közép- és hosszú távú megközelítés kidolgozása révén.</w:t>
      </w:r>
    </w:p>
    <w:p w14:paraId="3F7CA624" w14:textId="77777777" w:rsidR="00DC5EC6" w:rsidRDefault="003245A4">
      <w:pPr>
        <w:pStyle w:val="P68B1DB1-Normal4"/>
        <w:keepNext/>
        <w:spacing w:before="40" w:after="0" w:line="259" w:lineRule="auto"/>
        <w:jc w:val="both"/>
        <w:rPr>
          <w:rFonts w:eastAsia="Times New Roman" w:cs="Times New Roman"/>
          <w:noProof/>
        </w:rPr>
      </w:pPr>
      <w:r>
        <w:rPr>
          <w:noProof/>
        </w:rPr>
        <w:t>A reform a szegénység elleni küzdelemre irányuló nemzeti stratégia (ENCP) elfogadását foglalja magában. A stratégia keretet biztosít az egyes csoportokat célzó tematikus beavatkozásokhoz, a gyermekektől az idősekig, beleértve a legkiszolgáltatottabb csoportokat is. Meghatározza a társadalmi kirekesztés és a szegénység helyi szintű sajátosságaira összpontosító integrált politikák kidolgozásának és végrehajtásának feltételeit. Emellett előírja a szegénységgel kapcsolatos mutatókra vonatkozó egységes nyomonkövetési keret létrehozását is.</w:t>
      </w:r>
    </w:p>
    <w:p w14:paraId="2BFE7AC9" w14:textId="77777777" w:rsidR="00DC5EC6" w:rsidRDefault="003245A4">
      <w:pPr>
        <w:pStyle w:val="P68B1DB1-Normal4"/>
        <w:keepNext/>
        <w:spacing w:before="40" w:after="0" w:line="259" w:lineRule="auto"/>
        <w:jc w:val="both"/>
        <w:rPr>
          <w:rFonts w:eastAsia="Times New Roman" w:cs="Times New Roman"/>
          <w:noProof/>
        </w:rPr>
      </w:pPr>
      <w:r>
        <w:rPr>
          <w:noProof/>
        </w:rPr>
        <w:t>InvestmentRE-C03–i06 – A lisszaboni és portói nagyvárosi területek hátrányos helyzetű közösségeiben végrehajtott integrált műveletek hozzájárulnak a reform végrehajtásához.</w:t>
      </w:r>
    </w:p>
    <w:p w14:paraId="5CB94457" w14:textId="77777777" w:rsidR="00DC5EC6" w:rsidRDefault="003245A4">
      <w:pPr>
        <w:pStyle w:val="P68B1DB1-Normal4"/>
        <w:keepNext/>
        <w:spacing w:before="40" w:after="0" w:line="259" w:lineRule="auto"/>
        <w:jc w:val="both"/>
        <w:rPr>
          <w:rFonts w:eastAsiaTheme="minorEastAsia" w:cs="Times New Roman"/>
          <w:noProof/>
          <w:highlight w:val="yellow"/>
        </w:rPr>
      </w:pPr>
      <w:r>
        <w:rPr>
          <w:noProof/>
        </w:rPr>
        <w:t>A reform végrehajtásához kapcsolódó mérföldkőnek 2021. szeptember 30-ig be kell fejeződnie.</w:t>
      </w:r>
    </w:p>
    <w:p w14:paraId="4A7F96D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RE-C03-i01 beruházás: Új generációs berendezések és társadalmi válaszok</w:t>
      </w:r>
    </w:p>
    <w:p w14:paraId="1BCAC31F"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a szociális gondozási szolgáltatások hálózatának korszerűsítése és bővítése a hatékonyabb szolgáltatásnyújtási módszerek kidolgozása, a szélesebb körű nemzeti területi lefedettség elérése, valamint az e struktúrákban dolgozó szakemberek munkakörülményeinek és a felhasználóknak nyújtott ellátás minőségének javítása érdekében.</w:t>
      </w:r>
    </w:p>
    <w:p w14:paraId="4CAC5042"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következőkből áll:</w:t>
      </w:r>
    </w:p>
    <w:p w14:paraId="098FBF35"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a meglévő szociális szolgáltatások létesítményeinek felújítása és bővítése, valamint újak építése, mint például bölcsődék, bentlakásos idősotthonok (ERPI) és a tevékenységeket és a befogadást elősegítő központok (CACI-k) építése;</w:t>
      </w:r>
    </w:p>
    <w:p w14:paraId="6AA715D0" w14:textId="4667F989"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a „tartózkodási hely az önállóságért és a befogadásért” és a lakástámogató szolgáltatások szociális válaszhálózatainak bővítése a lefedhető felhasználók számának növelése révén; </w:t>
      </w:r>
    </w:p>
    <w:p w14:paraId="26FCCA4B"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a szociális reagálási hálózat kiterjesztése olyan új tipológiákkal, mint a társlakás;</w:t>
      </w:r>
    </w:p>
    <w:p w14:paraId="4AE97124" w14:textId="77777777"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 xml:space="preserve">műszaki és digitális berendezések beszerzése, beleértve az elektromos járművek beszerzését is; és </w:t>
      </w:r>
    </w:p>
    <w:p w14:paraId="78A6605F" w14:textId="1354886C" w:rsidR="00DC5EC6" w:rsidRDefault="003245A4">
      <w:pPr>
        <w:pStyle w:val="P68B1DB1-Normal4"/>
        <w:keepNext/>
        <w:numPr>
          <w:ilvl w:val="0"/>
          <w:numId w:val="52"/>
        </w:numPr>
        <w:spacing w:before="40" w:after="160" w:line="259" w:lineRule="auto"/>
        <w:contextualSpacing/>
        <w:jc w:val="both"/>
        <w:rPr>
          <w:rFonts w:eastAsiaTheme="minorEastAsia" w:cs="Times New Roman"/>
          <w:noProof/>
        </w:rPr>
      </w:pPr>
      <w:r>
        <w:rPr>
          <w:noProof/>
        </w:rPr>
        <w:t>a „Radar Social” elnevezésű kísérleti projekt elindítása, amelynek célja, hogy nemzeti szinten tesztelje az integrált szociális támogatás szinte proaktív és innovatív modelljét. Ezt a modellt Lisszabon településen már tesztelték, és csak egy célcsoportra terjedt ki (idősebben), és most az a cél, hogy a célcsoport tekintetében szélesebb hatókörrel lefedje az egész szárazföldet (minden olyan személy, akit a társadalmi kirekesztés veszélye fenyeget, elégtelen szociális és/vagy családi támogatással). A projekt magában foglalja a szükségletek azonosítását és feltérképezését, valamint egyéb intézkedéseket, például a polgári részvétel előmozdítását, az alapvető közösségi szolgáltatásokhoz való hozzáférést szolgáló digitális és informatikai eszközök használatának előmozdítását és a sport előmozdítását. E célból Portugália kontinentális településein 278 szociális intervenciós csapatot hoznak létre. A csoportok feladata, hogy azonosítsák az időseket és a társadalmi kirekesztés kockázatának kitett egyéb kiszolgáltatott személyeket, és egyéni szükségleteik alapján támogatást nyújtsanak.</w:t>
      </w:r>
    </w:p>
    <w:p w14:paraId="21CC04BD"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2ADE939D"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RE-C03–i02 beruházás: Akadálymentesség 360°</w:t>
      </w:r>
    </w:p>
    <w:p w14:paraId="37D1B66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fogyatékossággal élő személyek hozzáférésének javítása a közterületeken, a középületekben és a lakásokban az egész területen. </w:t>
      </w:r>
    </w:p>
    <w:p w14:paraId="034FEC2F" w14:textId="77777777" w:rsidR="00DC5EC6" w:rsidRDefault="003245A4">
      <w:pPr>
        <w:pStyle w:val="P68B1DB1-Normal4"/>
        <w:keepNext/>
        <w:spacing w:before="40" w:after="0" w:line="259" w:lineRule="auto"/>
        <w:jc w:val="both"/>
        <w:rPr>
          <w:rFonts w:eastAsiaTheme="minorEastAsia" w:cs="Times New Roman"/>
          <w:noProof/>
        </w:rPr>
      </w:pPr>
      <w:r>
        <w:rPr>
          <w:noProof/>
        </w:rPr>
        <w:t>Ennek a beruházásnak teljes mértékben összhangban kell lennie a fogyatékossággal élő személyek jogairól szóló európai stratégiával (2021–2030),</w:t>
      </w:r>
      <w:r>
        <w:rPr>
          <w:noProof/>
        </w:rPr>
        <w:footnoteReference w:id="6"/>
      </w:r>
      <w:r>
        <w:rPr>
          <w:noProof/>
        </w:rPr>
        <w:t xml:space="preserve"> és három ágból kell állnia:</w:t>
      </w:r>
    </w:p>
    <w:p w14:paraId="0E9823BC" w14:textId="1DDCDE8E"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Közúti Beavatkozási Program (2021–2025) (PIVP), amely legalább 200 000 m² közterületen, például oldalsó járdákon és tereken végzett műveleteket és építési munkálatokat foglal magában; </w:t>
      </w:r>
    </w:p>
    <w:p w14:paraId="7D9FAE99"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a középületekre vonatkozó beavatkozási program (2021–2025) (PiEP), amely legalább 1500 közszolgáltatási épület üzemeltetését és építési munkálatait foglalja magában; és</w:t>
      </w:r>
    </w:p>
    <w:p w14:paraId="71FA1279"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2021–2025-ös időszakra szóló lakhatási intervenciós program (PIH), amely magában foglalja a fogyatékossággal élő személyek legalább 1000 meglévő lakásának felújítását és építési munkálatait. </w:t>
      </w:r>
    </w:p>
    <w:p w14:paraId="21A3A591"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1E137E0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RE-C03–i03-RAM beruházás: A társadalmi válaszok megerősítése Madeira autonóm régióban (ARM)</w:t>
      </w:r>
    </w:p>
    <w:p w14:paraId="6CD6778E"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Madeira autonóm régióban a szociális szolgáltatások hálózatának megerősítése.</w:t>
      </w:r>
    </w:p>
    <w:p w14:paraId="7AB5787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bentlakásos idősotthonokban végrehajtott beavatkozásokból és a hajléktalanok szociális támogatási struktúráinak bővítéséből áll. Ezeknek a beavatkozásoknak magukban kell foglalniuk az új létesítmények építését, a meglévő létesítmények felújítását és korszerűsítését, valamint a szükséges műszaki, digitális és informatikai berendezések beszerzését, beleértve az elektromos járművek vásárlását is, hogy megkönnyítsék és javítsák a szociális szolgáltatásokat nyújtó szakemberek elérhetőségét a távoli területeken. </w:t>
      </w:r>
    </w:p>
    <w:p w14:paraId="1EDAA2FB" w14:textId="263611C5" w:rsidR="00DC5EC6" w:rsidRDefault="003245A4">
      <w:pPr>
        <w:pStyle w:val="P68B1DB1-Normal4"/>
        <w:keepNext/>
        <w:spacing w:before="40" w:after="0" w:line="259" w:lineRule="auto"/>
        <w:jc w:val="both"/>
        <w:rPr>
          <w:rFonts w:eastAsiaTheme="minorEastAsia" w:cs="Times New Roman"/>
          <w:noProof/>
        </w:rPr>
      </w:pPr>
      <w:r>
        <w:rPr>
          <w:noProof/>
        </w:rPr>
        <w:t xml:space="preserve">A beavatkozások magukban foglalják az idősek számára kialakított olyan bentlakásos és nem lakáscélú struktúrák rehabilitációját és bővítését, amelyek olyan 65 éves és annál idősebb embereknek szólnak, akik nem tudnak a lakóhelyükön maradni. Kellően indokolt kivételes helyzetekben a 65 év alatti felnőtt személyek elhelyezésére is sor kerülhet. </w:t>
      </w:r>
    </w:p>
    <w:p w14:paraId="44AB2A82" w14:textId="4A6664DB" w:rsidR="00DC5EC6" w:rsidRDefault="003245A4">
      <w:pPr>
        <w:pStyle w:val="P68B1DB1-Normal4"/>
        <w:keepNext/>
        <w:spacing w:before="40" w:after="0" w:line="259" w:lineRule="auto"/>
        <w:jc w:val="both"/>
        <w:rPr>
          <w:rFonts w:eastAsiaTheme="minorEastAsia" w:cs="Times New Roman"/>
          <w:noProof/>
        </w:rPr>
      </w:pPr>
      <w:r>
        <w:rPr>
          <w:noProof/>
        </w:rPr>
        <w:t xml:space="preserve">A hajléktalanokat célzó beavatkozások közé tartozik a vészhelyzetek kezelését és a szállás biztosítását szolgáló éjszakai fogadás kialakítása, fürdőszobák és mosodák kialakítása a személyes higiénia előmozdítása érdekében, valamint egy olyan tér felújítása, amely ételeket és műhelytípusokat biztosít a szociális készségek és kompetenciák kedvezményezettek körében történő fejlesztése érdekében. </w:t>
      </w:r>
    </w:p>
    <w:p w14:paraId="758AA752" w14:textId="5537FE59"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30-ig be kell fejezni.</w:t>
      </w:r>
    </w:p>
    <w:p w14:paraId="6341FCC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RE-C03–i04-RAA beruházás: A szegénység és a társadalmi kirekesztés elleni küzdelemre irányuló regionális stratégia végrehajtása – szociális támogatási hálózatok (ARA)</w:t>
      </w:r>
    </w:p>
    <w:p w14:paraId="758B789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az Azori-szigetek autonóm régió szegénység és társadalmi kirekesztés elleni küzdelemre irányuló 2018–2028-as regionális stratégiája (ERCPES) prioritásainak végrehajtása. A stratégia négy, egymást kiegészítő stratégiai prioritást határozott meg: </w:t>
      </w:r>
    </w:p>
    <w:p w14:paraId="029D52CF"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P1 – Teljes és inkluzív fejlődési folyamat biztosítása minden gyermek és fiatal számára az élet kezdetétől fogva; </w:t>
      </w:r>
    </w:p>
    <w:p w14:paraId="687E73B0"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P2 – A társadalmi kohézió erősítése a régióban; </w:t>
      </w:r>
    </w:p>
    <w:p w14:paraId="56291263"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P3 – A területi alapú beavatkozás előmozdítása; és</w:t>
      </w:r>
    </w:p>
    <w:p w14:paraId="00B33C95"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P4 – Biztosítani kell a régióban tapasztalható szegénység jelenségével kapcsolatos megfelelő ismereteket.</w:t>
      </w:r>
    </w:p>
    <w:p w14:paraId="7727C0B8" w14:textId="5AB285C1"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olyan beavatkozásokból áll, amelyek javítják a gyermekek és a fiatalok hozzáférését a szociális és oktatási szolgáltatásokhoz, és erősítik a társadalmi kohéziót azáltal, hogy támogatják a rászoruló családokat és a fogyatékossággal élő személyeket a társadalomba és a munkaerőpiacra való integrációjukban. Ezek közé tartozik legalább az iskolai lemorzsolódás elleni küzdelmet szolgáló tanulmányi támogató pontok létrehozása, az alacsony jövedelmű háztartások támogatása az óvodákban való részvétel előmozdítása érdekében, további (fizikai) férőhelyek létrehozása a bölcsődékben és napközi otthonokban, új helyek létrehozása a fogyatékossággal élők számára a fogyatékossággal élő személyeket támogató központokban, autók vásárlása az Instituições Particulares de Solidariedade szociális gépjárműflotta megújításához, valamint a társadalmi befogadáshoz kapcsolódó jövedelemhez tartozó családokból származó személyek képzése annak érdekében, hogy kiegészítő alapkészségeket biztosítsanak számukra a munkaerőpiacra való belépéshez. </w:t>
      </w:r>
    </w:p>
    <w:p w14:paraId="4B19539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Végezetül, ez a beruházás magában foglalja az „Idősödő időskor” elnevezésű kísérleti program elindítását is, amelynek célja az idősek és/vagy a fogyatékossággal élők nem intézményi gondozásának előmozdítása. </w:t>
      </w:r>
    </w:p>
    <w:p w14:paraId="25A7EFAB" w14:textId="3AA9570B"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36A22E9D"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RE-C03–i05 beruházás: Platform + hozzáférés</w:t>
      </w:r>
    </w:p>
    <w:p w14:paraId="06E31F6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fogyatékossággal élő személyek befogadásának elősegítése azáltal, hogy digitális információs eszközöket és szolgáltatásokat biztosít, amelyek megkönnyítik szükségleteik kielégítését és megkönnyítik társadalmi részvételüket. </w:t>
      </w:r>
    </w:p>
    <w:p w14:paraId="5239124E" w14:textId="77777777" w:rsidR="00DC5EC6" w:rsidRDefault="003245A4">
      <w:pPr>
        <w:pStyle w:val="P68B1DB1-Normal4"/>
        <w:keepNext/>
        <w:spacing w:before="40" w:after="0" w:line="259" w:lineRule="auto"/>
        <w:jc w:val="both"/>
        <w:rPr>
          <w:rFonts w:eastAsiaTheme="minorEastAsia" w:cs="Times New Roman"/>
          <w:noProof/>
        </w:rPr>
      </w:pPr>
      <w:r>
        <w:rPr>
          <w:noProof/>
        </w:rPr>
        <w:t>A beruházás öt programból áll:</w:t>
      </w:r>
    </w:p>
    <w:p w14:paraId="72800A48"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középületek elhelyezkedésének és hozzáférhetőségi feltételeinek földrajzi hivatkozása; </w:t>
      </w:r>
    </w:p>
    <w:p w14:paraId="35176517"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nagy középületek globális információs és helymeghatározó rendszerei (GPS) és a magánépületek bevonásának lehetővé tétele; </w:t>
      </w:r>
    </w:p>
    <w:p w14:paraId="5D8E03C9"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A csökkent mozgásképességű személyek számára fenntartott parkolóhelyek földrajzi hivatkozása; </w:t>
      </w:r>
    </w:p>
    <w:p w14:paraId="2C342D75"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 xml:space="preserve">Digitális információs platform; </w:t>
      </w:r>
    </w:p>
    <w:p w14:paraId="68C0A982" w14:textId="77777777" w:rsidR="00DC5EC6" w:rsidRDefault="003245A4">
      <w:pPr>
        <w:pStyle w:val="P68B1DB1-Normal4"/>
        <w:keepNext/>
        <w:numPr>
          <w:ilvl w:val="0"/>
          <w:numId w:val="20"/>
        </w:numPr>
        <w:spacing w:before="40" w:after="160" w:line="259" w:lineRule="auto"/>
        <w:contextualSpacing/>
        <w:jc w:val="both"/>
        <w:rPr>
          <w:rFonts w:eastAsiaTheme="minorEastAsia" w:cs="Times New Roman"/>
          <w:noProof/>
        </w:rPr>
      </w:pPr>
      <w:r>
        <w:rPr>
          <w:noProof/>
        </w:rPr>
        <w:t>A portugál jelnyelv tolmácsolására szolgáló telefonos központ létrehozása.</w:t>
      </w:r>
    </w:p>
    <w:p w14:paraId="4233CF6C" w14:textId="1521E268" w:rsidR="00DC5EC6" w:rsidRDefault="003245A4">
      <w:pPr>
        <w:pStyle w:val="P68B1DB1-Normal4"/>
        <w:keepNext/>
        <w:spacing w:before="40" w:after="0" w:line="259" w:lineRule="auto"/>
        <w:jc w:val="both"/>
        <w:rPr>
          <w:rFonts w:eastAsiaTheme="minorEastAsia" w:cs="Times New Roman"/>
          <w:noProof/>
        </w:rPr>
      </w:pPr>
      <w:r>
        <w:rPr>
          <w:noProof/>
        </w:rPr>
        <w:t xml:space="preserve">E programok célja, hogy földrajzi referenciamegoldásokat biztosítsanak a közutakon, köz- és magánépületekben és parkolóhelyeken a csökkent mozgásképességű személyek számára az akadálymentességi feltételek tekintetében, olyan digitális információs platformot hozzanak létre, amely összesíti és egyszerűsíti a vonatkozó jogszabályokra vonatkozó információkat, és támogatja a fogyatékossággal élő személyek erőforrásait, valamint a siket polgárok számára egy olyan telefonos ügyfélszolgálatot biztosítson, amely garantálja a portugál jelnyelven (LGP) való valós idejű tolmácsolást, amely valamennyi közigazgatás számára elérhető. </w:t>
      </w:r>
    </w:p>
    <w:p w14:paraId="58A92AFD"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CE3140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RE-C03–i06 beruházás: Integrált műveletek a Lisszabon és Porto nagyvárosi területein élő hátrányos helyzetű közösségekben</w:t>
      </w:r>
    </w:p>
    <w:p w14:paraId="5E856FB8" w14:textId="77777777" w:rsidR="00DC5EC6" w:rsidRDefault="003245A4">
      <w:pPr>
        <w:pStyle w:val="P68B1DB1-Normal4"/>
        <w:keepNext/>
        <w:spacing w:before="40" w:after="0" w:line="259" w:lineRule="auto"/>
        <w:jc w:val="both"/>
        <w:rPr>
          <w:rFonts w:eastAsiaTheme="minorEastAsia" w:cs="Times New Roman"/>
          <w:noProof/>
        </w:rPr>
      </w:pPr>
      <w:r>
        <w:rPr>
          <w:noProof/>
        </w:rPr>
        <w:t>E széles körű és innovatív kísérleti intézkedés célja a szegénység és a társadalmi kirekesztés elleni küzdelem a lisszaboni és portói nagyvárosi területek leghátrányosabb helyzetű településein. Amennyiben a beavatkozások sikeresek, fokozhatók.</w:t>
      </w:r>
    </w:p>
    <w:p w14:paraId="401BD1D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az ezen önkormányzatok sajátos szükségleteihez kapcsolódó intézkedéscsomagból áll. Ezek az intézkedések magukban foglalják a közösségek szerepvállalását, a társadalmi kohézió új és innovatív megközelítéseinek kidolgozását, valamint a közterületekbe, a szociális és sportinfrastruktúrákba és a lakásokba történő beavatkozásokat. Az intézkedések fő célkitűzései a következők: </w:t>
      </w:r>
    </w:p>
    <w:p w14:paraId="064D0EF4"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közösségek egészségének és életminőségének előmozdítása a helyi hatóságok szövetségei, nem kormányzati szervezetek, civil mozgalmak és lakosok szervezetei, egészségügyi hatóságok vagy más állami szervek által benyújtott projektek támogatásával; </w:t>
      </w:r>
    </w:p>
    <w:p w14:paraId="554359D1"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közterületek és a szociális, egészségügyi, lakhatási vagy sportinfrastruktúra fizikai korszerűsítése; </w:t>
      </w:r>
    </w:p>
    <w:p w14:paraId="13D98317"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szociálisan hátrányos helyzetű területek rehabilitációja, a társadalmi kohézió előmozdítása a nagyvárosi területeken; </w:t>
      </w:r>
    </w:p>
    <w:p w14:paraId="1A86CCDE"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helyi kisvállalkozások vállalkozói tevékenységének ösztönzése; </w:t>
      </w:r>
    </w:p>
    <w:p w14:paraId="406E2D6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Az egészséghez való hozzáférés javítása és a függőségek elleni küzdelem;</w:t>
      </w:r>
    </w:p>
    <w:p w14:paraId="5DCF95B6"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Aktív és egészséges időskori programok kidolgozása; </w:t>
      </w:r>
    </w:p>
    <w:p w14:paraId="7FAF5F26"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Az iskolai kudarc és a lemorzsolódás elleni küzdelemre irányuló projektek kidolgozása;</w:t>
      </w:r>
    </w:p>
    <w:p w14:paraId="05E2349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felnőttek képzettségének és készségeik tanúsításának javítása; </w:t>
      </w:r>
    </w:p>
    <w:p w14:paraId="5207204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lakosság szükségleteinek felmérése és a felnőttkori írástudás, a portugál nyelvtanulás és a digitális befogadási programok fejlesztése; </w:t>
      </w:r>
    </w:p>
    <w:p w14:paraId="766D09F8"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Szakképzés és a helyi realitásokhoz és dinamikákhoz igazított foglalkoztathatóságot elősegítő politikák; </w:t>
      </w:r>
    </w:p>
    <w:p w14:paraId="50245D5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kultúrához és a kreativitáshoz való hozzáférés, valamint az interkulturálisság valorizációja; </w:t>
      </w:r>
    </w:p>
    <w:p w14:paraId="1E1CA766"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közösség részvételének ösztönzése magának a programnak az irányításában; </w:t>
      </w:r>
    </w:p>
    <w:p w14:paraId="4C4EA5A8"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helyi szereplők szerepvállalásának növelése a partnerségi hálózatokban; </w:t>
      </w:r>
    </w:p>
    <w:p w14:paraId="00360151"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Megoldások a szegénység és a társadalmi kirekesztés leküzdésére; </w:t>
      </w:r>
    </w:p>
    <w:p w14:paraId="32DD2764"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 xml:space="preserve">A sport mint a közösség tagjait összefogó, az értékeket előmozdító és a társadalmi egyenlőtlenségek elleni küzdelmet szolgáló szociális eszközök egyike; </w:t>
      </w:r>
    </w:p>
    <w:p w14:paraId="693CEC30" w14:textId="77777777" w:rsidR="00DC5EC6" w:rsidRDefault="003245A4">
      <w:pPr>
        <w:pStyle w:val="P68B1DB1-Normal4"/>
        <w:keepNext/>
        <w:numPr>
          <w:ilvl w:val="0"/>
          <w:numId w:val="21"/>
        </w:numPr>
        <w:spacing w:before="40" w:after="160" w:line="259" w:lineRule="auto"/>
        <w:contextualSpacing/>
        <w:jc w:val="both"/>
        <w:rPr>
          <w:rFonts w:eastAsiaTheme="minorEastAsia" w:cs="Times New Roman"/>
          <w:noProof/>
        </w:rPr>
      </w:pPr>
      <w:r>
        <w:rPr>
          <w:noProof/>
        </w:rPr>
        <w:t>Állampolgárság, a jogokhoz való hozzáférés és a polgári részvétel.</w:t>
      </w:r>
    </w:p>
    <w:p w14:paraId="613DD2E4" w14:textId="77777777" w:rsidR="00DC5EC6" w:rsidRDefault="003245A4">
      <w:pPr>
        <w:pStyle w:val="P68B1DB1-Normal4"/>
        <w:keepNext/>
        <w:spacing w:before="40" w:after="0" w:line="259" w:lineRule="auto"/>
        <w:jc w:val="both"/>
        <w:rPr>
          <w:rFonts w:eastAsiaTheme="minorEastAsia" w:cs="Times New Roman"/>
          <w:noProof/>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Pr>
          <w:noProof/>
        </w:rPr>
        <w:footnoteReference w:id="7"/>
      </w:r>
      <w:r>
        <w:rPr>
          <w:noProof/>
        </w:rPr>
        <w:t>; az uniós kibocsátáskereskedelmi rendszer (ETS) keretében végzett tevékenységek, amelyek a vonatkozó referenciaértékeknél nem alacsonyabb várható üvegházhatásúgáz-kibocsátást érnek el</w:t>
      </w:r>
      <w:r>
        <w:rPr>
          <w:noProof/>
        </w:rPr>
        <w:footnoteReference w:id="8"/>
      </w:r>
      <w:r>
        <w:rPr>
          <w:noProof/>
        </w:rPr>
        <w:t>; hulladéklerakókkal, hulladékégetőkkel</w:t>
      </w:r>
      <w:r>
        <w:rPr>
          <w:noProof/>
        </w:rPr>
        <w:footnoteReference w:id="9"/>
      </w:r>
      <w:r>
        <w:rPr>
          <w:noProof/>
        </w:rPr>
        <w:t xml:space="preserve"> és mechanikai-biológiai szennyvíztisztító telepekkel kapcsolatos tevékenységek</w:t>
      </w:r>
      <w:r>
        <w:rPr>
          <w:noProof/>
        </w:rPr>
        <w:footnoteReference w:id="10"/>
      </w:r>
      <w:r>
        <w:rPr>
          <w:noProof/>
        </w:rPr>
        <w:t xml:space="preserve">;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 </w:t>
      </w:r>
    </w:p>
    <w:p w14:paraId="1112183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365B9857" w14:textId="03150B32" w:rsidR="00DC5EC6" w:rsidRDefault="003245A4">
      <w:pPr>
        <w:pStyle w:val="P68B1DB1-Normal5"/>
        <w:keepNext/>
        <w:spacing w:before="240" w:after="0" w:line="259" w:lineRule="auto"/>
        <w:ind w:left="851"/>
        <w:jc w:val="both"/>
        <w:outlineLvl w:val="3"/>
        <w:rPr>
          <w:rFonts w:eastAsiaTheme="minorEastAsia" w:cs="Times New Roman"/>
          <w:noProof/>
        </w:rPr>
      </w:pPr>
      <w:bookmarkStart w:id="5" w:name="_Toc137472441"/>
      <w:r>
        <w:rPr>
          <w:noProof/>
        </w:rPr>
        <w:t>RE-C03-i07-RAA beruházás: A bentlakásos idősotthonok hálózatának korszerűsítése és bővítése</w:t>
      </w:r>
      <w:bookmarkEnd w:id="5"/>
      <w:r>
        <w:rPr>
          <w:noProof/>
        </w:rPr>
        <w:t xml:space="preserve"> </w:t>
      </w:r>
    </w:p>
    <w:p w14:paraId="72F021BC" w14:textId="06996ABE"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hogy támogatást nyújtson az Azori-szigetek autonóm régióban élő időseknek. </w:t>
      </w:r>
    </w:p>
    <w:p w14:paraId="014B2B3A" w14:textId="3DD1A0F6"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bentlakásos idősotthonokba (ERPI-k) történő beavatkozásokból áll. Ezek a beavatkozások magukban foglalják a meglévő létesítmények bővítését és felújítását, a bentlakásos gondozóotthonokban található 91 férőhelyet lefedve. </w:t>
      </w:r>
    </w:p>
    <w:p w14:paraId="3BC60259" w14:textId="69F9FA5D" w:rsidR="00DC5EC6" w:rsidRDefault="003245A4">
      <w:pPr>
        <w:pStyle w:val="P68B1DB1-Normal4"/>
        <w:keepNext/>
        <w:spacing w:before="40" w:after="0" w:line="259" w:lineRule="auto"/>
        <w:jc w:val="both"/>
        <w:rPr>
          <w:rFonts w:eastAsiaTheme="minorEastAsia" w:cs="Times New Roman"/>
          <w:noProof/>
        </w:rPr>
      </w:pPr>
      <w:r>
        <w:rPr>
          <w:noProof/>
        </w:rPr>
        <w:t xml:space="preserve">A beruházásnak hozzá kell járulnia a speciális és folyamatos gondozáshoz azok számára, akik olyan mértékű függőségben élnek vagy olyan bizonytalan helyzetben élnek, amely nem teszi lehetővé számukra, hogy otthoni támogatási szolgáltatásokat vegyenek igénybe. Az infrastruktúrának el kell kerülnie a fizikai hozzáférhetőség akadályait és akadályait, összhangban a fogyatékossággal élő személyek jogairól szóló ENSZ-egyezménnyel és a nemzeti jogszabályokkal, nevezetesen a fogyatékossággal élő személyek befogadására vonatkozó nemzeti stratégiával. </w:t>
      </w:r>
    </w:p>
    <w:p w14:paraId="3654E59A"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4C31BC3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5F48950" w14:textId="595B40F9" w:rsidR="00DC5EC6" w:rsidRDefault="003245A4">
      <w:pPr>
        <w:pStyle w:val="P68B1DB1-Heading214"/>
        <w:rPr>
          <w:noProof/>
        </w:rPr>
      </w:pPr>
      <w:bookmarkStart w:id="6" w:name="_Toc137472442"/>
      <w:r>
        <w:rPr>
          <w:noProof/>
        </w:rPr>
        <w:t>RE-C03-r38 reform: A szociális biztonsági rendszer egyszerűsítése és hatékonysága</w:t>
      </w:r>
    </w:p>
    <w:p w14:paraId="7144A198" w14:textId="0CEAF0E9" w:rsidR="00DC5EC6" w:rsidRDefault="003245A4">
      <w:pPr>
        <w:pStyle w:val="P68B1DB1-Normal4"/>
        <w:keepNext/>
        <w:spacing w:before="40" w:after="0" w:line="259" w:lineRule="auto"/>
        <w:jc w:val="both"/>
        <w:rPr>
          <w:rFonts w:eastAsiaTheme="minorEastAsia" w:cs="Times New Roman"/>
          <w:noProof/>
        </w:rPr>
      </w:pPr>
      <w:r>
        <w:rPr>
          <w:noProof/>
        </w:rPr>
        <w:t>E reform célja Portugália szociális biztonsági rendszerének egyszerűsítése („Sistema de Segurança Social”) annak érdekében, hogy a szociális ellátások megfelelőségének, lefedettségének és igénybevételének javítása révén fokozza annak hatékonyságát a szegénység és a társadalmi kirekesztés elleni küzdelemben. A reform célja, hogy hozzájáruljon a szociális jogok európai pillérére vonatkozó cselekvési terv nemzeti célkitűzéseihez, nevezetesen ahhoz a célhoz, hogy 2030-ig 765000 fővel csökkenjen a szegénység, valamint az aktív befogadást biztosító megfelelő minimumjövedelemről szóló tanácsi ajánlás elveinek végrehajtásához.</w:t>
      </w:r>
    </w:p>
    <w:p w14:paraId="70F834C2" w14:textId="77777777" w:rsidR="00DC5EC6" w:rsidRDefault="003245A4">
      <w:pPr>
        <w:pStyle w:val="P68B1DB1-Normal4"/>
        <w:keepNext/>
        <w:spacing w:before="40" w:after="0" w:line="259" w:lineRule="auto"/>
        <w:jc w:val="both"/>
        <w:rPr>
          <w:rFonts w:eastAsiaTheme="minorEastAsia" w:cs="Times New Roman"/>
          <w:noProof/>
        </w:rPr>
      </w:pPr>
      <w:r>
        <w:rPr>
          <w:noProof/>
        </w:rPr>
        <w:t>A portugál szociális biztonsági rendszer három alrendszert foglal magában: az állampolgársági szociális védelmi rendszer („Proteção Social de Cidadania”) vagy a nem járulékalapú rendszer; a munkavállalók és munkáltatók járulékain alapuló biztosítási rendszer („Sistema Previdencial”) vagy járulékalapú rendszer; valamint iii. a kiegészítő rendszer („Sistema Complementar”), amely önkéntes, és amely állami és magán kiegészítő rendszereket foglal magában.</w:t>
      </w:r>
    </w:p>
    <w:p w14:paraId="7D0CF015" w14:textId="77777777" w:rsidR="00DC5EC6" w:rsidRDefault="003245A4">
      <w:pPr>
        <w:pStyle w:val="P68B1DB1-Normal4"/>
        <w:keepNext/>
        <w:spacing w:before="40" w:after="0" w:line="259" w:lineRule="auto"/>
        <w:jc w:val="both"/>
        <w:rPr>
          <w:rFonts w:eastAsiaTheme="minorEastAsia" w:cs="Times New Roman"/>
          <w:noProof/>
        </w:rPr>
      </w:pPr>
      <w:r>
        <w:rPr>
          <w:noProof/>
        </w:rPr>
        <w:t>A reform figyelembe veszi a szakértői munkacsoport által készítendő jelentést és az érdekelt felekkel folytatott megfelelő konzultációkat, és meghatározza a következő elemeket:</w:t>
      </w:r>
    </w:p>
    <w:p w14:paraId="74634E56" w14:textId="77777777" w:rsidR="00DC5EC6" w:rsidRDefault="003245A4">
      <w:pPr>
        <w:pStyle w:val="ListParagraph"/>
        <w:keepNext w:val="0"/>
        <w:numPr>
          <w:ilvl w:val="0"/>
          <w:numId w:val="73"/>
        </w:numPr>
        <w:spacing w:before="120" w:after="120" w:line="240" w:lineRule="auto"/>
        <w:rPr>
          <w:noProof/>
        </w:rPr>
      </w:pPr>
      <w:r>
        <w:rPr>
          <w:noProof/>
        </w:rPr>
        <w:t>Egységes szociális ellátás. Ez az állampolgársági szociális védelmi rendszer keretében legalább nyolc, nem járulékalapú szociális ellátást foglal magában, beleértve a minimáljövedelem-rendszert („</w:t>
      </w:r>
      <w:r>
        <w:rPr>
          <w:i/>
          <w:noProof/>
        </w:rPr>
        <w:t>Rendimento Social de Inserção”</w:t>
      </w:r>
      <w:r>
        <w:rPr>
          <w:noProof/>
        </w:rPr>
        <w:t>) is. A konszolidálandó szociális ellátásokhoz képest az egységes szociális ellátásnak legalább egyenértékű fedezetet kell biztosítania a magas gazdasági és társadalmi kiszolgáltatott helyzetben lévő személyek számára. Az egységes szociális ellátás hozzájárul a meglévő rendszerek közötti átfedések megszüntetéséhez, és kialakítása elősegíti a szociális ellátásokhoz való egyszerűbb és közvetlenebb hozzáférést. A tervezési és végrehajtási folyamat során biztosítani kell az érintett szociális partnerek bevonását és a velük folytatott konzultációt.</w:t>
      </w:r>
    </w:p>
    <w:bookmarkEnd w:id="6"/>
    <w:p w14:paraId="2D9DB4FE" w14:textId="2090F351" w:rsidR="00DC5EC6" w:rsidRDefault="003245A4">
      <w:pPr>
        <w:pStyle w:val="ListParagraph"/>
        <w:keepNext w:val="0"/>
        <w:numPr>
          <w:ilvl w:val="0"/>
          <w:numId w:val="73"/>
        </w:numPr>
        <w:spacing w:before="120" w:after="120" w:line="240" w:lineRule="auto"/>
        <w:rPr>
          <w:noProof/>
        </w:rPr>
      </w:pPr>
      <w:r>
        <w:rPr>
          <w:noProof/>
        </w:rPr>
        <w:t>A szociális ellátások kódexe. Ez egyszerűsíti, harmonizálja és egységes szerkezetbe foglalja a szociális ellátásokat szabályozó jogszabályokat a nagyobb átláthatóság és a rendelkezésre álló szociális ellátások jobb megértése érdekében. A szociális ellátásokról szóló kódex a járulékalapú rendszerek kódexének („</w:t>
      </w:r>
      <w:r>
        <w:rPr>
          <w:i/>
          <w:noProof/>
        </w:rPr>
        <w:t>Código dos Regimes Contributivos do Sistema Previdencial de Segurança Social”</w:t>
      </w:r>
      <w:r>
        <w:rPr>
          <w:noProof/>
        </w:rPr>
        <w:t>) modelljét követi, amely jelenleg a fent említett három szociális biztonsági alrendszer közül csak az egyikre terjed ki.</w:t>
      </w:r>
    </w:p>
    <w:p w14:paraId="65BAB00F" w14:textId="14D4ADCA" w:rsidR="00DC5EC6" w:rsidRDefault="003245A4">
      <w:pPr>
        <w:pStyle w:val="P68B1DB1-Normal4"/>
        <w:keepNext/>
        <w:spacing w:before="40" w:after="0" w:line="259" w:lineRule="auto"/>
        <w:jc w:val="both"/>
        <w:rPr>
          <w:rFonts w:eastAsiaTheme="minorEastAsia" w:cs="Times New Roman"/>
          <w:noProof/>
        </w:rPr>
      </w:pPr>
      <w:r>
        <w:rPr>
          <w:noProof/>
        </w:rPr>
        <w:t>A reform végrehajtását 2026. június 30-ig be kell fejezni.</w:t>
      </w:r>
    </w:p>
    <w:p w14:paraId="1686E08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3E4D1C0" w14:textId="77777777" w:rsidR="00DC5EC6" w:rsidRDefault="00DC5EC6">
      <w:pPr>
        <w:keepNext/>
        <w:spacing w:before="40" w:after="0" w:line="259" w:lineRule="auto"/>
        <w:jc w:val="both"/>
        <w:rPr>
          <w:rFonts w:ascii="Times New Roman" w:hAnsi="Times New Roman" w:cs="Times New Roman"/>
          <w:noProof/>
          <w:sz w:val="24"/>
        </w:rPr>
        <w:sectPr w:rsidR="00DC5EC6" w:rsidSect="00E00EDD">
          <w:headerReference w:type="even" r:id="rId72"/>
          <w:headerReference w:type="default" r:id="rId73"/>
          <w:footerReference w:type="even" r:id="rId74"/>
          <w:footerReference w:type="default" r:id="rId75"/>
          <w:headerReference w:type="first" r:id="rId76"/>
          <w:footerReference w:type="first" r:id="rId77"/>
          <w:pgSz w:w="11907" w:h="16839"/>
          <w:pgMar w:top="1134" w:right="1134" w:bottom="1134" w:left="1134" w:header="567" w:footer="567" w:gutter="0"/>
          <w:cols w:space="720"/>
          <w:docGrid w:linePitch="360"/>
        </w:sectPr>
      </w:pPr>
    </w:p>
    <w:p w14:paraId="6C4F7390"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C.2. Vissza nem térítendő pénzügyi támogatás – a végrehajtáshoz és a nyomon követéshez kapcsolódó mérföldkövek, célok, mutatók és ütemterv</w:t>
      </w:r>
    </w:p>
    <w:p w14:paraId="3F759351" w14:textId="07276F59" w:rsidR="00DC5EC6" w:rsidRDefault="00DC5EC6">
      <w:pPr>
        <w:keepNext/>
        <w:spacing w:before="40" w:after="0" w:line="259" w:lineRule="auto"/>
        <w:jc w:val="both"/>
        <w:rPr>
          <w:rFonts w:ascii="Times New Roman" w:eastAsiaTheme="minorEastAsia" w:hAnsi="Times New Roman" w:cs="Times New Roman"/>
          <w:noProof/>
          <w:sz w:val="24"/>
        </w:rPr>
      </w:pPr>
    </w:p>
    <w:tbl>
      <w:tblPr>
        <w:tblW w:w="151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143"/>
        <w:gridCol w:w="982"/>
        <w:gridCol w:w="1740"/>
        <w:gridCol w:w="1486"/>
        <w:gridCol w:w="1014"/>
        <w:gridCol w:w="1014"/>
        <w:gridCol w:w="882"/>
        <w:gridCol w:w="680"/>
        <w:gridCol w:w="845"/>
        <w:gridCol w:w="4277"/>
      </w:tblGrid>
      <w:tr w:rsidR="00DC5EC6" w14:paraId="14AD79ED" w14:textId="77777777">
        <w:trPr>
          <w:trHeight w:val="910"/>
          <w:tblHeader/>
        </w:trPr>
        <w:tc>
          <w:tcPr>
            <w:tcW w:w="1124" w:type="dxa"/>
            <w:vMerge w:val="restart"/>
            <w:shd w:val="clear" w:color="auto" w:fill="BDD6EE"/>
            <w:vAlign w:val="center"/>
            <w:hideMark/>
          </w:tcPr>
          <w:p w14:paraId="12E042F4"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43" w:type="dxa"/>
            <w:vMerge w:val="restart"/>
            <w:shd w:val="clear" w:color="auto" w:fill="BDD6EE"/>
            <w:vAlign w:val="center"/>
            <w:hideMark/>
          </w:tcPr>
          <w:p w14:paraId="40754ED3"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82" w:type="dxa"/>
            <w:vMerge w:val="restart"/>
            <w:shd w:val="clear" w:color="auto" w:fill="BDD6EE"/>
            <w:vAlign w:val="center"/>
            <w:hideMark/>
          </w:tcPr>
          <w:p w14:paraId="6F5DD9BA" w14:textId="0EE9A1D3" w:rsidR="00DC5EC6" w:rsidRDefault="003245A4">
            <w:pPr>
              <w:pStyle w:val="P68B1DB1-Normal6"/>
              <w:spacing w:after="0" w:line="240" w:lineRule="auto"/>
              <w:jc w:val="center"/>
              <w:rPr>
                <w:rFonts w:eastAsia="Times New Roman" w:cs="Times New Roman"/>
                <w:noProof/>
              </w:rPr>
            </w:pPr>
            <w:r>
              <w:rPr>
                <w:noProof/>
              </w:rPr>
              <w:t>Mérföldkő/cél</w:t>
            </w:r>
          </w:p>
        </w:tc>
        <w:tc>
          <w:tcPr>
            <w:tcW w:w="1740" w:type="dxa"/>
            <w:vMerge w:val="restart"/>
            <w:shd w:val="clear" w:color="auto" w:fill="BDD6EE"/>
            <w:vAlign w:val="center"/>
            <w:hideMark/>
          </w:tcPr>
          <w:p w14:paraId="7E76B60B"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86" w:type="dxa"/>
            <w:vMerge w:val="restart"/>
            <w:shd w:val="clear" w:color="auto" w:fill="BDD6EE"/>
            <w:vAlign w:val="center"/>
            <w:hideMark/>
          </w:tcPr>
          <w:p w14:paraId="2B32BF68"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10" w:type="dxa"/>
            <w:gridSpan w:val="3"/>
            <w:shd w:val="clear" w:color="auto" w:fill="BDD6EE"/>
            <w:vAlign w:val="center"/>
            <w:hideMark/>
          </w:tcPr>
          <w:p w14:paraId="54E5B28D"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525" w:type="dxa"/>
            <w:gridSpan w:val="2"/>
            <w:shd w:val="clear" w:color="auto" w:fill="BDD6EE"/>
            <w:vAlign w:val="center"/>
            <w:hideMark/>
          </w:tcPr>
          <w:p w14:paraId="0AFFA6CA"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277" w:type="dxa"/>
            <w:vMerge w:val="restart"/>
            <w:shd w:val="clear" w:color="auto" w:fill="BDD6EE"/>
            <w:vAlign w:val="center"/>
            <w:hideMark/>
          </w:tcPr>
          <w:p w14:paraId="0CAE4583"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3DC9B5E4" w14:textId="77777777">
        <w:trPr>
          <w:trHeight w:val="470"/>
          <w:tblHeader/>
        </w:trPr>
        <w:tc>
          <w:tcPr>
            <w:tcW w:w="1124" w:type="dxa"/>
            <w:vMerge/>
            <w:vAlign w:val="center"/>
            <w:hideMark/>
          </w:tcPr>
          <w:p w14:paraId="5E2B2993" w14:textId="77777777" w:rsidR="00DC5EC6" w:rsidRDefault="00DC5EC6">
            <w:pPr>
              <w:spacing w:after="0" w:line="240" w:lineRule="auto"/>
              <w:rPr>
                <w:rFonts w:ascii="Times New Roman" w:eastAsia="Times New Roman" w:hAnsi="Times New Roman" w:cs="Times New Roman"/>
                <w:b/>
                <w:noProof/>
                <w:sz w:val="18"/>
              </w:rPr>
            </w:pPr>
          </w:p>
        </w:tc>
        <w:tc>
          <w:tcPr>
            <w:tcW w:w="1143" w:type="dxa"/>
            <w:vMerge/>
            <w:vAlign w:val="center"/>
            <w:hideMark/>
          </w:tcPr>
          <w:p w14:paraId="38E6DA3F" w14:textId="77777777" w:rsidR="00DC5EC6" w:rsidRDefault="00DC5EC6">
            <w:pPr>
              <w:spacing w:after="0" w:line="240" w:lineRule="auto"/>
              <w:rPr>
                <w:rFonts w:ascii="Times New Roman" w:eastAsia="Times New Roman" w:hAnsi="Times New Roman" w:cs="Times New Roman"/>
                <w:b/>
                <w:noProof/>
                <w:sz w:val="18"/>
              </w:rPr>
            </w:pPr>
          </w:p>
        </w:tc>
        <w:tc>
          <w:tcPr>
            <w:tcW w:w="982" w:type="dxa"/>
            <w:vMerge/>
            <w:shd w:val="clear" w:color="auto" w:fill="BDD6EE"/>
            <w:vAlign w:val="center"/>
            <w:hideMark/>
          </w:tcPr>
          <w:p w14:paraId="0B4F87AB" w14:textId="41568FFB" w:rsidR="00DC5EC6" w:rsidRDefault="00DC5EC6">
            <w:pPr>
              <w:spacing w:after="0" w:line="240" w:lineRule="auto"/>
              <w:jc w:val="center"/>
              <w:rPr>
                <w:rFonts w:ascii="Times New Roman" w:eastAsia="Times New Roman" w:hAnsi="Times New Roman" w:cs="Times New Roman"/>
                <w:b/>
                <w:noProof/>
                <w:sz w:val="18"/>
              </w:rPr>
            </w:pPr>
          </w:p>
        </w:tc>
        <w:tc>
          <w:tcPr>
            <w:tcW w:w="1740" w:type="dxa"/>
            <w:vMerge/>
            <w:vAlign w:val="center"/>
            <w:hideMark/>
          </w:tcPr>
          <w:p w14:paraId="05146A5D" w14:textId="77777777" w:rsidR="00DC5EC6" w:rsidRDefault="00DC5EC6">
            <w:pPr>
              <w:spacing w:after="0" w:line="240" w:lineRule="auto"/>
              <w:rPr>
                <w:rFonts w:ascii="Times New Roman" w:eastAsia="Times New Roman" w:hAnsi="Times New Roman" w:cs="Times New Roman"/>
                <w:b/>
                <w:noProof/>
                <w:sz w:val="18"/>
              </w:rPr>
            </w:pPr>
          </w:p>
        </w:tc>
        <w:tc>
          <w:tcPr>
            <w:tcW w:w="1486" w:type="dxa"/>
            <w:vMerge/>
            <w:vAlign w:val="center"/>
            <w:hideMark/>
          </w:tcPr>
          <w:p w14:paraId="7B4130F2" w14:textId="77777777" w:rsidR="00DC5EC6" w:rsidRDefault="00DC5EC6">
            <w:pPr>
              <w:spacing w:after="0" w:line="240" w:lineRule="auto"/>
              <w:rPr>
                <w:rFonts w:ascii="Times New Roman" w:eastAsia="Times New Roman" w:hAnsi="Times New Roman" w:cs="Times New Roman"/>
                <w:b/>
                <w:noProof/>
                <w:sz w:val="18"/>
              </w:rPr>
            </w:pPr>
          </w:p>
        </w:tc>
        <w:tc>
          <w:tcPr>
            <w:tcW w:w="1014" w:type="dxa"/>
            <w:shd w:val="clear" w:color="auto" w:fill="BDD6EE"/>
            <w:vAlign w:val="center"/>
            <w:hideMark/>
          </w:tcPr>
          <w:p w14:paraId="0EFFB8D7"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1014" w:type="dxa"/>
            <w:shd w:val="clear" w:color="auto" w:fill="BDD6EE"/>
            <w:vAlign w:val="center"/>
            <w:hideMark/>
          </w:tcPr>
          <w:p w14:paraId="0362CC94"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82" w:type="dxa"/>
            <w:shd w:val="clear" w:color="auto" w:fill="BDD6EE"/>
            <w:vAlign w:val="center"/>
            <w:hideMark/>
          </w:tcPr>
          <w:p w14:paraId="004EED49" w14:textId="77777777" w:rsidR="00DC5EC6" w:rsidRDefault="003245A4">
            <w:pPr>
              <w:pStyle w:val="P68B1DB1-Normal6"/>
              <w:spacing w:after="0" w:line="240" w:lineRule="auto"/>
              <w:jc w:val="center"/>
              <w:rPr>
                <w:rFonts w:eastAsia="Times New Roman" w:cs="Times New Roman"/>
                <w:noProof/>
              </w:rPr>
            </w:pPr>
            <w:r>
              <w:rPr>
                <w:noProof/>
              </w:rPr>
              <w:t>Cél</w:t>
            </w:r>
          </w:p>
        </w:tc>
        <w:tc>
          <w:tcPr>
            <w:tcW w:w="680" w:type="dxa"/>
            <w:shd w:val="clear" w:color="auto" w:fill="BDD6EE"/>
            <w:vAlign w:val="center"/>
            <w:hideMark/>
          </w:tcPr>
          <w:p w14:paraId="6EF1C0BD" w14:textId="2BC0F812" w:rsidR="00DC5EC6" w:rsidRDefault="006E607E">
            <w:pPr>
              <w:pStyle w:val="P68B1DB1-Normal6"/>
              <w:spacing w:after="0" w:line="240" w:lineRule="auto"/>
              <w:jc w:val="center"/>
              <w:rPr>
                <w:rFonts w:eastAsia="Times New Roman" w:cs="Times New Roman"/>
                <w:noProof/>
              </w:rPr>
            </w:pPr>
            <w:r>
              <w:rPr>
                <w:noProof/>
              </w:rPr>
              <w:t>Negyedév</w:t>
            </w:r>
          </w:p>
        </w:tc>
        <w:tc>
          <w:tcPr>
            <w:tcW w:w="845" w:type="dxa"/>
            <w:shd w:val="clear" w:color="auto" w:fill="BDD6EE"/>
            <w:vAlign w:val="center"/>
            <w:hideMark/>
          </w:tcPr>
          <w:p w14:paraId="4B7C0DD8" w14:textId="24F996BE" w:rsidR="00DC5EC6" w:rsidRDefault="003245A4">
            <w:pPr>
              <w:pStyle w:val="P68B1DB1-Normal6"/>
              <w:spacing w:after="0" w:line="240" w:lineRule="auto"/>
              <w:jc w:val="center"/>
              <w:rPr>
                <w:rFonts w:eastAsia="Times New Roman" w:cs="Times New Roman"/>
                <w:noProof/>
              </w:rPr>
            </w:pPr>
            <w:r>
              <w:rPr>
                <w:noProof/>
              </w:rPr>
              <w:t>Év</w:t>
            </w:r>
          </w:p>
        </w:tc>
        <w:tc>
          <w:tcPr>
            <w:tcW w:w="4277" w:type="dxa"/>
            <w:vMerge/>
            <w:vAlign w:val="center"/>
            <w:hideMark/>
          </w:tcPr>
          <w:p w14:paraId="712BF101" w14:textId="77777777" w:rsidR="00DC5EC6" w:rsidRDefault="00DC5EC6">
            <w:pPr>
              <w:spacing w:after="0" w:line="240" w:lineRule="auto"/>
              <w:rPr>
                <w:rFonts w:ascii="Times New Roman" w:eastAsia="Times New Roman" w:hAnsi="Times New Roman" w:cs="Times New Roman"/>
                <w:b/>
                <w:noProof/>
                <w:sz w:val="18"/>
              </w:rPr>
            </w:pPr>
          </w:p>
        </w:tc>
      </w:tr>
      <w:tr w:rsidR="00DC5EC6" w14:paraId="4FB1DEE7" w14:textId="77777777">
        <w:trPr>
          <w:trHeight w:val="640"/>
        </w:trPr>
        <w:tc>
          <w:tcPr>
            <w:tcW w:w="1124" w:type="dxa"/>
            <w:shd w:val="clear" w:color="auto" w:fill="C5EFCE"/>
            <w:vAlign w:val="center"/>
            <w:hideMark/>
          </w:tcPr>
          <w:p w14:paraId="7E53AF7C" w14:textId="77777777" w:rsidR="00DC5EC6" w:rsidRDefault="003245A4">
            <w:pPr>
              <w:pStyle w:val="P68B1DB1-Normal7"/>
              <w:spacing w:after="0" w:line="240" w:lineRule="auto"/>
              <w:jc w:val="center"/>
              <w:rPr>
                <w:rFonts w:eastAsia="Times New Roman" w:cs="Calibri"/>
                <w:noProof/>
              </w:rPr>
            </w:pPr>
            <w:r>
              <w:rPr>
                <w:noProof/>
              </w:rPr>
              <w:t>3.1</w:t>
            </w:r>
          </w:p>
        </w:tc>
        <w:tc>
          <w:tcPr>
            <w:tcW w:w="1143" w:type="dxa"/>
            <w:shd w:val="clear" w:color="auto" w:fill="C4EFCE"/>
            <w:vAlign w:val="center"/>
            <w:hideMark/>
          </w:tcPr>
          <w:p w14:paraId="6B802912"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2EB48FA7"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F7B3BC" w14:textId="77777777" w:rsidR="00DC5EC6" w:rsidRDefault="003245A4">
            <w:pPr>
              <w:pStyle w:val="P68B1DB1-Normal8"/>
              <w:spacing w:after="0" w:line="240" w:lineRule="auto"/>
              <w:jc w:val="center"/>
              <w:rPr>
                <w:rFonts w:eastAsia="Times New Roman" w:cs="Calibri"/>
                <w:noProof/>
              </w:rPr>
            </w:pPr>
            <w:r>
              <w:rPr>
                <w:noProof/>
              </w:rPr>
              <w:t>Elektromos járművek szállítása</w:t>
            </w:r>
          </w:p>
        </w:tc>
        <w:tc>
          <w:tcPr>
            <w:tcW w:w="1486" w:type="dxa"/>
            <w:shd w:val="clear" w:color="auto" w:fill="C4EFCE"/>
            <w:vAlign w:val="center"/>
            <w:hideMark/>
          </w:tcPr>
          <w:p w14:paraId="3CB72ABC"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9EF364D"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4903172A"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69C9561" w14:textId="77777777" w:rsidR="00DC5EC6" w:rsidRDefault="003245A4">
            <w:pPr>
              <w:pStyle w:val="P68B1DB1-Normal8"/>
              <w:spacing w:after="0" w:line="240" w:lineRule="auto"/>
              <w:jc w:val="center"/>
              <w:rPr>
                <w:rFonts w:eastAsia="Times New Roman" w:cs="Calibri"/>
                <w:noProof/>
              </w:rPr>
            </w:pPr>
            <w:r>
              <w:rPr>
                <w:noProof/>
              </w:rPr>
              <w:t>2 500</w:t>
            </w:r>
          </w:p>
        </w:tc>
        <w:tc>
          <w:tcPr>
            <w:tcW w:w="680" w:type="dxa"/>
            <w:shd w:val="clear" w:color="auto" w:fill="C4EFCE"/>
            <w:vAlign w:val="center"/>
            <w:hideMark/>
          </w:tcPr>
          <w:p w14:paraId="101B6C07" w14:textId="4F81F1EF" w:rsidR="00DC5EC6" w:rsidRDefault="006E607E">
            <w:pPr>
              <w:pStyle w:val="P68B1DB1-Normal8"/>
              <w:spacing w:after="0" w:line="240" w:lineRule="auto"/>
              <w:jc w:val="center"/>
              <w:rPr>
                <w:rFonts w:eastAsia="Times New Roman" w:cs="Calibri"/>
                <w:noProof/>
              </w:rPr>
            </w:pPr>
            <w:r>
              <w:rPr>
                <w:noProof/>
              </w:rPr>
              <w:t>1.NEGYEDÉV</w:t>
            </w:r>
          </w:p>
        </w:tc>
        <w:tc>
          <w:tcPr>
            <w:tcW w:w="845" w:type="dxa"/>
            <w:shd w:val="clear" w:color="auto" w:fill="C4EFCE"/>
            <w:vAlign w:val="center"/>
            <w:hideMark/>
          </w:tcPr>
          <w:p w14:paraId="070C0E74" w14:textId="77777777"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74933DAC" w14:textId="77777777" w:rsidR="00DC5EC6" w:rsidRDefault="003245A4">
            <w:pPr>
              <w:pStyle w:val="P68B1DB1-Normal8"/>
              <w:spacing w:after="0" w:line="240" w:lineRule="auto"/>
              <w:jc w:val="both"/>
              <w:rPr>
                <w:rFonts w:eastAsia="Times New Roman" w:cs="Calibri"/>
                <w:noProof/>
              </w:rPr>
            </w:pPr>
            <w:r>
              <w:rPr>
                <w:noProof/>
              </w:rPr>
              <w:t>Az Instituições Particulares de Solidariedade Social (IPSS) vagy hasonló támogatható szociális szolgáltatók számára otthoni segítségnyújtásra és/vagy csökkent mozgásképességű személyek szállítására alkalmas új elektromos járművek szállítása.</w:t>
            </w:r>
          </w:p>
        </w:tc>
      </w:tr>
      <w:tr w:rsidR="00DC5EC6" w14:paraId="695A83D6" w14:textId="77777777">
        <w:trPr>
          <w:trHeight w:val="797"/>
        </w:trPr>
        <w:tc>
          <w:tcPr>
            <w:tcW w:w="1124" w:type="dxa"/>
            <w:shd w:val="clear" w:color="auto" w:fill="C5EFCE"/>
            <w:vAlign w:val="center"/>
            <w:hideMark/>
          </w:tcPr>
          <w:p w14:paraId="75C121A6" w14:textId="77777777" w:rsidR="00DC5EC6" w:rsidRDefault="003245A4">
            <w:pPr>
              <w:pStyle w:val="P68B1DB1-Normal7"/>
              <w:spacing w:after="0" w:line="240" w:lineRule="auto"/>
              <w:jc w:val="center"/>
              <w:rPr>
                <w:rFonts w:eastAsia="Times New Roman" w:cs="Calibri"/>
                <w:noProof/>
              </w:rPr>
            </w:pPr>
            <w:r>
              <w:rPr>
                <w:noProof/>
              </w:rPr>
              <w:t>3.2</w:t>
            </w:r>
          </w:p>
        </w:tc>
        <w:tc>
          <w:tcPr>
            <w:tcW w:w="1143" w:type="dxa"/>
            <w:shd w:val="clear" w:color="auto" w:fill="C4EFCE"/>
            <w:vAlign w:val="center"/>
            <w:hideMark/>
          </w:tcPr>
          <w:p w14:paraId="0D34E66D"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4178A6A9"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4C9E6AAD" w14:textId="77777777" w:rsidR="00DC5EC6" w:rsidRDefault="003245A4">
            <w:pPr>
              <w:pStyle w:val="P68B1DB1-Normal8"/>
              <w:spacing w:after="0" w:line="240" w:lineRule="auto"/>
              <w:jc w:val="center"/>
              <w:rPr>
                <w:rFonts w:eastAsia="Times New Roman" w:cs="Calibri"/>
                <w:noProof/>
              </w:rPr>
            </w:pPr>
            <w:r>
              <w:rPr>
                <w:noProof/>
              </w:rPr>
              <w:t>Szociális intervenciós csoportok létrehozása (Radar Social)</w:t>
            </w:r>
          </w:p>
        </w:tc>
        <w:tc>
          <w:tcPr>
            <w:tcW w:w="1486" w:type="dxa"/>
            <w:shd w:val="clear" w:color="auto" w:fill="C4EFCE"/>
            <w:vAlign w:val="center"/>
            <w:hideMark/>
          </w:tcPr>
          <w:p w14:paraId="746F3B0C"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A393125"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2F1F46F6"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DF22222" w14:textId="77777777" w:rsidR="00DC5EC6" w:rsidRDefault="003245A4">
            <w:pPr>
              <w:pStyle w:val="P68B1DB1-Normal8"/>
              <w:spacing w:after="0" w:line="240" w:lineRule="auto"/>
              <w:jc w:val="center"/>
              <w:rPr>
                <w:rFonts w:eastAsia="Times New Roman" w:cs="Calibri"/>
                <w:noProof/>
              </w:rPr>
            </w:pPr>
            <w:r>
              <w:rPr>
                <w:noProof/>
              </w:rPr>
              <w:t>278</w:t>
            </w:r>
          </w:p>
        </w:tc>
        <w:tc>
          <w:tcPr>
            <w:tcW w:w="680" w:type="dxa"/>
            <w:shd w:val="clear" w:color="auto" w:fill="C4EFCE"/>
            <w:vAlign w:val="center"/>
            <w:hideMark/>
          </w:tcPr>
          <w:p w14:paraId="2D14593B" w14:textId="4F6ACDD5"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00AFEEF9" w14:textId="77777777"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786F8552" w14:textId="77777777" w:rsidR="00DC5EC6" w:rsidRDefault="003245A4">
            <w:pPr>
              <w:pStyle w:val="P68B1DB1-Normal8"/>
              <w:spacing w:after="0" w:line="240" w:lineRule="auto"/>
              <w:jc w:val="both"/>
              <w:rPr>
                <w:rFonts w:eastAsia="Times New Roman" w:cs="Calibri"/>
                <w:noProof/>
              </w:rPr>
            </w:pPr>
            <w:r>
              <w:rPr>
                <w:noProof/>
              </w:rPr>
              <w:t>278 szociális intervenciós csapat létrehozása Portugália kontinentális településein.</w:t>
            </w:r>
          </w:p>
        </w:tc>
      </w:tr>
      <w:tr w:rsidR="00DC5EC6" w14:paraId="6CA14E84" w14:textId="77777777">
        <w:trPr>
          <w:trHeight w:val="290"/>
        </w:trPr>
        <w:tc>
          <w:tcPr>
            <w:tcW w:w="1124" w:type="dxa"/>
            <w:shd w:val="clear" w:color="auto" w:fill="C5EFCE"/>
            <w:vAlign w:val="center"/>
            <w:hideMark/>
          </w:tcPr>
          <w:p w14:paraId="5080A772" w14:textId="77777777" w:rsidR="00DC5EC6" w:rsidRDefault="003245A4">
            <w:pPr>
              <w:pStyle w:val="P68B1DB1-Normal7"/>
              <w:spacing w:after="0" w:line="240" w:lineRule="auto"/>
              <w:jc w:val="center"/>
              <w:rPr>
                <w:rFonts w:eastAsia="Times New Roman" w:cs="Calibri"/>
                <w:noProof/>
              </w:rPr>
            </w:pPr>
            <w:r>
              <w:rPr>
                <w:noProof/>
              </w:rPr>
              <w:t>3.3</w:t>
            </w:r>
          </w:p>
        </w:tc>
        <w:tc>
          <w:tcPr>
            <w:tcW w:w="1143" w:type="dxa"/>
            <w:shd w:val="clear" w:color="auto" w:fill="C4EFCE"/>
            <w:vAlign w:val="center"/>
            <w:hideMark/>
          </w:tcPr>
          <w:p w14:paraId="72A4A02B"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30A19712"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422D5459" w14:textId="31604FA9" w:rsidR="00DC5EC6" w:rsidRDefault="003245A4">
            <w:pPr>
              <w:pStyle w:val="P68B1DB1-Normal8"/>
              <w:spacing w:after="0" w:line="240" w:lineRule="auto"/>
              <w:jc w:val="center"/>
              <w:rPr>
                <w:rFonts w:eastAsia="Times New Roman" w:cs="Calibri"/>
                <w:noProof/>
              </w:rPr>
            </w:pPr>
            <w:r>
              <w:rPr>
                <w:noProof/>
              </w:rPr>
              <w:t xml:space="preserve"> A szociális létesítmények/szociális válaszok hálózatának létrehozására és bővítésére irányuló támogató szervezetek támogatására irányuló szerződések odaítélése.</w:t>
            </w:r>
          </w:p>
        </w:tc>
        <w:tc>
          <w:tcPr>
            <w:tcW w:w="1486" w:type="dxa"/>
            <w:shd w:val="clear" w:color="auto" w:fill="C4EFCE"/>
            <w:vAlign w:val="center"/>
            <w:hideMark/>
          </w:tcPr>
          <w:p w14:paraId="6009A6C2" w14:textId="77777777" w:rsidR="00DC5EC6" w:rsidRDefault="003245A4">
            <w:pPr>
              <w:pStyle w:val="P68B1DB1-Normal8"/>
              <w:spacing w:after="0" w:line="240" w:lineRule="auto"/>
              <w:jc w:val="center"/>
              <w:rPr>
                <w:rFonts w:eastAsia="Times New Roman" w:cs="Calibri"/>
                <w:noProof/>
              </w:rPr>
            </w:pPr>
            <w:r>
              <w:rPr>
                <w:noProof/>
              </w:rPr>
              <w:t>Támogatási szerződések odaítélése a szociális létesítmények/felelősök hálózatát támogató szervek számára</w:t>
            </w:r>
          </w:p>
        </w:tc>
        <w:tc>
          <w:tcPr>
            <w:tcW w:w="1014" w:type="dxa"/>
            <w:shd w:val="clear" w:color="auto" w:fill="C4EFCE"/>
            <w:vAlign w:val="center"/>
            <w:hideMark/>
          </w:tcPr>
          <w:p w14:paraId="6D4F44CE"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50F74FF"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D080C51"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08CD4351" w14:textId="646A9E39"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459C1D44" w14:textId="77777777" w:rsidR="00DC5EC6" w:rsidRDefault="003245A4">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111BA54E" w14:textId="77777777" w:rsidR="00DC5EC6" w:rsidRDefault="003245A4">
            <w:pPr>
              <w:pStyle w:val="P68B1DB1-Normal8"/>
              <w:spacing w:after="0" w:line="240" w:lineRule="auto"/>
              <w:jc w:val="both"/>
              <w:rPr>
                <w:rFonts w:eastAsia="Times New Roman" w:cs="Calibri"/>
                <w:noProof/>
              </w:rPr>
            </w:pPr>
            <w:r>
              <w:rPr>
                <w:noProof/>
              </w:rPr>
              <w:t>Támogatási szerződés odaítélése olyan támogató szervezetek számára, amelyek pályáztak a szociális létesítmények/szociális válaszok hálózatának létrehozására és bővítésére (a gyermekekre, az idősekre, a fogyatékkal élőkre és másokra kiterjedően), és amelyekről megállapították, hogy megfelelnek a meghatározott rendeletnek, a rendelkezésre álló kereten belül. Új épületek építése esetén a pályázati eljárásnak biztosítania kell, hogy az új épületek primerenergia-igénye legalább 20%-kal a közel nulla energiaigényű épületekre vonatkozó követelmények alatt legyen.</w:t>
            </w:r>
          </w:p>
        </w:tc>
      </w:tr>
      <w:tr w:rsidR="00DC5EC6" w14:paraId="4DD2693C" w14:textId="77777777">
        <w:trPr>
          <w:trHeight w:val="1690"/>
        </w:trPr>
        <w:tc>
          <w:tcPr>
            <w:tcW w:w="1124" w:type="dxa"/>
            <w:shd w:val="clear" w:color="auto" w:fill="C5EFCE"/>
            <w:vAlign w:val="center"/>
            <w:hideMark/>
          </w:tcPr>
          <w:p w14:paraId="1A616AE0" w14:textId="0FB7E1D9" w:rsidR="00DC5EC6" w:rsidRDefault="003245A4">
            <w:pPr>
              <w:pStyle w:val="P68B1DB1-Normal7"/>
              <w:spacing w:after="0" w:line="240" w:lineRule="auto"/>
              <w:jc w:val="center"/>
              <w:rPr>
                <w:rFonts w:eastAsia="Times New Roman" w:cs="Calibri"/>
                <w:noProof/>
              </w:rPr>
            </w:pPr>
            <w:r>
              <w:rPr>
                <w:noProof/>
              </w:rPr>
              <w:t>3.4</w:t>
            </w:r>
          </w:p>
        </w:tc>
        <w:tc>
          <w:tcPr>
            <w:tcW w:w="1143" w:type="dxa"/>
            <w:shd w:val="clear" w:color="auto" w:fill="C4EFCE"/>
            <w:vAlign w:val="center"/>
            <w:hideMark/>
          </w:tcPr>
          <w:p w14:paraId="264DD2D7"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129E562E"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F5CCE8B" w14:textId="77777777" w:rsidR="00DC5EC6" w:rsidRDefault="003245A4">
            <w:pPr>
              <w:pStyle w:val="P68B1DB1-Normal8"/>
              <w:spacing w:after="0" w:line="240" w:lineRule="auto"/>
              <w:jc w:val="center"/>
              <w:rPr>
                <w:rFonts w:eastAsia="Times New Roman" w:cs="Calibri"/>
                <w:noProof/>
              </w:rPr>
            </w:pPr>
            <w:r>
              <w:rPr>
                <w:noProof/>
              </w:rPr>
              <w:t>Új helyek létrehozása és a szociális létesítményekben meglévő helyek felújítása</w:t>
            </w:r>
          </w:p>
        </w:tc>
        <w:tc>
          <w:tcPr>
            <w:tcW w:w="1486" w:type="dxa"/>
            <w:shd w:val="clear" w:color="auto" w:fill="C4EFCE"/>
            <w:vAlign w:val="center"/>
            <w:hideMark/>
          </w:tcPr>
          <w:p w14:paraId="066C8E4E"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D9BF7B8"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337AF5DB"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F36AC40" w14:textId="12FABD58" w:rsidR="00DC5EC6" w:rsidRDefault="003245A4">
            <w:pPr>
              <w:pStyle w:val="P68B1DB1-Normal8"/>
              <w:spacing w:after="0" w:line="240" w:lineRule="auto"/>
              <w:jc w:val="center"/>
              <w:rPr>
                <w:rFonts w:eastAsia="Times New Roman" w:cs="Calibri"/>
                <w:noProof/>
              </w:rPr>
            </w:pPr>
            <w:r>
              <w:rPr>
                <w:noProof/>
              </w:rPr>
              <w:t>39 405</w:t>
            </w:r>
          </w:p>
        </w:tc>
        <w:tc>
          <w:tcPr>
            <w:tcW w:w="680" w:type="dxa"/>
            <w:shd w:val="clear" w:color="auto" w:fill="C4EFCE"/>
            <w:vAlign w:val="center"/>
            <w:hideMark/>
          </w:tcPr>
          <w:p w14:paraId="3F7AD6FC" w14:textId="10268282" w:rsidR="00DC5EC6" w:rsidRDefault="006E607E">
            <w:pPr>
              <w:pStyle w:val="P68B1DB1-Normal8"/>
              <w:spacing w:after="0" w:line="240" w:lineRule="auto"/>
              <w:jc w:val="center"/>
              <w:rPr>
                <w:rFonts w:eastAsia="Times New Roman" w:cs="Calibri"/>
                <w:noProof/>
              </w:rPr>
            </w:pPr>
            <w:r>
              <w:rPr>
                <w:noProof/>
              </w:rPr>
              <w:t>1.NEGYEDÉV</w:t>
            </w:r>
          </w:p>
        </w:tc>
        <w:tc>
          <w:tcPr>
            <w:tcW w:w="845" w:type="dxa"/>
            <w:shd w:val="clear" w:color="auto" w:fill="C4EFCE"/>
            <w:vAlign w:val="center"/>
            <w:hideMark/>
          </w:tcPr>
          <w:p w14:paraId="6696632D" w14:textId="77777777"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1334CAC8" w14:textId="2AA60661" w:rsidR="00DC5EC6" w:rsidRDefault="003245A4">
            <w:pPr>
              <w:pStyle w:val="P68B1DB1-Normal8"/>
              <w:spacing w:after="0" w:line="240" w:lineRule="auto"/>
              <w:jc w:val="both"/>
              <w:rPr>
                <w:rFonts w:eastAsia="Times New Roman" w:cs="Calibri"/>
                <w:noProof/>
              </w:rPr>
            </w:pPr>
            <w:r>
              <w:rPr>
                <w:noProof/>
              </w:rPr>
              <w:t xml:space="preserve">Legalább 15000 új férőhely létrehozása és a fennmaradó helyek felújítása a gyermekek, az idősek, a fogyatékossággal élők és más kiszolgáltatott személyek számára a bölcsődékben, az idősek otthonaiban (ERPI), a napközi otthonokban, a munkahelyi támogató szolgálatokban (DAS), a tevékenységi központokban és a befogadást elősegítő központokban (CACI), az autonómiát és befogadást szolgáló lakóhelyeken és az innovatív tipológiákban. </w:t>
            </w:r>
          </w:p>
          <w:p w14:paraId="3267A930" w14:textId="663DC4DC" w:rsidR="00DC5EC6" w:rsidRDefault="003245A4">
            <w:pPr>
              <w:pStyle w:val="P68B1DB1-Normal8"/>
              <w:spacing w:after="0" w:line="240" w:lineRule="auto"/>
              <w:jc w:val="both"/>
              <w:rPr>
                <w:rFonts w:eastAsia="Times New Roman" w:cs="Calibri"/>
                <w:noProof/>
              </w:rPr>
            </w:pPr>
            <w:r>
              <w:rPr>
                <w:noProof/>
              </w:rPr>
              <w:t>Új épületek építése esetén az új épületek primerenergia-szükségletének legalább 20%-kal alacsonyabbnak kell lennie a közel nulla energiaigényű épületekre vonatkozó követelményeknél.</w:t>
            </w:r>
          </w:p>
        </w:tc>
      </w:tr>
      <w:tr w:rsidR="00DC5EC6" w14:paraId="276146CB" w14:textId="77777777">
        <w:trPr>
          <w:trHeight w:val="1278"/>
        </w:trPr>
        <w:tc>
          <w:tcPr>
            <w:tcW w:w="1124" w:type="dxa"/>
            <w:shd w:val="clear" w:color="auto" w:fill="C5EFCE"/>
            <w:vAlign w:val="center"/>
            <w:hideMark/>
          </w:tcPr>
          <w:p w14:paraId="1C1BF1A0" w14:textId="77777777" w:rsidR="00DC5EC6" w:rsidRDefault="003245A4">
            <w:pPr>
              <w:pStyle w:val="P68B1DB1-Normal7"/>
              <w:spacing w:after="0" w:line="240" w:lineRule="auto"/>
              <w:jc w:val="center"/>
              <w:rPr>
                <w:rFonts w:eastAsia="Times New Roman" w:cs="Calibri"/>
                <w:noProof/>
              </w:rPr>
            </w:pPr>
            <w:r>
              <w:rPr>
                <w:noProof/>
              </w:rPr>
              <w:t>3.5</w:t>
            </w:r>
          </w:p>
        </w:tc>
        <w:tc>
          <w:tcPr>
            <w:tcW w:w="1143" w:type="dxa"/>
            <w:shd w:val="clear" w:color="auto" w:fill="C4EFCE"/>
            <w:vAlign w:val="center"/>
            <w:hideMark/>
          </w:tcPr>
          <w:p w14:paraId="77113DE5" w14:textId="77777777" w:rsidR="00DC5EC6" w:rsidRDefault="003245A4">
            <w:pPr>
              <w:pStyle w:val="P68B1DB1-Normal8"/>
              <w:spacing w:after="0" w:line="240" w:lineRule="auto"/>
              <w:jc w:val="center"/>
              <w:rPr>
                <w:rFonts w:eastAsia="Times New Roman" w:cs="Calibri"/>
                <w:noProof/>
              </w:rPr>
            </w:pPr>
            <w:r>
              <w:rPr>
                <w:noProof/>
              </w:rPr>
              <w:t>Re-C03-i01</w:t>
            </w:r>
          </w:p>
        </w:tc>
        <w:tc>
          <w:tcPr>
            <w:tcW w:w="982" w:type="dxa"/>
            <w:shd w:val="clear" w:color="auto" w:fill="C4EFCE"/>
            <w:vAlign w:val="center"/>
            <w:hideMark/>
          </w:tcPr>
          <w:p w14:paraId="6B8071ED"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99F7521" w14:textId="500588C1" w:rsidR="00DC5EC6" w:rsidRDefault="003245A4">
            <w:pPr>
              <w:pStyle w:val="P68B1DB1-Normal8"/>
              <w:spacing w:after="0" w:line="240" w:lineRule="auto"/>
              <w:jc w:val="center"/>
              <w:rPr>
                <w:rFonts w:eastAsia="Times New Roman" w:cs="Calibri"/>
                <w:noProof/>
              </w:rPr>
            </w:pPr>
            <w:r>
              <w:rPr>
                <w:noProof/>
              </w:rPr>
              <w:t>A táblagépekhez és egyéb informatikai és kommunikációs eszközökhöz, technikai segítségnyújtási eszközökhöz vagy képzésekhez való hozzáférést biztosító otthoni támogatási szolgáltatások felhasználói és személyzete.</w:t>
            </w:r>
          </w:p>
        </w:tc>
        <w:tc>
          <w:tcPr>
            <w:tcW w:w="1486" w:type="dxa"/>
            <w:shd w:val="clear" w:color="auto" w:fill="C4EFCE"/>
            <w:vAlign w:val="center"/>
            <w:hideMark/>
          </w:tcPr>
          <w:p w14:paraId="355D395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46DD450"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1476D7C2"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E3FE706" w14:textId="7F5C4600" w:rsidR="00DC5EC6" w:rsidRDefault="003245A4">
            <w:pPr>
              <w:pStyle w:val="P68B1DB1-Normal8"/>
              <w:spacing w:after="0" w:line="240" w:lineRule="auto"/>
              <w:jc w:val="center"/>
              <w:rPr>
                <w:rFonts w:eastAsia="Times New Roman" w:cs="Calibri"/>
                <w:noProof/>
              </w:rPr>
            </w:pPr>
            <w:r>
              <w:rPr>
                <w:noProof/>
              </w:rPr>
              <w:t>63 825</w:t>
            </w:r>
          </w:p>
        </w:tc>
        <w:tc>
          <w:tcPr>
            <w:tcW w:w="680" w:type="dxa"/>
            <w:shd w:val="clear" w:color="auto" w:fill="C4EFCE"/>
            <w:vAlign w:val="center"/>
            <w:hideMark/>
          </w:tcPr>
          <w:p w14:paraId="648E97D6" w14:textId="56DFB331" w:rsidR="00DC5EC6" w:rsidRDefault="006E607E">
            <w:pPr>
              <w:pStyle w:val="P68B1DB1-Normal8"/>
              <w:spacing w:after="0" w:line="240" w:lineRule="auto"/>
              <w:jc w:val="center"/>
              <w:rPr>
                <w:rFonts w:eastAsia="Times New Roman" w:cs="Calibri"/>
                <w:noProof/>
              </w:rPr>
            </w:pPr>
            <w:r>
              <w:rPr>
                <w:noProof/>
              </w:rPr>
              <w:t>1.NEGYEDÉV</w:t>
            </w:r>
          </w:p>
        </w:tc>
        <w:tc>
          <w:tcPr>
            <w:tcW w:w="845" w:type="dxa"/>
            <w:shd w:val="clear" w:color="auto" w:fill="C4EFCE"/>
            <w:vAlign w:val="center"/>
            <w:hideMark/>
          </w:tcPr>
          <w:p w14:paraId="4D63D198" w14:textId="77777777"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096CA0CB" w14:textId="5268AE85" w:rsidR="00DC5EC6" w:rsidRDefault="003245A4">
            <w:pPr>
              <w:pStyle w:val="P68B1DB1-Normal8"/>
              <w:spacing w:after="0" w:line="240" w:lineRule="auto"/>
              <w:jc w:val="both"/>
              <w:rPr>
                <w:rFonts w:eastAsia="Times New Roman" w:cs="Calibri"/>
                <w:noProof/>
              </w:rPr>
            </w:pPr>
            <w:r>
              <w:rPr>
                <w:noProof/>
              </w:rPr>
              <w:t>A hazai támogatási szolgálatok azon felhasználóinak vagy személyzetének száma, akik legalább egy táblagéphez és más informatikai és kommunikációs eszközhöz, vagy technikai segítségnyújtási eszközhöz vagy képzéshez kapnak hozzáférést.</w:t>
            </w:r>
          </w:p>
        </w:tc>
      </w:tr>
      <w:tr w:rsidR="00DC5EC6" w14:paraId="40CC812A" w14:textId="77777777">
        <w:trPr>
          <w:trHeight w:val="509"/>
        </w:trPr>
        <w:tc>
          <w:tcPr>
            <w:tcW w:w="1124" w:type="dxa"/>
            <w:shd w:val="clear" w:color="auto" w:fill="C5EFCE"/>
            <w:vAlign w:val="center"/>
            <w:hideMark/>
          </w:tcPr>
          <w:p w14:paraId="59E59251" w14:textId="6D4000F0" w:rsidR="00DC5EC6" w:rsidRDefault="003245A4">
            <w:pPr>
              <w:pStyle w:val="P68B1DB1-Normal7"/>
              <w:spacing w:after="0" w:line="240" w:lineRule="auto"/>
              <w:jc w:val="center"/>
              <w:rPr>
                <w:rFonts w:eastAsia="Times New Roman" w:cs="Calibri"/>
                <w:noProof/>
              </w:rPr>
            </w:pPr>
            <w:r>
              <w:rPr>
                <w:noProof/>
              </w:rPr>
              <w:t>3.6</w:t>
            </w:r>
          </w:p>
        </w:tc>
        <w:tc>
          <w:tcPr>
            <w:tcW w:w="1143" w:type="dxa"/>
            <w:shd w:val="clear" w:color="auto" w:fill="C4EFCE"/>
            <w:vAlign w:val="center"/>
            <w:hideMark/>
          </w:tcPr>
          <w:p w14:paraId="572B0C95"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98EA432" w14:textId="77777777" w:rsidR="00DC5EC6" w:rsidRDefault="003245A4">
            <w:pPr>
              <w:pStyle w:val="P68B1DB1-Normal8"/>
              <w:spacing w:after="0" w:line="240" w:lineRule="auto"/>
              <w:jc w:val="center"/>
              <w:rPr>
                <w:rFonts w:eastAsia="Times New Roman" w:cs="Calibri"/>
                <w:noProof/>
              </w:rPr>
            </w:pPr>
            <w:r>
              <w:rPr>
                <w:noProof/>
              </w:rPr>
              <w:t> T</w:t>
            </w:r>
          </w:p>
        </w:tc>
        <w:tc>
          <w:tcPr>
            <w:tcW w:w="1740" w:type="dxa"/>
            <w:shd w:val="clear" w:color="auto" w:fill="C4EFCE"/>
            <w:vAlign w:val="center"/>
            <w:hideMark/>
          </w:tcPr>
          <w:p w14:paraId="603DD380" w14:textId="77777777" w:rsidR="00DC5EC6" w:rsidRDefault="003245A4">
            <w:pPr>
              <w:pStyle w:val="P68B1DB1-Normal8"/>
              <w:spacing w:after="0" w:line="240" w:lineRule="auto"/>
              <w:jc w:val="center"/>
              <w:rPr>
                <w:rFonts w:eastAsia="Times New Roman" w:cs="Calibri"/>
                <w:noProof/>
              </w:rPr>
            </w:pPr>
            <w:r>
              <w:rPr>
                <w:noProof/>
              </w:rPr>
              <w:t>A csökkent mozgásképességű személyek számára jobb megközelíthető lakások</w:t>
            </w:r>
          </w:p>
        </w:tc>
        <w:tc>
          <w:tcPr>
            <w:tcW w:w="1486" w:type="dxa"/>
            <w:shd w:val="clear" w:color="auto" w:fill="C4EFCE"/>
            <w:vAlign w:val="center"/>
            <w:hideMark/>
          </w:tcPr>
          <w:p w14:paraId="3EE7BE53"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B7D5469"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21C2D50"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3E0348DA" w14:textId="77777777" w:rsidR="00DC5EC6" w:rsidRDefault="003245A4">
            <w:pPr>
              <w:pStyle w:val="P68B1DB1-Normal8"/>
              <w:spacing w:after="0" w:line="240" w:lineRule="auto"/>
              <w:jc w:val="center"/>
              <w:rPr>
                <w:rFonts w:eastAsia="Times New Roman" w:cs="Calibri"/>
                <w:noProof/>
              </w:rPr>
            </w:pPr>
            <w:r>
              <w:rPr>
                <w:noProof/>
              </w:rPr>
              <w:t>190</w:t>
            </w:r>
          </w:p>
        </w:tc>
        <w:tc>
          <w:tcPr>
            <w:tcW w:w="680" w:type="dxa"/>
            <w:shd w:val="clear" w:color="auto" w:fill="C4EFCE"/>
            <w:vAlign w:val="center"/>
            <w:hideMark/>
          </w:tcPr>
          <w:p w14:paraId="1F0EB787" w14:textId="59625E48"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12A371D7" w14:textId="11F671CD"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52F6A3" w14:textId="77777777" w:rsidR="00DC5EC6" w:rsidRDefault="003245A4">
            <w:pPr>
              <w:pStyle w:val="P68B1DB1-Normal8"/>
              <w:spacing w:after="0" w:line="240" w:lineRule="auto"/>
              <w:jc w:val="both"/>
              <w:rPr>
                <w:rFonts w:eastAsia="Times New Roman" w:cs="Calibri"/>
                <w:noProof/>
              </w:rPr>
            </w:pPr>
            <w:r>
              <w:rPr>
                <w:noProof/>
              </w:rPr>
              <w:t>Azon (átlagosan 40 m²-es) lakások száma, amelyek a csökkent mozgásképességű személyek akadálymentesítési feltételeinek javítását célzó beavatkozásokban részesülnek.</w:t>
            </w:r>
          </w:p>
        </w:tc>
      </w:tr>
      <w:tr w:rsidR="00DC5EC6" w14:paraId="105F1008" w14:textId="77777777">
        <w:trPr>
          <w:trHeight w:val="969"/>
        </w:trPr>
        <w:tc>
          <w:tcPr>
            <w:tcW w:w="1124" w:type="dxa"/>
            <w:shd w:val="clear" w:color="auto" w:fill="C5EFCE"/>
            <w:vAlign w:val="center"/>
            <w:hideMark/>
          </w:tcPr>
          <w:p w14:paraId="28A12150" w14:textId="77777777" w:rsidR="00DC5EC6" w:rsidRDefault="003245A4">
            <w:pPr>
              <w:pStyle w:val="P68B1DB1-Normal7"/>
              <w:spacing w:after="0" w:line="240" w:lineRule="auto"/>
              <w:jc w:val="center"/>
              <w:rPr>
                <w:rFonts w:eastAsia="Times New Roman" w:cs="Calibri"/>
                <w:noProof/>
              </w:rPr>
            </w:pPr>
            <w:r>
              <w:rPr>
                <w:noProof/>
              </w:rPr>
              <w:t>3.7</w:t>
            </w:r>
          </w:p>
        </w:tc>
        <w:tc>
          <w:tcPr>
            <w:tcW w:w="1143" w:type="dxa"/>
            <w:shd w:val="clear" w:color="auto" w:fill="C4EFCE"/>
            <w:vAlign w:val="center"/>
            <w:hideMark/>
          </w:tcPr>
          <w:p w14:paraId="4887AF7C"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18641572"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2977162" w14:textId="77777777" w:rsidR="00DC5EC6" w:rsidRDefault="003245A4">
            <w:pPr>
              <w:pStyle w:val="P68B1DB1-Normal8"/>
              <w:spacing w:after="0" w:line="240" w:lineRule="auto"/>
              <w:jc w:val="center"/>
              <w:rPr>
                <w:rFonts w:eastAsia="Times New Roman" w:cs="Calibri"/>
                <w:noProof/>
              </w:rPr>
            </w:pPr>
            <w:r>
              <w:rPr>
                <w:noProof/>
              </w:rPr>
              <w:t>A csökkent mozgásképességű személyek számára jobb megközelíthető lakások</w:t>
            </w:r>
          </w:p>
        </w:tc>
        <w:tc>
          <w:tcPr>
            <w:tcW w:w="1486" w:type="dxa"/>
            <w:shd w:val="clear" w:color="auto" w:fill="C4EFCE"/>
            <w:vAlign w:val="center"/>
            <w:hideMark/>
          </w:tcPr>
          <w:p w14:paraId="16E59492"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08161F6"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E97C154" w14:textId="77777777" w:rsidR="00DC5EC6" w:rsidRDefault="003245A4">
            <w:pPr>
              <w:pStyle w:val="P68B1DB1-Normal8"/>
              <w:spacing w:after="0" w:line="240" w:lineRule="auto"/>
              <w:jc w:val="center"/>
              <w:rPr>
                <w:rFonts w:eastAsia="Times New Roman" w:cs="Calibri"/>
                <w:noProof/>
              </w:rPr>
            </w:pPr>
            <w:r>
              <w:rPr>
                <w:noProof/>
              </w:rPr>
              <w:t>190</w:t>
            </w:r>
          </w:p>
        </w:tc>
        <w:tc>
          <w:tcPr>
            <w:tcW w:w="882" w:type="dxa"/>
            <w:shd w:val="clear" w:color="auto" w:fill="C4EFCE"/>
            <w:vAlign w:val="center"/>
            <w:hideMark/>
          </w:tcPr>
          <w:p w14:paraId="1EE09EBE" w14:textId="77777777" w:rsidR="00DC5EC6" w:rsidRDefault="003245A4">
            <w:pPr>
              <w:pStyle w:val="P68B1DB1-Normal8"/>
              <w:spacing w:after="0" w:line="240" w:lineRule="auto"/>
              <w:jc w:val="center"/>
              <w:rPr>
                <w:rFonts w:eastAsia="Times New Roman" w:cs="Calibri"/>
                <w:noProof/>
              </w:rPr>
            </w:pPr>
            <w:r>
              <w:rPr>
                <w:noProof/>
              </w:rPr>
              <w:t>1 000</w:t>
            </w:r>
          </w:p>
        </w:tc>
        <w:tc>
          <w:tcPr>
            <w:tcW w:w="680" w:type="dxa"/>
            <w:shd w:val="clear" w:color="auto" w:fill="C4EFCE"/>
            <w:vAlign w:val="center"/>
            <w:hideMark/>
          </w:tcPr>
          <w:p w14:paraId="2A369B58" w14:textId="5EA1881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0BF23AEA"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66CAE278" w14:textId="36788C6E" w:rsidR="00DC5EC6" w:rsidRDefault="003245A4">
            <w:pPr>
              <w:pStyle w:val="P68B1DB1-Normal8"/>
              <w:spacing w:after="0" w:line="240" w:lineRule="auto"/>
              <w:jc w:val="both"/>
              <w:rPr>
                <w:rFonts w:eastAsia="Times New Roman" w:cs="Calibri"/>
                <w:noProof/>
              </w:rPr>
            </w:pPr>
            <w:r>
              <w:rPr>
                <w:noProof/>
              </w:rPr>
              <w:t xml:space="preserve">Azon (átlagosan 40 m²-es) lakások száma, amelyek a csökkent mozgásképességű személyek akadálymentesítési feltételeinek javítását célzó beavatkozásokban részesülnek. </w:t>
            </w:r>
          </w:p>
        </w:tc>
      </w:tr>
      <w:tr w:rsidR="00DC5EC6" w14:paraId="0E79D576" w14:textId="77777777">
        <w:trPr>
          <w:trHeight w:val="509"/>
        </w:trPr>
        <w:tc>
          <w:tcPr>
            <w:tcW w:w="1124" w:type="dxa"/>
            <w:shd w:val="clear" w:color="auto" w:fill="C5EFCE"/>
            <w:vAlign w:val="center"/>
            <w:hideMark/>
          </w:tcPr>
          <w:p w14:paraId="29F6AEBE" w14:textId="77777777" w:rsidR="00DC5EC6" w:rsidRDefault="003245A4">
            <w:pPr>
              <w:pStyle w:val="P68B1DB1-Normal7"/>
              <w:spacing w:after="0" w:line="240" w:lineRule="auto"/>
              <w:jc w:val="center"/>
              <w:rPr>
                <w:rFonts w:eastAsia="Times New Roman" w:cs="Calibri"/>
                <w:noProof/>
              </w:rPr>
            </w:pPr>
            <w:r>
              <w:rPr>
                <w:noProof/>
              </w:rPr>
              <w:t>3.8</w:t>
            </w:r>
          </w:p>
        </w:tc>
        <w:tc>
          <w:tcPr>
            <w:tcW w:w="1143" w:type="dxa"/>
            <w:shd w:val="clear" w:color="auto" w:fill="C4EFCE"/>
            <w:vAlign w:val="center"/>
            <w:hideMark/>
          </w:tcPr>
          <w:p w14:paraId="779A6C76"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7A3FE8F8"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0D966E9" w14:textId="77777777" w:rsidR="00DC5EC6" w:rsidRDefault="003245A4">
            <w:pPr>
              <w:pStyle w:val="P68B1DB1-Normal8"/>
              <w:spacing w:after="0" w:line="240" w:lineRule="auto"/>
              <w:jc w:val="center"/>
              <w:rPr>
                <w:rFonts w:eastAsia="Times New Roman" w:cs="Calibri"/>
                <w:noProof/>
              </w:rPr>
            </w:pPr>
            <w:r>
              <w:rPr>
                <w:noProof/>
              </w:rPr>
              <w:t xml:space="preserve">A csökkent mozgásképességű személyek számára jobb hozzáférhetőséget biztosító nyilvános tér </w:t>
            </w:r>
          </w:p>
        </w:tc>
        <w:tc>
          <w:tcPr>
            <w:tcW w:w="1486" w:type="dxa"/>
            <w:shd w:val="clear" w:color="auto" w:fill="C4EFCE"/>
            <w:vAlign w:val="center"/>
            <w:hideMark/>
          </w:tcPr>
          <w:p w14:paraId="2F4DB304"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D96709"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952ADA7"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3DCDF0B" w14:textId="3EC07D00" w:rsidR="00DC5EC6" w:rsidRDefault="003245A4">
            <w:pPr>
              <w:pStyle w:val="P68B1DB1-Normal8"/>
              <w:spacing w:after="0" w:line="240" w:lineRule="auto"/>
              <w:jc w:val="center"/>
              <w:rPr>
                <w:rFonts w:eastAsia="Times New Roman" w:cs="Calibri"/>
                <w:noProof/>
              </w:rPr>
            </w:pPr>
            <w:r>
              <w:rPr>
                <w:noProof/>
              </w:rPr>
              <w:t>200 000</w:t>
            </w:r>
          </w:p>
        </w:tc>
        <w:tc>
          <w:tcPr>
            <w:tcW w:w="680" w:type="dxa"/>
            <w:shd w:val="clear" w:color="auto" w:fill="C4EFCE"/>
            <w:vAlign w:val="center"/>
            <w:hideMark/>
          </w:tcPr>
          <w:p w14:paraId="7B65A11A" w14:textId="6AF2A54B"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04E2693F"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CEC40AB" w14:textId="77777777" w:rsidR="00DC5EC6" w:rsidRDefault="003245A4">
            <w:pPr>
              <w:pStyle w:val="P68B1DB1-Normal8"/>
              <w:spacing w:after="0" w:line="240" w:lineRule="auto"/>
              <w:jc w:val="both"/>
              <w:rPr>
                <w:rFonts w:eastAsia="Times New Roman" w:cs="Calibri"/>
                <w:noProof/>
              </w:rPr>
            </w:pPr>
            <w:r>
              <w:rPr>
                <w:noProof/>
              </w:rPr>
              <w:t>A közterület (négyzetek, oldalsávok stb.) négyzetméterben kifejezett területe, ahol a csökkent mozgásképességű személyek akadálymentesítési feltételeinek javítása érdekében beavatkozások (főként a gyalogutak kiegyenlítése, a vágányokon való áthaladás, a forgalom szabályozása, az infrastruktúra és az utcabútorok áthelyezése, az épületekhez való hozzáférés javítása) részesülnek.</w:t>
            </w:r>
          </w:p>
        </w:tc>
      </w:tr>
      <w:tr w:rsidR="00DC5EC6" w14:paraId="5F588498" w14:textId="77777777">
        <w:trPr>
          <w:trHeight w:val="1120"/>
        </w:trPr>
        <w:tc>
          <w:tcPr>
            <w:tcW w:w="1124" w:type="dxa"/>
            <w:shd w:val="clear" w:color="auto" w:fill="C5EFCE"/>
            <w:vAlign w:val="center"/>
            <w:hideMark/>
          </w:tcPr>
          <w:p w14:paraId="36901FF3" w14:textId="77777777" w:rsidR="00DC5EC6" w:rsidRDefault="003245A4">
            <w:pPr>
              <w:pStyle w:val="P68B1DB1-Normal7"/>
              <w:spacing w:after="0" w:line="240" w:lineRule="auto"/>
              <w:jc w:val="center"/>
              <w:rPr>
                <w:rFonts w:eastAsia="Times New Roman" w:cs="Calibri"/>
                <w:noProof/>
              </w:rPr>
            </w:pPr>
            <w:r>
              <w:rPr>
                <w:noProof/>
              </w:rPr>
              <w:t>3.9</w:t>
            </w:r>
          </w:p>
        </w:tc>
        <w:tc>
          <w:tcPr>
            <w:tcW w:w="1143" w:type="dxa"/>
            <w:shd w:val="clear" w:color="auto" w:fill="C4EFCE"/>
            <w:vAlign w:val="center"/>
            <w:hideMark/>
          </w:tcPr>
          <w:p w14:paraId="52268B9C" w14:textId="77777777" w:rsidR="00DC5EC6" w:rsidRDefault="003245A4">
            <w:pPr>
              <w:pStyle w:val="P68B1DB1-Normal8"/>
              <w:spacing w:after="0" w:line="240" w:lineRule="auto"/>
              <w:jc w:val="center"/>
              <w:rPr>
                <w:rFonts w:eastAsia="Times New Roman" w:cs="Calibri"/>
                <w:noProof/>
              </w:rPr>
            </w:pPr>
            <w:r>
              <w:rPr>
                <w:noProof/>
              </w:rPr>
              <w:t>Re-C03-i02</w:t>
            </w:r>
          </w:p>
        </w:tc>
        <w:tc>
          <w:tcPr>
            <w:tcW w:w="982" w:type="dxa"/>
            <w:shd w:val="clear" w:color="auto" w:fill="C4EFCE"/>
            <w:vAlign w:val="center"/>
            <w:hideMark/>
          </w:tcPr>
          <w:p w14:paraId="2BC6D3D0"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05B89ADF" w14:textId="77777777" w:rsidR="00DC5EC6" w:rsidRDefault="003245A4">
            <w:pPr>
              <w:pStyle w:val="P68B1DB1-Normal8"/>
              <w:spacing w:after="0" w:line="240" w:lineRule="auto"/>
              <w:jc w:val="center"/>
              <w:rPr>
                <w:rFonts w:eastAsia="Times New Roman" w:cs="Calibri"/>
                <w:noProof/>
              </w:rPr>
            </w:pPr>
            <w:r>
              <w:rPr>
                <w:noProof/>
              </w:rPr>
              <w:t xml:space="preserve">A csökkent mozgásképességű személyek számára jobb hozzáférhetőséget biztosító közszolgáltatások </w:t>
            </w:r>
          </w:p>
        </w:tc>
        <w:tc>
          <w:tcPr>
            <w:tcW w:w="1486" w:type="dxa"/>
            <w:shd w:val="clear" w:color="auto" w:fill="C4EFCE"/>
            <w:vAlign w:val="center"/>
            <w:hideMark/>
          </w:tcPr>
          <w:p w14:paraId="161A1B5B"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2982A55"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229CC22B"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72D1A371" w14:textId="77777777" w:rsidR="00DC5EC6" w:rsidRDefault="003245A4">
            <w:pPr>
              <w:pStyle w:val="P68B1DB1-Normal8"/>
              <w:spacing w:after="0" w:line="240" w:lineRule="auto"/>
              <w:jc w:val="center"/>
              <w:rPr>
                <w:rFonts w:eastAsia="Times New Roman" w:cs="Calibri"/>
                <w:noProof/>
              </w:rPr>
            </w:pPr>
            <w:r>
              <w:rPr>
                <w:noProof/>
              </w:rPr>
              <w:t>1 500</w:t>
            </w:r>
          </w:p>
        </w:tc>
        <w:tc>
          <w:tcPr>
            <w:tcW w:w="680" w:type="dxa"/>
            <w:shd w:val="clear" w:color="auto" w:fill="C4EFCE"/>
            <w:vAlign w:val="center"/>
            <w:hideMark/>
          </w:tcPr>
          <w:p w14:paraId="6F782341" w14:textId="11337EB4"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6EED6288"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3E9E73B" w14:textId="77777777" w:rsidR="00DC5EC6" w:rsidRDefault="003245A4">
            <w:pPr>
              <w:pStyle w:val="P68B1DB1-Normal8"/>
              <w:spacing w:after="0" w:line="240" w:lineRule="auto"/>
              <w:jc w:val="both"/>
              <w:rPr>
                <w:rFonts w:eastAsia="Times New Roman" w:cs="Calibri"/>
                <w:noProof/>
              </w:rPr>
            </w:pPr>
            <w:r>
              <w:rPr>
                <w:noProof/>
              </w:rPr>
              <w:t xml:space="preserve">A csökkent mozgásképességű személyek akadálymentesítési feltételeinek javítását célzó beavatkozásokból (főként rámpák és a fogyatékossággal élő személyek számára kialakított épületekhez, pultokhoz és szaniterhelyiségekhez) igénybe vevő közszolgáltatási létesítmények száma. </w:t>
            </w:r>
          </w:p>
        </w:tc>
      </w:tr>
      <w:tr w:rsidR="00DC5EC6" w14:paraId="69D82E93" w14:textId="77777777">
        <w:trPr>
          <w:trHeight w:val="1395"/>
        </w:trPr>
        <w:tc>
          <w:tcPr>
            <w:tcW w:w="1124" w:type="dxa"/>
            <w:shd w:val="clear" w:color="auto" w:fill="C5EFCE"/>
            <w:vAlign w:val="center"/>
            <w:hideMark/>
          </w:tcPr>
          <w:p w14:paraId="61E3A3F7" w14:textId="77777777" w:rsidR="00DC5EC6" w:rsidRDefault="003245A4">
            <w:pPr>
              <w:pStyle w:val="P68B1DB1-Normal7"/>
              <w:spacing w:after="0" w:line="240" w:lineRule="auto"/>
              <w:jc w:val="center"/>
              <w:rPr>
                <w:rFonts w:eastAsia="Times New Roman" w:cs="Calibri"/>
                <w:noProof/>
              </w:rPr>
            </w:pPr>
            <w:r>
              <w:rPr>
                <w:noProof/>
              </w:rPr>
              <w:t>3.10</w:t>
            </w:r>
          </w:p>
        </w:tc>
        <w:tc>
          <w:tcPr>
            <w:tcW w:w="1143" w:type="dxa"/>
            <w:shd w:val="clear" w:color="auto" w:fill="C4EFCE"/>
            <w:vAlign w:val="center"/>
            <w:hideMark/>
          </w:tcPr>
          <w:p w14:paraId="75163862" w14:textId="77777777" w:rsidR="00DC5EC6" w:rsidRDefault="003245A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707DF8E4"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BC2353F" w14:textId="04A2B32C" w:rsidR="00DC5EC6" w:rsidRDefault="003245A4">
            <w:pPr>
              <w:pStyle w:val="P68B1DB1-Normal8"/>
              <w:spacing w:after="0" w:line="240" w:lineRule="auto"/>
              <w:jc w:val="center"/>
              <w:rPr>
                <w:rFonts w:eastAsia="Times New Roman" w:cs="Calibri"/>
                <w:noProof/>
              </w:rPr>
            </w:pPr>
            <w:r>
              <w:rPr>
                <w:noProof/>
              </w:rPr>
              <w:t xml:space="preserve">Új és rehabilitált férőhelyek lakó- és nem lakóotthonokban </w:t>
            </w:r>
          </w:p>
        </w:tc>
        <w:tc>
          <w:tcPr>
            <w:tcW w:w="1486" w:type="dxa"/>
            <w:shd w:val="clear" w:color="auto" w:fill="C4EFCE"/>
            <w:vAlign w:val="center"/>
            <w:hideMark/>
          </w:tcPr>
          <w:p w14:paraId="54817373"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536DA26"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245B8F57"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796C489" w14:textId="77777777" w:rsidR="00DC5EC6" w:rsidRDefault="003245A4">
            <w:pPr>
              <w:pStyle w:val="P68B1DB1-Normal8"/>
              <w:spacing w:after="0" w:line="240" w:lineRule="auto"/>
              <w:jc w:val="center"/>
              <w:rPr>
                <w:rFonts w:eastAsia="Times New Roman" w:cs="Calibri"/>
                <w:noProof/>
              </w:rPr>
            </w:pPr>
            <w:r>
              <w:rPr>
                <w:noProof/>
              </w:rPr>
              <w:t>910</w:t>
            </w:r>
          </w:p>
        </w:tc>
        <w:tc>
          <w:tcPr>
            <w:tcW w:w="680" w:type="dxa"/>
            <w:shd w:val="clear" w:color="auto" w:fill="C4EFCE"/>
            <w:vAlign w:val="center"/>
            <w:hideMark/>
          </w:tcPr>
          <w:p w14:paraId="1DFEA3FF" w14:textId="6D0683C0" w:rsidR="00DC5EC6" w:rsidRDefault="006E607E">
            <w:pPr>
              <w:pStyle w:val="P68B1DB1-Normal8"/>
              <w:spacing w:after="0" w:line="240" w:lineRule="auto"/>
              <w:jc w:val="center"/>
              <w:rPr>
                <w:rFonts w:eastAsia="Times New Roman" w:cs="Calibri"/>
                <w:noProof/>
              </w:rPr>
            </w:pPr>
            <w:r>
              <w:rPr>
                <w:noProof/>
              </w:rPr>
              <w:t>3. NEGYEDÉV</w:t>
            </w:r>
          </w:p>
        </w:tc>
        <w:tc>
          <w:tcPr>
            <w:tcW w:w="845" w:type="dxa"/>
            <w:shd w:val="clear" w:color="auto" w:fill="C4EFCE"/>
            <w:vAlign w:val="center"/>
            <w:hideMark/>
          </w:tcPr>
          <w:p w14:paraId="4CE63A83" w14:textId="65E00CC5"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75F9B5E" w14:textId="7A69E91F" w:rsidR="00DC5EC6" w:rsidRDefault="003245A4">
            <w:pPr>
              <w:pStyle w:val="P68B1DB1-Normal8"/>
              <w:spacing w:after="0" w:line="240" w:lineRule="auto"/>
              <w:jc w:val="both"/>
              <w:rPr>
                <w:rFonts w:eastAsia="Times New Roman" w:cs="Calibri"/>
                <w:noProof/>
              </w:rPr>
            </w:pPr>
            <w:r>
              <w:rPr>
                <w:noProof/>
              </w:rPr>
              <w:t>Madeira autonóm régióban a lakó- és nem lakóotthonokban (beleértve a nappali és éjszakai központokat) rendelkezésre álló új és helyreállított férőhelyek száma. Az új épületek primerenergia-szükségletének legalább 20%-kal alacsonyabbnak kell lennie a közel nulla energiaigényű épületekre vonatkozó követelményeknél, a rehabilitált épületek energiahatékonysága pedig javul.</w:t>
            </w:r>
          </w:p>
        </w:tc>
      </w:tr>
      <w:tr w:rsidR="00DC5EC6" w14:paraId="707B112D" w14:textId="77777777">
        <w:trPr>
          <w:trHeight w:val="821"/>
        </w:trPr>
        <w:tc>
          <w:tcPr>
            <w:tcW w:w="1124" w:type="dxa"/>
            <w:shd w:val="clear" w:color="auto" w:fill="C5EFCE"/>
            <w:vAlign w:val="center"/>
            <w:hideMark/>
          </w:tcPr>
          <w:p w14:paraId="257FBDE8" w14:textId="77777777" w:rsidR="00DC5EC6" w:rsidRDefault="003245A4">
            <w:pPr>
              <w:pStyle w:val="P68B1DB1-Normal7"/>
              <w:spacing w:after="0" w:line="240" w:lineRule="auto"/>
              <w:jc w:val="center"/>
              <w:rPr>
                <w:rFonts w:eastAsia="Times New Roman" w:cs="Calibri"/>
                <w:noProof/>
              </w:rPr>
            </w:pPr>
            <w:r>
              <w:rPr>
                <w:noProof/>
              </w:rPr>
              <w:t>3.11</w:t>
            </w:r>
          </w:p>
        </w:tc>
        <w:tc>
          <w:tcPr>
            <w:tcW w:w="1143" w:type="dxa"/>
            <w:shd w:val="clear" w:color="auto" w:fill="C4EFCE"/>
            <w:vAlign w:val="center"/>
            <w:hideMark/>
          </w:tcPr>
          <w:p w14:paraId="30A53477" w14:textId="77777777" w:rsidR="00DC5EC6" w:rsidRDefault="003245A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hideMark/>
          </w:tcPr>
          <w:p w14:paraId="4CDA8223"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5BF4870" w14:textId="0787763E" w:rsidR="00DC5EC6" w:rsidRDefault="003245A4">
            <w:pPr>
              <w:pStyle w:val="P68B1DB1-Normal8"/>
              <w:spacing w:after="0" w:line="240" w:lineRule="auto"/>
              <w:jc w:val="center"/>
              <w:rPr>
                <w:rFonts w:eastAsia="Times New Roman" w:cs="Calibri"/>
                <w:noProof/>
              </w:rPr>
            </w:pPr>
            <w:r>
              <w:rPr>
                <w:noProof/>
              </w:rPr>
              <w:t>A hajléktalanok integrációját célzó élettervek.</w:t>
            </w:r>
          </w:p>
        </w:tc>
        <w:tc>
          <w:tcPr>
            <w:tcW w:w="1486" w:type="dxa"/>
            <w:shd w:val="clear" w:color="auto" w:fill="C4EFCE"/>
            <w:vAlign w:val="center"/>
            <w:hideMark/>
          </w:tcPr>
          <w:p w14:paraId="464AD4B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CF5D34"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11375CE0" w14:textId="77777777" w:rsidR="00DC5EC6" w:rsidRDefault="003245A4">
            <w:pPr>
              <w:pStyle w:val="P68B1DB1-Normal8"/>
              <w:spacing w:after="0" w:line="240" w:lineRule="auto"/>
              <w:jc w:val="center"/>
              <w:rPr>
                <w:rFonts w:eastAsia="Times New Roman" w:cs="Calibri"/>
                <w:noProof/>
              </w:rPr>
            </w:pPr>
            <w:r>
              <w:rPr>
                <w:noProof/>
              </w:rPr>
              <w:t> 0</w:t>
            </w:r>
          </w:p>
        </w:tc>
        <w:tc>
          <w:tcPr>
            <w:tcW w:w="882" w:type="dxa"/>
            <w:shd w:val="clear" w:color="auto" w:fill="C4EFCE"/>
            <w:vAlign w:val="center"/>
            <w:hideMark/>
          </w:tcPr>
          <w:p w14:paraId="13F2ADB5" w14:textId="77777777" w:rsidR="00DC5EC6" w:rsidRDefault="003245A4">
            <w:pPr>
              <w:pStyle w:val="P68B1DB1-Normal8"/>
              <w:spacing w:after="0" w:line="240" w:lineRule="auto"/>
              <w:jc w:val="center"/>
              <w:rPr>
                <w:rFonts w:eastAsia="Times New Roman" w:cs="Calibri"/>
                <w:noProof/>
              </w:rPr>
            </w:pPr>
            <w:r>
              <w:rPr>
                <w:noProof/>
              </w:rPr>
              <w:t>20</w:t>
            </w:r>
          </w:p>
        </w:tc>
        <w:tc>
          <w:tcPr>
            <w:tcW w:w="680" w:type="dxa"/>
            <w:shd w:val="clear" w:color="auto" w:fill="C4EFCE"/>
            <w:vAlign w:val="center"/>
            <w:hideMark/>
          </w:tcPr>
          <w:p w14:paraId="5FFEB24C" w14:textId="7FA549A3"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490AFAA1" w14:textId="77777777" w:rsidR="00DC5EC6" w:rsidRDefault="003245A4">
            <w:pPr>
              <w:pStyle w:val="P68B1DB1-Normal8"/>
              <w:spacing w:after="0" w:line="240" w:lineRule="auto"/>
              <w:jc w:val="center"/>
              <w:rPr>
                <w:rFonts w:eastAsia="Times New Roman" w:cs="Calibri"/>
                <w:noProof/>
              </w:rPr>
            </w:pPr>
            <w:r>
              <w:rPr>
                <w:noProof/>
              </w:rPr>
              <w:t>2022</w:t>
            </w:r>
          </w:p>
        </w:tc>
        <w:tc>
          <w:tcPr>
            <w:tcW w:w="4277" w:type="dxa"/>
            <w:shd w:val="clear" w:color="auto" w:fill="C4EFCE"/>
            <w:vAlign w:val="center"/>
            <w:hideMark/>
          </w:tcPr>
          <w:p w14:paraId="453DD757" w14:textId="33BC55B8" w:rsidR="00DC5EC6" w:rsidRDefault="003245A4">
            <w:pPr>
              <w:pStyle w:val="P68B1DB1-Normal8"/>
              <w:spacing w:after="0" w:line="240" w:lineRule="auto"/>
              <w:jc w:val="both"/>
              <w:rPr>
                <w:rFonts w:eastAsia="Times New Roman" w:cs="Calibri"/>
                <w:noProof/>
              </w:rPr>
            </w:pPr>
            <w:r>
              <w:rPr>
                <w:noProof/>
              </w:rPr>
              <w:t xml:space="preserve">A hajléktalanok integrációját célzó, aláírt élettervek száma. </w:t>
            </w:r>
          </w:p>
        </w:tc>
      </w:tr>
      <w:tr w:rsidR="00DC5EC6" w14:paraId="5D7D39EC" w14:textId="77777777">
        <w:trPr>
          <w:trHeight w:val="1105"/>
        </w:trPr>
        <w:tc>
          <w:tcPr>
            <w:tcW w:w="1124" w:type="dxa"/>
            <w:shd w:val="clear" w:color="auto" w:fill="C5EFCE"/>
            <w:vAlign w:val="center"/>
          </w:tcPr>
          <w:p w14:paraId="0F0EA38A" w14:textId="312A5487" w:rsidR="00DC5EC6" w:rsidRDefault="003245A4">
            <w:pPr>
              <w:pStyle w:val="P68B1DB1-Normal7"/>
              <w:spacing w:after="0" w:line="240" w:lineRule="auto"/>
              <w:jc w:val="center"/>
              <w:rPr>
                <w:rFonts w:eastAsia="Times New Roman" w:cs="Calibri"/>
                <w:noProof/>
              </w:rPr>
            </w:pPr>
            <w:r>
              <w:rPr>
                <w:noProof/>
              </w:rPr>
              <w:t>3.27</w:t>
            </w:r>
          </w:p>
        </w:tc>
        <w:tc>
          <w:tcPr>
            <w:tcW w:w="1143" w:type="dxa"/>
            <w:shd w:val="clear" w:color="auto" w:fill="C4EFCE"/>
            <w:vAlign w:val="center"/>
          </w:tcPr>
          <w:p w14:paraId="3FA49D08" w14:textId="0B592BB4" w:rsidR="00DC5EC6" w:rsidRDefault="003245A4">
            <w:pPr>
              <w:pStyle w:val="P68B1DB1-Normal8"/>
              <w:spacing w:after="0" w:line="240" w:lineRule="auto"/>
              <w:jc w:val="center"/>
              <w:rPr>
                <w:rFonts w:eastAsia="Times New Roman" w:cs="Calibri"/>
                <w:noProof/>
              </w:rPr>
            </w:pPr>
            <w:r>
              <w:rPr>
                <w:noProof/>
              </w:rPr>
              <w:t>Re-C03-i03-RAM</w:t>
            </w:r>
          </w:p>
        </w:tc>
        <w:tc>
          <w:tcPr>
            <w:tcW w:w="982" w:type="dxa"/>
            <w:shd w:val="clear" w:color="auto" w:fill="C4EFCE"/>
            <w:vAlign w:val="center"/>
          </w:tcPr>
          <w:p w14:paraId="292902B7" w14:textId="13929E9E"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tcPr>
          <w:p w14:paraId="2559F2E9" w14:textId="37016788" w:rsidR="00DC5EC6" w:rsidRDefault="003245A4">
            <w:pPr>
              <w:pStyle w:val="P68B1DB1-Normal8"/>
              <w:spacing w:after="0" w:line="240" w:lineRule="auto"/>
              <w:jc w:val="center"/>
              <w:rPr>
                <w:rFonts w:eastAsia="Times New Roman" w:cs="Calibri"/>
                <w:noProof/>
              </w:rPr>
            </w:pPr>
            <w:r>
              <w:rPr>
                <w:noProof/>
              </w:rPr>
              <w:t>A hajléktalanokat támogató gondozóotthonokban található helyek száma</w:t>
            </w:r>
          </w:p>
        </w:tc>
        <w:tc>
          <w:tcPr>
            <w:tcW w:w="1486" w:type="dxa"/>
            <w:shd w:val="clear" w:color="auto" w:fill="C4EFCE"/>
            <w:vAlign w:val="center"/>
          </w:tcPr>
          <w:p w14:paraId="06C8929D" w14:textId="77777777" w:rsidR="00DC5EC6" w:rsidRDefault="00DC5EC6">
            <w:pPr>
              <w:spacing w:after="0" w:line="240" w:lineRule="auto"/>
              <w:jc w:val="center"/>
              <w:rPr>
                <w:rFonts w:ascii="Calibri" w:eastAsia="Times New Roman" w:hAnsi="Calibri" w:cs="Calibri"/>
                <w:noProof/>
                <w:sz w:val="16"/>
              </w:rPr>
            </w:pPr>
          </w:p>
        </w:tc>
        <w:tc>
          <w:tcPr>
            <w:tcW w:w="1014" w:type="dxa"/>
            <w:shd w:val="clear" w:color="auto" w:fill="C4EFCE"/>
            <w:vAlign w:val="center"/>
          </w:tcPr>
          <w:p w14:paraId="57AD4CD4" w14:textId="1F41F955"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tcPr>
          <w:p w14:paraId="2E6938E8" w14:textId="74AF9E43"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tcPr>
          <w:p w14:paraId="15B8F899" w14:textId="776DB2B8" w:rsidR="00DC5EC6" w:rsidRDefault="003245A4">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tcPr>
          <w:p w14:paraId="7425B0AA" w14:textId="798BD6B9"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tcPr>
          <w:p w14:paraId="64F7549B" w14:textId="0738F9EF"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tcPr>
          <w:p w14:paraId="56B65A2B" w14:textId="77777777" w:rsidR="00DC5EC6" w:rsidRDefault="003245A4">
            <w:pPr>
              <w:pStyle w:val="P68B1DB1-Normal8"/>
              <w:spacing w:after="0" w:line="240" w:lineRule="auto"/>
              <w:jc w:val="both"/>
              <w:rPr>
                <w:rFonts w:eastAsia="Times New Roman" w:cs="Calibri"/>
                <w:noProof/>
              </w:rPr>
            </w:pPr>
            <w:r>
              <w:rPr>
                <w:noProof/>
              </w:rPr>
              <w:t>A hajléktalanokat támogató gondozóotthonokban létrehozott helyek száma.</w:t>
            </w:r>
          </w:p>
          <w:p w14:paraId="7F75990B" w14:textId="2CADF931" w:rsidR="00DC5EC6" w:rsidRDefault="003245A4">
            <w:pPr>
              <w:pStyle w:val="P68B1DB1-Normal8"/>
              <w:spacing w:after="0" w:line="240" w:lineRule="auto"/>
              <w:jc w:val="both"/>
              <w:rPr>
                <w:rFonts w:eastAsia="Times New Roman" w:cs="Calibri"/>
                <w:noProof/>
              </w:rPr>
            </w:pPr>
            <w:r>
              <w:rPr>
                <w:noProof/>
              </w:rPr>
              <w:t>Új épületek esetében az új épületek primerenergia-szükségletének legalább 20%-kal a közel nulla energiaigényű épületekre vonatkozó követelmények alatt kell lennie.</w:t>
            </w:r>
          </w:p>
        </w:tc>
      </w:tr>
      <w:tr w:rsidR="00DC5EC6" w14:paraId="03AF048D" w14:textId="77777777">
        <w:trPr>
          <w:trHeight w:val="1142"/>
        </w:trPr>
        <w:tc>
          <w:tcPr>
            <w:tcW w:w="1124" w:type="dxa"/>
            <w:shd w:val="clear" w:color="auto" w:fill="C5EFCE"/>
            <w:vAlign w:val="center"/>
            <w:hideMark/>
          </w:tcPr>
          <w:p w14:paraId="3C4ECCC1" w14:textId="77777777" w:rsidR="00DC5EC6" w:rsidRDefault="003245A4">
            <w:pPr>
              <w:pStyle w:val="P68B1DB1-Normal7"/>
              <w:spacing w:after="0" w:line="240" w:lineRule="auto"/>
              <w:jc w:val="center"/>
              <w:rPr>
                <w:rFonts w:eastAsia="Times New Roman" w:cs="Calibri"/>
                <w:noProof/>
              </w:rPr>
            </w:pPr>
            <w:r>
              <w:rPr>
                <w:noProof/>
              </w:rPr>
              <w:t>3.12</w:t>
            </w:r>
          </w:p>
        </w:tc>
        <w:tc>
          <w:tcPr>
            <w:tcW w:w="1143" w:type="dxa"/>
            <w:shd w:val="clear" w:color="auto" w:fill="C4EFCE"/>
            <w:vAlign w:val="center"/>
            <w:hideMark/>
          </w:tcPr>
          <w:p w14:paraId="3611E70C"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67D99684"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1703A05" w14:textId="4B599E15" w:rsidR="00DC5EC6" w:rsidRDefault="003245A4">
            <w:pPr>
              <w:pStyle w:val="P68B1DB1-Normal8"/>
              <w:spacing w:after="0" w:line="240" w:lineRule="auto"/>
              <w:jc w:val="center"/>
              <w:rPr>
                <w:rFonts w:eastAsia="Times New Roman" w:cs="Calibri"/>
                <w:noProof/>
              </w:rPr>
            </w:pPr>
            <w:r>
              <w:rPr>
                <w:noProof/>
              </w:rPr>
              <w:t>A társadalmi befogadást elősegítő jövedelemmel rendelkező családokból származó egyének képzése</w:t>
            </w:r>
          </w:p>
        </w:tc>
        <w:tc>
          <w:tcPr>
            <w:tcW w:w="1486" w:type="dxa"/>
            <w:shd w:val="clear" w:color="auto" w:fill="C4EFCE"/>
            <w:vAlign w:val="center"/>
            <w:hideMark/>
          </w:tcPr>
          <w:p w14:paraId="696E932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521027FE"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50DB1988"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006F6395" w14:textId="5B315001" w:rsidR="00DC5EC6" w:rsidRDefault="003245A4">
            <w:pPr>
              <w:pStyle w:val="P68B1DB1-Normal8"/>
              <w:spacing w:after="0" w:line="240" w:lineRule="auto"/>
              <w:jc w:val="center"/>
              <w:rPr>
                <w:rFonts w:eastAsia="Times New Roman" w:cs="Calibri"/>
                <w:noProof/>
              </w:rPr>
            </w:pPr>
            <w:r>
              <w:rPr>
                <w:noProof/>
              </w:rPr>
              <w:t>4 000</w:t>
            </w:r>
          </w:p>
        </w:tc>
        <w:tc>
          <w:tcPr>
            <w:tcW w:w="680" w:type="dxa"/>
            <w:shd w:val="clear" w:color="auto" w:fill="C4EFCE"/>
            <w:vAlign w:val="center"/>
            <w:hideMark/>
          </w:tcPr>
          <w:p w14:paraId="4C4BF131" w14:textId="48E11B4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1870C922"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39E0E49C" w14:textId="20B3C5B6" w:rsidR="00DC5EC6" w:rsidRDefault="003245A4">
            <w:pPr>
              <w:pStyle w:val="P68B1DB1-Normal8"/>
              <w:spacing w:after="0" w:line="240" w:lineRule="auto"/>
              <w:jc w:val="both"/>
              <w:rPr>
                <w:rFonts w:eastAsia="Times New Roman" w:cs="Calibri"/>
                <w:noProof/>
              </w:rPr>
            </w:pPr>
            <w:r>
              <w:rPr>
                <w:noProof/>
              </w:rPr>
              <w:t>Azoknak a családoknak a száma, akik a társadalmi befogadást célzó jövedelemből részesülnek, és 650 képzésben vesznek részt, hogy lehetővé tegyék számukra a munkaerőpiacra való belépést.</w:t>
            </w:r>
          </w:p>
        </w:tc>
      </w:tr>
      <w:tr w:rsidR="00DC5EC6" w14:paraId="7EC1340A" w14:textId="77777777">
        <w:trPr>
          <w:trHeight w:val="509"/>
        </w:trPr>
        <w:tc>
          <w:tcPr>
            <w:tcW w:w="1124" w:type="dxa"/>
            <w:shd w:val="clear" w:color="auto" w:fill="C5EFCE"/>
            <w:vAlign w:val="center"/>
            <w:hideMark/>
          </w:tcPr>
          <w:p w14:paraId="6C4E3A76" w14:textId="77777777" w:rsidR="00DC5EC6" w:rsidRDefault="003245A4">
            <w:pPr>
              <w:pStyle w:val="P68B1DB1-Normal7"/>
              <w:spacing w:after="0" w:line="240" w:lineRule="auto"/>
              <w:jc w:val="center"/>
              <w:rPr>
                <w:rFonts w:eastAsia="Times New Roman" w:cs="Calibri"/>
                <w:noProof/>
              </w:rPr>
            </w:pPr>
            <w:r>
              <w:rPr>
                <w:noProof/>
              </w:rPr>
              <w:t>3.13</w:t>
            </w:r>
          </w:p>
        </w:tc>
        <w:tc>
          <w:tcPr>
            <w:tcW w:w="1143" w:type="dxa"/>
            <w:shd w:val="clear" w:color="auto" w:fill="C4EFCE"/>
            <w:vAlign w:val="center"/>
            <w:hideMark/>
          </w:tcPr>
          <w:p w14:paraId="1025A546"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0F423132"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7965F891" w14:textId="0DD7203E" w:rsidR="00DC5EC6" w:rsidRDefault="003245A4">
            <w:pPr>
              <w:pStyle w:val="P68B1DB1-Normal8"/>
              <w:spacing w:after="0" w:line="240" w:lineRule="auto"/>
              <w:jc w:val="center"/>
              <w:rPr>
                <w:rFonts w:eastAsia="Times New Roman" w:cs="Calibri"/>
                <w:noProof/>
              </w:rPr>
            </w:pPr>
            <w:r>
              <w:rPr>
                <w:noProof/>
              </w:rPr>
              <w:t>Új helyek a fogyatékossággal élő személyek számára a fogyatékossággal élő személyeket támogató gondozási központokban</w:t>
            </w:r>
          </w:p>
        </w:tc>
        <w:tc>
          <w:tcPr>
            <w:tcW w:w="1486" w:type="dxa"/>
            <w:shd w:val="clear" w:color="auto" w:fill="C4EFCE"/>
            <w:vAlign w:val="center"/>
            <w:hideMark/>
          </w:tcPr>
          <w:p w14:paraId="57FDD5B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FFD0E92"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6A24D43F"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21EF7398" w14:textId="7D224638" w:rsidR="00DC5EC6" w:rsidRDefault="003245A4">
            <w:pPr>
              <w:pStyle w:val="P68B1DB1-Normal8"/>
              <w:spacing w:after="0" w:line="240" w:lineRule="auto"/>
              <w:jc w:val="center"/>
              <w:rPr>
                <w:rFonts w:eastAsia="Times New Roman" w:cs="Calibri"/>
                <w:noProof/>
              </w:rPr>
            </w:pPr>
            <w:r>
              <w:rPr>
                <w:noProof/>
              </w:rPr>
              <w:t>207</w:t>
            </w:r>
          </w:p>
        </w:tc>
        <w:tc>
          <w:tcPr>
            <w:tcW w:w="680" w:type="dxa"/>
            <w:shd w:val="clear" w:color="auto" w:fill="C4EFCE"/>
            <w:vAlign w:val="center"/>
            <w:hideMark/>
          </w:tcPr>
          <w:p w14:paraId="7A32479C" w14:textId="005B5856"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75F2311E" w14:textId="444F2E4E" w:rsidR="00DC5EC6" w:rsidRDefault="003245A4">
            <w:pPr>
              <w:pStyle w:val="P68B1DB1-Normal8"/>
              <w:spacing w:after="0" w:line="240" w:lineRule="auto"/>
              <w:jc w:val="center"/>
              <w:rPr>
                <w:rFonts w:eastAsia="Times New Roman" w:cs="Calibri"/>
                <w:noProof/>
              </w:rPr>
            </w:pPr>
            <w:r>
              <w:rPr>
                <w:noProof/>
              </w:rPr>
              <w:t>2026</w:t>
            </w:r>
          </w:p>
        </w:tc>
        <w:tc>
          <w:tcPr>
            <w:tcW w:w="4277" w:type="dxa"/>
            <w:shd w:val="clear" w:color="auto" w:fill="C4EFCE"/>
            <w:vAlign w:val="center"/>
            <w:hideMark/>
          </w:tcPr>
          <w:p w14:paraId="67533911" w14:textId="7F617E1D" w:rsidR="00DC5EC6" w:rsidRDefault="003245A4">
            <w:pPr>
              <w:pStyle w:val="P68B1DB1-Normal8"/>
              <w:spacing w:after="0" w:line="240" w:lineRule="auto"/>
              <w:jc w:val="both"/>
              <w:rPr>
                <w:rFonts w:eastAsia="Times New Roman" w:cs="Calibri"/>
                <w:noProof/>
              </w:rPr>
            </w:pPr>
            <w:r>
              <w:rPr>
                <w:noProof/>
              </w:rPr>
              <w:t>Új férőhelyek száma a fogyatékossággal élő személyeket támogató gondozási központokban. Ez magában foglalja négy épület építését és két másik épület átalakítását. Új épületek esetében az új épületek primerenergia-szükségletének legalább 20%-kal a közel nulla energiaigényű épületekre vonatkozó követelmények alatt kell lennie.</w:t>
            </w:r>
          </w:p>
        </w:tc>
      </w:tr>
      <w:tr w:rsidR="00DC5EC6" w14:paraId="049083E8" w14:textId="77777777">
        <w:trPr>
          <w:trHeight w:val="1030"/>
        </w:trPr>
        <w:tc>
          <w:tcPr>
            <w:tcW w:w="1124" w:type="dxa"/>
            <w:shd w:val="clear" w:color="auto" w:fill="C5EFCE"/>
            <w:vAlign w:val="center"/>
            <w:hideMark/>
          </w:tcPr>
          <w:p w14:paraId="4D80D6EA" w14:textId="77777777" w:rsidR="00DC5EC6" w:rsidRDefault="003245A4">
            <w:pPr>
              <w:pStyle w:val="P68B1DB1-Normal7"/>
              <w:spacing w:after="0" w:line="240" w:lineRule="auto"/>
              <w:jc w:val="center"/>
              <w:rPr>
                <w:rFonts w:eastAsia="Times New Roman" w:cs="Calibri"/>
                <w:noProof/>
              </w:rPr>
            </w:pPr>
            <w:r>
              <w:rPr>
                <w:noProof/>
              </w:rPr>
              <w:t>3.14</w:t>
            </w:r>
          </w:p>
        </w:tc>
        <w:tc>
          <w:tcPr>
            <w:tcW w:w="1143" w:type="dxa"/>
            <w:shd w:val="clear" w:color="auto" w:fill="C4EFCE"/>
            <w:vAlign w:val="center"/>
            <w:hideMark/>
          </w:tcPr>
          <w:p w14:paraId="62C1B356"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3C09CC66"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5EF33CF2" w14:textId="06A38392" w:rsidR="00DC5EC6" w:rsidRDefault="003245A4">
            <w:pPr>
              <w:pStyle w:val="P68B1DB1-Normal9"/>
              <w:spacing w:after="0" w:line="240" w:lineRule="auto"/>
              <w:jc w:val="center"/>
              <w:rPr>
                <w:rFonts w:eastAsia="Times New Roman" w:cs="Calibri"/>
                <w:noProof/>
                <w:sz w:val="16"/>
              </w:rPr>
            </w:pPr>
            <w:r>
              <w:rPr>
                <w:noProof/>
                <w:sz w:val="16"/>
              </w:rPr>
              <w:t>Az Instituições Particulares de Solidariedade Social számára vásárolt járművek</w:t>
            </w:r>
          </w:p>
        </w:tc>
        <w:tc>
          <w:tcPr>
            <w:tcW w:w="1486" w:type="dxa"/>
            <w:shd w:val="clear" w:color="auto" w:fill="C4EFCE"/>
            <w:vAlign w:val="center"/>
            <w:hideMark/>
          </w:tcPr>
          <w:p w14:paraId="3475EC3A"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2AF43E85"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70F38CC"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1E02EB10" w14:textId="77777777" w:rsidR="00DC5EC6" w:rsidRDefault="003245A4">
            <w:pPr>
              <w:pStyle w:val="P68B1DB1-Normal8"/>
              <w:spacing w:after="0" w:line="240" w:lineRule="auto"/>
              <w:jc w:val="center"/>
              <w:rPr>
                <w:rFonts w:eastAsia="Times New Roman" w:cs="Calibri"/>
                <w:noProof/>
              </w:rPr>
            </w:pPr>
            <w:r>
              <w:rPr>
                <w:noProof/>
              </w:rPr>
              <w:t>100</w:t>
            </w:r>
          </w:p>
        </w:tc>
        <w:tc>
          <w:tcPr>
            <w:tcW w:w="680" w:type="dxa"/>
            <w:shd w:val="clear" w:color="auto" w:fill="C4EFCE"/>
            <w:vAlign w:val="center"/>
            <w:hideMark/>
          </w:tcPr>
          <w:p w14:paraId="71008F83" w14:textId="3AA330BF"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3D8E9877"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227BDB15" w14:textId="146CF533" w:rsidR="00DC5EC6" w:rsidRDefault="003245A4">
            <w:pPr>
              <w:pStyle w:val="P68B1DB1-Normal9"/>
              <w:spacing w:after="0" w:line="240" w:lineRule="auto"/>
              <w:jc w:val="both"/>
              <w:rPr>
                <w:rFonts w:eastAsia="Times New Roman" w:cs="Calibri"/>
                <w:noProof/>
                <w:sz w:val="16"/>
              </w:rPr>
            </w:pPr>
            <w:r>
              <w:rPr>
                <w:noProof/>
                <w:sz w:val="16"/>
              </w:rPr>
              <w:t>Az Instituições Particulares de Solidariedade Social (IPSS) gépjárműflottába szállított új elektromos járművekszáma.</w:t>
            </w:r>
          </w:p>
        </w:tc>
      </w:tr>
      <w:tr w:rsidR="00DC5EC6" w14:paraId="19247985" w14:textId="77777777">
        <w:trPr>
          <w:trHeight w:val="430"/>
        </w:trPr>
        <w:tc>
          <w:tcPr>
            <w:tcW w:w="1124" w:type="dxa"/>
            <w:shd w:val="clear" w:color="auto" w:fill="C5EFCE"/>
            <w:vAlign w:val="center"/>
            <w:hideMark/>
          </w:tcPr>
          <w:p w14:paraId="37211580" w14:textId="77777777" w:rsidR="00DC5EC6" w:rsidRDefault="003245A4">
            <w:pPr>
              <w:pStyle w:val="P68B1DB1-Normal7"/>
              <w:spacing w:after="0" w:line="240" w:lineRule="auto"/>
              <w:jc w:val="center"/>
              <w:rPr>
                <w:rFonts w:eastAsia="Times New Roman" w:cs="Calibri"/>
                <w:noProof/>
              </w:rPr>
            </w:pPr>
            <w:r>
              <w:rPr>
                <w:noProof/>
              </w:rPr>
              <w:t>3.15</w:t>
            </w:r>
          </w:p>
        </w:tc>
        <w:tc>
          <w:tcPr>
            <w:tcW w:w="1143" w:type="dxa"/>
            <w:shd w:val="clear" w:color="auto" w:fill="C4EFCE"/>
            <w:vAlign w:val="center"/>
            <w:hideMark/>
          </w:tcPr>
          <w:p w14:paraId="0B42AE83"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182D975B"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281447A4" w14:textId="77777777" w:rsidR="00DC5EC6" w:rsidRDefault="003245A4">
            <w:pPr>
              <w:pStyle w:val="P68B1DB1-Normal8"/>
              <w:spacing w:after="0" w:line="240" w:lineRule="auto"/>
              <w:jc w:val="center"/>
              <w:rPr>
                <w:rFonts w:eastAsia="Times New Roman" w:cs="Calibri"/>
                <w:noProof/>
              </w:rPr>
            </w:pPr>
            <w:r>
              <w:rPr>
                <w:noProof/>
              </w:rPr>
              <w:t>Az idősödéssel kapcsolatos projekt</w:t>
            </w:r>
          </w:p>
        </w:tc>
        <w:tc>
          <w:tcPr>
            <w:tcW w:w="1486" w:type="dxa"/>
            <w:shd w:val="clear" w:color="auto" w:fill="C4EFCE"/>
            <w:vAlign w:val="center"/>
            <w:hideMark/>
          </w:tcPr>
          <w:p w14:paraId="2D0D204B"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9C9C2F"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7220A717"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9B70C79" w14:textId="5A30131F" w:rsidR="00DC5EC6" w:rsidRDefault="003245A4">
            <w:pPr>
              <w:pStyle w:val="P68B1DB1-Normal8"/>
              <w:spacing w:after="0" w:line="240" w:lineRule="auto"/>
              <w:jc w:val="center"/>
              <w:rPr>
                <w:rFonts w:eastAsia="Times New Roman" w:cs="Calibri"/>
                <w:noProof/>
              </w:rPr>
            </w:pPr>
            <w:r>
              <w:rPr>
                <w:noProof/>
              </w:rPr>
              <w:t>425</w:t>
            </w:r>
          </w:p>
        </w:tc>
        <w:tc>
          <w:tcPr>
            <w:tcW w:w="680" w:type="dxa"/>
            <w:shd w:val="clear" w:color="auto" w:fill="C4EFCE"/>
            <w:vAlign w:val="center"/>
            <w:hideMark/>
          </w:tcPr>
          <w:p w14:paraId="2E66662F" w14:textId="69BEA758"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296AE5F4"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0504830F" w14:textId="77777777" w:rsidR="00DC5EC6" w:rsidRDefault="003245A4">
            <w:pPr>
              <w:pStyle w:val="P68B1DB1-Normal8"/>
              <w:spacing w:after="0" w:line="240" w:lineRule="auto"/>
              <w:jc w:val="both"/>
              <w:rPr>
                <w:rFonts w:eastAsia="Times New Roman" w:cs="Calibri"/>
                <w:noProof/>
              </w:rPr>
            </w:pPr>
            <w:r>
              <w:rPr>
                <w:noProof/>
              </w:rPr>
              <w:t>Az Azori-szigetek Autonóm Régióban működő „Aging in” projekt által érintett idős vagy fogyatékossággal élő személyek száma.</w:t>
            </w:r>
          </w:p>
        </w:tc>
      </w:tr>
      <w:tr w:rsidR="00DC5EC6" w14:paraId="722BCAC5" w14:textId="77777777">
        <w:trPr>
          <w:trHeight w:val="420"/>
        </w:trPr>
        <w:tc>
          <w:tcPr>
            <w:tcW w:w="1124" w:type="dxa"/>
            <w:shd w:val="clear" w:color="auto" w:fill="C5EFCE"/>
            <w:vAlign w:val="center"/>
            <w:hideMark/>
          </w:tcPr>
          <w:p w14:paraId="27569718" w14:textId="77777777" w:rsidR="00DC5EC6" w:rsidRDefault="003245A4">
            <w:pPr>
              <w:pStyle w:val="P68B1DB1-Normal7"/>
              <w:spacing w:after="0" w:line="240" w:lineRule="auto"/>
              <w:jc w:val="center"/>
              <w:rPr>
                <w:rFonts w:eastAsia="Times New Roman" w:cs="Calibri"/>
                <w:noProof/>
              </w:rPr>
            </w:pPr>
            <w:r>
              <w:rPr>
                <w:noProof/>
              </w:rPr>
              <w:t>3.16</w:t>
            </w:r>
          </w:p>
        </w:tc>
        <w:tc>
          <w:tcPr>
            <w:tcW w:w="1143" w:type="dxa"/>
            <w:shd w:val="clear" w:color="auto" w:fill="C4EFCE"/>
            <w:vAlign w:val="center"/>
            <w:hideMark/>
          </w:tcPr>
          <w:p w14:paraId="3FEF3AE7" w14:textId="77777777" w:rsidR="00DC5EC6" w:rsidRDefault="003245A4">
            <w:pPr>
              <w:pStyle w:val="P68B1DB1-Normal8"/>
              <w:spacing w:after="0" w:line="240" w:lineRule="auto"/>
              <w:jc w:val="center"/>
              <w:rPr>
                <w:rFonts w:eastAsia="Times New Roman" w:cs="Calibri"/>
                <w:noProof/>
              </w:rPr>
            </w:pPr>
            <w:r>
              <w:rPr>
                <w:noProof/>
              </w:rPr>
              <w:t>Re-C03-i04-RAA</w:t>
            </w:r>
          </w:p>
        </w:tc>
        <w:tc>
          <w:tcPr>
            <w:tcW w:w="982" w:type="dxa"/>
            <w:shd w:val="clear" w:color="auto" w:fill="C4EFCE"/>
            <w:vAlign w:val="center"/>
            <w:hideMark/>
          </w:tcPr>
          <w:p w14:paraId="57B378D2"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1B2F0661" w14:textId="77777777" w:rsidR="00DC5EC6" w:rsidRDefault="003245A4">
            <w:pPr>
              <w:pStyle w:val="P68B1DB1-Normal8"/>
              <w:spacing w:after="0" w:line="240" w:lineRule="auto"/>
              <w:jc w:val="center"/>
              <w:rPr>
                <w:rFonts w:eastAsia="Times New Roman" w:cs="Calibri"/>
                <w:noProof/>
              </w:rPr>
            </w:pPr>
            <w:r>
              <w:rPr>
                <w:noProof/>
              </w:rPr>
              <w:t>A gyermekek és fiatalok korai iskolaelhagyása elleni küzdelmet célzó intézkedések.</w:t>
            </w:r>
          </w:p>
        </w:tc>
        <w:tc>
          <w:tcPr>
            <w:tcW w:w="1486" w:type="dxa"/>
            <w:shd w:val="clear" w:color="auto" w:fill="C4EFCE"/>
            <w:vAlign w:val="center"/>
            <w:hideMark/>
          </w:tcPr>
          <w:p w14:paraId="761474E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9D5AE91" w14:textId="77777777" w:rsidR="00DC5EC6" w:rsidRDefault="003245A4">
            <w:pPr>
              <w:pStyle w:val="P68B1DB1-Normal8"/>
              <w:spacing w:after="0" w:line="240" w:lineRule="auto"/>
              <w:jc w:val="center"/>
              <w:rPr>
                <w:rFonts w:eastAsia="Times New Roman" w:cs="Calibri"/>
                <w:noProof/>
              </w:rPr>
            </w:pPr>
            <w:r>
              <w:rPr>
                <w:noProof/>
              </w:rPr>
              <w:t>Szám</w:t>
            </w:r>
          </w:p>
        </w:tc>
        <w:tc>
          <w:tcPr>
            <w:tcW w:w="1014" w:type="dxa"/>
            <w:shd w:val="clear" w:color="auto" w:fill="C4EFCE"/>
            <w:vAlign w:val="center"/>
            <w:hideMark/>
          </w:tcPr>
          <w:p w14:paraId="6596B2D6"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6157A47D" w14:textId="77777777" w:rsidR="00DC5EC6" w:rsidRDefault="003245A4">
            <w:pPr>
              <w:pStyle w:val="P68B1DB1-Normal8"/>
              <w:spacing w:after="0" w:line="240" w:lineRule="auto"/>
              <w:jc w:val="center"/>
              <w:rPr>
                <w:rFonts w:eastAsia="Times New Roman" w:cs="Calibri"/>
                <w:noProof/>
              </w:rPr>
            </w:pPr>
            <w:r>
              <w:rPr>
                <w:noProof/>
              </w:rPr>
              <w:t>11 561</w:t>
            </w:r>
          </w:p>
        </w:tc>
        <w:tc>
          <w:tcPr>
            <w:tcW w:w="680" w:type="dxa"/>
            <w:shd w:val="clear" w:color="auto" w:fill="C4EFCE"/>
            <w:vAlign w:val="center"/>
            <w:hideMark/>
          </w:tcPr>
          <w:p w14:paraId="7A4E4D10" w14:textId="64E704EF"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28EF501B"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5BF1ED67" w14:textId="77777777" w:rsidR="00DC5EC6" w:rsidRDefault="003245A4">
            <w:pPr>
              <w:pStyle w:val="P68B1DB1-Normal8"/>
              <w:spacing w:after="0" w:line="240" w:lineRule="auto"/>
              <w:jc w:val="both"/>
              <w:rPr>
                <w:rFonts w:eastAsia="Times New Roman" w:cs="Calibri"/>
                <w:noProof/>
              </w:rPr>
            </w:pPr>
            <w:r>
              <w:rPr>
                <w:noProof/>
              </w:rPr>
              <w:t xml:space="preserve">Az iskolai lemorzsolódás elleni küzdelmet és a felsőoktatásban való részvétel előmozdítását célzó intézkedések hatálya alá tartozó gyermekek és fiatalok az alábbiak révén: </w:t>
            </w:r>
          </w:p>
          <w:p w14:paraId="7FE0E7DB" w14:textId="56A390AC" w:rsidR="00DC5EC6" w:rsidRDefault="003245A4">
            <w:pPr>
              <w:pStyle w:val="P68B1DB1-Normal8"/>
              <w:spacing w:after="0" w:line="240" w:lineRule="auto"/>
              <w:jc w:val="both"/>
              <w:rPr>
                <w:rFonts w:eastAsia="Times New Roman" w:cs="Calibri"/>
                <w:noProof/>
              </w:rPr>
            </w:pPr>
            <w:r>
              <w:rPr>
                <w:noProof/>
              </w:rPr>
              <w:t>az alacsony jövedelmű háztartásoknak nyújtott támogatások, amelyek ösztönzőként szolgálnak a bölcsődékben való részvétel előmozdítására; a tanulmányokat támogató pontok létrehozása; felsőoktatási díjak fizetése az alacsony jövedelmű családok diákjai számára; új férőhelyek kialakítása a gyermekek számára bölcsődékben és napközi otthonokban.</w:t>
            </w:r>
          </w:p>
        </w:tc>
      </w:tr>
      <w:tr w:rsidR="00DC5EC6" w14:paraId="3E0BC186" w14:textId="77777777">
        <w:trPr>
          <w:trHeight w:val="1581"/>
        </w:trPr>
        <w:tc>
          <w:tcPr>
            <w:tcW w:w="1124" w:type="dxa"/>
            <w:shd w:val="clear" w:color="auto" w:fill="C5EFCE"/>
            <w:vAlign w:val="center"/>
            <w:hideMark/>
          </w:tcPr>
          <w:p w14:paraId="4AD1D11D" w14:textId="77777777" w:rsidR="00DC5EC6" w:rsidRDefault="003245A4">
            <w:pPr>
              <w:pStyle w:val="P68B1DB1-Normal7"/>
              <w:spacing w:after="0" w:line="240" w:lineRule="auto"/>
              <w:jc w:val="center"/>
              <w:rPr>
                <w:rFonts w:eastAsia="Times New Roman" w:cs="Calibri"/>
                <w:noProof/>
              </w:rPr>
            </w:pPr>
            <w:r>
              <w:rPr>
                <w:noProof/>
              </w:rPr>
              <w:t>3.17</w:t>
            </w:r>
          </w:p>
        </w:tc>
        <w:tc>
          <w:tcPr>
            <w:tcW w:w="1143" w:type="dxa"/>
            <w:shd w:val="clear" w:color="auto" w:fill="C4EFCE"/>
            <w:vAlign w:val="center"/>
            <w:hideMark/>
          </w:tcPr>
          <w:p w14:paraId="6E502AC3" w14:textId="77777777" w:rsidR="00DC5EC6" w:rsidRDefault="003245A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148563E4"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C55EEC7" w14:textId="77777777" w:rsidR="00DC5EC6" w:rsidRDefault="003245A4">
            <w:pPr>
              <w:pStyle w:val="P68B1DB1-Normal8"/>
              <w:spacing w:after="0" w:line="240" w:lineRule="auto"/>
              <w:jc w:val="center"/>
              <w:rPr>
                <w:rFonts w:eastAsia="Times New Roman" w:cs="Calibri"/>
                <w:noProof/>
              </w:rPr>
            </w:pPr>
            <w:r>
              <w:rPr>
                <w:noProof/>
              </w:rPr>
              <w:t xml:space="preserve">A „Digitális infrastruktúra kiépítése a 360°-os akadálymentesség érdekében” pályázat közzététele </w:t>
            </w:r>
          </w:p>
        </w:tc>
        <w:tc>
          <w:tcPr>
            <w:tcW w:w="1486" w:type="dxa"/>
            <w:shd w:val="clear" w:color="auto" w:fill="C4EFCE"/>
            <w:vAlign w:val="center"/>
            <w:hideMark/>
          </w:tcPr>
          <w:p w14:paraId="67B63709" w14:textId="77777777" w:rsidR="00DC5EC6" w:rsidRDefault="003245A4">
            <w:pPr>
              <w:pStyle w:val="P68B1DB1-Normal8"/>
              <w:spacing w:after="0" w:line="240" w:lineRule="auto"/>
              <w:jc w:val="center"/>
              <w:rPr>
                <w:rFonts w:eastAsia="Times New Roman" w:cs="Calibri"/>
                <w:noProof/>
              </w:rPr>
            </w:pPr>
            <w:r>
              <w:rPr>
                <w:noProof/>
              </w:rPr>
              <w:t>A 360°-os akadálymentesítési célú digitális infrastruktúra beszerzésére vonatkozó ajánlati felhívás közzététele a Hivatalos Lapban – Diario da Republica</w:t>
            </w:r>
          </w:p>
        </w:tc>
        <w:tc>
          <w:tcPr>
            <w:tcW w:w="1014" w:type="dxa"/>
            <w:shd w:val="clear" w:color="auto" w:fill="C4EFCE"/>
            <w:vAlign w:val="center"/>
            <w:hideMark/>
          </w:tcPr>
          <w:p w14:paraId="546A3FF1"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0B23DB11"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7997DED5"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24C9268" w14:textId="6FA46DF6"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5E997187"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3FA52867" w14:textId="77777777" w:rsidR="00DC5EC6" w:rsidRDefault="003245A4">
            <w:pPr>
              <w:pStyle w:val="P68B1DB1-Normal8"/>
              <w:spacing w:after="0" w:line="240" w:lineRule="auto"/>
              <w:jc w:val="both"/>
              <w:rPr>
                <w:rFonts w:eastAsia="Times New Roman" w:cs="Calibri"/>
                <w:noProof/>
              </w:rPr>
            </w:pPr>
            <w:r>
              <w:rPr>
                <w:noProof/>
              </w:rPr>
              <w:t>Pályázati felhívás közzététele a digitális infrastruktúra kiépítésére, amely kiterjed i. a köz- és magánépületekre vonatkozó georeferencia-információkra, ii. a globális információs és helymeghatározó rendszerekre (GPS), iii. a parkolóhelyek földrajzi hivatkozásaira.</w:t>
            </w:r>
          </w:p>
        </w:tc>
      </w:tr>
      <w:tr w:rsidR="00DC5EC6" w14:paraId="37722B84" w14:textId="77777777">
        <w:trPr>
          <w:trHeight w:val="838"/>
        </w:trPr>
        <w:tc>
          <w:tcPr>
            <w:tcW w:w="1124" w:type="dxa"/>
            <w:shd w:val="clear" w:color="auto" w:fill="C5EFCE"/>
            <w:vAlign w:val="center"/>
            <w:hideMark/>
          </w:tcPr>
          <w:p w14:paraId="640BFDCE" w14:textId="77777777" w:rsidR="00DC5EC6" w:rsidRDefault="003245A4">
            <w:pPr>
              <w:pStyle w:val="P68B1DB1-Normal7"/>
              <w:spacing w:after="0" w:line="240" w:lineRule="auto"/>
              <w:jc w:val="center"/>
              <w:rPr>
                <w:rFonts w:eastAsia="Times New Roman" w:cs="Calibri"/>
                <w:noProof/>
              </w:rPr>
            </w:pPr>
            <w:r>
              <w:rPr>
                <w:noProof/>
              </w:rPr>
              <w:t>3.18</w:t>
            </w:r>
          </w:p>
        </w:tc>
        <w:tc>
          <w:tcPr>
            <w:tcW w:w="1143" w:type="dxa"/>
            <w:shd w:val="clear" w:color="auto" w:fill="C4EFCE"/>
            <w:vAlign w:val="center"/>
            <w:hideMark/>
          </w:tcPr>
          <w:p w14:paraId="3B14B6A8" w14:textId="77777777" w:rsidR="00DC5EC6" w:rsidRDefault="003245A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24B0174F"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127B0818" w14:textId="77777777" w:rsidR="00DC5EC6" w:rsidRDefault="003245A4">
            <w:pPr>
              <w:pStyle w:val="P68B1DB1-Normal8"/>
              <w:spacing w:after="0" w:line="240" w:lineRule="auto"/>
              <w:jc w:val="center"/>
              <w:rPr>
                <w:rFonts w:eastAsia="Times New Roman" w:cs="Calibri"/>
                <w:noProof/>
              </w:rPr>
            </w:pPr>
            <w:r>
              <w:rPr>
                <w:noProof/>
              </w:rPr>
              <w:t>Digitális információs platform a fogyatékossággal élő személyek számára</w:t>
            </w:r>
          </w:p>
        </w:tc>
        <w:tc>
          <w:tcPr>
            <w:tcW w:w="1486" w:type="dxa"/>
            <w:shd w:val="clear" w:color="auto" w:fill="C4EFCE"/>
            <w:vAlign w:val="center"/>
            <w:hideMark/>
          </w:tcPr>
          <w:p w14:paraId="14F244C2" w14:textId="77777777" w:rsidR="00DC5EC6" w:rsidRDefault="003245A4">
            <w:pPr>
              <w:pStyle w:val="P68B1DB1-Normal8"/>
              <w:spacing w:after="0" w:line="240" w:lineRule="auto"/>
              <w:jc w:val="center"/>
              <w:rPr>
                <w:rFonts w:eastAsia="Times New Roman" w:cs="Calibri"/>
                <w:noProof/>
              </w:rPr>
            </w:pPr>
            <w:r>
              <w:rPr>
                <w:noProof/>
              </w:rPr>
              <w:t>A platform üzembe helyezése</w:t>
            </w:r>
          </w:p>
        </w:tc>
        <w:tc>
          <w:tcPr>
            <w:tcW w:w="1014" w:type="dxa"/>
            <w:shd w:val="clear" w:color="auto" w:fill="C4EFCE"/>
            <w:vAlign w:val="center"/>
            <w:hideMark/>
          </w:tcPr>
          <w:p w14:paraId="2D447742"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369FDBF8"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DC68D64"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352AF611" w14:textId="700FE45E"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4C2EC19E" w14:textId="77777777"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38C6A344" w14:textId="77777777" w:rsidR="00DC5EC6" w:rsidRDefault="003245A4">
            <w:pPr>
              <w:pStyle w:val="P68B1DB1-Normal8"/>
              <w:spacing w:after="0" w:line="240" w:lineRule="auto"/>
              <w:jc w:val="both"/>
              <w:rPr>
                <w:rFonts w:eastAsia="Times New Roman" w:cs="Calibri"/>
                <w:noProof/>
              </w:rPr>
            </w:pPr>
            <w:r>
              <w:rPr>
                <w:noProof/>
              </w:rPr>
              <w:t>Egy olyan digitális információs platform üzembe helyezése, amely összesíti és egyszerűsíti a vonatkozó jogszabályokra vonatkozó információkat, és támogatja a fogyatékossággal élő személyek számára rendelkezésre álló erőforrásokat.</w:t>
            </w:r>
          </w:p>
        </w:tc>
      </w:tr>
      <w:tr w:rsidR="00DC5EC6" w14:paraId="29DF1015" w14:textId="77777777">
        <w:trPr>
          <w:trHeight w:val="928"/>
        </w:trPr>
        <w:tc>
          <w:tcPr>
            <w:tcW w:w="1124" w:type="dxa"/>
            <w:shd w:val="clear" w:color="auto" w:fill="C5EFCE"/>
            <w:vAlign w:val="center"/>
            <w:hideMark/>
          </w:tcPr>
          <w:p w14:paraId="31FC2931" w14:textId="77777777" w:rsidR="00DC5EC6" w:rsidRDefault="003245A4">
            <w:pPr>
              <w:pStyle w:val="P68B1DB1-Normal7"/>
              <w:spacing w:after="0" w:line="240" w:lineRule="auto"/>
              <w:jc w:val="center"/>
              <w:rPr>
                <w:rFonts w:eastAsia="Times New Roman" w:cs="Calibri"/>
                <w:noProof/>
              </w:rPr>
            </w:pPr>
            <w:r>
              <w:rPr>
                <w:noProof/>
              </w:rPr>
              <w:t>3.19</w:t>
            </w:r>
          </w:p>
        </w:tc>
        <w:tc>
          <w:tcPr>
            <w:tcW w:w="1143" w:type="dxa"/>
            <w:shd w:val="clear" w:color="auto" w:fill="C4EFCE"/>
            <w:vAlign w:val="center"/>
            <w:hideMark/>
          </w:tcPr>
          <w:p w14:paraId="31C50628" w14:textId="77777777" w:rsidR="00DC5EC6" w:rsidRDefault="003245A4">
            <w:pPr>
              <w:pStyle w:val="P68B1DB1-Normal8"/>
              <w:spacing w:after="0" w:line="240" w:lineRule="auto"/>
              <w:jc w:val="center"/>
              <w:rPr>
                <w:rFonts w:eastAsia="Times New Roman" w:cs="Calibri"/>
                <w:noProof/>
              </w:rPr>
            </w:pPr>
            <w:r>
              <w:rPr>
                <w:noProof/>
              </w:rPr>
              <w:t>Re-C03-i05</w:t>
            </w:r>
          </w:p>
        </w:tc>
        <w:tc>
          <w:tcPr>
            <w:tcW w:w="982" w:type="dxa"/>
            <w:shd w:val="clear" w:color="auto" w:fill="C4EFCE"/>
            <w:vAlign w:val="center"/>
            <w:hideMark/>
          </w:tcPr>
          <w:p w14:paraId="6E89FFB3"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F2367B2" w14:textId="77777777" w:rsidR="00DC5EC6" w:rsidRDefault="003245A4">
            <w:pPr>
              <w:pStyle w:val="P68B1DB1-Normal8"/>
              <w:spacing w:after="0" w:line="240" w:lineRule="auto"/>
              <w:jc w:val="center"/>
              <w:rPr>
                <w:rFonts w:eastAsia="Times New Roman" w:cs="Calibri"/>
                <w:noProof/>
              </w:rPr>
            </w:pPr>
            <w:r>
              <w:rPr>
                <w:noProof/>
              </w:rPr>
              <w:t>A portugál jelnyelv hívóközpontja</w:t>
            </w:r>
          </w:p>
        </w:tc>
        <w:tc>
          <w:tcPr>
            <w:tcW w:w="1486" w:type="dxa"/>
            <w:shd w:val="clear" w:color="auto" w:fill="C4EFCE"/>
            <w:vAlign w:val="center"/>
            <w:hideMark/>
          </w:tcPr>
          <w:p w14:paraId="4C4DE045" w14:textId="77777777" w:rsidR="00DC5EC6" w:rsidRDefault="003245A4">
            <w:pPr>
              <w:pStyle w:val="P68B1DB1-Normal8"/>
              <w:spacing w:after="0" w:line="240" w:lineRule="auto"/>
              <w:jc w:val="center"/>
              <w:rPr>
                <w:rFonts w:eastAsia="Times New Roman" w:cs="Calibri"/>
                <w:noProof/>
              </w:rPr>
            </w:pPr>
            <w:r>
              <w:rPr>
                <w:noProof/>
              </w:rPr>
              <w:t>A portugál jelnyelv felhívásközpontjának üzembe helyezése</w:t>
            </w:r>
          </w:p>
        </w:tc>
        <w:tc>
          <w:tcPr>
            <w:tcW w:w="1014" w:type="dxa"/>
            <w:shd w:val="clear" w:color="auto" w:fill="C4EFCE"/>
            <w:vAlign w:val="center"/>
            <w:hideMark/>
          </w:tcPr>
          <w:p w14:paraId="62A19147"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B4F454E"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5B22AC7B"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5C3FE14B" w14:textId="2F097B60"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19B2E8B1"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7F959E19" w14:textId="07AF1B38" w:rsidR="00DC5EC6" w:rsidRDefault="003245A4">
            <w:pPr>
              <w:pStyle w:val="P68B1DB1-Normal8"/>
              <w:spacing w:after="0" w:line="240" w:lineRule="auto"/>
              <w:jc w:val="both"/>
              <w:rPr>
                <w:rFonts w:eastAsia="Times New Roman" w:cs="Calibri"/>
                <w:noProof/>
              </w:rPr>
            </w:pPr>
            <w:r>
              <w:rPr>
                <w:noProof/>
              </w:rPr>
              <w:t>A siket állampolgárok számára garantált valós idejű portugál jelnyelven (LGP) történő tolmácsolást biztosító hívóközpont üzembe helyezése, amely valamennyi közigazgatási szerv számára elérhető.</w:t>
            </w:r>
          </w:p>
        </w:tc>
      </w:tr>
      <w:tr w:rsidR="00DC5EC6" w14:paraId="0BDE969A" w14:textId="77777777">
        <w:trPr>
          <w:trHeight w:val="1690"/>
        </w:trPr>
        <w:tc>
          <w:tcPr>
            <w:tcW w:w="1124" w:type="dxa"/>
            <w:shd w:val="clear" w:color="auto" w:fill="C5EFCE"/>
            <w:vAlign w:val="center"/>
          </w:tcPr>
          <w:p w14:paraId="6D78B7CA" w14:textId="77777777" w:rsidR="00DC5EC6" w:rsidRDefault="003245A4">
            <w:pPr>
              <w:pStyle w:val="P68B1DB1-Normal7"/>
              <w:spacing w:after="0" w:line="240" w:lineRule="auto"/>
              <w:jc w:val="center"/>
              <w:rPr>
                <w:rFonts w:eastAsia="Times New Roman" w:cs="Calibri"/>
                <w:noProof/>
              </w:rPr>
            </w:pPr>
            <w:r>
              <w:rPr>
                <w:noProof/>
              </w:rPr>
              <w:t>3.20</w:t>
            </w:r>
          </w:p>
        </w:tc>
        <w:tc>
          <w:tcPr>
            <w:tcW w:w="1143" w:type="dxa"/>
            <w:shd w:val="clear" w:color="auto" w:fill="C4EFCE"/>
            <w:vAlign w:val="center"/>
          </w:tcPr>
          <w:p w14:paraId="4B2FA922" w14:textId="77777777" w:rsidR="00DC5EC6" w:rsidRDefault="003245A4">
            <w:pPr>
              <w:pStyle w:val="P68B1DB1-Normal8"/>
              <w:spacing w:after="0" w:line="240" w:lineRule="auto"/>
              <w:jc w:val="center"/>
              <w:rPr>
                <w:rFonts w:eastAsia="Times New Roman" w:cs="Calibri"/>
                <w:noProof/>
              </w:rPr>
            </w:pPr>
            <w:r>
              <w:rPr>
                <w:noProof/>
              </w:rPr>
              <w:t>Re-C03-r08</w:t>
            </w:r>
          </w:p>
        </w:tc>
        <w:tc>
          <w:tcPr>
            <w:tcW w:w="982" w:type="dxa"/>
            <w:shd w:val="clear" w:color="auto" w:fill="C4EFCE"/>
            <w:vAlign w:val="center"/>
          </w:tcPr>
          <w:p w14:paraId="7E7854CA"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tcPr>
          <w:p w14:paraId="6959C89C" w14:textId="77777777" w:rsidR="00DC5EC6" w:rsidRDefault="003245A4">
            <w:pPr>
              <w:pStyle w:val="P68B1DB1-Normal8"/>
              <w:spacing w:after="0" w:line="240" w:lineRule="auto"/>
              <w:jc w:val="center"/>
              <w:rPr>
                <w:rFonts w:eastAsia="Times New Roman" w:cs="Calibri"/>
                <w:noProof/>
              </w:rPr>
            </w:pPr>
            <w:r>
              <w:rPr>
                <w:noProof/>
              </w:rPr>
              <w:t>A szegénység elleni küzdelemre irányuló nemzeti stratégia elfogadása</w:t>
            </w:r>
          </w:p>
        </w:tc>
        <w:tc>
          <w:tcPr>
            <w:tcW w:w="1486" w:type="dxa"/>
            <w:shd w:val="clear" w:color="auto" w:fill="C4EFCE"/>
            <w:vAlign w:val="center"/>
          </w:tcPr>
          <w:p w14:paraId="3471F2FF" w14:textId="77777777" w:rsidR="00DC5EC6" w:rsidRDefault="003245A4">
            <w:pPr>
              <w:pStyle w:val="P68B1DB1-Normal8"/>
              <w:spacing w:after="0" w:line="240" w:lineRule="auto"/>
              <w:jc w:val="center"/>
              <w:rPr>
                <w:rFonts w:eastAsia="Times New Roman" w:cs="Calibri"/>
                <w:noProof/>
              </w:rPr>
            </w:pPr>
            <w:r>
              <w:rPr>
                <w:noProof/>
              </w:rPr>
              <w:t>A szegénység elleni küzdelemre irányuló nemzeti stratégia elfogadása</w:t>
            </w:r>
          </w:p>
        </w:tc>
        <w:tc>
          <w:tcPr>
            <w:tcW w:w="1014" w:type="dxa"/>
            <w:shd w:val="clear" w:color="auto" w:fill="C4EFCE"/>
            <w:vAlign w:val="center"/>
          </w:tcPr>
          <w:p w14:paraId="1283F0D0"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tcPr>
          <w:p w14:paraId="6ABA1CAC"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tcPr>
          <w:p w14:paraId="00EAECC6"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tcPr>
          <w:p w14:paraId="4F8A05D3" w14:textId="7021B15A" w:rsidR="00DC5EC6" w:rsidRDefault="006E607E">
            <w:pPr>
              <w:pStyle w:val="P68B1DB1-Normal8"/>
              <w:spacing w:after="0" w:line="240" w:lineRule="auto"/>
              <w:jc w:val="center"/>
              <w:rPr>
                <w:rFonts w:eastAsia="Times New Roman" w:cs="Calibri"/>
                <w:noProof/>
              </w:rPr>
            </w:pPr>
            <w:r>
              <w:rPr>
                <w:noProof/>
              </w:rPr>
              <w:t>3. NEGYEDÉV</w:t>
            </w:r>
          </w:p>
        </w:tc>
        <w:tc>
          <w:tcPr>
            <w:tcW w:w="845" w:type="dxa"/>
            <w:shd w:val="clear" w:color="auto" w:fill="C4EFCE"/>
            <w:vAlign w:val="center"/>
          </w:tcPr>
          <w:p w14:paraId="7D0E5BB2"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tcPr>
          <w:p w14:paraId="2AE0C47C" w14:textId="77777777" w:rsidR="00DC5EC6" w:rsidRDefault="003245A4">
            <w:pPr>
              <w:pStyle w:val="P68B1DB1-Normal8"/>
              <w:spacing w:after="0" w:line="240" w:lineRule="auto"/>
              <w:jc w:val="both"/>
              <w:rPr>
                <w:rFonts w:eastAsia="Times New Roman" w:cs="Calibri"/>
                <w:noProof/>
              </w:rPr>
            </w:pPr>
            <w:r>
              <w:rPr>
                <w:noProof/>
              </w:rPr>
              <w:t>A szegénység elleni küzdelemre irányuló nemzeti stratégia (ENCP) keretet biztosít az egyes csoportokra irányuló tematikus beavatkozásokhoz gyermekkortól időskorig, beleértve a legkiszolgáltatottabb csoportokat is. Meghatározza a társadalmi kirekesztés és a szegénység helyi szintű sajátosságaira összpontosító integrált politikák kidolgozásának és végrehajtásának feltételeit. Emellett előírja a szegénységgel kapcsolatos mutatók egységes nyomonkövetési keretének létrehozását is.</w:t>
            </w:r>
          </w:p>
        </w:tc>
      </w:tr>
      <w:tr w:rsidR="00DC5EC6" w14:paraId="533F5B1E" w14:textId="77777777">
        <w:trPr>
          <w:trHeight w:val="290"/>
        </w:trPr>
        <w:tc>
          <w:tcPr>
            <w:tcW w:w="1124" w:type="dxa"/>
            <w:shd w:val="clear" w:color="auto" w:fill="C5EFCE"/>
            <w:vAlign w:val="center"/>
            <w:hideMark/>
          </w:tcPr>
          <w:p w14:paraId="75444558" w14:textId="77777777" w:rsidR="00DC5EC6" w:rsidRDefault="003245A4">
            <w:pPr>
              <w:pStyle w:val="P68B1DB1-Normal7"/>
              <w:spacing w:after="0" w:line="240" w:lineRule="auto"/>
              <w:jc w:val="center"/>
              <w:rPr>
                <w:rFonts w:eastAsia="Times New Roman" w:cs="Calibri"/>
                <w:noProof/>
              </w:rPr>
            </w:pPr>
            <w:r>
              <w:rPr>
                <w:noProof/>
              </w:rPr>
              <w:t>3.21</w:t>
            </w:r>
          </w:p>
        </w:tc>
        <w:tc>
          <w:tcPr>
            <w:tcW w:w="1143" w:type="dxa"/>
            <w:shd w:val="clear" w:color="auto" w:fill="C4EFCE"/>
            <w:vAlign w:val="center"/>
            <w:hideMark/>
          </w:tcPr>
          <w:p w14:paraId="57253209" w14:textId="77777777" w:rsidR="00DC5EC6" w:rsidRDefault="003245A4">
            <w:pPr>
              <w:pStyle w:val="P68B1DB1-Normal8"/>
              <w:spacing w:after="0" w:line="240" w:lineRule="auto"/>
              <w:jc w:val="center"/>
              <w:rPr>
                <w:rFonts w:eastAsia="Times New Roman" w:cs="Calibri"/>
                <w:noProof/>
              </w:rPr>
            </w:pPr>
            <w:r>
              <w:rPr>
                <w:noProof/>
              </w:rPr>
              <w:t>Re-C03-r06</w:t>
            </w:r>
          </w:p>
        </w:tc>
        <w:tc>
          <w:tcPr>
            <w:tcW w:w="982" w:type="dxa"/>
            <w:shd w:val="clear" w:color="auto" w:fill="C4EFCE"/>
            <w:vAlign w:val="center"/>
            <w:hideMark/>
          </w:tcPr>
          <w:p w14:paraId="48FD60DB"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B798661" w14:textId="77777777" w:rsidR="00DC5EC6" w:rsidRDefault="003245A4">
            <w:pPr>
              <w:pStyle w:val="P68B1DB1-Normal8"/>
              <w:spacing w:after="0" w:line="240" w:lineRule="auto"/>
              <w:jc w:val="center"/>
              <w:rPr>
                <w:rFonts w:eastAsia="Times New Roman" w:cs="Calibri"/>
                <w:noProof/>
              </w:rPr>
            </w:pPr>
            <w:r>
              <w:rPr>
                <w:noProof/>
              </w:rPr>
              <w:t>A fogyatékossággal élő személyek befogadására vonatkozó 2021–2025-ös nemzeti stratégia elfogadása</w:t>
            </w:r>
          </w:p>
        </w:tc>
        <w:tc>
          <w:tcPr>
            <w:tcW w:w="1486" w:type="dxa"/>
            <w:shd w:val="clear" w:color="auto" w:fill="C4EFCE"/>
            <w:vAlign w:val="center"/>
            <w:hideMark/>
          </w:tcPr>
          <w:p w14:paraId="40250264" w14:textId="77777777" w:rsidR="00DC5EC6" w:rsidRDefault="003245A4">
            <w:pPr>
              <w:pStyle w:val="P68B1DB1-Normal8"/>
              <w:spacing w:after="0" w:line="240" w:lineRule="auto"/>
              <w:jc w:val="center"/>
              <w:rPr>
                <w:rFonts w:eastAsia="Times New Roman" w:cs="Calibri"/>
                <w:noProof/>
              </w:rPr>
            </w:pPr>
            <w:r>
              <w:rPr>
                <w:noProof/>
              </w:rPr>
              <w:t>A fogyatékossággal élő személyek befogadására vonatkozó 2021–2025-ös nemzeti stratégia elfogadása</w:t>
            </w:r>
          </w:p>
        </w:tc>
        <w:tc>
          <w:tcPr>
            <w:tcW w:w="1014" w:type="dxa"/>
            <w:shd w:val="clear" w:color="auto" w:fill="C4EFCE"/>
            <w:vAlign w:val="center"/>
            <w:hideMark/>
          </w:tcPr>
          <w:p w14:paraId="66D9974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448DA702"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94CC941"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61D167B3" w14:textId="5970B57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39843ADC"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7651022" w14:textId="77777777" w:rsidR="00DC5EC6" w:rsidRDefault="003245A4">
            <w:pPr>
              <w:pStyle w:val="P68B1DB1-Normal8"/>
              <w:spacing w:after="0" w:line="240" w:lineRule="auto"/>
              <w:jc w:val="both"/>
              <w:rPr>
                <w:rFonts w:eastAsia="Times New Roman" w:cs="Calibri"/>
                <w:noProof/>
              </w:rPr>
            </w:pPr>
            <w:r>
              <w:rPr>
                <w:noProof/>
              </w:rPr>
              <w:t xml:space="preserve">A fogyatékossággal élő személyek befogadására irányuló nemzeti stratégia megteremti a feltételeket a következőkhöz: </w:t>
            </w:r>
          </w:p>
          <w:p w14:paraId="5BEAE38C"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új fogyatékosságértékelési és -tanúsítási rendszer; </w:t>
            </w:r>
          </w:p>
          <w:p w14:paraId="1AE861D1"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 xml:space="preserve">új adatgyűjtési és -kezelési rendszer, valamint a fogyatékosságra vonatkozó információk megszervezése a döntéshozatal támogatása érdekében; </w:t>
            </w:r>
          </w:p>
          <w:p w14:paraId="6C12A290"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a közterületeken történő beavatkozások minősítése;</w:t>
            </w:r>
          </w:p>
          <w:p w14:paraId="090CA10D"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 a fogyatékossággal élő személyek bevonásának</w:t>
            </w:r>
            <w:r>
              <w:rPr>
                <w:rFonts w:ascii="Times New Roman" w:hAnsi="Times New Roman"/>
                <w:noProof/>
                <w:sz w:val="14"/>
              </w:rPr>
              <w:t xml:space="preserve"> </w:t>
            </w:r>
            <w:r>
              <w:rPr>
                <w:rFonts w:ascii="Calibri" w:hAnsi="Calibri"/>
                <w:noProof/>
                <w:sz w:val="16"/>
              </w:rPr>
              <w:t>általános érvényesítése a döntésekben, intézkedésekben, programokban és projektekben;</w:t>
            </w:r>
          </w:p>
          <w:p w14:paraId="47358F4D"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w:t>
            </w:r>
            <w:r>
              <w:rPr>
                <w:rFonts w:ascii="Times New Roman" w:hAnsi="Times New Roman"/>
                <w:noProof/>
                <w:sz w:val="14"/>
              </w:rPr>
              <w:t xml:space="preserve"> </w:t>
            </w:r>
            <w:r>
              <w:rPr>
                <w:rFonts w:ascii="Calibri" w:hAnsi="Calibri"/>
                <w:noProof/>
                <w:sz w:val="16"/>
              </w:rPr>
              <w:t>az önálló életvitelt támogató modell kiterjesztése, amely személyes segítséget nyújt a fogyatékossággal élő személyeknek;</w:t>
            </w:r>
          </w:p>
          <w:p w14:paraId="20D2D4ED" w14:textId="0DE988E4" w:rsidR="00DC5EC6" w:rsidRDefault="003245A4">
            <w:pPr>
              <w:spacing w:after="0" w:line="240" w:lineRule="auto"/>
              <w:jc w:val="both"/>
              <w:rPr>
                <w:rFonts w:ascii="Calibri" w:eastAsia="Times New Roman" w:hAnsi="Calibri" w:cs="Calibri"/>
                <w:noProof/>
                <w:sz w:val="16"/>
              </w:rPr>
            </w:pPr>
            <w:r>
              <w:rPr>
                <w:rFonts w:ascii="Calibri" w:hAnsi="Calibri"/>
                <w:noProof/>
                <w:sz w:val="16"/>
              </w:rPr>
              <w:t>• a fogyatékossággal élő személyek képzési, foglalkoztatási és képesítési rendszerének</w:t>
            </w:r>
            <w:r>
              <w:rPr>
                <w:rFonts w:ascii="Times New Roman" w:hAnsi="Times New Roman"/>
                <w:noProof/>
                <w:sz w:val="14"/>
              </w:rPr>
              <w:t xml:space="preserve"> </w:t>
            </w:r>
            <w:r>
              <w:rPr>
                <w:rFonts w:ascii="Calibri" w:hAnsi="Calibri"/>
                <w:noProof/>
                <w:sz w:val="16"/>
              </w:rPr>
              <w:t>kiigazítása.</w:t>
            </w:r>
          </w:p>
        </w:tc>
      </w:tr>
      <w:tr w:rsidR="00DC5EC6" w14:paraId="259EB076" w14:textId="77777777">
        <w:trPr>
          <w:trHeight w:val="1060"/>
        </w:trPr>
        <w:tc>
          <w:tcPr>
            <w:tcW w:w="1124" w:type="dxa"/>
            <w:shd w:val="clear" w:color="auto" w:fill="C5EFCE"/>
            <w:vAlign w:val="center"/>
            <w:hideMark/>
          </w:tcPr>
          <w:p w14:paraId="26DEA246" w14:textId="77777777" w:rsidR="00DC5EC6" w:rsidRDefault="003245A4">
            <w:pPr>
              <w:pStyle w:val="P68B1DB1-Normal7"/>
              <w:spacing w:after="0" w:line="240" w:lineRule="auto"/>
              <w:jc w:val="center"/>
              <w:rPr>
                <w:rFonts w:eastAsia="Times New Roman" w:cs="Calibri"/>
                <w:noProof/>
              </w:rPr>
            </w:pPr>
            <w:r>
              <w:rPr>
                <w:noProof/>
              </w:rPr>
              <w:t>3.22</w:t>
            </w:r>
          </w:p>
        </w:tc>
        <w:tc>
          <w:tcPr>
            <w:tcW w:w="1143" w:type="dxa"/>
            <w:shd w:val="clear" w:color="auto" w:fill="C4EFCE"/>
            <w:vAlign w:val="center"/>
            <w:hideMark/>
          </w:tcPr>
          <w:p w14:paraId="46042C8C" w14:textId="77777777" w:rsidR="00DC5EC6" w:rsidRDefault="003245A4">
            <w:pPr>
              <w:pStyle w:val="P68B1DB1-Normal8"/>
              <w:spacing w:after="0" w:line="240" w:lineRule="auto"/>
              <w:jc w:val="center"/>
              <w:rPr>
                <w:rFonts w:eastAsia="Times New Roman" w:cs="Calibri"/>
                <w:noProof/>
              </w:rPr>
            </w:pPr>
            <w:r>
              <w:rPr>
                <w:noProof/>
              </w:rPr>
              <w:t>Re-C03-r05</w:t>
            </w:r>
          </w:p>
        </w:tc>
        <w:tc>
          <w:tcPr>
            <w:tcW w:w="982" w:type="dxa"/>
            <w:shd w:val="clear" w:color="auto" w:fill="C4EFCE"/>
            <w:vAlign w:val="center"/>
            <w:hideMark/>
          </w:tcPr>
          <w:p w14:paraId="292DDDE3"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5FA61DF0" w14:textId="77777777" w:rsidR="00DC5EC6" w:rsidRDefault="003245A4">
            <w:pPr>
              <w:pStyle w:val="P68B1DB1-Normal8"/>
              <w:spacing w:after="0" w:line="240" w:lineRule="auto"/>
              <w:jc w:val="center"/>
              <w:rPr>
                <w:rFonts w:eastAsia="Times New Roman" w:cs="Calibri"/>
                <w:noProof/>
              </w:rPr>
            </w:pPr>
            <w:r>
              <w:rPr>
                <w:noProof/>
              </w:rPr>
              <w:t>Az egyszerűsített szociális berendezések telepítési rendszerének hatálybalépése</w:t>
            </w:r>
          </w:p>
        </w:tc>
        <w:tc>
          <w:tcPr>
            <w:tcW w:w="1486" w:type="dxa"/>
            <w:shd w:val="clear" w:color="auto" w:fill="C4EFCE"/>
            <w:vAlign w:val="center"/>
            <w:hideMark/>
          </w:tcPr>
          <w:p w14:paraId="02D75D2D" w14:textId="77777777" w:rsidR="00DC5EC6" w:rsidRDefault="003245A4">
            <w:pPr>
              <w:pStyle w:val="P68B1DB1-Normal8"/>
              <w:spacing w:after="0" w:line="240" w:lineRule="auto"/>
              <w:jc w:val="center"/>
              <w:rPr>
                <w:rFonts w:eastAsia="Times New Roman" w:cs="Calibri"/>
                <w:noProof/>
              </w:rPr>
            </w:pPr>
            <w:r>
              <w:rPr>
                <w:noProof/>
              </w:rPr>
              <w:t>Az egyszerűsített szociális berendezések telepítési rendszerének hatálybalépése</w:t>
            </w:r>
          </w:p>
        </w:tc>
        <w:tc>
          <w:tcPr>
            <w:tcW w:w="1014" w:type="dxa"/>
            <w:shd w:val="clear" w:color="auto" w:fill="C4EFCE"/>
            <w:vAlign w:val="center"/>
            <w:hideMark/>
          </w:tcPr>
          <w:p w14:paraId="1B1E4AC9"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7427C6C7"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3501B542"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1D936D49" w14:textId="205E390C"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3BD447DC"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59D5A18E" w14:textId="77777777" w:rsidR="00DC5EC6" w:rsidRDefault="003245A4">
            <w:pPr>
              <w:keepNext/>
              <w:spacing w:before="40" w:after="0" w:line="240" w:lineRule="auto"/>
              <w:jc w:val="both"/>
              <w:rPr>
                <w:rFonts w:ascii="Calibri" w:eastAsia="Times New Roman" w:hAnsi="Calibri" w:cs="Calibri"/>
                <w:noProof/>
                <w:sz w:val="16"/>
              </w:rPr>
            </w:pPr>
            <w:r>
              <w:rPr>
                <w:rFonts w:ascii="Calibri" w:hAnsi="Calibri"/>
                <w:noProof/>
                <w:sz w:val="16"/>
              </w:rPr>
              <w:t>A szociális berendezések egyszerűsített telepítési rendszerének hatálybalépése a következő jellemzőkkel:</w:t>
            </w:r>
            <w:r>
              <w:rPr>
                <w:noProof/>
              </w:rPr>
              <w:br/>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Calibri" w:hAnsi="Calibri"/>
                <w:noProof/>
                <w:sz w:val="16"/>
              </w:rPr>
              <w:t>illegálisan működő lakószerkezet engedélyezési és rendezési követelményeinek</w:t>
            </w:r>
            <w:r>
              <w:rPr>
                <w:rFonts w:ascii="Times New Roman" w:hAnsi="Times New Roman"/>
                <w:noProof/>
                <w:sz w:val="14"/>
              </w:rPr>
              <w:t xml:space="preserve"> </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noProof/>
              </w:rPr>
              <w:br/>
            </w:r>
            <w:r>
              <w:rPr>
                <w:rFonts w:ascii="Calibri" w:hAnsi="Calibri"/>
                <w:noProof/>
                <w:sz w:val="16"/>
              </w:rPr>
              <w:t>Minőségi kritériumok</w:t>
            </w:r>
            <w:r>
              <w:rPr>
                <w:rFonts w:ascii="Times New Roman" w:hAnsi="Times New Roman"/>
                <w:noProof/>
                <w:sz w:val="14"/>
              </w:rPr>
              <w:t xml:space="preserve"> </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r>
              <w:rPr>
                <w:rFonts w:ascii="Symbol" w:hAnsi="Symbol"/>
                <w:noProof/>
                <w:sz w:val="16"/>
              </w:rPr>
              <w:t></w:t>
            </w:r>
          </w:p>
          <w:p w14:paraId="73A3AE3B" w14:textId="77777777" w:rsidR="00DC5EC6" w:rsidRDefault="003245A4">
            <w:pPr>
              <w:keepNext/>
              <w:spacing w:before="40" w:after="0" w:line="240" w:lineRule="auto"/>
              <w:jc w:val="both"/>
              <w:rPr>
                <w:rFonts w:ascii="Calibri" w:eastAsia="Times New Roman" w:hAnsi="Calibri" w:cs="Calibri"/>
                <w:noProof/>
                <w:sz w:val="16"/>
              </w:rPr>
            </w:pPr>
            <w:r>
              <w:rPr>
                <w:rFonts w:ascii="Symbol" w:hAnsi="Symbol"/>
                <w:noProof/>
                <w:sz w:val="16"/>
              </w:rPr>
              <w:t></w:t>
            </w:r>
            <w:r>
              <w:rPr>
                <w:rFonts w:ascii="Symbol" w:hAnsi="Symbol"/>
                <w:noProof/>
                <w:sz w:val="16"/>
              </w:rPr>
              <w:t></w:t>
            </w:r>
            <w:r>
              <w:rPr>
                <w:rFonts w:ascii="Calibri" w:hAnsi="Calibri"/>
                <w:noProof/>
                <w:sz w:val="16"/>
              </w:rPr>
              <w:t>típusú szociális válaszok, például a közösségi lakhatás és az otthoni támogatás új modelljei bevezetéséhez szükséges keret</w:t>
            </w:r>
            <w:r>
              <w:rPr>
                <w:rFonts w:ascii="Times New Roman" w:hAnsi="Times New Roman"/>
                <w:noProof/>
                <w:sz w:val="14"/>
              </w:rPr>
              <w:t xml:space="preserve"> </w:t>
            </w:r>
            <w:r>
              <w:rPr>
                <w:rFonts w:ascii="Calibri" w:hAnsi="Calibri"/>
                <w:noProof/>
                <w:sz w:val="16"/>
              </w:rPr>
              <w:t>létrehozása az idősek különböző szükségleteinek kielégítése érdekében.</w:t>
            </w:r>
          </w:p>
          <w:p w14:paraId="696011FB" w14:textId="77777777" w:rsidR="00DC5EC6" w:rsidRDefault="00DC5EC6">
            <w:pPr>
              <w:spacing w:after="0" w:line="240" w:lineRule="auto"/>
              <w:jc w:val="both"/>
              <w:rPr>
                <w:rFonts w:ascii="Calibri" w:eastAsia="Times New Roman" w:hAnsi="Calibri" w:cs="Calibri"/>
                <w:noProof/>
                <w:sz w:val="16"/>
              </w:rPr>
            </w:pPr>
          </w:p>
        </w:tc>
      </w:tr>
      <w:tr w:rsidR="00DC5EC6" w14:paraId="4AAC7737" w14:textId="77777777">
        <w:trPr>
          <w:trHeight w:val="1470"/>
        </w:trPr>
        <w:tc>
          <w:tcPr>
            <w:tcW w:w="1124" w:type="dxa"/>
            <w:shd w:val="clear" w:color="auto" w:fill="C5EFCE"/>
            <w:vAlign w:val="center"/>
            <w:hideMark/>
          </w:tcPr>
          <w:p w14:paraId="53E47662" w14:textId="77777777" w:rsidR="00DC5EC6" w:rsidRDefault="003245A4">
            <w:pPr>
              <w:pStyle w:val="P68B1DB1-Normal7"/>
              <w:spacing w:after="0" w:line="240" w:lineRule="auto"/>
              <w:jc w:val="center"/>
              <w:rPr>
                <w:rFonts w:eastAsia="Times New Roman" w:cs="Calibri"/>
                <w:noProof/>
              </w:rPr>
            </w:pPr>
            <w:r>
              <w:rPr>
                <w:noProof/>
              </w:rPr>
              <w:t>3.23</w:t>
            </w:r>
          </w:p>
        </w:tc>
        <w:tc>
          <w:tcPr>
            <w:tcW w:w="1143" w:type="dxa"/>
            <w:shd w:val="clear" w:color="auto" w:fill="C4EFCE"/>
            <w:vAlign w:val="center"/>
            <w:hideMark/>
          </w:tcPr>
          <w:p w14:paraId="7E9E6D6E" w14:textId="77777777" w:rsidR="00DC5EC6" w:rsidRDefault="003245A4">
            <w:pPr>
              <w:pStyle w:val="P68B1DB1-Normal8"/>
              <w:spacing w:after="0" w:line="240" w:lineRule="auto"/>
              <w:jc w:val="center"/>
              <w:rPr>
                <w:rFonts w:eastAsia="Times New Roman" w:cs="Calibri"/>
                <w:noProof/>
              </w:rPr>
            </w:pPr>
            <w:r>
              <w:rPr>
                <w:noProof/>
              </w:rPr>
              <w:t>Re-C03-r07</w:t>
            </w:r>
          </w:p>
        </w:tc>
        <w:tc>
          <w:tcPr>
            <w:tcW w:w="982" w:type="dxa"/>
            <w:shd w:val="clear" w:color="auto" w:fill="C4EFCE"/>
            <w:vAlign w:val="center"/>
            <w:hideMark/>
          </w:tcPr>
          <w:p w14:paraId="1ED92161"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0AE24901" w14:textId="77777777" w:rsidR="00DC5EC6" w:rsidRDefault="003245A4">
            <w:pPr>
              <w:pStyle w:val="P68B1DB1-Normal8"/>
              <w:spacing w:after="0" w:line="240" w:lineRule="auto"/>
              <w:jc w:val="center"/>
              <w:rPr>
                <w:rFonts w:eastAsia="Times New Roman" w:cs="Calibri"/>
                <w:noProof/>
              </w:rPr>
            </w:pPr>
            <w:r>
              <w:rPr>
                <w:noProof/>
              </w:rPr>
              <w:t>A lisszaboni és portói nagyvárosi területek hátrányos helyzetű közösségeire vonatkozó cselekvési tervek jóváhagyása</w:t>
            </w:r>
          </w:p>
        </w:tc>
        <w:tc>
          <w:tcPr>
            <w:tcW w:w="1486" w:type="dxa"/>
            <w:shd w:val="clear" w:color="auto" w:fill="C4EFCE"/>
            <w:vAlign w:val="center"/>
            <w:hideMark/>
          </w:tcPr>
          <w:p w14:paraId="261758C6" w14:textId="77777777" w:rsidR="00DC5EC6" w:rsidRDefault="003245A4">
            <w:pPr>
              <w:pStyle w:val="P68B1DB1-Normal8"/>
              <w:spacing w:after="0" w:line="240" w:lineRule="auto"/>
              <w:jc w:val="center"/>
              <w:rPr>
                <w:rFonts w:eastAsia="Times New Roman" w:cs="Calibri"/>
                <w:noProof/>
              </w:rPr>
            </w:pPr>
            <w:r>
              <w:rPr>
                <w:noProof/>
              </w:rPr>
              <w:t>A lisszaboni és portói nagyvárosi területek hátrányos helyzetű közösségeire vonatkozó cselekvési tervek jóváhagyása az érintett területeken.</w:t>
            </w:r>
          </w:p>
        </w:tc>
        <w:tc>
          <w:tcPr>
            <w:tcW w:w="1014" w:type="dxa"/>
            <w:shd w:val="clear" w:color="auto" w:fill="C4EFCE"/>
            <w:vAlign w:val="center"/>
            <w:hideMark/>
          </w:tcPr>
          <w:p w14:paraId="68B55A40"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10543D8B"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0AC9AD61"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60D1855" w14:textId="223B7FE7"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6F6B7AA0" w14:textId="77777777" w:rsidR="00DC5EC6" w:rsidRDefault="003245A4">
            <w:pPr>
              <w:pStyle w:val="P68B1DB1-Normal8"/>
              <w:spacing w:after="0" w:line="240" w:lineRule="auto"/>
              <w:jc w:val="center"/>
              <w:rPr>
                <w:rFonts w:eastAsia="Times New Roman" w:cs="Calibri"/>
                <w:noProof/>
              </w:rPr>
            </w:pPr>
            <w:r>
              <w:rPr>
                <w:noProof/>
              </w:rPr>
              <w:t>2021</w:t>
            </w:r>
          </w:p>
        </w:tc>
        <w:tc>
          <w:tcPr>
            <w:tcW w:w="4277" w:type="dxa"/>
            <w:shd w:val="clear" w:color="auto" w:fill="C4EFCE"/>
            <w:vAlign w:val="center"/>
            <w:hideMark/>
          </w:tcPr>
          <w:p w14:paraId="094C2ECF" w14:textId="474A4AD6" w:rsidR="00DC5EC6" w:rsidRDefault="003245A4">
            <w:pPr>
              <w:pStyle w:val="P68B1DB1-Normal8"/>
              <w:spacing w:after="0" w:line="240" w:lineRule="auto"/>
              <w:jc w:val="both"/>
              <w:rPr>
                <w:rFonts w:eastAsia="Times New Roman" w:cs="Calibri"/>
                <w:noProof/>
              </w:rPr>
            </w:pPr>
            <w:r>
              <w:rPr>
                <w:noProof/>
              </w:rPr>
              <w:t>A hátrányos helyzetű közösségekre vonatkozó cselekvési tervek jóváhagyása Lisszabon és Porto nagyvárosi területein. A cselekvési terveknek két fő területre kell összpontosítaniuk: közterületekbe és szociális infrastruktúrákba, például bölcsődékbe és általános iskolákba, egészségügyi létesítményekbe, kulturális rendezvényekre, műhelyekre és/vagy képzésekre szolgáló létesítményekbe történő beavatkozások; immateriális jellegű beavatkozások a társadalmi kohézió előmozdítása érdekében, például a közösségek aktív bevonása azok kialakításába és megvalósításába, a kis, helyi székhelyű vállalkozások vállalkozói készségének előmozdítása, az iskolai kudarc és a lemorzsolódás leküzdésére irányuló projektek kidolgozása, szakképzés biztosítása és a sport előmozdítása. Többszintű kormányzási elveken alapuló irányítási modellt kell bevezetni, amelyben a központi kormányzattól a helyi területekig/szomszédokig különböző szereplők vesznek részt. Ugyanakkor a helyi műszaki egységeknek e modell élvonalában kell működniük annak érdekében, hogy előmozdítsák a felelősségvállalást és a közelséget a szerződések kezelése és végrehajtása során.</w:t>
            </w:r>
          </w:p>
        </w:tc>
      </w:tr>
      <w:tr w:rsidR="00DC5EC6" w14:paraId="6A8DEB67" w14:textId="77777777">
        <w:trPr>
          <w:trHeight w:val="54"/>
        </w:trPr>
        <w:tc>
          <w:tcPr>
            <w:tcW w:w="1124" w:type="dxa"/>
            <w:shd w:val="clear" w:color="auto" w:fill="C5EFCE"/>
            <w:vAlign w:val="center"/>
            <w:hideMark/>
          </w:tcPr>
          <w:p w14:paraId="2E2BCCE3" w14:textId="77777777" w:rsidR="00DC5EC6" w:rsidRDefault="003245A4">
            <w:pPr>
              <w:pStyle w:val="P68B1DB1-Normal7"/>
              <w:spacing w:after="0" w:line="240" w:lineRule="auto"/>
              <w:jc w:val="center"/>
              <w:rPr>
                <w:rFonts w:eastAsia="Times New Roman" w:cs="Calibri"/>
                <w:noProof/>
              </w:rPr>
            </w:pPr>
            <w:r>
              <w:rPr>
                <w:noProof/>
              </w:rPr>
              <w:t>3.24</w:t>
            </w:r>
          </w:p>
        </w:tc>
        <w:tc>
          <w:tcPr>
            <w:tcW w:w="1143" w:type="dxa"/>
            <w:shd w:val="clear" w:color="auto" w:fill="C4EFCE"/>
            <w:vAlign w:val="center"/>
            <w:hideMark/>
          </w:tcPr>
          <w:p w14:paraId="615FFB2A" w14:textId="3295EEAC" w:rsidR="00DC5EC6" w:rsidRDefault="003245A4">
            <w:pPr>
              <w:pStyle w:val="P68B1DB1-Normal9"/>
              <w:spacing w:after="0" w:line="240" w:lineRule="auto"/>
              <w:jc w:val="center"/>
              <w:rPr>
                <w:rFonts w:eastAsia="Times New Roman" w:cs="Calibri"/>
                <w:noProof/>
                <w:sz w:val="2"/>
              </w:rPr>
            </w:pPr>
            <w:r>
              <w:rPr>
                <w:noProof/>
                <w:sz w:val="16"/>
              </w:rPr>
              <w:t>Re-C03-i06</w:t>
            </w:r>
            <w:r>
              <w:rPr>
                <w:noProof/>
                <w:sz w:val="2"/>
              </w:rPr>
              <w:t xml:space="preserve"> </w:t>
            </w:r>
          </w:p>
        </w:tc>
        <w:tc>
          <w:tcPr>
            <w:tcW w:w="982" w:type="dxa"/>
            <w:shd w:val="clear" w:color="auto" w:fill="C4EFCE"/>
            <w:vAlign w:val="center"/>
            <w:hideMark/>
          </w:tcPr>
          <w:p w14:paraId="3A336285" w14:textId="340ADB5F" w:rsidR="00DC5EC6" w:rsidRDefault="003245A4">
            <w:pPr>
              <w:pStyle w:val="P68B1DB1-Normal9"/>
              <w:spacing w:after="0" w:line="240" w:lineRule="auto"/>
              <w:jc w:val="center"/>
              <w:rPr>
                <w:rFonts w:eastAsia="Times New Roman" w:cs="Calibri"/>
                <w:noProof/>
                <w:sz w:val="2"/>
              </w:rPr>
            </w:pPr>
            <w:r>
              <w:rPr>
                <w:noProof/>
                <w:sz w:val="16"/>
              </w:rPr>
              <w:t>M</w:t>
            </w:r>
            <w:r>
              <w:rPr>
                <w:noProof/>
                <w:sz w:val="2"/>
              </w:rPr>
              <w:t xml:space="preserve"> </w:t>
            </w:r>
          </w:p>
        </w:tc>
        <w:tc>
          <w:tcPr>
            <w:tcW w:w="1740" w:type="dxa"/>
            <w:shd w:val="clear" w:color="auto" w:fill="C4EFCE"/>
            <w:vAlign w:val="center"/>
            <w:hideMark/>
          </w:tcPr>
          <w:p w14:paraId="60576BD2" w14:textId="7F78B1AB" w:rsidR="00DC5EC6" w:rsidRDefault="003245A4">
            <w:pPr>
              <w:pStyle w:val="P68B1DB1-Normal9"/>
              <w:spacing w:after="0" w:line="240" w:lineRule="auto"/>
              <w:jc w:val="center"/>
              <w:rPr>
                <w:rFonts w:eastAsia="Times New Roman" w:cs="Calibri"/>
                <w:noProof/>
                <w:sz w:val="2"/>
              </w:rPr>
            </w:pPr>
            <w:r>
              <w:rPr>
                <w:noProof/>
                <w:sz w:val="16"/>
              </w:rPr>
              <w:t>A lisszaboni/portói önkormányzatok és a helyi műszaki egységek közötti megállapodások aláírása, amelyek meghatározzák a támogatandó intézkedések körét.</w:t>
            </w:r>
            <w:r>
              <w:rPr>
                <w:noProof/>
                <w:sz w:val="2"/>
              </w:rPr>
              <w:t xml:space="preserve"> </w:t>
            </w:r>
          </w:p>
        </w:tc>
        <w:tc>
          <w:tcPr>
            <w:tcW w:w="1486" w:type="dxa"/>
            <w:shd w:val="clear" w:color="auto" w:fill="C4EFCE"/>
            <w:vAlign w:val="center"/>
            <w:hideMark/>
          </w:tcPr>
          <w:p w14:paraId="14D03986" w14:textId="6BAAE04A" w:rsidR="00DC5EC6" w:rsidRDefault="003245A4">
            <w:pPr>
              <w:pStyle w:val="P68B1DB1-Normal9"/>
              <w:spacing w:after="0" w:line="240" w:lineRule="auto"/>
              <w:jc w:val="center"/>
              <w:rPr>
                <w:rFonts w:eastAsia="Times New Roman" w:cs="Calibri"/>
                <w:noProof/>
                <w:sz w:val="2"/>
              </w:rPr>
            </w:pPr>
            <w:r>
              <w:rPr>
                <w:noProof/>
                <w:sz w:val="16"/>
              </w:rPr>
              <w:t>A 12 beavatkozási területre vonatkozó tervekről szóló megállapodások aláírása</w:t>
            </w:r>
            <w:r>
              <w:rPr>
                <w:noProof/>
                <w:sz w:val="2"/>
              </w:rPr>
              <w:t xml:space="preserve"> </w:t>
            </w:r>
          </w:p>
        </w:tc>
        <w:tc>
          <w:tcPr>
            <w:tcW w:w="1014" w:type="dxa"/>
            <w:shd w:val="clear" w:color="auto" w:fill="C4EFCE"/>
            <w:vAlign w:val="center"/>
            <w:hideMark/>
          </w:tcPr>
          <w:p w14:paraId="133B822E" w14:textId="77777777" w:rsidR="00DC5EC6" w:rsidRDefault="003245A4">
            <w:pPr>
              <w:pStyle w:val="P68B1DB1-Normal15"/>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FDD089" w14:textId="77777777" w:rsidR="00DC5EC6" w:rsidRDefault="003245A4">
            <w:pPr>
              <w:pStyle w:val="P68B1DB1-Normal15"/>
              <w:spacing w:after="0" w:line="240" w:lineRule="auto"/>
              <w:jc w:val="center"/>
              <w:rPr>
                <w:rFonts w:eastAsia="Times New Roman" w:cs="Calibri"/>
                <w:noProof/>
              </w:rPr>
            </w:pPr>
            <w:r>
              <w:rPr>
                <w:noProof/>
              </w:rPr>
              <w:t> </w:t>
            </w:r>
          </w:p>
        </w:tc>
        <w:tc>
          <w:tcPr>
            <w:tcW w:w="882" w:type="dxa"/>
            <w:shd w:val="clear" w:color="auto" w:fill="C4EFCE"/>
            <w:vAlign w:val="center"/>
            <w:hideMark/>
          </w:tcPr>
          <w:p w14:paraId="60360FF4" w14:textId="77777777" w:rsidR="00DC5EC6" w:rsidRDefault="003245A4">
            <w:pPr>
              <w:pStyle w:val="P68B1DB1-Normal15"/>
              <w:spacing w:after="0" w:line="240" w:lineRule="auto"/>
              <w:jc w:val="center"/>
              <w:rPr>
                <w:rFonts w:eastAsia="Times New Roman" w:cs="Calibri"/>
                <w:noProof/>
              </w:rPr>
            </w:pPr>
            <w:r>
              <w:rPr>
                <w:noProof/>
              </w:rPr>
              <w:t> </w:t>
            </w:r>
          </w:p>
        </w:tc>
        <w:tc>
          <w:tcPr>
            <w:tcW w:w="680" w:type="dxa"/>
            <w:shd w:val="clear" w:color="auto" w:fill="C4EFCE"/>
            <w:vAlign w:val="center"/>
            <w:hideMark/>
          </w:tcPr>
          <w:p w14:paraId="150EEAF8" w14:textId="11A66307" w:rsidR="00DC5EC6" w:rsidRDefault="006E607E">
            <w:pPr>
              <w:pStyle w:val="P68B1DB1-Normal9"/>
              <w:spacing w:after="0" w:line="240" w:lineRule="auto"/>
              <w:jc w:val="center"/>
              <w:rPr>
                <w:rFonts w:eastAsia="Times New Roman" w:cs="Calibri"/>
                <w:noProof/>
                <w:sz w:val="2"/>
              </w:rPr>
            </w:pPr>
            <w:r>
              <w:rPr>
                <w:noProof/>
                <w:sz w:val="16"/>
              </w:rPr>
              <w:t>1.NEGYEDÉV</w:t>
            </w:r>
            <w:r>
              <w:rPr>
                <w:noProof/>
                <w:sz w:val="2"/>
              </w:rPr>
              <w:t xml:space="preserve"> </w:t>
            </w:r>
          </w:p>
        </w:tc>
        <w:tc>
          <w:tcPr>
            <w:tcW w:w="845" w:type="dxa"/>
            <w:shd w:val="clear" w:color="auto" w:fill="C4EFCE"/>
            <w:vAlign w:val="center"/>
            <w:hideMark/>
          </w:tcPr>
          <w:p w14:paraId="7858F213" w14:textId="0BA23128" w:rsidR="00DC5EC6" w:rsidRDefault="003245A4">
            <w:pPr>
              <w:pStyle w:val="P68B1DB1-Normal9"/>
              <w:spacing w:after="0" w:line="240" w:lineRule="auto"/>
              <w:jc w:val="center"/>
              <w:rPr>
                <w:rFonts w:eastAsia="Times New Roman" w:cs="Calibri"/>
                <w:noProof/>
                <w:sz w:val="2"/>
              </w:rPr>
            </w:pPr>
            <w:r>
              <w:rPr>
                <w:noProof/>
                <w:sz w:val="16"/>
              </w:rPr>
              <w:t>2022</w:t>
            </w:r>
            <w:r>
              <w:rPr>
                <w:noProof/>
                <w:sz w:val="2"/>
              </w:rPr>
              <w:t xml:space="preserve"> </w:t>
            </w:r>
          </w:p>
        </w:tc>
        <w:tc>
          <w:tcPr>
            <w:tcW w:w="4277" w:type="dxa"/>
            <w:shd w:val="clear" w:color="auto" w:fill="C4EFCE"/>
            <w:vAlign w:val="center"/>
            <w:hideMark/>
          </w:tcPr>
          <w:p w14:paraId="074BB5C5" w14:textId="77777777" w:rsidR="00DC5EC6" w:rsidRDefault="00DC5EC6">
            <w:pPr>
              <w:spacing w:after="0" w:line="240" w:lineRule="auto"/>
              <w:jc w:val="both"/>
              <w:rPr>
                <w:rFonts w:ascii="Calibri" w:eastAsia="Times New Roman" w:hAnsi="Calibri" w:cs="Calibri"/>
                <w:noProof/>
                <w:sz w:val="2"/>
              </w:rPr>
            </w:pPr>
          </w:p>
          <w:p w14:paraId="2B90755B" w14:textId="77777777" w:rsidR="00DC5EC6" w:rsidRDefault="003245A4">
            <w:pPr>
              <w:pStyle w:val="P68B1DB1-Normal8"/>
              <w:spacing w:after="0" w:line="240" w:lineRule="auto"/>
              <w:jc w:val="both"/>
              <w:rPr>
                <w:rFonts w:eastAsia="Times New Roman" w:cs="Calibri"/>
                <w:noProof/>
              </w:rPr>
            </w:pPr>
            <w:r>
              <w:rPr>
                <w:noProof/>
              </w:rPr>
              <w:t xml:space="preserve">A Porto és Lisszabon nagyvárosi területei és a 12 beavatkozási területért (azaz a környékekért) felelős helyi műszaki egységek közötti megállapodások aláírása, amelyek meghatározzák a támogatandó intézkedések körét, végrehajtásuk ütemezését, az elkülönített 225 millió EUR összegű költségvetési támogatást és a kiválasztott teljesítménymutatókat. A támogatandó intézkedések a következő kategóriákba tartoznak: </w:t>
            </w:r>
          </w:p>
          <w:p w14:paraId="17B62751" w14:textId="420F0041" w:rsidR="00DC5EC6" w:rsidRDefault="003245A4">
            <w:pPr>
              <w:pStyle w:val="P68B1DB1-Normal8"/>
              <w:spacing w:after="0" w:line="240" w:lineRule="auto"/>
              <w:jc w:val="both"/>
              <w:rPr>
                <w:rFonts w:eastAsia="Times New Roman" w:cs="Calibri"/>
                <w:noProof/>
              </w:rPr>
            </w:pPr>
            <w:r>
              <w:rPr>
                <w:noProof/>
              </w:rPr>
              <w:t>• A közösségek egészségének és életminőségének előmozdítása</w:t>
            </w:r>
          </w:p>
          <w:p w14:paraId="54898F6F" w14:textId="01E4CBF5" w:rsidR="00DC5EC6" w:rsidRDefault="003245A4">
            <w:pPr>
              <w:pStyle w:val="P68B1DB1-Normal8"/>
              <w:spacing w:after="0" w:line="240" w:lineRule="auto"/>
              <w:jc w:val="both"/>
              <w:rPr>
                <w:rFonts w:eastAsia="Times New Roman" w:cs="Calibri"/>
                <w:noProof/>
              </w:rPr>
            </w:pPr>
            <w:r>
              <w:rPr>
                <w:noProof/>
              </w:rPr>
              <w:t>• A közterületek fizikai korszerűsítése vagy a szociális, egészségügyi, lakhatási vagy sportinfrastruktúra megerősítése</w:t>
            </w:r>
          </w:p>
          <w:p w14:paraId="624EBE3B" w14:textId="4572A9ED" w:rsidR="00DC5EC6" w:rsidRDefault="003245A4">
            <w:pPr>
              <w:pStyle w:val="P68B1DB1-Normal8"/>
              <w:spacing w:after="0" w:line="240" w:lineRule="auto"/>
              <w:jc w:val="both"/>
              <w:rPr>
                <w:rFonts w:eastAsia="Times New Roman" w:cs="Calibri"/>
                <w:noProof/>
              </w:rPr>
            </w:pPr>
            <w:r>
              <w:rPr>
                <w:noProof/>
              </w:rPr>
              <w:t>• A szociálisan hátrányos helyzetű területek gazdasági rehabilitációja</w:t>
            </w:r>
          </w:p>
          <w:p w14:paraId="5AEDB899" w14:textId="1FE16CD3" w:rsidR="00DC5EC6" w:rsidRDefault="003245A4">
            <w:pPr>
              <w:pStyle w:val="P68B1DB1-Normal8"/>
              <w:spacing w:after="0" w:line="240" w:lineRule="auto"/>
              <w:jc w:val="both"/>
              <w:rPr>
                <w:rFonts w:eastAsia="Times New Roman" w:cs="Calibri"/>
                <w:noProof/>
              </w:rPr>
            </w:pPr>
            <w:r>
              <w:rPr>
                <w:noProof/>
              </w:rPr>
              <w:t>• Kis- és helyi vállalkozások vállalkozói készsége</w:t>
            </w:r>
          </w:p>
          <w:p w14:paraId="2618AB0D" w14:textId="60D4AC3E" w:rsidR="00DC5EC6" w:rsidRDefault="003245A4">
            <w:pPr>
              <w:pStyle w:val="P68B1DB1-Normal8"/>
              <w:spacing w:after="0" w:line="240" w:lineRule="auto"/>
              <w:jc w:val="both"/>
              <w:rPr>
                <w:rFonts w:eastAsia="Times New Roman" w:cs="Calibri"/>
                <w:noProof/>
              </w:rPr>
            </w:pPr>
            <w:r>
              <w:rPr>
                <w:noProof/>
              </w:rPr>
              <w:t>• Az egészséghez való hozzáférés, a közösségi egészség fejlesztése és a függőségek elleni küzdelem</w:t>
            </w:r>
          </w:p>
          <w:p w14:paraId="59E0A48F" w14:textId="2B2BB1BF" w:rsidR="00DC5EC6" w:rsidRDefault="003245A4">
            <w:pPr>
              <w:pStyle w:val="P68B1DB1-Normal8"/>
              <w:spacing w:after="0" w:line="240" w:lineRule="auto"/>
              <w:jc w:val="both"/>
              <w:rPr>
                <w:rFonts w:eastAsia="Times New Roman" w:cs="Calibri"/>
                <w:noProof/>
              </w:rPr>
            </w:pPr>
            <w:r>
              <w:rPr>
                <w:noProof/>
              </w:rPr>
              <w:t>• Aktív és egészséges időskori programok</w:t>
            </w:r>
          </w:p>
          <w:p w14:paraId="464EC0E8" w14:textId="7A5664FE" w:rsidR="00DC5EC6" w:rsidRDefault="003245A4">
            <w:pPr>
              <w:pStyle w:val="P68B1DB1-Normal8"/>
              <w:spacing w:after="0" w:line="240" w:lineRule="auto"/>
              <w:jc w:val="both"/>
              <w:rPr>
                <w:rFonts w:eastAsia="Times New Roman" w:cs="Calibri"/>
                <w:noProof/>
              </w:rPr>
            </w:pPr>
            <w:r>
              <w:rPr>
                <w:noProof/>
              </w:rPr>
              <w:t>• Az iskolai kudarc és a lemorzsolódás elleni küzdelemre irányuló projektek</w:t>
            </w:r>
          </w:p>
          <w:p w14:paraId="5F6D5B68" w14:textId="2CE34C86" w:rsidR="00DC5EC6" w:rsidRDefault="003245A4">
            <w:pPr>
              <w:pStyle w:val="P68B1DB1-Normal8"/>
              <w:spacing w:after="0" w:line="240" w:lineRule="auto"/>
              <w:jc w:val="both"/>
              <w:rPr>
                <w:rFonts w:eastAsia="Times New Roman" w:cs="Calibri"/>
                <w:noProof/>
              </w:rPr>
            </w:pPr>
            <w:r>
              <w:rPr>
                <w:noProof/>
              </w:rPr>
              <w:t>• A felnőttek képesítése és a készségek tanúsítása</w:t>
            </w:r>
          </w:p>
          <w:p w14:paraId="23C5A42E" w14:textId="572B3615" w:rsidR="00DC5EC6" w:rsidRDefault="003245A4">
            <w:pPr>
              <w:pStyle w:val="P68B1DB1-Normal8"/>
              <w:spacing w:after="0" w:line="240" w:lineRule="auto"/>
              <w:jc w:val="both"/>
              <w:rPr>
                <w:rFonts w:eastAsia="Times New Roman" w:cs="Calibri"/>
                <w:noProof/>
              </w:rPr>
            </w:pPr>
            <w:r>
              <w:rPr>
                <w:noProof/>
              </w:rPr>
              <w:t>• A lakosság szükségleteinek diagnosztizálása, a felnőttkori írástudás, a portugál nyelvtanulás és a digitális befogadást célzó programok fejlesztése</w:t>
            </w:r>
          </w:p>
          <w:p w14:paraId="2FC6B1C6" w14:textId="707952D2" w:rsidR="00DC5EC6" w:rsidRDefault="003245A4">
            <w:pPr>
              <w:pStyle w:val="P68B1DB1-Normal8"/>
              <w:spacing w:after="0" w:line="240" w:lineRule="auto"/>
              <w:jc w:val="both"/>
              <w:rPr>
                <w:rFonts w:eastAsia="Times New Roman" w:cs="Calibri"/>
                <w:noProof/>
              </w:rPr>
            </w:pPr>
            <w:r>
              <w:rPr>
                <w:noProof/>
              </w:rPr>
              <w:t xml:space="preserve">• Szakképzés és szakpolitikák  </w:t>
            </w:r>
          </w:p>
          <w:p w14:paraId="0C19E077" w14:textId="16BBF976" w:rsidR="00DC5EC6" w:rsidRDefault="003245A4">
            <w:pPr>
              <w:pStyle w:val="P68B1DB1-Normal8"/>
              <w:spacing w:after="0" w:line="240" w:lineRule="auto"/>
              <w:jc w:val="both"/>
              <w:rPr>
                <w:rFonts w:eastAsia="Times New Roman" w:cs="Calibri"/>
                <w:noProof/>
              </w:rPr>
            </w:pPr>
            <w:r>
              <w:rPr>
                <w:noProof/>
              </w:rPr>
              <w:t xml:space="preserve">• A kultúrához és a kreativitáshoz való hozzáférés  </w:t>
            </w:r>
          </w:p>
          <w:p w14:paraId="445DE787" w14:textId="15E88B9F" w:rsidR="00DC5EC6" w:rsidRDefault="003245A4">
            <w:pPr>
              <w:pStyle w:val="P68B1DB1-Normal8"/>
              <w:spacing w:after="0" w:line="240" w:lineRule="auto"/>
              <w:jc w:val="both"/>
              <w:rPr>
                <w:rFonts w:eastAsia="Times New Roman" w:cs="Calibri"/>
                <w:noProof/>
              </w:rPr>
            </w:pPr>
            <w:r>
              <w:rPr>
                <w:noProof/>
              </w:rPr>
              <w:t>• A Közösség részvétele a program irányításában</w:t>
            </w:r>
          </w:p>
          <w:p w14:paraId="1541178C" w14:textId="77FC312E" w:rsidR="00DC5EC6" w:rsidRDefault="003245A4">
            <w:pPr>
              <w:pStyle w:val="P68B1DB1-Normal8"/>
              <w:spacing w:after="0" w:line="240" w:lineRule="auto"/>
              <w:jc w:val="both"/>
              <w:rPr>
                <w:rFonts w:eastAsia="Times New Roman" w:cs="Calibri"/>
                <w:noProof/>
              </w:rPr>
            </w:pPr>
            <w:r>
              <w:rPr>
                <w:noProof/>
              </w:rPr>
              <w:t>• A helyi szereplők szerepvállalásának növelése a partnerségi hálózatokban</w:t>
            </w:r>
          </w:p>
          <w:p w14:paraId="20F7BB6E" w14:textId="58EAC5BB" w:rsidR="00DC5EC6" w:rsidRDefault="003245A4">
            <w:pPr>
              <w:pStyle w:val="P68B1DB1-Normal8"/>
              <w:spacing w:after="0" w:line="240" w:lineRule="auto"/>
              <w:jc w:val="both"/>
              <w:rPr>
                <w:rFonts w:eastAsia="Times New Roman" w:cs="Calibri"/>
                <w:noProof/>
              </w:rPr>
            </w:pPr>
            <w:r>
              <w:rPr>
                <w:noProof/>
              </w:rPr>
              <w:t>• Megoldások a szegénység és a társadalmi kirekesztés leküzdésére</w:t>
            </w:r>
          </w:p>
          <w:p w14:paraId="41B06FE0" w14:textId="626AE119" w:rsidR="00DC5EC6" w:rsidRDefault="003245A4">
            <w:pPr>
              <w:pStyle w:val="P68B1DB1-Normal8"/>
              <w:spacing w:after="0" w:line="240" w:lineRule="auto"/>
              <w:jc w:val="both"/>
              <w:rPr>
                <w:rFonts w:eastAsia="Times New Roman" w:cs="Calibri"/>
                <w:noProof/>
              </w:rPr>
            </w:pPr>
            <w:r>
              <w:rPr>
                <w:noProof/>
              </w:rPr>
              <w:t>• A sport előmozdítása</w:t>
            </w:r>
          </w:p>
          <w:p w14:paraId="652D8882" w14:textId="77777777" w:rsidR="00DC5EC6" w:rsidRDefault="003245A4">
            <w:pPr>
              <w:pStyle w:val="P68B1DB1-Normal8"/>
              <w:spacing w:after="0" w:line="240" w:lineRule="auto"/>
              <w:jc w:val="both"/>
              <w:rPr>
                <w:rFonts w:eastAsia="Times New Roman" w:cs="Calibri"/>
                <w:noProof/>
              </w:rPr>
            </w:pPr>
            <w:r>
              <w:rPr>
                <w:noProof/>
              </w:rPr>
              <w:t>• Állampolgárság, a jogokhoz való hozzáférés és a polgári részvétel</w:t>
            </w:r>
          </w:p>
          <w:p w14:paraId="394A6176" w14:textId="316BED13" w:rsidR="00DC5EC6" w:rsidRDefault="00DC5EC6">
            <w:pPr>
              <w:spacing w:after="0" w:line="240" w:lineRule="auto"/>
              <w:jc w:val="both"/>
              <w:rPr>
                <w:rFonts w:ascii="Calibri" w:eastAsia="Times New Roman" w:hAnsi="Calibri" w:cs="Calibri"/>
                <w:noProof/>
                <w:sz w:val="16"/>
              </w:rPr>
            </w:pPr>
          </w:p>
          <w:p w14:paraId="1472C29A" w14:textId="2ED36D93" w:rsidR="00DC5EC6" w:rsidRDefault="003245A4">
            <w:pPr>
              <w:pStyle w:val="P68B1DB1-Normal8"/>
              <w:spacing w:after="0" w:line="240" w:lineRule="auto"/>
              <w:jc w:val="both"/>
              <w:rPr>
                <w:rFonts w:eastAsia="Times New Roman" w:cs="Calibri"/>
                <w:noProof/>
              </w:rPr>
            </w:pPr>
            <w:r>
              <w:rPr>
                <w:noProof/>
              </w:rPr>
              <w:t>A közelgő pályázati felhívások feladatmeghatározásának tartalmaznia kell azokat a támogathatósági kritériumokat, amelyek biztosítják, hogy a kiválasztott projektek egy kizárási lista és a vonatkozó uniós és nemzeti környezetvédelmi jogszabályoknak való megfelelés követelménye révén megfeleljenek a jelentős károkozás elkerülését célzó elvről szóló technikai iránymutatásnak (2021/C58/01).</w:t>
            </w:r>
          </w:p>
          <w:p w14:paraId="7E890B92" w14:textId="3B827B04" w:rsidR="00DC5EC6" w:rsidRDefault="00DC5EC6">
            <w:pPr>
              <w:spacing w:after="0" w:line="240" w:lineRule="auto"/>
              <w:jc w:val="both"/>
              <w:rPr>
                <w:rFonts w:ascii="Calibri" w:eastAsia="Times New Roman" w:hAnsi="Calibri" w:cs="Calibri"/>
                <w:noProof/>
                <w:sz w:val="2"/>
              </w:rPr>
            </w:pPr>
          </w:p>
        </w:tc>
      </w:tr>
      <w:tr w:rsidR="00DC5EC6" w14:paraId="4A758E18" w14:textId="77777777">
        <w:trPr>
          <w:trHeight w:val="1610"/>
        </w:trPr>
        <w:tc>
          <w:tcPr>
            <w:tcW w:w="1124" w:type="dxa"/>
            <w:shd w:val="clear" w:color="auto" w:fill="C5EFCE"/>
            <w:vAlign w:val="center"/>
            <w:hideMark/>
          </w:tcPr>
          <w:p w14:paraId="497D6364" w14:textId="77777777" w:rsidR="00DC5EC6" w:rsidRDefault="003245A4">
            <w:pPr>
              <w:pStyle w:val="P68B1DB1-Normal7"/>
              <w:spacing w:after="0" w:line="240" w:lineRule="auto"/>
              <w:jc w:val="center"/>
              <w:rPr>
                <w:rFonts w:eastAsia="Times New Roman" w:cs="Calibri"/>
                <w:noProof/>
              </w:rPr>
            </w:pPr>
            <w:r>
              <w:rPr>
                <w:noProof/>
              </w:rPr>
              <w:t>3.25</w:t>
            </w:r>
          </w:p>
        </w:tc>
        <w:tc>
          <w:tcPr>
            <w:tcW w:w="1143" w:type="dxa"/>
            <w:shd w:val="clear" w:color="auto" w:fill="C4EFCE"/>
            <w:vAlign w:val="center"/>
            <w:hideMark/>
          </w:tcPr>
          <w:p w14:paraId="6A5AD6FB" w14:textId="77777777" w:rsidR="00DC5EC6" w:rsidRDefault="003245A4">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39F64B5A" w14:textId="77777777" w:rsidR="00DC5EC6" w:rsidRDefault="003245A4">
            <w:pPr>
              <w:pStyle w:val="P68B1DB1-Normal8"/>
              <w:spacing w:after="0" w:line="240" w:lineRule="auto"/>
              <w:jc w:val="center"/>
              <w:rPr>
                <w:rFonts w:eastAsia="Times New Roman" w:cs="Calibri"/>
                <w:noProof/>
              </w:rPr>
            </w:pPr>
            <w:r>
              <w:rPr>
                <w:noProof/>
              </w:rPr>
              <w:t>M</w:t>
            </w:r>
          </w:p>
        </w:tc>
        <w:tc>
          <w:tcPr>
            <w:tcW w:w="1740" w:type="dxa"/>
            <w:shd w:val="clear" w:color="auto" w:fill="C4EFCE"/>
            <w:vAlign w:val="center"/>
            <w:hideMark/>
          </w:tcPr>
          <w:p w14:paraId="38B59250" w14:textId="77777777" w:rsidR="00DC5EC6" w:rsidRDefault="003245A4">
            <w:pPr>
              <w:pStyle w:val="P68B1DB1-Normal8"/>
              <w:spacing w:after="0" w:line="240" w:lineRule="auto"/>
              <w:jc w:val="center"/>
              <w:rPr>
                <w:rFonts w:eastAsia="Times New Roman" w:cs="Calibri"/>
                <w:noProof/>
              </w:rPr>
            </w:pPr>
            <w:r>
              <w:rPr>
                <w:noProof/>
              </w:rPr>
              <w:t>A portói és lisszaboni nagyvárosi területek monitoringjelentésének közzététele a 12 beavatkozási terület mindegyikében hozott intézkedésekről.</w:t>
            </w:r>
          </w:p>
        </w:tc>
        <w:tc>
          <w:tcPr>
            <w:tcW w:w="1486" w:type="dxa"/>
            <w:shd w:val="clear" w:color="auto" w:fill="C4EFCE"/>
            <w:vAlign w:val="center"/>
            <w:hideMark/>
          </w:tcPr>
          <w:p w14:paraId="28BAE001" w14:textId="77777777" w:rsidR="00DC5EC6" w:rsidRDefault="003245A4">
            <w:pPr>
              <w:pStyle w:val="P68B1DB1-Normal8"/>
              <w:spacing w:after="0" w:line="240" w:lineRule="auto"/>
              <w:jc w:val="center"/>
              <w:rPr>
                <w:rFonts w:eastAsia="Times New Roman" w:cs="Calibri"/>
                <w:noProof/>
              </w:rPr>
            </w:pPr>
            <w:r>
              <w:rPr>
                <w:noProof/>
              </w:rPr>
              <w:t>Nyomonkövetési jelentés közzététele Porto és Lisszabon nagyvárosi területei részéről</w:t>
            </w:r>
          </w:p>
        </w:tc>
        <w:tc>
          <w:tcPr>
            <w:tcW w:w="1014" w:type="dxa"/>
            <w:shd w:val="clear" w:color="auto" w:fill="C4EFCE"/>
            <w:vAlign w:val="center"/>
            <w:hideMark/>
          </w:tcPr>
          <w:p w14:paraId="24305125"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CA5B68E" w14:textId="77777777" w:rsidR="00DC5EC6" w:rsidRDefault="003245A4">
            <w:pPr>
              <w:pStyle w:val="P68B1DB1-Normal8"/>
              <w:spacing w:after="0" w:line="240" w:lineRule="auto"/>
              <w:jc w:val="center"/>
              <w:rPr>
                <w:rFonts w:eastAsia="Times New Roman" w:cs="Calibri"/>
                <w:noProof/>
              </w:rPr>
            </w:pPr>
            <w:r>
              <w:rPr>
                <w:noProof/>
              </w:rPr>
              <w:t> </w:t>
            </w:r>
          </w:p>
        </w:tc>
        <w:tc>
          <w:tcPr>
            <w:tcW w:w="882" w:type="dxa"/>
            <w:shd w:val="clear" w:color="auto" w:fill="C4EFCE"/>
            <w:vAlign w:val="center"/>
            <w:hideMark/>
          </w:tcPr>
          <w:p w14:paraId="2C5955AE" w14:textId="77777777" w:rsidR="00DC5EC6" w:rsidRDefault="003245A4">
            <w:pPr>
              <w:pStyle w:val="P68B1DB1-Normal8"/>
              <w:spacing w:after="0" w:line="240" w:lineRule="auto"/>
              <w:jc w:val="center"/>
              <w:rPr>
                <w:rFonts w:eastAsia="Times New Roman" w:cs="Calibri"/>
                <w:noProof/>
              </w:rPr>
            </w:pPr>
            <w:r>
              <w:rPr>
                <w:noProof/>
              </w:rPr>
              <w:t> </w:t>
            </w:r>
          </w:p>
        </w:tc>
        <w:tc>
          <w:tcPr>
            <w:tcW w:w="680" w:type="dxa"/>
            <w:shd w:val="clear" w:color="auto" w:fill="C4EFCE"/>
            <w:vAlign w:val="center"/>
            <w:hideMark/>
          </w:tcPr>
          <w:p w14:paraId="7A38C3DB" w14:textId="0ACB1B08" w:rsidR="00DC5EC6" w:rsidRDefault="006E607E">
            <w:pPr>
              <w:pStyle w:val="P68B1DB1-Normal8"/>
              <w:spacing w:after="0" w:line="240" w:lineRule="auto"/>
              <w:jc w:val="center"/>
              <w:rPr>
                <w:rFonts w:eastAsia="Times New Roman" w:cs="Calibri"/>
                <w:noProof/>
              </w:rPr>
            </w:pPr>
            <w:r>
              <w:rPr>
                <w:noProof/>
              </w:rPr>
              <w:t>2. NEGYEDÉV</w:t>
            </w:r>
          </w:p>
        </w:tc>
        <w:tc>
          <w:tcPr>
            <w:tcW w:w="845" w:type="dxa"/>
            <w:shd w:val="clear" w:color="auto" w:fill="C4EFCE"/>
            <w:vAlign w:val="center"/>
            <w:hideMark/>
          </w:tcPr>
          <w:p w14:paraId="6EBEABFB" w14:textId="77777777" w:rsidR="00DC5EC6" w:rsidRDefault="003245A4">
            <w:pPr>
              <w:pStyle w:val="P68B1DB1-Normal8"/>
              <w:spacing w:after="0" w:line="240" w:lineRule="auto"/>
              <w:jc w:val="center"/>
              <w:rPr>
                <w:rFonts w:eastAsia="Times New Roman" w:cs="Calibri"/>
                <w:noProof/>
              </w:rPr>
            </w:pPr>
            <w:r>
              <w:rPr>
                <w:noProof/>
              </w:rPr>
              <w:t>2024</w:t>
            </w:r>
          </w:p>
        </w:tc>
        <w:tc>
          <w:tcPr>
            <w:tcW w:w="4277" w:type="dxa"/>
            <w:shd w:val="clear" w:color="auto" w:fill="C4EFCE"/>
            <w:vAlign w:val="center"/>
            <w:hideMark/>
          </w:tcPr>
          <w:p w14:paraId="23D8AD1A" w14:textId="77777777" w:rsidR="00DC5EC6" w:rsidRDefault="003245A4">
            <w:pPr>
              <w:pStyle w:val="P68B1DB1-Normal8"/>
              <w:spacing w:after="0" w:line="240" w:lineRule="auto"/>
              <w:jc w:val="both"/>
              <w:rPr>
                <w:rFonts w:eastAsia="Times New Roman" w:cs="Calibri"/>
                <w:noProof/>
              </w:rPr>
            </w:pPr>
            <w:r>
              <w:rPr>
                <w:noProof/>
              </w:rPr>
              <w:t>A portói és lisszaboni nagyvárosi területek monitoringjelentésének közzététele, amely ismerteti a program által finanszírozott intézkedések végrehajtása terén az egyes beavatkozási területeken elért eredményeket, beleértve a költségvetés végrehajtását és az egyes intézkedésekre vonatkozóan kiválasztott mutatókhoz viszonyított teljesítményt.</w:t>
            </w:r>
          </w:p>
        </w:tc>
      </w:tr>
      <w:tr w:rsidR="00DC5EC6" w14:paraId="729825A9" w14:textId="77777777">
        <w:trPr>
          <w:trHeight w:val="1060"/>
        </w:trPr>
        <w:tc>
          <w:tcPr>
            <w:tcW w:w="1124" w:type="dxa"/>
            <w:shd w:val="clear" w:color="auto" w:fill="C4EFCE"/>
            <w:vAlign w:val="center"/>
            <w:hideMark/>
          </w:tcPr>
          <w:p w14:paraId="1AD90BC8" w14:textId="77777777" w:rsidR="00DC5EC6" w:rsidRDefault="003245A4">
            <w:pPr>
              <w:pStyle w:val="P68B1DB1-Normal7"/>
              <w:spacing w:after="0" w:line="240" w:lineRule="auto"/>
              <w:jc w:val="center"/>
              <w:rPr>
                <w:rFonts w:eastAsia="Times New Roman" w:cs="Calibri"/>
                <w:noProof/>
              </w:rPr>
            </w:pPr>
            <w:r>
              <w:rPr>
                <w:noProof/>
              </w:rPr>
              <w:t>3.26</w:t>
            </w:r>
          </w:p>
        </w:tc>
        <w:tc>
          <w:tcPr>
            <w:tcW w:w="1143" w:type="dxa"/>
            <w:shd w:val="clear" w:color="auto" w:fill="C4EFCE"/>
            <w:vAlign w:val="center"/>
            <w:hideMark/>
          </w:tcPr>
          <w:p w14:paraId="13A5C210" w14:textId="77777777" w:rsidR="00DC5EC6" w:rsidRDefault="003245A4">
            <w:pPr>
              <w:pStyle w:val="P68B1DB1-Normal8"/>
              <w:spacing w:after="0" w:line="240" w:lineRule="auto"/>
              <w:jc w:val="center"/>
              <w:rPr>
                <w:rFonts w:eastAsia="Times New Roman" w:cs="Calibri"/>
                <w:noProof/>
              </w:rPr>
            </w:pPr>
            <w:r>
              <w:rPr>
                <w:noProof/>
              </w:rPr>
              <w:t>Re-C03-i06</w:t>
            </w:r>
          </w:p>
        </w:tc>
        <w:tc>
          <w:tcPr>
            <w:tcW w:w="982" w:type="dxa"/>
            <w:shd w:val="clear" w:color="auto" w:fill="C4EFCE"/>
            <w:vAlign w:val="center"/>
            <w:hideMark/>
          </w:tcPr>
          <w:p w14:paraId="5912A173" w14:textId="77777777" w:rsidR="00DC5EC6" w:rsidRDefault="003245A4">
            <w:pPr>
              <w:pStyle w:val="P68B1DB1-Normal8"/>
              <w:spacing w:after="0" w:line="240" w:lineRule="auto"/>
              <w:jc w:val="center"/>
              <w:rPr>
                <w:rFonts w:eastAsia="Times New Roman" w:cs="Calibri"/>
                <w:noProof/>
              </w:rPr>
            </w:pPr>
            <w:r>
              <w:rPr>
                <w:noProof/>
              </w:rPr>
              <w:t>T</w:t>
            </w:r>
          </w:p>
        </w:tc>
        <w:tc>
          <w:tcPr>
            <w:tcW w:w="1740" w:type="dxa"/>
            <w:shd w:val="clear" w:color="auto" w:fill="C4EFCE"/>
            <w:vAlign w:val="center"/>
            <w:hideMark/>
          </w:tcPr>
          <w:p w14:paraId="3AC8971D" w14:textId="77777777" w:rsidR="00DC5EC6" w:rsidRDefault="003245A4">
            <w:pPr>
              <w:pStyle w:val="P68B1DB1-Normal8"/>
              <w:spacing w:after="0" w:line="240" w:lineRule="auto"/>
              <w:jc w:val="center"/>
              <w:rPr>
                <w:rFonts w:eastAsia="Times New Roman" w:cs="Calibri"/>
                <w:noProof/>
              </w:rPr>
            </w:pPr>
            <w:r>
              <w:rPr>
                <w:noProof/>
              </w:rPr>
              <w:t>Az intézkedések legalább 90%-ának teljes körű végrehajtása</w:t>
            </w:r>
          </w:p>
        </w:tc>
        <w:tc>
          <w:tcPr>
            <w:tcW w:w="1486" w:type="dxa"/>
            <w:shd w:val="clear" w:color="auto" w:fill="C4EFCE"/>
            <w:vAlign w:val="center"/>
            <w:hideMark/>
          </w:tcPr>
          <w:p w14:paraId="3C5A0150" w14:textId="77777777" w:rsidR="00DC5EC6" w:rsidRDefault="003245A4">
            <w:pPr>
              <w:pStyle w:val="P68B1DB1-Normal8"/>
              <w:spacing w:after="0" w:line="240" w:lineRule="auto"/>
              <w:jc w:val="center"/>
              <w:rPr>
                <w:rFonts w:eastAsia="Times New Roman" w:cs="Calibri"/>
                <w:noProof/>
              </w:rPr>
            </w:pPr>
            <w:r>
              <w:rPr>
                <w:noProof/>
              </w:rPr>
              <w:t> </w:t>
            </w:r>
          </w:p>
        </w:tc>
        <w:tc>
          <w:tcPr>
            <w:tcW w:w="1014" w:type="dxa"/>
            <w:shd w:val="clear" w:color="auto" w:fill="C4EFCE"/>
            <w:vAlign w:val="center"/>
            <w:hideMark/>
          </w:tcPr>
          <w:p w14:paraId="63F1225E" w14:textId="77777777" w:rsidR="00DC5EC6" w:rsidRDefault="003245A4">
            <w:pPr>
              <w:pStyle w:val="P68B1DB1-Normal8"/>
              <w:spacing w:after="0" w:line="240" w:lineRule="auto"/>
              <w:jc w:val="center"/>
              <w:rPr>
                <w:rFonts w:eastAsia="Times New Roman" w:cs="Calibri"/>
                <w:noProof/>
              </w:rPr>
            </w:pPr>
            <w:r>
              <w:rPr>
                <w:noProof/>
              </w:rPr>
              <w:t>%</w:t>
            </w:r>
          </w:p>
        </w:tc>
        <w:tc>
          <w:tcPr>
            <w:tcW w:w="1014" w:type="dxa"/>
            <w:shd w:val="clear" w:color="auto" w:fill="C4EFCE"/>
            <w:vAlign w:val="center"/>
            <w:hideMark/>
          </w:tcPr>
          <w:p w14:paraId="34C054DA" w14:textId="77777777" w:rsidR="00DC5EC6" w:rsidRDefault="003245A4">
            <w:pPr>
              <w:pStyle w:val="P68B1DB1-Normal8"/>
              <w:spacing w:after="0" w:line="240" w:lineRule="auto"/>
              <w:jc w:val="center"/>
              <w:rPr>
                <w:rFonts w:eastAsia="Times New Roman" w:cs="Calibri"/>
                <w:noProof/>
              </w:rPr>
            </w:pPr>
            <w:r>
              <w:rPr>
                <w:noProof/>
              </w:rPr>
              <w:t>0</w:t>
            </w:r>
          </w:p>
        </w:tc>
        <w:tc>
          <w:tcPr>
            <w:tcW w:w="882" w:type="dxa"/>
            <w:shd w:val="clear" w:color="auto" w:fill="C4EFCE"/>
            <w:vAlign w:val="center"/>
            <w:hideMark/>
          </w:tcPr>
          <w:p w14:paraId="51840DD4" w14:textId="77777777" w:rsidR="00DC5EC6" w:rsidRDefault="003245A4">
            <w:pPr>
              <w:pStyle w:val="P68B1DB1-Normal8"/>
              <w:spacing w:after="0" w:line="240" w:lineRule="auto"/>
              <w:jc w:val="center"/>
              <w:rPr>
                <w:rFonts w:eastAsia="Times New Roman" w:cs="Calibri"/>
                <w:noProof/>
              </w:rPr>
            </w:pPr>
            <w:r>
              <w:rPr>
                <w:noProof/>
              </w:rPr>
              <w:t>90</w:t>
            </w:r>
          </w:p>
        </w:tc>
        <w:tc>
          <w:tcPr>
            <w:tcW w:w="680" w:type="dxa"/>
            <w:shd w:val="clear" w:color="auto" w:fill="C4EFCE"/>
            <w:vAlign w:val="center"/>
            <w:hideMark/>
          </w:tcPr>
          <w:p w14:paraId="521367AA" w14:textId="0A7F4F99" w:rsidR="00DC5EC6" w:rsidRDefault="006E607E">
            <w:pPr>
              <w:pStyle w:val="P68B1DB1-Normal8"/>
              <w:spacing w:after="0" w:line="240" w:lineRule="auto"/>
              <w:jc w:val="center"/>
              <w:rPr>
                <w:rFonts w:eastAsia="Times New Roman" w:cs="Calibri"/>
                <w:noProof/>
              </w:rPr>
            </w:pPr>
            <w:r>
              <w:rPr>
                <w:noProof/>
              </w:rPr>
              <w:t>4. NEGYEDÉV</w:t>
            </w:r>
          </w:p>
        </w:tc>
        <w:tc>
          <w:tcPr>
            <w:tcW w:w="845" w:type="dxa"/>
            <w:shd w:val="clear" w:color="auto" w:fill="C4EFCE"/>
            <w:vAlign w:val="center"/>
            <w:hideMark/>
          </w:tcPr>
          <w:p w14:paraId="4D7CC2F1" w14:textId="77777777" w:rsidR="00DC5EC6" w:rsidRDefault="003245A4">
            <w:pPr>
              <w:pStyle w:val="P68B1DB1-Normal8"/>
              <w:spacing w:after="0" w:line="240" w:lineRule="auto"/>
              <w:jc w:val="center"/>
              <w:rPr>
                <w:rFonts w:eastAsia="Times New Roman" w:cs="Calibri"/>
                <w:noProof/>
              </w:rPr>
            </w:pPr>
            <w:r>
              <w:rPr>
                <w:noProof/>
              </w:rPr>
              <w:t>2025</w:t>
            </w:r>
          </w:p>
        </w:tc>
        <w:tc>
          <w:tcPr>
            <w:tcW w:w="4277" w:type="dxa"/>
            <w:shd w:val="clear" w:color="auto" w:fill="C4EFCE"/>
            <w:vAlign w:val="center"/>
            <w:hideMark/>
          </w:tcPr>
          <w:p w14:paraId="464F7DC1" w14:textId="77777777" w:rsidR="00DC5EC6" w:rsidRDefault="003245A4">
            <w:pPr>
              <w:pStyle w:val="P68B1DB1-Normal8"/>
              <w:spacing w:after="0" w:line="240" w:lineRule="auto"/>
              <w:jc w:val="both"/>
              <w:rPr>
                <w:rFonts w:eastAsia="Times New Roman" w:cs="Calibri"/>
                <w:noProof/>
              </w:rPr>
            </w:pPr>
            <w:r>
              <w:rPr>
                <w:noProof/>
              </w:rPr>
              <w:t>A 12 beavatkozási területre vonatkozóan aláírt megállapodásokban elfogadott intézkedések legalább 90%-ának teljes körű végrehajtása legalább 225 000 000 EUR költségvetés mellett.</w:t>
            </w:r>
          </w:p>
        </w:tc>
      </w:tr>
      <w:tr w:rsidR="00DC5EC6" w14:paraId="4DC276BA" w14:textId="77777777">
        <w:trPr>
          <w:trHeight w:val="1060"/>
        </w:trPr>
        <w:tc>
          <w:tcPr>
            <w:tcW w:w="1124" w:type="dxa"/>
            <w:shd w:val="clear" w:color="auto" w:fill="C4EFCE"/>
            <w:vAlign w:val="center"/>
          </w:tcPr>
          <w:p w14:paraId="4507E8E2" w14:textId="4B98B2CA" w:rsidR="00DC5EC6" w:rsidRDefault="003245A4">
            <w:pPr>
              <w:pStyle w:val="P68B1DB1-Normal11"/>
              <w:spacing w:after="0" w:line="240" w:lineRule="auto"/>
              <w:jc w:val="center"/>
              <w:rPr>
                <w:rFonts w:eastAsia="Times New Roman" w:cstheme="minorHAnsi"/>
                <w:noProof/>
              </w:rPr>
            </w:pPr>
            <w:r>
              <w:rPr>
                <w:noProof/>
              </w:rPr>
              <w:t>3.28</w:t>
            </w:r>
          </w:p>
        </w:tc>
        <w:tc>
          <w:tcPr>
            <w:tcW w:w="1143" w:type="dxa"/>
            <w:shd w:val="clear" w:color="auto" w:fill="C4EFCE"/>
            <w:vAlign w:val="center"/>
          </w:tcPr>
          <w:p w14:paraId="5B7E0077" w14:textId="4E1DBF5D" w:rsidR="00DC5EC6" w:rsidRDefault="003245A4">
            <w:pPr>
              <w:pStyle w:val="P68B1DB1-Normal12"/>
              <w:spacing w:after="0" w:line="240" w:lineRule="auto"/>
              <w:jc w:val="center"/>
              <w:rPr>
                <w:rFonts w:eastAsia="Times New Roman"/>
                <w:noProof/>
              </w:rPr>
            </w:pPr>
            <w:r>
              <w:rPr>
                <w:noProof/>
              </w:rPr>
              <w:t>Re-03-i07-RAA</w:t>
            </w:r>
          </w:p>
        </w:tc>
        <w:tc>
          <w:tcPr>
            <w:tcW w:w="982" w:type="dxa"/>
            <w:shd w:val="clear" w:color="auto" w:fill="C4EFCE"/>
            <w:vAlign w:val="center"/>
          </w:tcPr>
          <w:p w14:paraId="0BE4B152" w14:textId="6BC582B8" w:rsidR="00DC5EC6" w:rsidRDefault="003245A4">
            <w:pPr>
              <w:pStyle w:val="P68B1DB1-Normal12"/>
              <w:spacing w:after="0" w:line="240" w:lineRule="auto"/>
              <w:jc w:val="center"/>
              <w:rPr>
                <w:rFonts w:eastAsia="Times New Roman" w:cstheme="minorHAnsi"/>
                <w:noProof/>
              </w:rPr>
            </w:pPr>
            <w:r>
              <w:rPr>
                <w:noProof/>
              </w:rPr>
              <w:t>T</w:t>
            </w:r>
          </w:p>
        </w:tc>
        <w:tc>
          <w:tcPr>
            <w:tcW w:w="1740" w:type="dxa"/>
            <w:shd w:val="clear" w:color="auto" w:fill="C4EFCE"/>
            <w:vAlign w:val="center"/>
          </w:tcPr>
          <w:p w14:paraId="5F735354" w14:textId="27282FEA" w:rsidR="00DC5EC6" w:rsidRDefault="003245A4">
            <w:pPr>
              <w:pStyle w:val="P68B1DB1-Normal12"/>
              <w:spacing w:after="0" w:line="240" w:lineRule="auto"/>
              <w:jc w:val="center"/>
              <w:rPr>
                <w:rFonts w:eastAsia="Times New Roman" w:cstheme="minorHAnsi"/>
                <w:noProof/>
              </w:rPr>
            </w:pPr>
            <w:r>
              <w:rPr>
                <w:noProof/>
              </w:rPr>
              <w:t>Kibővített vagy felújított férőhelyek a bentlakásos gondozóotthonokban</w:t>
            </w:r>
          </w:p>
        </w:tc>
        <w:tc>
          <w:tcPr>
            <w:tcW w:w="1486" w:type="dxa"/>
            <w:shd w:val="clear" w:color="auto" w:fill="C4EFCE"/>
            <w:vAlign w:val="center"/>
          </w:tcPr>
          <w:p w14:paraId="6650B4B9" w14:textId="77777777" w:rsidR="00DC5EC6" w:rsidRDefault="00DC5EC6">
            <w:pPr>
              <w:spacing w:after="0" w:line="240" w:lineRule="auto"/>
              <w:jc w:val="center"/>
              <w:rPr>
                <w:rFonts w:eastAsia="Times New Roman" w:cstheme="minorHAnsi"/>
                <w:noProof/>
                <w:sz w:val="16"/>
              </w:rPr>
            </w:pPr>
          </w:p>
        </w:tc>
        <w:tc>
          <w:tcPr>
            <w:tcW w:w="1014" w:type="dxa"/>
            <w:shd w:val="clear" w:color="auto" w:fill="C4EFCE"/>
            <w:vAlign w:val="center"/>
          </w:tcPr>
          <w:p w14:paraId="41321D09" w14:textId="260F65A8" w:rsidR="00DC5EC6" w:rsidRDefault="003245A4">
            <w:pPr>
              <w:pStyle w:val="P68B1DB1-Normal12"/>
              <w:spacing w:after="0" w:line="240" w:lineRule="auto"/>
              <w:jc w:val="center"/>
              <w:rPr>
                <w:rFonts w:eastAsia="Times New Roman" w:cstheme="minorHAnsi"/>
                <w:noProof/>
              </w:rPr>
            </w:pPr>
            <w:r>
              <w:rPr>
                <w:noProof/>
              </w:rPr>
              <w:t>Szám</w:t>
            </w:r>
          </w:p>
        </w:tc>
        <w:tc>
          <w:tcPr>
            <w:tcW w:w="1014" w:type="dxa"/>
            <w:shd w:val="clear" w:color="auto" w:fill="C4EFCE"/>
            <w:vAlign w:val="center"/>
          </w:tcPr>
          <w:p w14:paraId="3A90B777" w14:textId="37BB98B3" w:rsidR="00DC5EC6" w:rsidRDefault="003245A4">
            <w:pPr>
              <w:pStyle w:val="P68B1DB1-Normal12"/>
              <w:spacing w:after="0" w:line="240" w:lineRule="auto"/>
              <w:jc w:val="center"/>
              <w:rPr>
                <w:rFonts w:eastAsia="Times New Roman" w:cstheme="minorHAnsi"/>
                <w:noProof/>
              </w:rPr>
            </w:pPr>
            <w:r>
              <w:rPr>
                <w:noProof/>
              </w:rPr>
              <w:t>0</w:t>
            </w:r>
          </w:p>
        </w:tc>
        <w:tc>
          <w:tcPr>
            <w:tcW w:w="882" w:type="dxa"/>
            <w:shd w:val="clear" w:color="auto" w:fill="C4EFCE"/>
            <w:vAlign w:val="center"/>
          </w:tcPr>
          <w:p w14:paraId="5CDB17DC" w14:textId="772002B1" w:rsidR="00DC5EC6" w:rsidRDefault="003245A4">
            <w:pPr>
              <w:pStyle w:val="P68B1DB1-Normal12"/>
              <w:spacing w:after="0" w:line="240" w:lineRule="auto"/>
              <w:jc w:val="center"/>
              <w:rPr>
                <w:rFonts w:eastAsia="Times New Roman" w:cstheme="minorHAnsi"/>
                <w:noProof/>
              </w:rPr>
            </w:pPr>
            <w:r>
              <w:rPr>
                <w:noProof/>
              </w:rPr>
              <w:t>91</w:t>
            </w:r>
          </w:p>
        </w:tc>
        <w:tc>
          <w:tcPr>
            <w:tcW w:w="680" w:type="dxa"/>
            <w:shd w:val="clear" w:color="auto" w:fill="C4EFCE"/>
            <w:vAlign w:val="center"/>
          </w:tcPr>
          <w:p w14:paraId="5C2F45A3" w14:textId="6DEC4C95" w:rsidR="00DC5EC6" w:rsidRDefault="006E607E">
            <w:pPr>
              <w:pStyle w:val="P68B1DB1-Normal12"/>
              <w:spacing w:after="0" w:line="240" w:lineRule="auto"/>
              <w:jc w:val="center"/>
              <w:rPr>
                <w:rFonts w:eastAsia="Times New Roman" w:cstheme="minorHAnsi"/>
                <w:noProof/>
              </w:rPr>
            </w:pPr>
            <w:r>
              <w:rPr>
                <w:noProof/>
              </w:rPr>
              <w:t>1.NEGYEDÉV</w:t>
            </w:r>
          </w:p>
        </w:tc>
        <w:tc>
          <w:tcPr>
            <w:tcW w:w="845" w:type="dxa"/>
            <w:shd w:val="clear" w:color="auto" w:fill="C4EFCE"/>
            <w:vAlign w:val="center"/>
          </w:tcPr>
          <w:p w14:paraId="1C8F5B94" w14:textId="3948B69B" w:rsidR="00DC5EC6" w:rsidRDefault="003245A4">
            <w:pPr>
              <w:pStyle w:val="P68B1DB1-Normal12"/>
              <w:spacing w:after="0" w:line="240" w:lineRule="auto"/>
              <w:jc w:val="center"/>
              <w:rPr>
                <w:rFonts w:eastAsia="Times New Roman" w:cstheme="minorHAnsi"/>
                <w:noProof/>
              </w:rPr>
            </w:pPr>
            <w:r>
              <w:rPr>
                <w:noProof/>
              </w:rPr>
              <w:t>2026</w:t>
            </w:r>
          </w:p>
        </w:tc>
        <w:tc>
          <w:tcPr>
            <w:tcW w:w="4277" w:type="dxa"/>
            <w:shd w:val="clear" w:color="auto" w:fill="C4EFCE"/>
          </w:tcPr>
          <w:p w14:paraId="42B8FCAE" w14:textId="3605253D" w:rsidR="00DC5EC6" w:rsidRDefault="003245A4">
            <w:pPr>
              <w:pStyle w:val="P68B1DB1-Normal12"/>
              <w:spacing w:after="0" w:line="240" w:lineRule="auto"/>
              <w:jc w:val="both"/>
              <w:rPr>
                <w:rFonts w:eastAsia="Times New Roman" w:cstheme="minorHAnsi"/>
                <w:noProof/>
              </w:rPr>
            </w:pPr>
            <w:r>
              <w:rPr>
                <w:noProof/>
              </w:rPr>
              <w:t xml:space="preserve">Az Azori-szigetek autonóm régióban kibővített vagy felújított idősotthonokban (ERPI) található helyek száma. </w:t>
            </w:r>
            <w:r>
              <w:rPr>
                <w:noProof/>
              </w:rPr>
              <w:br/>
              <w:t>Új épületek építése esetén az új épületek primerenergia-szükségletének legalább 20%-kal alacsonyabbnak kell lennie a közel nulla energiaigényű épületekre vonatkozó követelményeknél.</w:t>
            </w:r>
          </w:p>
        </w:tc>
      </w:tr>
      <w:tr w:rsidR="00DC5EC6" w14:paraId="51E16407" w14:textId="77777777">
        <w:trPr>
          <w:trHeight w:val="1060"/>
        </w:trPr>
        <w:tc>
          <w:tcPr>
            <w:tcW w:w="1124" w:type="dxa"/>
            <w:shd w:val="clear" w:color="auto" w:fill="C4EFCE"/>
            <w:vAlign w:val="center"/>
          </w:tcPr>
          <w:p w14:paraId="31ECAE86" w14:textId="3C0FD4B9" w:rsidR="00DC5EC6" w:rsidRDefault="003245A4">
            <w:pPr>
              <w:pStyle w:val="P68B1DB1-Normal11"/>
              <w:spacing w:after="0" w:line="240" w:lineRule="auto"/>
              <w:jc w:val="center"/>
              <w:rPr>
                <w:rFonts w:cstheme="minorHAnsi"/>
                <w:noProof/>
              </w:rPr>
            </w:pPr>
            <w:r>
              <w:rPr>
                <w:noProof/>
              </w:rPr>
              <w:t>3.29</w:t>
            </w:r>
          </w:p>
        </w:tc>
        <w:tc>
          <w:tcPr>
            <w:tcW w:w="1143" w:type="dxa"/>
            <w:shd w:val="clear" w:color="auto" w:fill="C4EFCE"/>
            <w:vAlign w:val="center"/>
          </w:tcPr>
          <w:p w14:paraId="5FF028A3" w14:textId="7F4C3916" w:rsidR="00DC5EC6" w:rsidRDefault="003245A4">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1B53ECE1" w14:textId="6640AC21" w:rsidR="00DC5EC6" w:rsidRDefault="003245A4">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7DB32A48" w14:textId="5A1867D2" w:rsidR="00DC5EC6" w:rsidRDefault="003245A4">
            <w:pPr>
              <w:pStyle w:val="P68B1DB1-Normal12"/>
              <w:spacing w:after="0" w:line="240" w:lineRule="auto"/>
              <w:jc w:val="center"/>
              <w:rPr>
                <w:rFonts w:cstheme="minorHAnsi"/>
                <w:noProof/>
              </w:rPr>
            </w:pPr>
            <w:r>
              <w:rPr>
                <w:noProof/>
              </w:rPr>
              <w:t>Az egységes szociális ellátással foglalkozó munkacsoport jelentése</w:t>
            </w:r>
          </w:p>
        </w:tc>
        <w:tc>
          <w:tcPr>
            <w:tcW w:w="1486" w:type="dxa"/>
            <w:shd w:val="clear" w:color="auto" w:fill="C4EFCE"/>
            <w:vAlign w:val="center"/>
          </w:tcPr>
          <w:p w14:paraId="5D6A1559" w14:textId="7553CA76" w:rsidR="00DC5EC6" w:rsidRDefault="003245A4">
            <w:pPr>
              <w:pStyle w:val="P68B1DB1-Normal12"/>
              <w:spacing w:after="0" w:line="240" w:lineRule="auto"/>
              <w:jc w:val="center"/>
              <w:rPr>
                <w:rFonts w:eastAsia="Times New Roman" w:cstheme="minorHAnsi"/>
                <w:noProof/>
              </w:rPr>
            </w:pPr>
            <w:r>
              <w:rPr>
                <w:noProof/>
              </w:rPr>
              <w:t xml:space="preserve">Az egységes szociális ellátással foglalkozó munkacsoport jelentésének közzététele </w:t>
            </w:r>
          </w:p>
        </w:tc>
        <w:tc>
          <w:tcPr>
            <w:tcW w:w="1014" w:type="dxa"/>
            <w:shd w:val="clear" w:color="auto" w:fill="C4EFCE"/>
            <w:vAlign w:val="center"/>
          </w:tcPr>
          <w:p w14:paraId="49C1E7A6" w14:textId="77777777" w:rsidR="00DC5EC6" w:rsidRDefault="00DC5EC6">
            <w:pPr>
              <w:spacing w:after="0" w:line="240" w:lineRule="auto"/>
              <w:jc w:val="center"/>
              <w:rPr>
                <w:rFonts w:cstheme="minorHAnsi"/>
                <w:noProof/>
                <w:sz w:val="16"/>
              </w:rPr>
            </w:pPr>
          </w:p>
        </w:tc>
        <w:tc>
          <w:tcPr>
            <w:tcW w:w="1014" w:type="dxa"/>
            <w:shd w:val="clear" w:color="auto" w:fill="C4EFCE"/>
            <w:vAlign w:val="center"/>
          </w:tcPr>
          <w:p w14:paraId="2EE0AFDC" w14:textId="77777777" w:rsidR="00DC5EC6" w:rsidRDefault="00DC5EC6">
            <w:pPr>
              <w:spacing w:after="0" w:line="240" w:lineRule="auto"/>
              <w:jc w:val="center"/>
              <w:rPr>
                <w:rFonts w:cstheme="minorHAnsi"/>
                <w:noProof/>
                <w:sz w:val="16"/>
              </w:rPr>
            </w:pPr>
          </w:p>
        </w:tc>
        <w:tc>
          <w:tcPr>
            <w:tcW w:w="882" w:type="dxa"/>
            <w:shd w:val="clear" w:color="auto" w:fill="C4EFCE"/>
            <w:vAlign w:val="center"/>
          </w:tcPr>
          <w:p w14:paraId="7CC75B9E" w14:textId="77777777" w:rsidR="00DC5EC6" w:rsidRDefault="00DC5EC6">
            <w:pPr>
              <w:spacing w:after="0" w:line="240" w:lineRule="auto"/>
              <w:jc w:val="center"/>
              <w:rPr>
                <w:rFonts w:cstheme="minorHAnsi"/>
                <w:noProof/>
                <w:sz w:val="16"/>
              </w:rPr>
            </w:pPr>
          </w:p>
        </w:tc>
        <w:tc>
          <w:tcPr>
            <w:tcW w:w="680" w:type="dxa"/>
            <w:shd w:val="clear" w:color="auto" w:fill="C4EFCE"/>
            <w:vAlign w:val="center"/>
          </w:tcPr>
          <w:p w14:paraId="0712AE4B" w14:textId="2B75455A" w:rsidR="00DC5EC6" w:rsidRDefault="006E607E">
            <w:pPr>
              <w:pStyle w:val="P68B1DB1-Normal12"/>
              <w:spacing w:after="0" w:line="240" w:lineRule="auto"/>
              <w:jc w:val="center"/>
              <w:rPr>
                <w:rFonts w:cstheme="minorHAnsi"/>
                <w:noProof/>
              </w:rPr>
            </w:pPr>
            <w:r>
              <w:rPr>
                <w:noProof/>
              </w:rPr>
              <w:t>1.NEGYEDÉV</w:t>
            </w:r>
          </w:p>
        </w:tc>
        <w:tc>
          <w:tcPr>
            <w:tcW w:w="845" w:type="dxa"/>
            <w:shd w:val="clear" w:color="auto" w:fill="C4EFCE"/>
            <w:vAlign w:val="center"/>
          </w:tcPr>
          <w:p w14:paraId="72B52A51" w14:textId="34CA0953" w:rsidR="00DC5EC6" w:rsidRDefault="003245A4">
            <w:pPr>
              <w:pStyle w:val="P68B1DB1-Normal12"/>
              <w:spacing w:after="0" w:line="240" w:lineRule="auto"/>
              <w:jc w:val="center"/>
              <w:rPr>
                <w:rFonts w:cstheme="minorHAnsi"/>
                <w:noProof/>
              </w:rPr>
            </w:pPr>
            <w:r>
              <w:rPr>
                <w:noProof/>
              </w:rPr>
              <w:t>2025</w:t>
            </w:r>
          </w:p>
        </w:tc>
        <w:tc>
          <w:tcPr>
            <w:tcW w:w="4277" w:type="dxa"/>
            <w:shd w:val="clear" w:color="auto" w:fill="C4EFCE"/>
          </w:tcPr>
          <w:p w14:paraId="2B2552AC" w14:textId="033FBD53" w:rsidR="00DC5EC6" w:rsidRDefault="003245A4">
            <w:pPr>
              <w:pStyle w:val="P68B1DB1-Normal12"/>
              <w:spacing w:after="0" w:line="240" w:lineRule="auto"/>
              <w:jc w:val="both"/>
              <w:rPr>
                <w:rFonts w:cstheme="minorHAnsi"/>
                <w:noProof/>
              </w:rPr>
            </w:pPr>
            <w:r>
              <w:rPr>
                <w:noProof/>
              </w:rPr>
              <w:t>Az egységes szociális ellátással foglalkozó munkacsoport jelentésének közzététele, amely tartalmazza az egységes szociális ellátás kialakításának és hivatalos végrehajtásának főbb elemeit. A jelentésnek tartalmaznia kell a lefedettségre, a megfelelőség és a hatékonyság szintjére gyakorolt hatás értékelését, többek között olyan szempontok tekintetében, mint az átfedések megelőzése, a szociális védelem hiányosságainak megszüntetése és az igénybevételi szintek javítása.</w:t>
            </w:r>
          </w:p>
        </w:tc>
      </w:tr>
      <w:tr w:rsidR="00DC5EC6" w14:paraId="320C179B" w14:textId="77777777">
        <w:trPr>
          <w:trHeight w:val="1060"/>
        </w:trPr>
        <w:tc>
          <w:tcPr>
            <w:tcW w:w="1124" w:type="dxa"/>
            <w:shd w:val="clear" w:color="auto" w:fill="C4EFCE"/>
            <w:vAlign w:val="center"/>
          </w:tcPr>
          <w:p w14:paraId="6DED1EC3" w14:textId="46609D91" w:rsidR="00DC5EC6" w:rsidRDefault="003245A4">
            <w:pPr>
              <w:pStyle w:val="P68B1DB1-Normal11"/>
              <w:spacing w:after="0" w:line="240" w:lineRule="auto"/>
              <w:jc w:val="center"/>
              <w:rPr>
                <w:rFonts w:cstheme="minorHAnsi"/>
                <w:noProof/>
              </w:rPr>
            </w:pPr>
            <w:r>
              <w:rPr>
                <w:noProof/>
              </w:rPr>
              <w:t>3.30</w:t>
            </w:r>
          </w:p>
        </w:tc>
        <w:tc>
          <w:tcPr>
            <w:tcW w:w="1143" w:type="dxa"/>
            <w:shd w:val="clear" w:color="auto" w:fill="C4EFCE"/>
            <w:vAlign w:val="center"/>
          </w:tcPr>
          <w:p w14:paraId="3CC2208B" w14:textId="71329F96" w:rsidR="00DC5EC6" w:rsidRDefault="003245A4">
            <w:pPr>
              <w:pStyle w:val="P68B1DB1-Normal12"/>
              <w:spacing w:after="0" w:line="240" w:lineRule="auto"/>
              <w:jc w:val="center"/>
              <w:rPr>
                <w:rFonts w:cstheme="minorHAnsi"/>
                <w:noProof/>
              </w:rPr>
            </w:pPr>
            <w:r>
              <w:rPr>
                <w:noProof/>
              </w:rPr>
              <w:t>Re-C03-r38</w:t>
            </w:r>
          </w:p>
        </w:tc>
        <w:tc>
          <w:tcPr>
            <w:tcW w:w="982" w:type="dxa"/>
            <w:shd w:val="clear" w:color="auto" w:fill="C4EFCE"/>
            <w:vAlign w:val="center"/>
          </w:tcPr>
          <w:p w14:paraId="7E673827" w14:textId="115241B8" w:rsidR="00DC5EC6" w:rsidRDefault="003245A4">
            <w:pPr>
              <w:pStyle w:val="P68B1DB1-Normal12"/>
              <w:spacing w:after="0" w:line="240" w:lineRule="auto"/>
              <w:jc w:val="center"/>
              <w:rPr>
                <w:rFonts w:cstheme="minorHAnsi"/>
                <w:noProof/>
              </w:rPr>
            </w:pPr>
            <w:r>
              <w:rPr>
                <w:noProof/>
              </w:rPr>
              <w:t>M</w:t>
            </w:r>
          </w:p>
        </w:tc>
        <w:tc>
          <w:tcPr>
            <w:tcW w:w="1740" w:type="dxa"/>
            <w:shd w:val="clear" w:color="auto" w:fill="C4EFCE"/>
            <w:vAlign w:val="center"/>
          </w:tcPr>
          <w:p w14:paraId="58E23131" w14:textId="741F88C0" w:rsidR="00DC5EC6" w:rsidRDefault="003245A4">
            <w:pPr>
              <w:pStyle w:val="P68B1DB1-Normal12"/>
              <w:spacing w:after="0" w:line="240" w:lineRule="auto"/>
              <w:jc w:val="center"/>
              <w:rPr>
                <w:noProof/>
              </w:rPr>
            </w:pPr>
            <w:r>
              <w:rPr>
                <w:noProof/>
              </w:rPr>
              <w:t xml:space="preserve">Az egységes szociális ellátás (az állampolgársági szociális védelmi rendszer keretében) és a szociális ellátásokról szóló törvénykönyv hatálybalépése </w:t>
            </w:r>
          </w:p>
        </w:tc>
        <w:tc>
          <w:tcPr>
            <w:tcW w:w="1486" w:type="dxa"/>
            <w:shd w:val="clear" w:color="auto" w:fill="C4EFCE"/>
            <w:vAlign w:val="center"/>
          </w:tcPr>
          <w:p w14:paraId="78861CE8" w14:textId="020506AF" w:rsidR="00DC5EC6" w:rsidRDefault="003245A4">
            <w:pPr>
              <w:pStyle w:val="P68B1DB1-Normal12"/>
              <w:spacing w:after="0" w:line="240" w:lineRule="auto"/>
              <w:jc w:val="center"/>
              <w:rPr>
                <w:rFonts w:eastAsia="Times New Roman" w:cstheme="minorHAnsi"/>
                <w:noProof/>
              </w:rPr>
            </w:pPr>
            <w:r>
              <w:rPr>
                <w:noProof/>
              </w:rPr>
              <w:t xml:space="preserve">A jogszabály hatálybalépésére utaló rendelkezés </w:t>
            </w:r>
          </w:p>
        </w:tc>
        <w:tc>
          <w:tcPr>
            <w:tcW w:w="1014" w:type="dxa"/>
            <w:shd w:val="clear" w:color="auto" w:fill="C4EFCE"/>
            <w:vAlign w:val="center"/>
          </w:tcPr>
          <w:p w14:paraId="4C0FF700" w14:textId="77777777" w:rsidR="00DC5EC6" w:rsidRDefault="00DC5EC6">
            <w:pPr>
              <w:spacing w:after="0" w:line="240" w:lineRule="auto"/>
              <w:jc w:val="center"/>
              <w:rPr>
                <w:rFonts w:cstheme="minorHAnsi"/>
                <w:noProof/>
                <w:sz w:val="16"/>
              </w:rPr>
            </w:pPr>
          </w:p>
        </w:tc>
        <w:tc>
          <w:tcPr>
            <w:tcW w:w="1014" w:type="dxa"/>
            <w:shd w:val="clear" w:color="auto" w:fill="C4EFCE"/>
            <w:vAlign w:val="center"/>
          </w:tcPr>
          <w:p w14:paraId="1B83AB9F" w14:textId="77777777" w:rsidR="00DC5EC6" w:rsidRDefault="00DC5EC6">
            <w:pPr>
              <w:spacing w:after="0" w:line="240" w:lineRule="auto"/>
              <w:jc w:val="center"/>
              <w:rPr>
                <w:rFonts w:cstheme="minorHAnsi"/>
                <w:noProof/>
                <w:sz w:val="16"/>
              </w:rPr>
            </w:pPr>
          </w:p>
        </w:tc>
        <w:tc>
          <w:tcPr>
            <w:tcW w:w="882" w:type="dxa"/>
            <w:shd w:val="clear" w:color="auto" w:fill="C4EFCE"/>
            <w:vAlign w:val="center"/>
          </w:tcPr>
          <w:p w14:paraId="255BA677" w14:textId="77777777" w:rsidR="00DC5EC6" w:rsidRDefault="00DC5EC6">
            <w:pPr>
              <w:spacing w:after="0" w:line="240" w:lineRule="auto"/>
              <w:jc w:val="center"/>
              <w:rPr>
                <w:rFonts w:cstheme="minorHAnsi"/>
                <w:noProof/>
                <w:sz w:val="16"/>
              </w:rPr>
            </w:pPr>
          </w:p>
        </w:tc>
        <w:tc>
          <w:tcPr>
            <w:tcW w:w="680" w:type="dxa"/>
            <w:shd w:val="clear" w:color="auto" w:fill="C4EFCE"/>
            <w:vAlign w:val="center"/>
          </w:tcPr>
          <w:p w14:paraId="480DE372" w14:textId="0913749C" w:rsidR="00DC5EC6" w:rsidRDefault="006E607E">
            <w:pPr>
              <w:pStyle w:val="P68B1DB1-Normal12"/>
              <w:spacing w:after="0" w:line="240" w:lineRule="auto"/>
              <w:jc w:val="center"/>
              <w:rPr>
                <w:rFonts w:cstheme="minorHAnsi"/>
                <w:noProof/>
              </w:rPr>
            </w:pPr>
            <w:r>
              <w:rPr>
                <w:noProof/>
              </w:rPr>
              <w:t>2. NEGYEDÉV</w:t>
            </w:r>
          </w:p>
        </w:tc>
        <w:tc>
          <w:tcPr>
            <w:tcW w:w="845" w:type="dxa"/>
            <w:shd w:val="clear" w:color="auto" w:fill="C4EFCE"/>
            <w:vAlign w:val="center"/>
          </w:tcPr>
          <w:p w14:paraId="57DB5970" w14:textId="6327CAC3" w:rsidR="00DC5EC6" w:rsidRDefault="003245A4">
            <w:pPr>
              <w:pStyle w:val="P68B1DB1-Normal12"/>
              <w:spacing w:after="0" w:line="240" w:lineRule="auto"/>
              <w:jc w:val="center"/>
              <w:rPr>
                <w:rFonts w:cstheme="minorHAnsi"/>
                <w:noProof/>
              </w:rPr>
            </w:pPr>
            <w:r>
              <w:rPr>
                <w:noProof/>
              </w:rPr>
              <w:t>2026</w:t>
            </w:r>
          </w:p>
        </w:tc>
        <w:tc>
          <w:tcPr>
            <w:tcW w:w="4277" w:type="dxa"/>
            <w:shd w:val="clear" w:color="auto" w:fill="C4EFCE"/>
            <w:vAlign w:val="center"/>
          </w:tcPr>
          <w:p w14:paraId="5ECEC7B1" w14:textId="737ABB65" w:rsidR="00DC5EC6" w:rsidRDefault="003245A4">
            <w:pPr>
              <w:pStyle w:val="P68B1DB1-Normal12"/>
              <w:spacing w:after="0" w:line="240" w:lineRule="auto"/>
              <w:jc w:val="both"/>
              <w:rPr>
                <w:noProof/>
              </w:rPr>
            </w:pPr>
            <w:r>
              <w:rPr>
                <w:noProof/>
              </w:rPr>
              <w:t xml:space="preserve">Az egységes szociális ellátással foglalkozó munkacsoport jelentésének közzétételét és az érintett érdekelt felekkel folytatott konzultációkat követően az egységes szociális ellátást létrehozó jogszabály hatálybalépése (az állampolgárság szerinti szociális védelmi rendszer keretében). </w:t>
            </w:r>
          </w:p>
          <w:p w14:paraId="32A056B9" w14:textId="49C14321" w:rsidR="00DC5EC6" w:rsidRDefault="00DC5EC6">
            <w:pPr>
              <w:spacing w:after="0" w:line="240" w:lineRule="auto"/>
              <w:jc w:val="both"/>
              <w:rPr>
                <w:noProof/>
                <w:sz w:val="16"/>
              </w:rPr>
            </w:pPr>
          </w:p>
          <w:p w14:paraId="15031367" w14:textId="7F2F4187" w:rsidR="00DC5EC6" w:rsidRDefault="003245A4">
            <w:pPr>
              <w:pStyle w:val="P68B1DB1-Normal12"/>
              <w:spacing w:after="0" w:line="240" w:lineRule="auto"/>
              <w:jc w:val="both"/>
              <w:rPr>
                <w:noProof/>
              </w:rPr>
            </w:pPr>
            <w:r>
              <w:rPr>
                <w:noProof/>
              </w:rPr>
              <w:t>A szociális ellátásokról szóló törvénykönyvet létrehozó jogszabály hatálybalépése, amely egyszerűsíti, harmonizálja és egységes szerkezetbe foglalja a szociális ellátásokra vonatkozó jogszabályokat.</w:t>
            </w:r>
          </w:p>
        </w:tc>
      </w:tr>
    </w:tbl>
    <w:p w14:paraId="01FFACF8"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8BEF5A8"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78"/>
          <w:headerReference w:type="default" r:id="rId79"/>
          <w:footerReference w:type="even" r:id="rId80"/>
          <w:footerReference w:type="default" r:id="rId81"/>
          <w:headerReference w:type="first" r:id="rId82"/>
          <w:footerReference w:type="first" r:id="rId83"/>
          <w:pgSz w:w="16839" w:h="11907" w:orient="landscape"/>
          <w:pgMar w:top="1134" w:right="1134" w:bottom="1134" w:left="1134" w:header="567" w:footer="567" w:gutter="0"/>
          <w:cols w:space="720"/>
          <w:docGrid w:linePitch="360"/>
        </w:sectPr>
      </w:pPr>
    </w:p>
    <w:p w14:paraId="20E2D1A0" w14:textId="2113D1D1"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D. 4. </w:t>
      </w:r>
      <w:r w:rsidR="00342815">
        <w:rPr>
          <w:noProof/>
        </w:rPr>
        <w:t>KOMPONENS</w:t>
      </w:r>
      <w:r>
        <w:rPr>
          <w:noProof/>
        </w:rPr>
        <w:t>: Kultúra</w:t>
      </w:r>
    </w:p>
    <w:p w14:paraId="3890A551" w14:textId="77777777" w:rsidR="00DC5EC6" w:rsidRDefault="003245A4">
      <w:pPr>
        <w:pStyle w:val="P68B1DB1-Normal4"/>
        <w:keepNext/>
        <w:spacing w:before="40" w:after="0" w:line="259" w:lineRule="auto"/>
        <w:jc w:val="both"/>
        <w:rPr>
          <w:rFonts w:eastAsiaTheme="minorEastAsia" w:cs="Times New Roman"/>
          <w:noProof/>
        </w:rPr>
      </w:pPr>
      <w:r>
        <w:rPr>
          <w:noProof/>
        </w:rPr>
        <w:t>A komponens a Covid19-világjárvány hatásaival és a kulturális létesítmények és berendezések karbantartásához, felújításához és korszerűsítéséhez szükséges erőforrások krónikus hiányából eredő örökölt problémákkal egyaránt foglalkozik.</w:t>
      </w:r>
    </w:p>
    <w:p w14:paraId="2022E520" w14:textId="77777777" w:rsidR="00DC5EC6" w:rsidRDefault="003245A4">
      <w:pPr>
        <w:pStyle w:val="P68B1DB1-Normal4"/>
        <w:keepNext/>
        <w:spacing w:before="40" w:after="0" w:line="259" w:lineRule="auto"/>
        <w:jc w:val="both"/>
        <w:rPr>
          <w:rFonts w:eastAsiaTheme="minorEastAsia" w:cs="Times New Roman"/>
          <w:noProof/>
        </w:rPr>
      </w:pPr>
      <w:r>
        <w:rPr>
          <w:noProof/>
        </w:rPr>
        <w:t>A Kultúra komponens fő célkitűzései az épületek és a nemzeti műemlékek felújítása; a kézműves technikák és szakmák védelme; a technológiai infrastruktúra és a kulturális létesítmények korszerűsítése; a műalkotások és a kulturális örökség digitalizálása; valamint a könyvesboltok és a könyvkiadás nemzetközivé tétele, korszerűsítése és digitális átállása.</w:t>
      </w:r>
    </w:p>
    <w:p w14:paraId="75BCC82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hozzájárul az országspecifikus ajánlások végrehajtásához annak érdekében, hogy minden szükséges intézkedést megtegyenek a világjárvány hatékony kezelése, a gazdaság működőképességének fenntartása és a helyreállítás támogatása érdekében (2020. évi 1. országspecifikus ajánlás); valamint a digitális technológiák alkalmazásának támogatása a vállalkozások versenyképességének fokozása érdekében (2020. évi 2. országspecifikus ajánlás). </w:t>
      </w:r>
    </w:p>
    <w:p w14:paraId="66575D9A"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40AECA44"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D.1. Vissza nem térítendő pénzügyi támogatás – a reformok és beruházások ismertetése</w:t>
      </w:r>
    </w:p>
    <w:p w14:paraId="0C926D12"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RE-C04–i01 beruházás: Kulturális hálózatok és digitális átállás</w:t>
      </w:r>
    </w:p>
    <w:p w14:paraId="686F0143" w14:textId="1C6FCC1E" w:rsidR="00DC5EC6" w:rsidRDefault="003245A4">
      <w:pPr>
        <w:pStyle w:val="P68B1DB1-Normal4"/>
        <w:widowControl w:val="0"/>
        <w:spacing w:before="120" w:after="140" w:line="257" w:lineRule="auto"/>
        <w:jc w:val="both"/>
        <w:rPr>
          <w:rFonts w:eastAsiaTheme="minorEastAsia" w:cs="Times New Roman"/>
          <w:noProof/>
        </w:rPr>
      </w:pPr>
      <w:r>
        <w:rPr>
          <w:noProof/>
        </w:rPr>
        <w:t>Az intézkedés célja a kulturális közlétesítmények digitális átállását elősegítő technológiai infrastruktúrájának korszerűsítése. Konkrétabban ez magában foglalja a műalkotások és a kulturális örökség jövőbeli megőrzését; a kulturális élmény javítása; a kulturális tevékenységek iránti kereslet növelése és új közönség – különösen az új generációk – elérése. Az ágazat rezilienciáját várhatóan növeli az olyan új üzleti modellek előmozdítása, mint az előfizetés és a streaming; valamint az olyan erős technológiai komponenssel rendelkező kulturális területek támogatása, mint például a 3D-filmek gyártása.</w:t>
      </w:r>
    </w:p>
    <w:p w14:paraId="05904A40" w14:textId="77777777" w:rsidR="00DC5EC6" w:rsidRDefault="003245A4">
      <w:pPr>
        <w:pStyle w:val="P68B1DB1-Normal4"/>
        <w:spacing w:before="40" w:after="0" w:line="259" w:lineRule="auto"/>
        <w:jc w:val="both"/>
        <w:rPr>
          <w:rFonts w:eastAsiaTheme="minorEastAsia" w:cs="Times New Roman"/>
          <w:noProof/>
        </w:rPr>
      </w:pPr>
      <w:r>
        <w:rPr>
          <w:noProof/>
        </w:rPr>
        <w:t xml:space="preserve">Ez a beruházás a következő beavatkozásokból áll: </w:t>
      </w:r>
    </w:p>
    <w:p w14:paraId="0B7D23BD" w14:textId="77777777" w:rsidR="00DC5EC6" w:rsidRDefault="003245A4">
      <w:pPr>
        <w:pStyle w:val="P68B1DB1-Normal4"/>
        <w:numPr>
          <w:ilvl w:val="0"/>
          <w:numId w:val="56"/>
        </w:numPr>
        <w:spacing w:before="40" w:after="160" w:line="259" w:lineRule="auto"/>
        <w:ind w:hanging="357"/>
        <w:contextualSpacing/>
        <w:jc w:val="both"/>
        <w:rPr>
          <w:rFonts w:eastAsiaTheme="minorEastAsia" w:cs="Times New Roman"/>
          <w:noProof/>
        </w:rPr>
      </w:pPr>
      <w:r>
        <w:rPr>
          <w:noProof/>
        </w:rPr>
        <w:t>a kulturális létesítmények technológiai infrastruktúrájának korszerűsítése</w:t>
      </w:r>
    </w:p>
    <w:p w14:paraId="5AD0BCC3" w14:textId="7FCD7F04"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informatikai berendezések vásárlása, online mobil könyvtárak, információs rendszerek és integrált katalógusok létrehozása 239 közkönyvtárak számára;</w:t>
      </w:r>
    </w:p>
    <w:p w14:paraId="14E65A09" w14:textId="727DB745"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 xml:space="preserve">wifiborítás </w:t>
      </w:r>
      <w:r>
        <w:rPr>
          <w:i/>
          <w:noProof/>
        </w:rPr>
        <w:t>50</w:t>
      </w:r>
      <w:r>
        <w:rPr>
          <w:noProof/>
        </w:rPr>
        <w:t xml:space="preserve"> múzeumban, palotában és műemlékben;</w:t>
      </w:r>
    </w:p>
    <w:p w14:paraId="6418D2E6"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digitális és videovetítő berendezések beszerzése 155 cineszínház és kortárs nyilvános művészeti központ számára;</w:t>
      </w:r>
    </w:p>
    <w:p w14:paraId="60152140" w14:textId="3D33612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az állami laboratóriumok technológiai korszerűsítése és karbantartása;</w:t>
      </w:r>
    </w:p>
    <w:p w14:paraId="1D93986E" w14:textId="596F8A12" w:rsidR="00DC5EC6" w:rsidRDefault="003245A4">
      <w:pPr>
        <w:pStyle w:val="ListParagraph"/>
        <w:numPr>
          <w:ilvl w:val="1"/>
          <w:numId w:val="70"/>
        </w:numPr>
        <w:spacing w:before="40"/>
        <w:rPr>
          <w:noProof/>
        </w:rPr>
      </w:pPr>
      <w:r>
        <w:rPr>
          <w:noProof/>
        </w:rPr>
        <w:t>a mozgóképek nemzeti archívumának technológiai korszerűsítése (ANIM);</w:t>
      </w:r>
    </w:p>
    <w:p w14:paraId="129B1E79" w14:textId="4144A407" w:rsidR="00DC5EC6" w:rsidRDefault="003245A4">
      <w:pPr>
        <w:pStyle w:val="P68B1DB1-Normal4"/>
        <w:numPr>
          <w:ilvl w:val="1"/>
          <w:numId w:val="70"/>
        </w:numPr>
        <w:spacing w:before="40" w:after="160" w:line="259" w:lineRule="auto"/>
        <w:ind w:hanging="357"/>
        <w:contextualSpacing/>
        <w:jc w:val="both"/>
        <w:rPr>
          <w:rFonts w:eastAsia="Times New Roman" w:cs="Times New Roman"/>
          <w:noProof/>
        </w:rPr>
      </w:pPr>
      <w:r>
        <w:rPr>
          <w:noProof/>
        </w:rPr>
        <w:t>a Nemzeti Atrakadémia telepítése.</w:t>
      </w:r>
    </w:p>
    <w:p w14:paraId="63A92FE4" w14:textId="1C99C7CC" w:rsidR="00DC5EC6" w:rsidRDefault="003245A4">
      <w:pPr>
        <w:pStyle w:val="P68B1DB1-Normal4"/>
        <w:numPr>
          <w:ilvl w:val="0"/>
          <w:numId w:val="56"/>
        </w:numPr>
        <w:spacing w:before="40" w:after="160" w:line="259" w:lineRule="auto"/>
        <w:ind w:hanging="357"/>
        <w:contextualSpacing/>
        <w:jc w:val="both"/>
        <w:rPr>
          <w:rFonts w:eastAsiaTheme="minorEastAsia" w:cs="Times New Roman"/>
          <w:noProof/>
        </w:rPr>
      </w:pPr>
      <w:r>
        <w:rPr>
          <w:noProof/>
        </w:rPr>
        <w:t>a Könyvtári, Irattári és Könyvtári Főigazgatóság (DGLAB), a Portugál Nemzeti Könyvtár, az Évora Public Library, a Cinematheque, a Kulturális Örökség Főigazgatóságának (DGPC) és a regionális kulturális igazgatóságok gyűjteményeinek digitalizálása és az ország történelmi archívumaiból származó audiovizuális anyagok digitalizálása és digitalizálása:</w:t>
      </w:r>
    </w:p>
    <w:p w14:paraId="6C9F1DA9"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 közkönyvtárak gyűjteményeinek digitalizálása és virtualizálása (20000000 kép);</w:t>
      </w:r>
    </w:p>
    <w:p w14:paraId="2F41C273"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 nemzeti levéltári gyűjtemények digitalizálása és virtualizálása (19 5 00 000 dokumentum);</w:t>
      </w:r>
    </w:p>
    <w:p w14:paraId="08CD788B"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59500 közhasznú múzeumi nyilvántartás digitalizálása;</w:t>
      </w:r>
    </w:p>
    <w:p w14:paraId="4D9619E7" w14:textId="63B3EDDD"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virtuális múzeumi látogatások;</w:t>
      </w:r>
    </w:p>
    <w:p w14:paraId="6147E91E" w14:textId="0637379A"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1000 film digitalizálása (Cinematheque); és</w:t>
      </w:r>
    </w:p>
    <w:p w14:paraId="126C8F9B" w14:textId="08B9174F"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az ország történelmi média- és televíziós műsorszolgáltatók archívumaiból származó 45000 órás audiovizuális anyagok digitalizálása és hozzáférhetővé tétele a nyilvánosság számára</w:t>
      </w:r>
    </w:p>
    <w:p w14:paraId="69CDFB3B" w14:textId="6E712039" w:rsidR="00DC5EC6" w:rsidRDefault="003245A4">
      <w:pPr>
        <w:pStyle w:val="ListParagraph"/>
        <w:numPr>
          <w:ilvl w:val="0"/>
          <w:numId w:val="71"/>
        </w:numPr>
        <w:spacing w:before="40"/>
        <w:rPr>
          <w:noProof/>
        </w:rPr>
      </w:pPr>
      <w:r>
        <w:rPr>
          <w:noProof/>
        </w:rPr>
        <w:t>A könyvek és szerzők nemzetközivé tétele, korszerűsítése és digitális átállása:</w:t>
      </w:r>
    </w:p>
    <w:p w14:paraId="1E2C030B" w14:textId="6017B88F"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a könyvek idegen nyelvekre történő fordításának és kiadásának támogatása.</w:t>
      </w:r>
    </w:p>
    <w:p w14:paraId="197D7319" w14:textId="77777777" w:rsidR="00DC5EC6" w:rsidRDefault="003245A4">
      <w:pPr>
        <w:pStyle w:val="P68B1DB1-Normal4"/>
        <w:numPr>
          <w:ilvl w:val="1"/>
          <w:numId w:val="70"/>
        </w:numPr>
        <w:spacing w:before="40" w:after="160" w:line="259" w:lineRule="auto"/>
        <w:ind w:hanging="357"/>
        <w:contextualSpacing/>
        <w:jc w:val="both"/>
        <w:rPr>
          <w:rFonts w:eastAsiaTheme="minorEastAsia" w:cs="Times New Roman"/>
          <w:noProof/>
        </w:rPr>
      </w:pPr>
      <w:r>
        <w:rPr>
          <w:noProof/>
        </w:rPr>
        <w:t>irodalmi művek, köztük hangoskönyvek és e-könyvek fordításának és kiadásának támogatása;</w:t>
      </w:r>
    </w:p>
    <w:p w14:paraId="2A41A423" w14:textId="6D165E09" w:rsidR="00DC5EC6" w:rsidRDefault="003245A4">
      <w:pPr>
        <w:pStyle w:val="P68B1DB1-Normal4"/>
        <w:numPr>
          <w:ilvl w:val="1"/>
          <w:numId w:val="70"/>
        </w:numPr>
        <w:spacing w:before="40" w:after="160" w:line="259" w:lineRule="auto"/>
        <w:ind w:hanging="357"/>
        <w:contextualSpacing/>
        <w:jc w:val="both"/>
        <w:rPr>
          <w:rFonts w:eastAsia="Times New Roman" w:cs="Times New Roman"/>
          <w:noProof/>
        </w:rPr>
      </w:pPr>
      <w:r>
        <w:rPr>
          <w:noProof/>
        </w:rPr>
        <w:t>a berendezések és technológia beszerzésére szolgáló könyvesboltok korszerűsítésének és digitális átállásának támogatása.</w:t>
      </w:r>
    </w:p>
    <w:p w14:paraId="496B0AF5" w14:textId="57DF3BD5" w:rsidR="00DC5EC6" w:rsidRDefault="00DC5EC6">
      <w:pPr>
        <w:spacing w:before="40" w:after="160" w:line="259" w:lineRule="auto"/>
        <w:ind w:left="1800"/>
        <w:contextualSpacing/>
        <w:jc w:val="both"/>
        <w:rPr>
          <w:rFonts w:ascii="Times New Roman" w:eastAsia="Times New Roman" w:hAnsi="Times New Roman" w:cs="Times New Roman"/>
          <w:noProof/>
          <w:sz w:val="24"/>
        </w:rPr>
      </w:pPr>
    </w:p>
    <w:p w14:paraId="75954FB6" w14:textId="41574F0B" w:rsidR="00DC5EC6" w:rsidRDefault="003245A4">
      <w:pPr>
        <w:pStyle w:val="P68B1DB1-Normal4"/>
        <w:spacing w:before="40" w:after="0" w:line="259" w:lineRule="auto"/>
        <w:jc w:val="both"/>
        <w:rPr>
          <w:rFonts w:eastAsiaTheme="minorEastAsia" w:cs="Times New Roman"/>
          <w:noProof/>
        </w:rPr>
      </w:pPr>
      <w:r>
        <w:rPr>
          <w:noProof/>
        </w:rPr>
        <w:t>A beruházás végrehajtását 2026. március 31-ig be kell fejezni.</w:t>
      </w:r>
    </w:p>
    <w:p w14:paraId="0CCAFF13" w14:textId="06C899D3" w:rsidR="00DC5EC6" w:rsidRDefault="00DC5EC6">
      <w:pPr>
        <w:spacing w:before="40" w:after="0" w:line="259" w:lineRule="auto"/>
        <w:jc w:val="both"/>
        <w:rPr>
          <w:rFonts w:ascii="Times New Roman" w:eastAsiaTheme="minorEastAsia" w:hAnsi="Times New Roman" w:cs="Times New Roman"/>
          <w:noProof/>
          <w:sz w:val="24"/>
        </w:rPr>
      </w:pPr>
    </w:p>
    <w:p w14:paraId="28A8ED10"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RE-C04–i02 beruházás: Kulturális örökség</w:t>
      </w:r>
    </w:p>
    <w:p w14:paraId="739B4265" w14:textId="3F51DE11" w:rsidR="00DC5EC6" w:rsidRDefault="003245A4">
      <w:pPr>
        <w:pStyle w:val="P68B1DB1-Normal4"/>
        <w:keepNext/>
        <w:widowControl w:val="0"/>
        <w:spacing w:before="120" w:after="120" w:line="259" w:lineRule="auto"/>
        <w:jc w:val="both"/>
        <w:rPr>
          <w:rFonts w:eastAsiaTheme="minorEastAsia" w:cs="Times New Roman"/>
          <w:noProof/>
        </w:rPr>
      </w:pPr>
      <w:r>
        <w:rPr>
          <w:noProof/>
        </w:rPr>
        <w:t>Ezen intézkedés célja a kulturális örökségnek minősülő kulturális létesítmények felújítása. Az egyik fő cél az, hogy ezeket a létesítményeket hozzáigazítsák az új környezetvédelmi normákhoz. Ez olyan intézkedéseket foglal magában, mint például az épületek primerenergia-fogyasztásának csökkentése, valamint az egyedülálló növény- és állatvilággal rendelkező történelmi zöld parkokba történő beavatkozás, amelyek a víz öntözési célú hatékony újrafelhasználása révén elősegítik az éghajlatváltozáshoz való alkalmazkodást és az éghajlatváltozás mérséklését.</w:t>
      </w:r>
    </w:p>
    <w:p w14:paraId="264F16C0" w14:textId="77777777" w:rsidR="00DC5EC6" w:rsidRDefault="003245A4">
      <w:pPr>
        <w:pStyle w:val="P68B1DB1-Normal4"/>
        <w:spacing w:before="120" w:after="120" w:line="259" w:lineRule="auto"/>
        <w:jc w:val="both"/>
        <w:rPr>
          <w:rFonts w:eastAsiaTheme="minorEastAsia" w:cs="Times New Roman"/>
          <w:noProof/>
        </w:rPr>
      </w:pPr>
      <w:r>
        <w:rPr>
          <w:noProof/>
        </w:rPr>
        <w:t xml:space="preserve">Ez a beruházás a következő beavatkozásokból áll: </w:t>
      </w:r>
    </w:p>
    <w:p w14:paraId="4328998B" w14:textId="77777777" w:rsidR="00DC5EC6" w:rsidRDefault="003245A4">
      <w:pPr>
        <w:pStyle w:val="P68B1DB1-Normal4"/>
        <w:keepNext/>
        <w:numPr>
          <w:ilvl w:val="0"/>
          <w:numId w:val="51"/>
        </w:numPr>
        <w:spacing w:before="120" w:after="120" w:line="259" w:lineRule="auto"/>
        <w:contextualSpacing/>
        <w:jc w:val="both"/>
        <w:rPr>
          <w:rFonts w:eastAsiaTheme="minorEastAsia" w:cs="Times New Roman"/>
          <w:noProof/>
        </w:rPr>
      </w:pPr>
      <w:r>
        <w:rPr>
          <w:noProof/>
        </w:rPr>
        <w:t>a hazai kisüzemi termelésre, a nyersanyagok azonosítására és feltérképezésére vonatkozó információk és dokumentáció adattárának létrehozása;</w:t>
      </w:r>
    </w:p>
    <w:p w14:paraId="07974284" w14:textId="77777777" w:rsidR="00DC5EC6" w:rsidRDefault="003245A4">
      <w:pPr>
        <w:pStyle w:val="P68B1DB1-Normal4"/>
        <w:keepNext/>
        <w:numPr>
          <w:ilvl w:val="0"/>
          <w:numId w:val="51"/>
        </w:numPr>
        <w:spacing w:before="120" w:after="120" w:line="259" w:lineRule="auto"/>
        <w:contextualSpacing/>
        <w:jc w:val="both"/>
        <w:rPr>
          <w:rFonts w:eastAsiaTheme="minorEastAsia" w:cs="Times New Roman"/>
          <w:noProof/>
        </w:rPr>
      </w:pPr>
      <w:r>
        <w:rPr>
          <w:noProof/>
        </w:rPr>
        <w:t>a „</w:t>
      </w:r>
      <w:r>
        <w:rPr>
          <w:i/>
          <w:noProof/>
        </w:rPr>
        <w:t>Saber Fazer</w:t>
      </w:r>
      <w:r>
        <w:rPr>
          <w:noProof/>
        </w:rPr>
        <w:t>” technológiai központ kezdeményezés laboratóriumainak és útvonalainak kialakítása (a kézműves technikák és szakmák védelme), beleértve a termékek forgalmazását is;</w:t>
      </w:r>
    </w:p>
    <w:p w14:paraId="50DF6D56" w14:textId="106A4F30" w:rsidR="00DC5EC6" w:rsidRDefault="003245A4">
      <w:pPr>
        <w:pStyle w:val="P68B1DB1-Normal4"/>
        <w:keepNext/>
        <w:numPr>
          <w:ilvl w:val="0"/>
          <w:numId w:val="51"/>
        </w:numPr>
        <w:spacing w:before="120" w:after="120" w:line="259" w:lineRule="auto"/>
        <w:contextualSpacing/>
        <w:jc w:val="both"/>
        <w:rPr>
          <w:rFonts w:eastAsiaTheme="minorEastAsia" w:cs="Times New Roman"/>
          <w:noProof/>
        </w:rPr>
      </w:pPr>
      <w:r>
        <w:rPr>
          <w:noProof/>
        </w:rPr>
        <w:t>tevékenységek létrehozása (a hagyományos technikákkal kapcsolatos pedagógiai és informatív);</w:t>
      </w:r>
    </w:p>
    <w:p w14:paraId="773D0F6E" w14:textId="596CA147" w:rsidR="00DC5EC6" w:rsidRDefault="003245A4">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múzeumok, műemlékek, állami paloták és nemzeti színházak munkáinak befejezése, felújítással és/vagy átminősítéssel;</w:t>
      </w:r>
    </w:p>
    <w:p w14:paraId="78989F13" w14:textId="56AD200E" w:rsidR="00DC5EC6" w:rsidRDefault="003245A4">
      <w:pPr>
        <w:pStyle w:val="P68B1DB1-Normal4"/>
        <w:keepNext/>
        <w:numPr>
          <w:ilvl w:val="0"/>
          <w:numId w:val="51"/>
        </w:numPr>
        <w:spacing w:before="120" w:after="0" w:line="259" w:lineRule="auto"/>
        <w:ind w:left="714" w:hanging="357"/>
        <w:contextualSpacing/>
        <w:jc w:val="both"/>
        <w:rPr>
          <w:rFonts w:eastAsiaTheme="minorEastAsia" w:cs="Times New Roman"/>
          <w:noProof/>
        </w:rPr>
      </w:pPr>
      <w:r>
        <w:rPr>
          <w:noProof/>
        </w:rPr>
        <w:t>a Sound Nemzeti Irattár épületének építése.</w:t>
      </w:r>
    </w:p>
    <w:p w14:paraId="07BCF263" w14:textId="5FACEEE5" w:rsidR="00DC5EC6" w:rsidRDefault="00DC5EC6">
      <w:pPr>
        <w:keepNext/>
        <w:spacing w:before="120" w:after="0" w:line="259" w:lineRule="auto"/>
        <w:contextualSpacing/>
        <w:jc w:val="both"/>
        <w:rPr>
          <w:rFonts w:ascii="Times New Roman" w:eastAsia="Times New Roman" w:hAnsi="Times New Roman" w:cs="Times New Roman"/>
          <w:noProof/>
          <w:sz w:val="24"/>
        </w:rPr>
      </w:pPr>
    </w:p>
    <w:p w14:paraId="406F9B64" w14:textId="7A3749EE" w:rsidR="00DC5EC6" w:rsidRDefault="003245A4">
      <w:pPr>
        <w:pStyle w:val="P68B1DB1-Normal4"/>
        <w:keepNext/>
        <w:spacing w:before="120" w:after="0" w:line="259" w:lineRule="auto"/>
        <w:contextualSpacing/>
        <w:jc w:val="both"/>
        <w:rPr>
          <w:rFonts w:eastAsiaTheme="minorEastAsia" w:cs="Times New Roman"/>
          <w:noProof/>
        </w:rPr>
      </w:pPr>
      <w:r>
        <w:rPr>
          <w:noProof/>
        </w:rPr>
        <w:t>A beruházás végrehajtását 2026. március 31-ig be kell fejezni.</w:t>
      </w:r>
    </w:p>
    <w:p w14:paraId="22EEA54D" w14:textId="77777777" w:rsidR="00DC5EC6" w:rsidRDefault="00DC5EC6">
      <w:pPr>
        <w:rPr>
          <w:rFonts w:ascii="Times New Roman" w:eastAsiaTheme="minorEastAsia" w:hAnsi="Times New Roman" w:cs="Times New Roman"/>
          <w:noProof/>
          <w:sz w:val="24"/>
        </w:rPr>
      </w:pPr>
    </w:p>
    <w:p w14:paraId="74F6E330" w14:textId="5CC31371" w:rsidR="00DC5EC6" w:rsidRDefault="003245A4">
      <w:pPr>
        <w:pStyle w:val="P68B1DB1-Normal4"/>
        <w:tabs>
          <w:tab w:val="left" w:pos="3527"/>
        </w:tabs>
        <w:rPr>
          <w:rFonts w:eastAsia="Times New Roman" w:cs="Times New Roman"/>
          <w:noProof/>
        </w:rPr>
      </w:pPr>
      <w:r>
        <w:rPr>
          <w:noProof/>
        </w:rPr>
        <w:tab/>
      </w:r>
    </w:p>
    <w:p w14:paraId="67590288" w14:textId="77777777" w:rsidR="00DC5EC6" w:rsidRDefault="00DC5EC6">
      <w:pPr>
        <w:rPr>
          <w:rFonts w:ascii="Times New Roman" w:eastAsia="Times New Roman" w:hAnsi="Times New Roman" w:cs="Times New Roman"/>
          <w:noProof/>
          <w:sz w:val="24"/>
        </w:rPr>
      </w:pPr>
    </w:p>
    <w:p w14:paraId="33277AD8" w14:textId="77777777" w:rsidR="00DC5EC6" w:rsidRDefault="00DC5EC6">
      <w:pPr>
        <w:rPr>
          <w:rFonts w:ascii="Times New Roman" w:eastAsiaTheme="minorEastAsia" w:hAnsi="Times New Roman" w:cs="Times New Roman"/>
          <w:noProof/>
          <w:sz w:val="24"/>
        </w:rPr>
        <w:sectPr w:rsidR="00DC5EC6" w:rsidSect="00E00EDD">
          <w:headerReference w:type="even" r:id="rId84"/>
          <w:headerReference w:type="default" r:id="rId85"/>
          <w:footerReference w:type="even" r:id="rId86"/>
          <w:footerReference w:type="default" r:id="rId87"/>
          <w:headerReference w:type="first" r:id="rId88"/>
          <w:footerReference w:type="first" r:id="rId89"/>
          <w:pgSz w:w="11907" w:h="16839"/>
          <w:pgMar w:top="1134" w:right="1134" w:bottom="1134" w:left="1134" w:header="567" w:footer="567" w:gutter="0"/>
          <w:cols w:space="720"/>
          <w:docGrid w:linePitch="360"/>
        </w:sectPr>
      </w:pPr>
    </w:p>
    <w:p w14:paraId="0CA086A4" w14:textId="77777777" w:rsidR="00DC5EC6" w:rsidRDefault="003245A4">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D.2. </w:t>
      </w:r>
      <w:r>
        <w:rPr>
          <w:noProof/>
        </w:rPr>
        <w:tab/>
      </w:r>
      <w:r>
        <w:rPr>
          <w:rFonts w:ascii="Times New Roman" w:hAnsi="Times New Roman"/>
          <w:b/>
          <w:noProof/>
          <w:sz w:val="24"/>
          <w:u w:val="single"/>
        </w:rPr>
        <w:t>Vissza nem térítendő pénzügyi támogatás – a végrehajtáshoz és a nyomon követéshez kapcsolódó mérföldkövek, célok, mutatók és ütemterv</w:t>
      </w:r>
    </w:p>
    <w:p w14:paraId="0559F0B6"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191"/>
        <w:gridCol w:w="1060"/>
        <w:gridCol w:w="1588"/>
        <w:gridCol w:w="1193"/>
        <w:gridCol w:w="930"/>
        <w:gridCol w:w="1225"/>
        <w:gridCol w:w="671"/>
        <w:gridCol w:w="539"/>
        <w:gridCol w:w="672"/>
        <w:gridCol w:w="3756"/>
      </w:tblGrid>
      <w:tr w:rsidR="00DC5EC6" w14:paraId="04D8F8F1" w14:textId="77777777">
        <w:trPr>
          <w:trHeight w:val="910"/>
          <w:tblHeader/>
        </w:trPr>
        <w:tc>
          <w:tcPr>
            <w:tcW w:w="1067" w:type="dxa"/>
            <w:vMerge w:val="restart"/>
            <w:shd w:val="clear" w:color="auto" w:fill="B4C6E7"/>
            <w:vAlign w:val="center"/>
            <w:hideMark/>
          </w:tcPr>
          <w:p w14:paraId="66743342"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91" w:type="dxa"/>
            <w:vMerge w:val="restart"/>
            <w:shd w:val="clear" w:color="auto" w:fill="B4C6E7"/>
            <w:vAlign w:val="center"/>
            <w:hideMark/>
          </w:tcPr>
          <w:p w14:paraId="12DF4D36" w14:textId="77777777" w:rsidR="00DC5EC6" w:rsidRDefault="003245A4">
            <w:pPr>
              <w:pStyle w:val="P68B1DB1-Normal16"/>
              <w:spacing w:after="0" w:line="240" w:lineRule="auto"/>
              <w:jc w:val="center"/>
              <w:rPr>
                <w:rFonts w:eastAsia="Times New Roman" w:cs="Times New Roman"/>
                <w:b/>
                <w:noProof/>
              </w:rPr>
            </w:pPr>
            <w:r>
              <w:rPr>
                <w:b/>
                <w:noProof/>
              </w:rPr>
              <w:t>Intézkedés (reform vagy beruházás)</w:t>
            </w:r>
            <w:r>
              <w:rPr>
                <w:noProof/>
              </w:rPr>
              <w:t> </w:t>
            </w:r>
          </w:p>
        </w:tc>
        <w:tc>
          <w:tcPr>
            <w:tcW w:w="1060" w:type="dxa"/>
            <w:vMerge w:val="restart"/>
            <w:shd w:val="clear" w:color="auto" w:fill="B4C6E7"/>
            <w:vAlign w:val="center"/>
            <w:hideMark/>
          </w:tcPr>
          <w:p w14:paraId="1BA1C91E" w14:textId="292277FC" w:rsidR="00DC5EC6" w:rsidRDefault="003245A4">
            <w:pPr>
              <w:pStyle w:val="P68B1DB1-Normal16"/>
              <w:spacing w:after="0" w:line="240" w:lineRule="auto"/>
              <w:jc w:val="center"/>
              <w:rPr>
                <w:rFonts w:eastAsia="Times New Roman" w:cs="Times New Roman"/>
                <w:b/>
                <w:noProof/>
              </w:rPr>
            </w:pPr>
            <w:r>
              <w:rPr>
                <w:b/>
                <w:noProof/>
              </w:rPr>
              <w:t>Mérföldkő/</w:t>
            </w:r>
            <w:r>
              <w:rPr>
                <w:noProof/>
              </w:rPr>
              <w:t xml:space="preserve"> </w:t>
            </w:r>
            <w:r>
              <w:rPr>
                <w:b/>
                <w:noProof/>
              </w:rPr>
              <w:t>Cél</w:t>
            </w:r>
          </w:p>
        </w:tc>
        <w:tc>
          <w:tcPr>
            <w:tcW w:w="1588" w:type="dxa"/>
            <w:vMerge w:val="restart"/>
            <w:shd w:val="clear" w:color="auto" w:fill="B4C6E7"/>
            <w:vAlign w:val="center"/>
            <w:hideMark/>
          </w:tcPr>
          <w:p w14:paraId="28AD35BA" w14:textId="77777777" w:rsidR="00DC5EC6" w:rsidRDefault="003245A4">
            <w:pPr>
              <w:pStyle w:val="P68B1DB1-Normal16"/>
              <w:spacing w:after="0" w:line="240" w:lineRule="auto"/>
              <w:jc w:val="center"/>
              <w:rPr>
                <w:rFonts w:eastAsia="Times New Roman" w:cs="Times New Roman"/>
                <w:b/>
                <w:noProof/>
              </w:rPr>
            </w:pPr>
            <w:r>
              <w:rPr>
                <w:b/>
                <w:noProof/>
              </w:rPr>
              <w:t>Név</w:t>
            </w:r>
            <w:r>
              <w:rPr>
                <w:noProof/>
              </w:rPr>
              <w:t> </w:t>
            </w:r>
          </w:p>
        </w:tc>
        <w:tc>
          <w:tcPr>
            <w:tcW w:w="1193" w:type="dxa"/>
            <w:vMerge w:val="restart"/>
            <w:shd w:val="clear" w:color="auto" w:fill="B4C6E7"/>
            <w:vAlign w:val="center"/>
            <w:hideMark/>
          </w:tcPr>
          <w:p w14:paraId="17F2F265" w14:textId="77777777" w:rsidR="00DC5EC6" w:rsidRDefault="003245A4">
            <w:pPr>
              <w:pStyle w:val="P68B1DB1-Normal16"/>
              <w:spacing w:after="0" w:line="240" w:lineRule="auto"/>
              <w:jc w:val="center"/>
              <w:rPr>
                <w:rFonts w:eastAsia="Times New Roman" w:cs="Times New Roman"/>
                <w:b/>
                <w:noProof/>
              </w:rPr>
            </w:pPr>
            <w:r>
              <w:rPr>
                <w:b/>
                <w:noProof/>
              </w:rPr>
              <w:t>Minőségi mutatók (a mérföldkövekhez)</w:t>
            </w:r>
            <w:r>
              <w:rPr>
                <w:noProof/>
              </w:rPr>
              <w:t> </w:t>
            </w:r>
          </w:p>
        </w:tc>
        <w:tc>
          <w:tcPr>
            <w:tcW w:w="2826" w:type="dxa"/>
            <w:gridSpan w:val="3"/>
            <w:shd w:val="clear" w:color="auto" w:fill="B4C6E7"/>
            <w:vAlign w:val="center"/>
            <w:hideMark/>
          </w:tcPr>
          <w:p w14:paraId="5E49CDA7" w14:textId="77777777" w:rsidR="00DC5EC6" w:rsidRDefault="003245A4">
            <w:pPr>
              <w:pStyle w:val="P68B1DB1-Normal16"/>
              <w:spacing w:after="0" w:line="240" w:lineRule="auto"/>
              <w:jc w:val="center"/>
              <w:rPr>
                <w:rFonts w:eastAsia="Times New Roman" w:cs="Times New Roman"/>
                <w:b/>
                <w:noProof/>
              </w:rPr>
            </w:pPr>
            <w:r>
              <w:rPr>
                <w:b/>
                <w:noProof/>
              </w:rPr>
              <w:t>Mennyiségi mutatók (a célokhoz)</w:t>
            </w:r>
            <w:r>
              <w:rPr>
                <w:noProof/>
              </w:rPr>
              <w:t> </w:t>
            </w:r>
          </w:p>
        </w:tc>
        <w:tc>
          <w:tcPr>
            <w:tcW w:w="1211" w:type="dxa"/>
            <w:gridSpan w:val="2"/>
            <w:shd w:val="clear" w:color="auto" w:fill="B4C6E7"/>
            <w:vAlign w:val="center"/>
            <w:hideMark/>
          </w:tcPr>
          <w:p w14:paraId="50636C03" w14:textId="77777777" w:rsidR="00DC5EC6" w:rsidRDefault="003245A4">
            <w:pPr>
              <w:pStyle w:val="P68B1DB1-Normal16"/>
              <w:spacing w:after="0" w:line="240" w:lineRule="auto"/>
              <w:jc w:val="center"/>
              <w:rPr>
                <w:rFonts w:eastAsia="Times New Roman" w:cs="Times New Roman"/>
                <w:b/>
                <w:noProof/>
              </w:rPr>
            </w:pPr>
            <w:r>
              <w:rPr>
                <w:b/>
                <w:noProof/>
              </w:rPr>
              <w:t>A végrehajtás indikatív ütemterve</w:t>
            </w:r>
            <w:r>
              <w:rPr>
                <w:noProof/>
              </w:rPr>
              <w:t> </w:t>
            </w:r>
          </w:p>
        </w:tc>
        <w:tc>
          <w:tcPr>
            <w:tcW w:w="3756" w:type="dxa"/>
            <w:vMerge w:val="restart"/>
            <w:shd w:val="clear" w:color="auto" w:fill="B4C6E7"/>
            <w:noWrap/>
            <w:vAlign w:val="center"/>
            <w:hideMark/>
          </w:tcPr>
          <w:p w14:paraId="1133A1F5" w14:textId="77777777" w:rsidR="00DC5EC6" w:rsidRDefault="003245A4">
            <w:pPr>
              <w:pStyle w:val="P68B1DB1-Normal16"/>
              <w:spacing w:after="0" w:line="240" w:lineRule="auto"/>
              <w:jc w:val="center"/>
              <w:rPr>
                <w:rFonts w:eastAsia="Times New Roman" w:cs="Times New Roman"/>
                <w:b/>
                <w:noProof/>
              </w:rPr>
            </w:pPr>
            <w:r>
              <w:rPr>
                <w:b/>
                <w:noProof/>
              </w:rPr>
              <w:t>Az egyes mérföldkövek és célok leírása és egyértelmű meghatározása</w:t>
            </w:r>
            <w:r>
              <w:rPr>
                <w:noProof/>
              </w:rPr>
              <w:t> </w:t>
            </w:r>
          </w:p>
        </w:tc>
      </w:tr>
      <w:tr w:rsidR="00DC5EC6" w14:paraId="52076021" w14:textId="77777777">
        <w:trPr>
          <w:trHeight w:val="470"/>
          <w:tblHeader/>
        </w:trPr>
        <w:tc>
          <w:tcPr>
            <w:tcW w:w="1067" w:type="dxa"/>
            <w:vMerge/>
            <w:vAlign w:val="center"/>
            <w:hideMark/>
          </w:tcPr>
          <w:p w14:paraId="12D2ED3A" w14:textId="77777777" w:rsidR="00DC5EC6" w:rsidRDefault="00DC5EC6">
            <w:pPr>
              <w:spacing w:after="0" w:line="240" w:lineRule="auto"/>
              <w:rPr>
                <w:rFonts w:ascii="Times New Roman" w:eastAsia="Times New Roman" w:hAnsi="Times New Roman" w:cs="Times New Roman"/>
                <w:b/>
                <w:noProof/>
                <w:sz w:val="18"/>
              </w:rPr>
            </w:pPr>
          </w:p>
        </w:tc>
        <w:tc>
          <w:tcPr>
            <w:tcW w:w="1191" w:type="dxa"/>
            <w:vMerge/>
            <w:vAlign w:val="center"/>
            <w:hideMark/>
          </w:tcPr>
          <w:p w14:paraId="40E37BF9" w14:textId="77777777" w:rsidR="00DC5EC6" w:rsidRDefault="00DC5EC6">
            <w:pPr>
              <w:spacing w:after="0" w:line="240" w:lineRule="auto"/>
              <w:rPr>
                <w:rFonts w:ascii="Times New Roman" w:eastAsia="Times New Roman" w:hAnsi="Times New Roman" w:cs="Times New Roman"/>
                <w:b/>
                <w:noProof/>
                <w:sz w:val="18"/>
              </w:rPr>
            </w:pPr>
          </w:p>
        </w:tc>
        <w:tc>
          <w:tcPr>
            <w:tcW w:w="1060" w:type="dxa"/>
            <w:vMerge/>
            <w:vAlign w:val="center"/>
            <w:hideMark/>
          </w:tcPr>
          <w:p w14:paraId="7217D83F" w14:textId="40991F61" w:rsidR="00DC5EC6" w:rsidRDefault="00DC5EC6">
            <w:pPr>
              <w:spacing w:after="0" w:line="240" w:lineRule="auto"/>
              <w:jc w:val="center"/>
              <w:rPr>
                <w:rFonts w:ascii="Times New Roman" w:eastAsia="Times New Roman" w:hAnsi="Times New Roman" w:cs="Times New Roman"/>
                <w:b/>
                <w:noProof/>
                <w:sz w:val="18"/>
              </w:rPr>
            </w:pPr>
          </w:p>
        </w:tc>
        <w:tc>
          <w:tcPr>
            <w:tcW w:w="1588" w:type="dxa"/>
            <w:vMerge/>
            <w:vAlign w:val="center"/>
            <w:hideMark/>
          </w:tcPr>
          <w:p w14:paraId="17CFCC18" w14:textId="77777777" w:rsidR="00DC5EC6" w:rsidRDefault="00DC5EC6">
            <w:pPr>
              <w:spacing w:after="0" w:line="240" w:lineRule="auto"/>
              <w:rPr>
                <w:rFonts w:ascii="Times New Roman" w:eastAsia="Times New Roman" w:hAnsi="Times New Roman" w:cs="Times New Roman"/>
                <w:b/>
                <w:noProof/>
                <w:sz w:val="18"/>
              </w:rPr>
            </w:pPr>
          </w:p>
        </w:tc>
        <w:tc>
          <w:tcPr>
            <w:tcW w:w="1193" w:type="dxa"/>
            <w:vMerge/>
            <w:vAlign w:val="center"/>
            <w:hideMark/>
          </w:tcPr>
          <w:p w14:paraId="19D57B14" w14:textId="77777777" w:rsidR="00DC5EC6" w:rsidRDefault="00DC5EC6">
            <w:pPr>
              <w:spacing w:after="0" w:line="240" w:lineRule="auto"/>
              <w:rPr>
                <w:rFonts w:ascii="Times New Roman" w:eastAsia="Times New Roman" w:hAnsi="Times New Roman" w:cs="Times New Roman"/>
                <w:b/>
                <w:noProof/>
                <w:sz w:val="18"/>
              </w:rPr>
            </w:pPr>
          </w:p>
        </w:tc>
        <w:tc>
          <w:tcPr>
            <w:tcW w:w="930" w:type="dxa"/>
            <w:shd w:val="clear" w:color="auto" w:fill="B4C6E7"/>
            <w:vAlign w:val="center"/>
            <w:hideMark/>
          </w:tcPr>
          <w:p w14:paraId="2DDF773F" w14:textId="77777777" w:rsidR="00DC5EC6" w:rsidRDefault="003245A4">
            <w:pPr>
              <w:pStyle w:val="P68B1DB1-Normal16"/>
              <w:spacing w:after="0" w:line="240" w:lineRule="auto"/>
              <w:jc w:val="center"/>
              <w:rPr>
                <w:rFonts w:eastAsia="Times New Roman" w:cs="Times New Roman"/>
                <w:b/>
                <w:noProof/>
              </w:rPr>
            </w:pPr>
            <w:r>
              <w:rPr>
                <w:b/>
                <w:noProof/>
              </w:rPr>
              <w:t>Mértékegység</w:t>
            </w:r>
            <w:r>
              <w:rPr>
                <w:noProof/>
              </w:rPr>
              <w:t> </w:t>
            </w:r>
          </w:p>
        </w:tc>
        <w:tc>
          <w:tcPr>
            <w:tcW w:w="1225" w:type="dxa"/>
            <w:shd w:val="clear" w:color="auto" w:fill="B4C6E7"/>
            <w:vAlign w:val="center"/>
            <w:hideMark/>
          </w:tcPr>
          <w:p w14:paraId="70EE8293" w14:textId="77777777" w:rsidR="00DC5EC6" w:rsidRDefault="003245A4">
            <w:pPr>
              <w:pStyle w:val="P68B1DB1-Normal16"/>
              <w:spacing w:after="0" w:line="240" w:lineRule="auto"/>
              <w:jc w:val="center"/>
              <w:rPr>
                <w:rFonts w:eastAsia="Times New Roman" w:cs="Times New Roman"/>
                <w:b/>
                <w:noProof/>
              </w:rPr>
            </w:pPr>
            <w:r>
              <w:rPr>
                <w:b/>
                <w:noProof/>
              </w:rPr>
              <w:t>Kiindulási</w:t>
            </w:r>
            <w:r>
              <w:rPr>
                <w:noProof/>
              </w:rPr>
              <w:t> </w:t>
            </w:r>
          </w:p>
        </w:tc>
        <w:tc>
          <w:tcPr>
            <w:tcW w:w="671" w:type="dxa"/>
            <w:shd w:val="clear" w:color="auto" w:fill="B4C6E7"/>
            <w:vAlign w:val="center"/>
            <w:hideMark/>
          </w:tcPr>
          <w:p w14:paraId="091447AD" w14:textId="77777777" w:rsidR="00DC5EC6" w:rsidRDefault="003245A4">
            <w:pPr>
              <w:pStyle w:val="P68B1DB1-Normal16"/>
              <w:spacing w:after="0" w:line="240" w:lineRule="auto"/>
              <w:jc w:val="center"/>
              <w:rPr>
                <w:rFonts w:eastAsia="Times New Roman" w:cs="Times New Roman"/>
                <w:b/>
                <w:noProof/>
              </w:rPr>
            </w:pPr>
            <w:r>
              <w:rPr>
                <w:b/>
                <w:noProof/>
              </w:rPr>
              <w:t>Cél</w:t>
            </w:r>
            <w:r>
              <w:rPr>
                <w:noProof/>
              </w:rPr>
              <w:t> </w:t>
            </w:r>
          </w:p>
        </w:tc>
        <w:tc>
          <w:tcPr>
            <w:tcW w:w="539" w:type="dxa"/>
            <w:shd w:val="clear" w:color="auto" w:fill="B4C6E7"/>
            <w:vAlign w:val="center"/>
            <w:hideMark/>
          </w:tcPr>
          <w:p w14:paraId="6A0E7E81" w14:textId="47474685" w:rsidR="00DC5EC6" w:rsidRDefault="00D14F07">
            <w:pPr>
              <w:pStyle w:val="P68B1DB1-Normal16"/>
              <w:spacing w:after="0" w:line="240" w:lineRule="auto"/>
              <w:jc w:val="center"/>
              <w:rPr>
                <w:rFonts w:eastAsia="Times New Roman" w:cs="Times New Roman"/>
                <w:b/>
                <w:noProof/>
              </w:rPr>
            </w:pPr>
            <w:r>
              <w:rPr>
                <w:b/>
                <w:noProof/>
              </w:rPr>
              <w:t>Negyedév</w:t>
            </w:r>
            <w:r>
              <w:rPr>
                <w:noProof/>
              </w:rPr>
              <w:t> </w:t>
            </w:r>
          </w:p>
        </w:tc>
        <w:tc>
          <w:tcPr>
            <w:tcW w:w="672" w:type="dxa"/>
            <w:shd w:val="clear" w:color="auto" w:fill="B4C6E7"/>
            <w:vAlign w:val="center"/>
            <w:hideMark/>
          </w:tcPr>
          <w:p w14:paraId="4917FFB7" w14:textId="226698AE" w:rsidR="00DC5EC6" w:rsidRDefault="003245A4">
            <w:pPr>
              <w:pStyle w:val="P68B1DB1-Normal16"/>
              <w:spacing w:after="0" w:line="240" w:lineRule="auto"/>
              <w:jc w:val="center"/>
              <w:rPr>
                <w:rFonts w:eastAsia="Times New Roman" w:cs="Times New Roman"/>
                <w:b/>
                <w:noProof/>
              </w:rPr>
            </w:pPr>
            <w:r>
              <w:rPr>
                <w:b/>
                <w:noProof/>
              </w:rPr>
              <w:t>Év</w:t>
            </w:r>
          </w:p>
        </w:tc>
        <w:tc>
          <w:tcPr>
            <w:tcW w:w="3756" w:type="dxa"/>
            <w:vMerge/>
            <w:vAlign w:val="center"/>
            <w:hideMark/>
          </w:tcPr>
          <w:p w14:paraId="38B9FC0D" w14:textId="77777777" w:rsidR="00DC5EC6" w:rsidRDefault="00DC5EC6">
            <w:pPr>
              <w:spacing w:after="0" w:line="240" w:lineRule="auto"/>
              <w:rPr>
                <w:rFonts w:ascii="Times New Roman" w:eastAsia="Times New Roman" w:hAnsi="Times New Roman" w:cs="Times New Roman"/>
                <w:b/>
                <w:noProof/>
                <w:sz w:val="18"/>
              </w:rPr>
            </w:pPr>
          </w:p>
        </w:tc>
      </w:tr>
      <w:tr w:rsidR="00DC5EC6" w14:paraId="69100ED4" w14:textId="77777777">
        <w:trPr>
          <w:trHeight w:val="1480"/>
        </w:trPr>
        <w:tc>
          <w:tcPr>
            <w:tcW w:w="1067" w:type="dxa"/>
            <w:shd w:val="clear" w:color="auto" w:fill="C5EFCE"/>
            <w:vAlign w:val="center"/>
            <w:hideMark/>
          </w:tcPr>
          <w:p w14:paraId="7FFFB0EB" w14:textId="77777777" w:rsidR="00DC5EC6" w:rsidRDefault="003245A4">
            <w:pPr>
              <w:pStyle w:val="P68B1DB1-Normal7"/>
              <w:spacing w:after="0" w:line="240" w:lineRule="auto"/>
              <w:jc w:val="center"/>
              <w:rPr>
                <w:rFonts w:eastAsia="Times New Roman" w:cs="Calibri"/>
                <w:noProof/>
              </w:rPr>
            </w:pPr>
            <w:r>
              <w:rPr>
                <w:noProof/>
              </w:rPr>
              <w:t>4.1</w:t>
            </w:r>
          </w:p>
        </w:tc>
        <w:tc>
          <w:tcPr>
            <w:tcW w:w="1191" w:type="dxa"/>
            <w:shd w:val="clear" w:color="auto" w:fill="C4EFCE"/>
            <w:vAlign w:val="center"/>
            <w:hideMark/>
          </w:tcPr>
          <w:p w14:paraId="0F332CE6"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94E1B0B" w14:textId="77777777" w:rsidR="00DC5EC6" w:rsidRDefault="003245A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04704446" w14:textId="77777777" w:rsidR="00DC5EC6" w:rsidRDefault="003245A4">
            <w:pPr>
              <w:pStyle w:val="P68B1DB1-Normal8"/>
              <w:spacing w:after="0" w:line="240" w:lineRule="auto"/>
              <w:jc w:val="center"/>
              <w:rPr>
                <w:rFonts w:eastAsia="Times New Roman" w:cs="Calibri"/>
                <w:noProof/>
              </w:rPr>
            </w:pPr>
            <w:r>
              <w:rPr>
                <w:noProof/>
              </w:rPr>
              <w:t>A kulturális létesítmények hálózatára vonatkozó műszaki előírások</w:t>
            </w:r>
          </w:p>
        </w:tc>
        <w:tc>
          <w:tcPr>
            <w:tcW w:w="1193" w:type="dxa"/>
            <w:shd w:val="clear" w:color="auto" w:fill="C4EFCE"/>
            <w:vAlign w:val="center"/>
            <w:hideMark/>
          </w:tcPr>
          <w:p w14:paraId="61F7EBA6" w14:textId="77777777" w:rsidR="00DC5EC6" w:rsidRDefault="003245A4">
            <w:pPr>
              <w:pStyle w:val="P68B1DB1-Normal8"/>
              <w:spacing w:after="0" w:line="240" w:lineRule="auto"/>
              <w:jc w:val="center"/>
              <w:rPr>
                <w:rFonts w:eastAsia="Times New Roman" w:cs="Calibri"/>
                <w:noProof/>
              </w:rPr>
            </w:pPr>
            <w:r>
              <w:rPr>
                <w:noProof/>
              </w:rPr>
              <w:t>Jelentés a kulturális létesítmények hálózatára vonatkozó műszaki előírásokról</w:t>
            </w:r>
          </w:p>
        </w:tc>
        <w:tc>
          <w:tcPr>
            <w:tcW w:w="930" w:type="dxa"/>
            <w:shd w:val="clear" w:color="auto" w:fill="C4EFCE"/>
            <w:vAlign w:val="center"/>
            <w:hideMark/>
          </w:tcPr>
          <w:p w14:paraId="7F181E4F" w14:textId="77777777" w:rsidR="00DC5EC6" w:rsidRDefault="003245A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B4FC930"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1EE62675"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E5E1F2E" w14:textId="16B4A864" w:rsidR="00DC5EC6" w:rsidRDefault="00D14F07">
            <w:pPr>
              <w:pStyle w:val="P68B1DB1-Normal8"/>
              <w:spacing w:after="0" w:line="240" w:lineRule="auto"/>
              <w:jc w:val="center"/>
              <w:rPr>
                <w:rFonts w:eastAsia="Times New Roman" w:cs="Calibri"/>
                <w:noProof/>
              </w:rPr>
            </w:pPr>
            <w:r>
              <w:rPr>
                <w:noProof/>
              </w:rPr>
              <w:t>2. NEGYEDÉV</w:t>
            </w:r>
          </w:p>
        </w:tc>
        <w:tc>
          <w:tcPr>
            <w:tcW w:w="672" w:type="dxa"/>
            <w:shd w:val="clear" w:color="auto" w:fill="C4EFCE"/>
            <w:vAlign w:val="center"/>
            <w:hideMark/>
          </w:tcPr>
          <w:p w14:paraId="7BDF2F41" w14:textId="77777777" w:rsidR="00DC5EC6" w:rsidRDefault="003245A4">
            <w:pPr>
              <w:pStyle w:val="P68B1DB1-Normal8"/>
              <w:spacing w:after="0" w:line="240" w:lineRule="auto"/>
              <w:jc w:val="center"/>
              <w:rPr>
                <w:rFonts w:eastAsia="Times New Roman" w:cs="Calibri"/>
                <w:noProof/>
              </w:rPr>
            </w:pPr>
            <w:r>
              <w:rPr>
                <w:noProof/>
              </w:rPr>
              <w:t>2022 </w:t>
            </w:r>
          </w:p>
        </w:tc>
        <w:tc>
          <w:tcPr>
            <w:tcW w:w="3756" w:type="dxa"/>
            <w:shd w:val="clear" w:color="auto" w:fill="C4EFCE"/>
            <w:noWrap/>
            <w:vAlign w:val="center"/>
            <w:hideMark/>
          </w:tcPr>
          <w:p w14:paraId="3C24C115" w14:textId="77777777" w:rsidR="00DC5EC6" w:rsidRDefault="003245A4">
            <w:pPr>
              <w:pStyle w:val="P68B1DB1-Normal8"/>
              <w:spacing w:after="0" w:line="240" w:lineRule="auto"/>
              <w:jc w:val="both"/>
              <w:rPr>
                <w:rFonts w:eastAsia="Times New Roman" w:cs="Calibri"/>
                <w:noProof/>
              </w:rPr>
            </w:pPr>
            <w:r>
              <w:rPr>
                <w:noProof/>
              </w:rPr>
              <w:t>A kulturális létesítmények hálózatára vonatkozó műszaki előírások részletes meghatározása </w:t>
            </w:r>
          </w:p>
        </w:tc>
      </w:tr>
      <w:tr w:rsidR="00DC5EC6" w14:paraId="6A18F214" w14:textId="77777777">
        <w:trPr>
          <w:trHeight w:val="1060"/>
        </w:trPr>
        <w:tc>
          <w:tcPr>
            <w:tcW w:w="1067" w:type="dxa"/>
            <w:shd w:val="clear" w:color="auto" w:fill="C5EFCE"/>
            <w:vAlign w:val="center"/>
            <w:hideMark/>
          </w:tcPr>
          <w:p w14:paraId="2815D0CE" w14:textId="77777777" w:rsidR="00DC5EC6" w:rsidRDefault="003245A4">
            <w:pPr>
              <w:pStyle w:val="P68B1DB1-Normal7"/>
              <w:spacing w:after="0" w:line="240" w:lineRule="auto"/>
              <w:jc w:val="center"/>
              <w:rPr>
                <w:rFonts w:eastAsia="Times New Roman" w:cs="Calibri"/>
                <w:noProof/>
              </w:rPr>
            </w:pPr>
            <w:r>
              <w:rPr>
                <w:noProof/>
              </w:rPr>
              <w:t>4.2</w:t>
            </w:r>
          </w:p>
        </w:tc>
        <w:tc>
          <w:tcPr>
            <w:tcW w:w="1191" w:type="dxa"/>
            <w:shd w:val="clear" w:color="auto" w:fill="C4EFCE"/>
            <w:vAlign w:val="center"/>
            <w:hideMark/>
          </w:tcPr>
          <w:p w14:paraId="67F836FD"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3862850B" w14:textId="77777777" w:rsidR="00DC5EC6" w:rsidRDefault="003245A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3696B783" w14:textId="77777777" w:rsidR="00DC5EC6" w:rsidRDefault="003245A4">
            <w:pPr>
              <w:pStyle w:val="P68B1DB1-Normal8"/>
              <w:spacing w:after="0" w:line="240" w:lineRule="auto"/>
              <w:jc w:val="center"/>
              <w:rPr>
                <w:rFonts w:eastAsia="Times New Roman" w:cs="Calibri"/>
                <w:noProof/>
              </w:rPr>
            </w:pPr>
            <w:r>
              <w:rPr>
                <w:noProof/>
              </w:rPr>
              <w:t>Pénzügyi támogatás a könyvesboltok digitális átállásához</w:t>
            </w:r>
          </w:p>
        </w:tc>
        <w:tc>
          <w:tcPr>
            <w:tcW w:w="1193" w:type="dxa"/>
            <w:shd w:val="clear" w:color="auto" w:fill="C4EFCE"/>
            <w:vAlign w:val="center"/>
            <w:hideMark/>
          </w:tcPr>
          <w:p w14:paraId="4F0ADF20" w14:textId="77777777" w:rsidR="00DC5EC6" w:rsidRDefault="003245A4">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6F1EB3DA"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07E69B40" w14:textId="77777777" w:rsidR="00DC5EC6" w:rsidRDefault="003245A4">
            <w:pPr>
              <w:pStyle w:val="P68B1DB1-Normal8"/>
              <w:spacing w:after="0" w:line="240" w:lineRule="auto"/>
              <w:jc w:val="center"/>
              <w:rPr>
                <w:rFonts w:eastAsia="Times New Roman" w:cs="Calibri"/>
                <w:noProof/>
              </w:rPr>
            </w:pPr>
            <w:r>
              <w:rPr>
                <w:noProof/>
              </w:rPr>
              <w:t>0 </w:t>
            </w:r>
          </w:p>
        </w:tc>
        <w:tc>
          <w:tcPr>
            <w:tcW w:w="671" w:type="dxa"/>
            <w:shd w:val="clear" w:color="auto" w:fill="C4EFCE"/>
            <w:vAlign w:val="center"/>
            <w:hideMark/>
          </w:tcPr>
          <w:p w14:paraId="34DE8CD7" w14:textId="77777777" w:rsidR="00DC5EC6" w:rsidRDefault="003245A4">
            <w:pPr>
              <w:pStyle w:val="P68B1DB1-Normal8"/>
              <w:spacing w:after="0" w:line="240" w:lineRule="auto"/>
              <w:jc w:val="center"/>
              <w:rPr>
                <w:rFonts w:eastAsia="Times New Roman" w:cs="Calibri"/>
                <w:noProof/>
              </w:rPr>
            </w:pPr>
            <w:r>
              <w:rPr>
                <w:noProof/>
              </w:rPr>
              <w:t>200 </w:t>
            </w:r>
          </w:p>
        </w:tc>
        <w:tc>
          <w:tcPr>
            <w:tcW w:w="539" w:type="dxa"/>
            <w:shd w:val="clear" w:color="auto" w:fill="C4EFCE"/>
            <w:vAlign w:val="center"/>
            <w:hideMark/>
          </w:tcPr>
          <w:p w14:paraId="58CDDC7C" w14:textId="1F1F7878"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6C906CB7" w14:textId="77777777" w:rsidR="00DC5EC6" w:rsidRDefault="003245A4">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7BA7A95B" w14:textId="5C3C166A" w:rsidR="00DC5EC6" w:rsidRDefault="003245A4">
            <w:pPr>
              <w:pStyle w:val="P68B1DB1-Normal8"/>
              <w:spacing w:after="0" w:line="240" w:lineRule="auto"/>
              <w:jc w:val="both"/>
              <w:rPr>
                <w:rFonts w:eastAsia="Times New Roman" w:cs="Calibri"/>
                <w:noProof/>
              </w:rPr>
            </w:pPr>
            <w:r>
              <w:rPr>
                <w:noProof/>
              </w:rPr>
              <w:t>A könyvesboltok száma pénzügyi támogatásban részesült a könyvesboltok digitális átállásához, a könyvesboltonkénti technológiai berendezésekből és szolgáltatásokból álló kosár (pl. könyvek, wifi- és VPN-hálózatok, könyvesbolt weboldala, integrált számviteli rendszer stb.) költségeinek 60%-át támogatva</w:t>
            </w:r>
          </w:p>
        </w:tc>
      </w:tr>
      <w:tr w:rsidR="00DC5EC6" w14:paraId="26C8893F" w14:textId="77777777">
        <w:trPr>
          <w:trHeight w:val="290"/>
        </w:trPr>
        <w:tc>
          <w:tcPr>
            <w:tcW w:w="1067" w:type="dxa"/>
            <w:shd w:val="clear" w:color="auto" w:fill="C5EFCE"/>
            <w:vAlign w:val="center"/>
            <w:hideMark/>
          </w:tcPr>
          <w:p w14:paraId="5A0BEA5E" w14:textId="77777777" w:rsidR="00DC5EC6" w:rsidRDefault="003245A4">
            <w:pPr>
              <w:pStyle w:val="P68B1DB1-Normal7"/>
              <w:spacing w:after="0" w:line="240" w:lineRule="auto"/>
              <w:jc w:val="center"/>
              <w:rPr>
                <w:rFonts w:eastAsia="Times New Roman" w:cs="Calibri"/>
                <w:noProof/>
              </w:rPr>
            </w:pPr>
            <w:r>
              <w:rPr>
                <w:noProof/>
              </w:rPr>
              <w:t>4.3</w:t>
            </w:r>
          </w:p>
        </w:tc>
        <w:tc>
          <w:tcPr>
            <w:tcW w:w="1191" w:type="dxa"/>
            <w:shd w:val="clear" w:color="auto" w:fill="C4EFCE"/>
            <w:vAlign w:val="center"/>
            <w:hideMark/>
          </w:tcPr>
          <w:p w14:paraId="162AF0B7"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08616AC9" w14:textId="77777777" w:rsidR="00DC5EC6" w:rsidRDefault="003245A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1C4A4D61" w14:textId="77777777" w:rsidR="00DC5EC6" w:rsidRDefault="003245A4">
            <w:pPr>
              <w:pStyle w:val="P68B1DB1-Normal8"/>
              <w:spacing w:after="0" w:line="240" w:lineRule="auto"/>
              <w:jc w:val="center"/>
              <w:rPr>
                <w:rFonts w:eastAsia="Times New Roman" w:cs="Calibri"/>
                <w:noProof/>
              </w:rPr>
            </w:pPr>
            <w:r>
              <w:rPr>
                <w:noProof/>
              </w:rPr>
              <w:t xml:space="preserve">A közgyűjtemények digitalizálása és virtualizációja </w:t>
            </w:r>
          </w:p>
        </w:tc>
        <w:tc>
          <w:tcPr>
            <w:tcW w:w="1193" w:type="dxa"/>
            <w:shd w:val="clear" w:color="auto" w:fill="C4EFCE"/>
            <w:vAlign w:val="center"/>
            <w:hideMark/>
          </w:tcPr>
          <w:p w14:paraId="69874A18" w14:textId="77777777" w:rsidR="00DC5EC6" w:rsidRDefault="003245A4">
            <w:pPr>
              <w:pStyle w:val="P68B1DB1-Normal8"/>
              <w:spacing w:after="0" w:line="240" w:lineRule="auto"/>
              <w:jc w:val="center"/>
              <w:rPr>
                <w:rFonts w:eastAsia="Times New Roman" w:cs="Calibri"/>
                <w:noProof/>
              </w:rPr>
            </w:pPr>
            <w:r>
              <w:rPr>
                <w:noProof/>
              </w:rPr>
              <w:t>A közgyűjtemények digitalizálása és virtualizációja</w:t>
            </w:r>
          </w:p>
        </w:tc>
        <w:tc>
          <w:tcPr>
            <w:tcW w:w="930" w:type="dxa"/>
            <w:shd w:val="clear" w:color="auto" w:fill="C4EFCE"/>
            <w:vAlign w:val="center"/>
            <w:hideMark/>
          </w:tcPr>
          <w:p w14:paraId="06325BFB" w14:textId="77777777" w:rsidR="00DC5EC6" w:rsidRDefault="003245A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54FF56D1"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62B27753"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73989E77" w14:textId="3A523FEB"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410429FA" w14:textId="77777777" w:rsidR="00DC5EC6" w:rsidRDefault="003245A4">
            <w:pPr>
              <w:pStyle w:val="P68B1DB1-Normal8"/>
              <w:spacing w:after="0" w:line="240" w:lineRule="auto"/>
              <w:jc w:val="center"/>
              <w:rPr>
                <w:rFonts w:eastAsia="Times New Roman" w:cs="Calibri"/>
                <w:noProof/>
              </w:rPr>
            </w:pPr>
            <w:r>
              <w:rPr>
                <w:noProof/>
              </w:rPr>
              <w:t>2025 </w:t>
            </w:r>
          </w:p>
        </w:tc>
        <w:tc>
          <w:tcPr>
            <w:tcW w:w="3756" w:type="dxa"/>
            <w:shd w:val="clear" w:color="auto" w:fill="C4EFCE"/>
            <w:noWrap/>
            <w:vAlign w:val="center"/>
            <w:hideMark/>
          </w:tcPr>
          <w:p w14:paraId="61F98F7A" w14:textId="77777777" w:rsidR="00DC5EC6" w:rsidRDefault="003245A4">
            <w:pPr>
              <w:pStyle w:val="P68B1DB1-Normal8"/>
              <w:spacing w:after="0" w:line="240" w:lineRule="auto"/>
              <w:jc w:val="both"/>
              <w:rPr>
                <w:rFonts w:eastAsia="Times New Roman" w:cs="Calibri"/>
                <w:noProof/>
              </w:rPr>
            </w:pPr>
            <w:r>
              <w:rPr>
                <w:noProof/>
              </w:rPr>
              <w:t>Az alábbi gyűjtemények digitalizálása és virtualizációja</w:t>
            </w:r>
            <w:bookmarkStart w:id="7" w:name="_Int_JLJ2Ng8K"/>
            <w:r>
              <w:rPr>
                <w:noProof/>
              </w:rPr>
              <w:t>:</w:t>
            </w:r>
            <w:bookmarkEnd w:id="7"/>
            <w:r>
              <w:rPr>
                <w:noProof/>
              </w:rPr>
              <w:t xml:space="preserve"> könyvek, Irattárok és Könyvtárok Főigazgatósága; </w:t>
            </w:r>
          </w:p>
          <w:p w14:paraId="4D6FD7CE" w14:textId="77777777" w:rsidR="00DC5EC6" w:rsidRDefault="003245A4">
            <w:pPr>
              <w:pStyle w:val="P68B1DB1-Normal8"/>
              <w:spacing w:after="0" w:line="240" w:lineRule="auto"/>
              <w:jc w:val="both"/>
              <w:rPr>
                <w:rFonts w:eastAsia="Times New Roman" w:cs="Calibri"/>
                <w:noProof/>
              </w:rPr>
            </w:pPr>
            <w:r>
              <w:rPr>
                <w:noProof/>
              </w:rPr>
              <w:t xml:space="preserve">a Portugál Nemzeti Könyvtár, </w:t>
            </w:r>
          </w:p>
          <w:p w14:paraId="04887855" w14:textId="77777777" w:rsidR="00DC5EC6" w:rsidRDefault="003245A4">
            <w:pPr>
              <w:pStyle w:val="P68B1DB1-Normal8"/>
              <w:spacing w:after="0" w:line="240" w:lineRule="auto"/>
              <w:jc w:val="both"/>
              <w:rPr>
                <w:rFonts w:eastAsia="Times New Roman" w:cs="Calibri"/>
                <w:noProof/>
              </w:rPr>
            </w:pPr>
            <w:r>
              <w:rPr>
                <w:noProof/>
              </w:rPr>
              <w:t>az Évorai Nyilvános Könyvtár, </w:t>
            </w:r>
          </w:p>
          <w:p w14:paraId="125C26EB" w14:textId="77777777" w:rsidR="00DC5EC6" w:rsidRDefault="003245A4">
            <w:pPr>
              <w:pStyle w:val="P68B1DB1-Normal8"/>
              <w:spacing w:after="0" w:line="240" w:lineRule="auto"/>
              <w:jc w:val="both"/>
              <w:rPr>
                <w:rFonts w:eastAsia="Times New Roman" w:cs="Calibri"/>
                <w:noProof/>
              </w:rPr>
            </w:pPr>
            <w:r>
              <w:rPr>
                <w:noProof/>
              </w:rPr>
              <w:t>a Cinemateca és a Múzeumok (a DGPC és a regionális kulturális igazgatóságok irányítása alatt)</w:t>
            </w:r>
          </w:p>
          <w:p w14:paraId="4C43F75A" w14:textId="77777777" w:rsidR="00DC5EC6" w:rsidRDefault="003245A4">
            <w:pPr>
              <w:pStyle w:val="P68B1DB1-Normal8"/>
              <w:spacing w:after="0" w:line="240" w:lineRule="auto"/>
              <w:jc w:val="both"/>
              <w:rPr>
                <w:rFonts w:eastAsia="Times New Roman" w:cs="Calibri"/>
                <w:noProof/>
              </w:rPr>
            </w:pPr>
            <w:r>
              <w:rPr>
                <w:noProof/>
              </w:rPr>
              <w:t xml:space="preserve">Közkönyvtárak (20000000 kép) </w:t>
            </w:r>
          </w:p>
          <w:p w14:paraId="3A6A5CC5" w14:textId="77777777" w:rsidR="00DC5EC6" w:rsidRDefault="003245A4">
            <w:pPr>
              <w:pStyle w:val="P68B1DB1-Normal8"/>
              <w:spacing w:after="0" w:line="240" w:lineRule="auto"/>
              <w:jc w:val="both"/>
              <w:rPr>
                <w:rFonts w:eastAsia="Times New Roman" w:cs="Calibri"/>
                <w:noProof/>
              </w:rPr>
            </w:pPr>
            <w:r>
              <w:rPr>
                <w:noProof/>
              </w:rPr>
              <w:t xml:space="preserve">Nemzeti levéltárak (19500000 dokumentum) </w:t>
            </w:r>
          </w:p>
          <w:p w14:paraId="0C26521C" w14:textId="0DC785F2" w:rsidR="00DC5EC6" w:rsidRDefault="003245A4">
            <w:pPr>
              <w:pStyle w:val="P68B1DB1-Normal8"/>
              <w:spacing w:after="0" w:line="240" w:lineRule="auto"/>
              <w:jc w:val="both"/>
              <w:rPr>
                <w:rFonts w:eastAsia="Times New Roman" w:cs="Calibri"/>
                <w:noProof/>
              </w:rPr>
            </w:pPr>
            <w:r>
              <w:rPr>
                <w:noProof/>
              </w:rPr>
              <w:t>Nyilvános múzeumok (59500 nyilvántartás)</w:t>
            </w:r>
          </w:p>
          <w:p w14:paraId="5E5FA37C" w14:textId="77777777" w:rsidR="00DC5EC6" w:rsidRDefault="003245A4">
            <w:pPr>
              <w:pStyle w:val="P68B1DB1-Normal8"/>
              <w:spacing w:after="0" w:line="240" w:lineRule="auto"/>
              <w:jc w:val="both"/>
              <w:rPr>
                <w:rFonts w:eastAsia="Times New Roman" w:cs="Calibri"/>
                <w:noProof/>
              </w:rPr>
            </w:pPr>
            <w:r>
              <w:rPr>
                <w:noProof/>
              </w:rPr>
              <w:t>Virtuális látogatások múzeumokba (65 múzeumba)</w:t>
            </w:r>
          </w:p>
          <w:p w14:paraId="4A3AECA6" w14:textId="503848A9" w:rsidR="00DC5EC6" w:rsidRDefault="003245A4">
            <w:pPr>
              <w:pStyle w:val="P68B1DB1-Normal8"/>
              <w:spacing w:after="0" w:line="240" w:lineRule="auto"/>
              <w:jc w:val="both"/>
              <w:rPr>
                <w:rFonts w:eastAsia="Times New Roman" w:cs="Calibri"/>
                <w:noProof/>
              </w:rPr>
            </w:pPr>
            <w:r>
              <w:rPr>
                <w:noProof/>
              </w:rPr>
              <w:t>Cinematheque (1000 film)</w:t>
            </w:r>
          </w:p>
          <w:p w14:paraId="57CB2147" w14:textId="0C2B23D7" w:rsidR="00DC5EC6" w:rsidRDefault="003245A4">
            <w:pPr>
              <w:pStyle w:val="P68B1DB1-Normal8"/>
              <w:spacing w:after="0" w:line="240" w:lineRule="auto"/>
              <w:jc w:val="both"/>
              <w:rPr>
                <w:rFonts w:eastAsia="Times New Roman" w:cs="Calibri"/>
                <w:noProof/>
              </w:rPr>
            </w:pPr>
            <w:r>
              <w:rPr>
                <w:noProof/>
              </w:rPr>
              <w:t>Történelmi média- és televíziós műsorszolgáltatók archívumai (digitalizálva és a nyilvánosság számára hozzáférhetővé téve, 45000 óra videokazetta-tartalom)</w:t>
            </w:r>
          </w:p>
        </w:tc>
      </w:tr>
      <w:tr w:rsidR="00DC5EC6" w14:paraId="0744F11D" w14:textId="77777777">
        <w:trPr>
          <w:trHeight w:val="1690"/>
        </w:trPr>
        <w:tc>
          <w:tcPr>
            <w:tcW w:w="1067" w:type="dxa"/>
            <w:shd w:val="clear" w:color="auto" w:fill="C5EFCE"/>
            <w:vAlign w:val="center"/>
            <w:hideMark/>
          </w:tcPr>
          <w:p w14:paraId="01436334" w14:textId="77777777" w:rsidR="00DC5EC6" w:rsidRDefault="003245A4">
            <w:pPr>
              <w:pStyle w:val="P68B1DB1-Normal7"/>
              <w:spacing w:after="0" w:line="240" w:lineRule="auto"/>
              <w:jc w:val="center"/>
              <w:rPr>
                <w:rFonts w:eastAsia="Times New Roman" w:cs="Calibri"/>
                <w:noProof/>
              </w:rPr>
            </w:pPr>
            <w:r>
              <w:rPr>
                <w:noProof/>
              </w:rPr>
              <w:t>4.4</w:t>
            </w:r>
          </w:p>
        </w:tc>
        <w:tc>
          <w:tcPr>
            <w:tcW w:w="1191" w:type="dxa"/>
            <w:shd w:val="clear" w:color="auto" w:fill="C4EFCE"/>
            <w:vAlign w:val="center"/>
            <w:hideMark/>
          </w:tcPr>
          <w:p w14:paraId="1141670F"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151B6187" w14:textId="77777777" w:rsidR="00DC5EC6" w:rsidRDefault="003245A4">
            <w:pPr>
              <w:pStyle w:val="P68B1DB1-Normal8"/>
              <w:spacing w:after="0" w:line="240" w:lineRule="auto"/>
              <w:jc w:val="center"/>
              <w:rPr>
                <w:rFonts w:eastAsia="Times New Roman" w:cs="Calibri"/>
                <w:noProof/>
              </w:rPr>
            </w:pPr>
            <w:r>
              <w:rPr>
                <w:noProof/>
              </w:rPr>
              <w:t>M</w:t>
            </w:r>
          </w:p>
        </w:tc>
        <w:tc>
          <w:tcPr>
            <w:tcW w:w="1588" w:type="dxa"/>
            <w:shd w:val="clear" w:color="auto" w:fill="C4EFCE"/>
            <w:vAlign w:val="center"/>
            <w:hideMark/>
          </w:tcPr>
          <w:p w14:paraId="56792410" w14:textId="77777777" w:rsidR="00DC5EC6" w:rsidRDefault="003245A4">
            <w:pPr>
              <w:pStyle w:val="P68B1DB1-Normal8"/>
              <w:spacing w:after="0" w:line="240" w:lineRule="auto"/>
              <w:jc w:val="center"/>
              <w:rPr>
                <w:rFonts w:eastAsia="Times New Roman" w:cs="Calibri"/>
                <w:noProof/>
              </w:rPr>
            </w:pPr>
            <w:r>
              <w:rPr>
                <w:noProof/>
              </w:rPr>
              <w:t>Korszerűsített technológiai infrastruktúra biztosítása a kulturális létesítmények hálózata számára </w:t>
            </w:r>
          </w:p>
        </w:tc>
        <w:tc>
          <w:tcPr>
            <w:tcW w:w="1193" w:type="dxa"/>
            <w:shd w:val="clear" w:color="auto" w:fill="C4EFCE"/>
            <w:vAlign w:val="center"/>
            <w:hideMark/>
          </w:tcPr>
          <w:p w14:paraId="00695BDC" w14:textId="77777777" w:rsidR="00DC5EC6" w:rsidRDefault="003245A4">
            <w:pPr>
              <w:pStyle w:val="P68B1DB1-Normal8"/>
              <w:spacing w:after="0" w:line="240" w:lineRule="auto"/>
              <w:jc w:val="center"/>
              <w:rPr>
                <w:rFonts w:eastAsia="Times New Roman" w:cs="Calibri"/>
                <w:noProof/>
              </w:rPr>
            </w:pPr>
            <w:r>
              <w:rPr>
                <w:noProof/>
              </w:rPr>
              <w:t>Korszerűsített technológiai infrastruktúra biztosítása a kulturális létesítmények számára</w:t>
            </w:r>
          </w:p>
        </w:tc>
        <w:tc>
          <w:tcPr>
            <w:tcW w:w="930" w:type="dxa"/>
            <w:shd w:val="clear" w:color="auto" w:fill="C4EFCE"/>
            <w:vAlign w:val="center"/>
            <w:hideMark/>
          </w:tcPr>
          <w:p w14:paraId="64F5C137" w14:textId="77777777" w:rsidR="00DC5EC6" w:rsidRDefault="003245A4">
            <w:pPr>
              <w:pStyle w:val="P68B1DB1-Normal9"/>
              <w:spacing w:after="0" w:line="240" w:lineRule="auto"/>
              <w:rPr>
                <w:rFonts w:eastAsia="Times New Roman" w:cs="Calibri"/>
                <w:noProof/>
              </w:rPr>
            </w:pPr>
            <w:r>
              <w:rPr>
                <w:noProof/>
              </w:rPr>
              <w:t> </w:t>
            </w:r>
          </w:p>
        </w:tc>
        <w:tc>
          <w:tcPr>
            <w:tcW w:w="1225" w:type="dxa"/>
            <w:shd w:val="clear" w:color="auto" w:fill="C4EFCE"/>
            <w:vAlign w:val="center"/>
            <w:hideMark/>
          </w:tcPr>
          <w:p w14:paraId="430240F6"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4882E765"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60F3F936" w14:textId="1ED1D3B3" w:rsidR="00DC5EC6" w:rsidRDefault="00D14F07">
            <w:pPr>
              <w:pStyle w:val="P68B1DB1-Normal8"/>
              <w:spacing w:after="0" w:line="240" w:lineRule="auto"/>
              <w:jc w:val="center"/>
              <w:rPr>
                <w:rFonts w:eastAsia="Times New Roman" w:cs="Calibri"/>
                <w:noProof/>
              </w:rPr>
            </w:pPr>
            <w:r>
              <w:rPr>
                <w:noProof/>
              </w:rPr>
              <w:t>1.NEGYEDÉV </w:t>
            </w:r>
          </w:p>
        </w:tc>
        <w:tc>
          <w:tcPr>
            <w:tcW w:w="672" w:type="dxa"/>
            <w:shd w:val="clear" w:color="auto" w:fill="C4EFCE"/>
            <w:vAlign w:val="center"/>
            <w:hideMark/>
          </w:tcPr>
          <w:p w14:paraId="0AAC7F90" w14:textId="71E4A3EF" w:rsidR="00DC5EC6" w:rsidRDefault="003245A4">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16A65CDB" w14:textId="5B3C9491" w:rsidR="00DC5EC6" w:rsidRDefault="003245A4">
            <w:pPr>
              <w:pStyle w:val="P68B1DB1-Normal8"/>
              <w:spacing w:after="0" w:line="240" w:lineRule="auto"/>
              <w:jc w:val="both"/>
              <w:rPr>
                <w:rFonts w:eastAsia="Times New Roman" w:cs="Calibri"/>
                <w:noProof/>
              </w:rPr>
            </w:pPr>
            <w:r>
              <w:rPr>
                <w:noProof/>
              </w:rPr>
              <w:t>Számítógépes berendezések, valamint integrált információs és katalógusrendszerek szállítása 239 közkönyvtárak számára; 50 múzeum, palota és műemlék wifi-lefedettsége; video- és filmvetítő berendezések beszerzése 155 cineszínház és kortárs nyilvános művészeti központ számára.</w:t>
            </w:r>
          </w:p>
        </w:tc>
      </w:tr>
      <w:tr w:rsidR="00DC5EC6" w14:paraId="20E65D52" w14:textId="77777777">
        <w:trPr>
          <w:trHeight w:val="1124"/>
        </w:trPr>
        <w:tc>
          <w:tcPr>
            <w:tcW w:w="1067" w:type="dxa"/>
            <w:shd w:val="clear" w:color="auto" w:fill="C5EFCE"/>
            <w:vAlign w:val="center"/>
            <w:hideMark/>
          </w:tcPr>
          <w:p w14:paraId="7AE297CF" w14:textId="77777777" w:rsidR="00DC5EC6" w:rsidRDefault="003245A4">
            <w:pPr>
              <w:pStyle w:val="P68B1DB1-Normal7"/>
              <w:spacing w:after="0" w:line="240" w:lineRule="auto"/>
              <w:jc w:val="center"/>
              <w:rPr>
                <w:rFonts w:eastAsia="Times New Roman" w:cs="Calibri"/>
                <w:noProof/>
              </w:rPr>
            </w:pPr>
            <w:r>
              <w:rPr>
                <w:noProof/>
              </w:rPr>
              <w:t>4.5</w:t>
            </w:r>
          </w:p>
        </w:tc>
        <w:tc>
          <w:tcPr>
            <w:tcW w:w="1191" w:type="dxa"/>
            <w:shd w:val="clear" w:color="auto" w:fill="C4EFCE"/>
            <w:vAlign w:val="center"/>
            <w:hideMark/>
          </w:tcPr>
          <w:p w14:paraId="61E6DBD4" w14:textId="77777777" w:rsidR="00DC5EC6" w:rsidRDefault="003245A4">
            <w:pPr>
              <w:pStyle w:val="P68B1DB1-Normal8"/>
              <w:spacing w:after="0" w:line="240" w:lineRule="auto"/>
              <w:jc w:val="center"/>
              <w:rPr>
                <w:rFonts w:eastAsia="Times New Roman" w:cs="Calibri"/>
                <w:noProof/>
              </w:rPr>
            </w:pPr>
            <w:r>
              <w:rPr>
                <w:noProof/>
              </w:rPr>
              <w:t>Re-C04-i01 </w:t>
            </w:r>
          </w:p>
        </w:tc>
        <w:tc>
          <w:tcPr>
            <w:tcW w:w="1060" w:type="dxa"/>
            <w:shd w:val="clear" w:color="auto" w:fill="C4EFCE"/>
            <w:vAlign w:val="center"/>
            <w:hideMark/>
          </w:tcPr>
          <w:p w14:paraId="708C4920" w14:textId="77777777" w:rsidR="00DC5EC6" w:rsidRDefault="003245A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50DE4D28" w14:textId="77777777" w:rsidR="00DC5EC6" w:rsidRDefault="003245A4">
            <w:pPr>
              <w:pStyle w:val="P68B1DB1-Normal8"/>
              <w:spacing w:after="0" w:line="240" w:lineRule="auto"/>
              <w:jc w:val="center"/>
              <w:rPr>
                <w:rFonts w:eastAsia="Times New Roman" w:cs="Calibri"/>
                <w:noProof/>
              </w:rPr>
            </w:pPr>
            <w:r>
              <w:rPr>
                <w:noProof/>
              </w:rPr>
              <w:t>Pénzügyi támogatás fordításhoz és irodalmi művek kiadásához</w:t>
            </w:r>
          </w:p>
        </w:tc>
        <w:tc>
          <w:tcPr>
            <w:tcW w:w="1193" w:type="dxa"/>
            <w:shd w:val="clear" w:color="auto" w:fill="C4EFCE"/>
            <w:vAlign w:val="center"/>
            <w:hideMark/>
          </w:tcPr>
          <w:p w14:paraId="7B42CD2C" w14:textId="77777777" w:rsidR="00DC5EC6" w:rsidRDefault="003245A4">
            <w:pPr>
              <w:pStyle w:val="P68B1DB1-Normal8"/>
              <w:spacing w:after="0" w:line="240" w:lineRule="auto"/>
              <w:jc w:val="center"/>
              <w:rPr>
                <w:rFonts w:eastAsia="Times New Roman" w:cs="Calibri"/>
                <w:noProof/>
              </w:rPr>
            </w:pPr>
            <w:r>
              <w:rPr>
                <w:noProof/>
              </w:rPr>
              <w:t>  </w:t>
            </w:r>
          </w:p>
        </w:tc>
        <w:tc>
          <w:tcPr>
            <w:tcW w:w="930" w:type="dxa"/>
            <w:shd w:val="clear" w:color="auto" w:fill="C4EFCE"/>
            <w:vAlign w:val="center"/>
            <w:hideMark/>
          </w:tcPr>
          <w:p w14:paraId="4CC6026D"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6357E9BC"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3EAEBED8" w14:textId="77777777" w:rsidR="00DC5EC6" w:rsidRDefault="003245A4">
            <w:pPr>
              <w:pStyle w:val="P68B1DB1-Normal8"/>
              <w:spacing w:after="0" w:line="240" w:lineRule="auto"/>
              <w:jc w:val="center"/>
              <w:rPr>
                <w:rFonts w:eastAsia="Times New Roman" w:cs="Calibri"/>
                <w:noProof/>
              </w:rPr>
            </w:pPr>
            <w:r>
              <w:rPr>
                <w:noProof/>
              </w:rPr>
              <w:t>5 200 </w:t>
            </w:r>
          </w:p>
        </w:tc>
        <w:tc>
          <w:tcPr>
            <w:tcW w:w="539" w:type="dxa"/>
            <w:shd w:val="clear" w:color="auto" w:fill="C4EFCE"/>
            <w:vAlign w:val="center"/>
            <w:hideMark/>
          </w:tcPr>
          <w:p w14:paraId="50DC2D60" w14:textId="02C6C875"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29C58B9A" w14:textId="77777777" w:rsidR="00DC5EC6" w:rsidRDefault="003245A4">
            <w:pPr>
              <w:pStyle w:val="P68B1DB1-Normal8"/>
              <w:spacing w:after="0" w:line="240" w:lineRule="auto"/>
              <w:jc w:val="center"/>
              <w:rPr>
                <w:rFonts w:eastAsia="Times New Roman" w:cs="Calibri"/>
                <w:noProof/>
              </w:rPr>
            </w:pPr>
            <w:r>
              <w:rPr>
                <w:noProof/>
              </w:rPr>
              <w:t>2025 </w:t>
            </w:r>
          </w:p>
        </w:tc>
        <w:tc>
          <w:tcPr>
            <w:tcW w:w="3756" w:type="dxa"/>
            <w:shd w:val="clear" w:color="auto" w:fill="C4EFCE"/>
            <w:vAlign w:val="center"/>
            <w:hideMark/>
          </w:tcPr>
          <w:p w14:paraId="315D085F" w14:textId="0B09D103" w:rsidR="00DC5EC6" w:rsidRDefault="00DC5EC6">
            <w:pPr>
              <w:spacing w:after="0" w:line="240" w:lineRule="auto"/>
              <w:jc w:val="both"/>
              <w:rPr>
                <w:rFonts w:ascii="Calibri" w:eastAsia="Times New Roman" w:hAnsi="Calibri" w:cs="Calibri"/>
                <w:noProof/>
                <w:sz w:val="16"/>
              </w:rPr>
            </w:pPr>
          </w:p>
          <w:p w14:paraId="1A89509D" w14:textId="1230369A" w:rsidR="00DC5EC6" w:rsidRDefault="003245A4">
            <w:pPr>
              <w:pStyle w:val="P68B1DB1-Normal8"/>
              <w:spacing w:after="0" w:line="240" w:lineRule="auto"/>
              <w:jc w:val="both"/>
              <w:rPr>
                <w:rFonts w:eastAsia="Times New Roman" w:cs="Calibri"/>
                <w:noProof/>
              </w:rPr>
            </w:pPr>
            <w:r>
              <w:rPr>
                <w:noProof/>
              </w:rPr>
              <w:t>Az irodalmi művek fordításához és kiadásához, valamint hangoskönyvek és e-könyvek kiadásához pénzügyi támogatásban részesülő irodalmi művek száma a fordítási és kiadási költségek 60–70%-ának finanszírozása révén.</w:t>
            </w:r>
          </w:p>
        </w:tc>
      </w:tr>
      <w:tr w:rsidR="00DC5EC6" w14:paraId="69C93F6D" w14:textId="77777777">
        <w:trPr>
          <w:trHeight w:val="1252"/>
        </w:trPr>
        <w:tc>
          <w:tcPr>
            <w:tcW w:w="1067" w:type="dxa"/>
            <w:shd w:val="clear" w:color="auto" w:fill="C5EFCE"/>
            <w:vAlign w:val="center"/>
            <w:hideMark/>
          </w:tcPr>
          <w:p w14:paraId="4136033A" w14:textId="7FAAF2FA" w:rsidR="00DC5EC6" w:rsidRDefault="003245A4">
            <w:pPr>
              <w:pStyle w:val="P68B1DB1-Normal7"/>
              <w:spacing w:line="240" w:lineRule="auto"/>
              <w:jc w:val="center"/>
              <w:rPr>
                <w:rFonts w:eastAsia="Times New Roman" w:cs="Calibri"/>
                <w:noProof/>
              </w:rPr>
            </w:pPr>
            <w:r>
              <w:rPr>
                <w:noProof/>
              </w:rPr>
              <w:t>4.9</w:t>
            </w:r>
          </w:p>
        </w:tc>
        <w:tc>
          <w:tcPr>
            <w:tcW w:w="1191" w:type="dxa"/>
            <w:shd w:val="clear" w:color="auto" w:fill="C4EFCE"/>
            <w:vAlign w:val="center"/>
            <w:hideMark/>
          </w:tcPr>
          <w:p w14:paraId="087D8C01" w14:textId="1509E774" w:rsidR="00DC5EC6" w:rsidRDefault="003245A4">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102CD47A" w14:textId="3BE67781" w:rsidR="00DC5EC6" w:rsidRDefault="003245A4">
            <w:pPr>
              <w:pStyle w:val="P68B1DB1-Normal8"/>
              <w:spacing w:line="240" w:lineRule="auto"/>
              <w:jc w:val="center"/>
              <w:rPr>
                <w:rFonts w:eastAsia="Times New Roman" w:cs="Calibri"/>
                <w:noProof/>
              </w:rPr>
            </w:pPr>
            <w:r>
              <w:rPr>
                <w:noProof/>
              </w:rPr>
              <w:t>M</w:t>
            </w:r>
          </w:p>
        </w:tc>
        <w:tc>
          <w:tcPr>
            <w:tcW w:w="1588" w:type="dxa"/>
            <w:shd w:val="clear" w:color="auto" w:fill="C4EFCE"/>
            <w:vAlign w:val="center"/>
            <w:hideMark/>
          </w:tcPr>
          <w:p w14:paraId="226CD61A" w14:textId="4958D1C6" w:rsidR="00DC5EC6" w:rsidRDefault="003245A4">
            <w:pPr>
              <w:pStyle w:val="P68B1DB1-Normal8"/>
              <w:widowControl w:val="0"/>
              <w:spacing w:before="320" w:after="0" w:line="240" w:lineRule="auto"/>
              <w:jc w:val="center"/>
              <w:rPr>
                <w:rFonts w:eastAsia="Calibri" w:cs="Calibri"/>
                <w:noProof/>
              </w:rPr>
            </w:pPr>
            <w:r>
              <w:rPr>
                <w:noProof/>
              </w:rPr>
              <w:t>Az ANIM – a mozgóképek nemzeti archívuma – technológiai korszerűsítése</w:t>
            </w:r>
          </w:p>
        </w:tc>
        <w:tc>
          <w:tcPr>
            <w:tcW w:w="1193" w:type="dxa"/>
            <w:shd w:val="clear" w:color="auto" w:fill="C4EFCE"/>
            <w:vAlign w:val="center"/>
            <w:hideMark/>
          </w:tcPr>
          <w:p w14:paraId="36622BAB" w14:textId="2B99FCB6" w:rsidR="00DC5EC6" w:rsidRDefault="003245A4">
            <w:pPr>
              <w:pStyle w:val="P68B1DB1-Normal8"/>
              <w:spacing w:line="240" w:lineRule="auto"/>
              <w:jc w:val="center"/>
              <w:rPr>
                <w:rFonts w:eastAsia="Times New Roman" w:cs="Calibri"/>
                <w:noProof/>
              </w:rPr>
            </w:pPr>
            <w:r>
              <w:rPr>
                <w:noProof/>
              </w:rPr>
              <w:t>A berendezések szállítása</w:t>
            </w:r>
          </w:p>
        </w:tc>
        <w:tc>
          <w:tcPr>
            <w:tcW w:w="930" w:type="dxa"/>
            <w:shd w:val="clear" w:color="auto" w:fill="C4EFCE"/>
            <w:vAlign w:val="center"/>
            <w:hideMark/>
          </w:tcPr>
          <w:p w14:paraId="50A25E56" w14:textId="4285FAF0" w:rsidR="00DC5EC6" w:rsidRDefault="00DC5EC6">
            <w:pPr>
              <w:spacing w:line="240" w:lineRule="auto"/>
              <w:jc w:val="center"/>
              <w:rPr>
                <w:rFonts w:ascii="Calibri" w:eastAsia="Times New Roman" w:hAnsi="Calibri" w:cs="Calibri"/>
                <w:noProof/>
                <w:sz w:val="16"/>
              </w:rPr>
            </w:pPr>
          </w:p>
        </w:tc>
        <w:tc>
          <w:tcPr>
            <w:tcW w:w="1225" w:type="dxa"/>
            <w:shd w:val="clear" w:color="auto" w:fill="C4EFCE"/>
            <w:vAlign w:val="center"/>
            <w:hideMark/>
          </w:tcPr>
          <w:p w14:paraId="3A7664CF" w14:textId="533FA4EC" w:rsidR="00DC5EC6" w:rsidRDefault="00DC5EC6">
            <w:pPr>
              <w:spacing w:line="240" w:lineRule="auto"/>
              <w:jc w:val="center"/>
              <w:rPr>
                <w:rFonts w:ascii="Calibri" w:eastAsia="Times New Roman" w:hAnsi="Calibri" w:cs="Calibri"/>
                <w:noProof/>
                <w:sz w:val="16"/>
              </w:rPr>
            </w:pPr>
          </w:p>
        </w:tc>
        <w:tc>
          <w:tcPr>
            <w:tcW w:w="671" w:type="dxa"/>
            <w:shd w:val="clear" w:color="auto" w:fill="C4EFCE"/>
            <w:vAlign w:val="center"/>
            <w:hideMark/>
          </w:tcPr>
          <w:p w14:paraId="4B934F52" w14:textId="168F57DB" w:rsidR="00DC5EC6" w:rsidRDefault="00DC5EC6">
            <w:pPr>
              <w:spacing w:line="240" w:lineRule="auto"/>
              <w:jc w:val="center"/>
              <w:rPr>
                <w:rFonts w:ascii="Calibri" w:eastAsia="Times New Roman" w:hAnsi="Calibri" w:cs="Calibri"/>
                <w:noProof/>
                <w:sz w:val="16"/>
              </w:rPr>
            </w:pPr>
          </w:p>
        </w:tc>
        <w:tc>
          <w:tcPr>
            <w:tcW w:w="539" w:type="dxa"/>
            <w:shd w:val="clear" w:color="auto" w:fill="C4EFCE"/>
            <w:vAlign w:val="center"/>
            <w:hideMark/>
          </w:tcPr>
          <w:p w14:paraId="2BB5A574" w14:textId="4E46F41F" w:rsidR="00DC5EC6" w:rsidRDefault="00D14F07">
            <w:pPr>
              <w:pStyle w:val="P68B1DB1-Normal8"/>
              <w:spacing w:line="240" w:lineRule="auto"/>
              <w:jc w:val="center"/>
              <w:rPr>
                <w:rFonts w:eastAsia="Times New Roman" w:cs="Calibri"/>
                <w:noProof/>
              </w:rPr>
            </w:pPr>
            <w:r>
              <w:rPr>
                <w:noProof/>
              </w:rPr>
              <w:t>3. NEGYEDÉV</w:t>
            </w:r>
          </w:p>
        </w:tc>
        <w:tc>
          <w:tcPr>
            <w:tcW w:w="672" w:type="dxa"/>
            <w:shd w:val="clear" w:color="auto" w:fill="C4EFCE"/>
            <w:vAlign w:val="center"/>
            <w:hideMark/>
          </w:tcPr>
          <w:p w14:paraId="4FE4F2D2" w14:textId="215CF13E" w:rsidR="00DC5EC6" w:rsidRDefault="003245A4">
            <w:pPr>
              <w:pStyle w:val="P68B1DB1-Normal8"/>
              <w:spacing w:line="240" w:lineRule="auto"/>
              <w:jc w:val="center"/>
              <w:rPr>
                <w:rFonts w:eastAsia="Times New Roman" w:cs="Calibri"/>
                <w:noProof/>
              </w:rPr>
            </w:pPr>
            <w:r>
              <w:rPr>
                <w:noProof/>
              </w:rPr>
              <w:t>2023</w:t>
            </w:r>
          </w:p>
        </w:tc>
        <w:tc>
          <w:tcPr>
            <w:tcW w:w="3756" w:type="dxa"/>
            <w:shd w:val="clear" w:color="auto" w:fill="C4EFCE"/>
            <w:vAlign w:val="center"/>
            <w:hideMark/>
          </w:tcPr>
          <w:p w14:paraId="0A05C053" w14:textId="1A2F05CC" w:rsidR="00DC5EC6" w:rsidRDefault="003245A4">
            <w:pPr>
              <w:pStyle w:val="P68B1DB1-Normal8"/>
              <w:spacing w:before="40" w:after="160" w:line="240" w:lineRule="auto"/>
              <w:contextualSpacing/>
              <w:jc w:val="both"/>
              <w:rPr>
                <w:rFonts w:eastAsia="Calibri" w:cs="Calibri"/>
                <w:noProof/>
              </w:rPr>
            </w:pPr>
            <w:r>
              <w:rPr>
                <w:noProof/>
              </w:rPr>
              <w:t>Berendezések szállítása a mozgóképek nemzeti archívumának technológiai korszerűsítéséhez.</w:t>
            </w:r>
          </w:p>
        </w:tc>
      </w:tr>
      <w:tr w:rsidR="00DC5EC6" w14:paraId="7A6F89CA" w14:textId="77777777">
        <w:trPr>
          <w:trHeight w:val="1883"/>
        </w:trPr>
        <w:tc>
          <w:tcPr>
            <w:tcW w:w="1067" w:type="dxa"/>
            <w:shd w:val="clear" w:color="auto" w:fill="C5EFCE"/>
            <w:vAlign w:val="center"/>
            <w:hideMark/>
          </w:tcPr>
          <w:p w14:paraId="0F231483" w14:textId="3BD0B995" w:rsidR="00DC5EC6" w:rsidRDefault="003245A4">
            <w:pPr>
              <w:pStyle w:val="P68B1DB1-Normal7"/>
              <w:spacing w:line="240" w:lineRule="auto"/>
              <w:jc w:val="center"/>
              <w:rPr>
                <w:rFonts w:eastAsia="Times New Roman" w:cs="Calibri"/>
                <w:noProof/>
              </w:rPr>
            </w:pPr>
            <w:r>
              <w:rPr>
                <w:noProof/>
              </w:rPr>
              <w:t>4.10</w:t>
            </w:r>
          </w:p>
        </w:tc>
        <w:tc>
          <w:tcPr>
            <w:tcW w:w="1191" w:type="dxa"/>
            <w:shd w:val="clear" w:color="auto" w:fill="C4EFCE"/>
            <w:vAlign w:val="center"/>
            <w:hideMark/>
          </w:tcPr>
          <w:p w14:paraId="3A7259C4" w14:textId="3A73E587" w:rsidR="00DC5EC6" w:rsidRDefault="003245A4">
            <w:pPr>
              <w:pStyle w:val="P68B1DB1-Normal8"/>
              <w:spacing w:line="240" w:lineRule="auto"/>
              <w:jc w:val="center"/>
              <w:rPr>
                <w:rFonts w:eastAsia="Times New Roman" w:cs="Calibri"/>
                <w:noProof/>
              </w:rPr>
            </w:pPr>
            <w:r>
              <w:rPr>
                <w:noProof/>
              </w:rPr>
              <w:t>Re-C04-i01</w:t>
            </w:r>
          </w:p>
        </w:tc>
        <w:tc>
          <w:tcPr>
            <w:tcW w:w="1060" w:type="dxa"/>
            <w:shd w:val="clear" w:color="auto" w:fill="C4EFCE"/>
            <w:vAlign w:val="center"/>
            <w:hideMark/>
          </w:tcPr>
          <w:p w14:paraId="707B69E4" w14:textId="522C4E35" w:rsidR="00DC5EC6" w:rsidRDefault="003245A4">
            <w:pPr>
              <w:pStyle w:val="P68B1DB1-Normal8"/>
              <w:spacing w:line="240" w:lineRule="auto"/>
              <w:jc w:val="center"/>
              <w:rPr>
                <w:rFonts w:eastAsia="Times New Roman" w:cs="Calibri"/>
                <w:noProof/>
              </w:rPr>
            </w:pPr>
            <w:r>
              <w:rPr>
                <w:noProof/>
              </w:rPr>
              <w:t>T</w:t>
            </w:r>
          </w:p>
        </w:tc>
        <w:tc>
          <w:tcPr>
            <w:tcW w:w="1588" w:type="dxa"/>
            <w:shd w:val="clear" w:color="auto" w:fill="C4EFCE"/>
            <w:vAlign w:val="center"/>
            <w:hideMark/>
          </w:tcPr>
          <w:p w14:paraId="600DDD24" w14:textId="12D6D904" w:rsidR="00DC5EC6" w:rsidRDefault="003245A4">
            <w:pPr>
              <w:pStyle w:val="P68B1DB1-Normal8"/>
              <w:widowControl w:val="0"/>
              <w:spacing w:before="320" w:after="0" w:line="240" w:lineRule="auto"/>
              <w:jc w:val="center"/>
              <w:rPr>
                <w:rFonts w:eastAsia="Calibri" w:cs="Calibri"/>
                <w:noProof/>
              </w:rPr>
            </w:pPr>
            <w:r>
              <w:rPr>
                <w:noProof/>
              </w:rPr>
              <w:t>Berendezések szállítása a Nemzeti Archívum telepítéséhez és az állami laboratóriumok technológiai korszerűsítéséhez</w:t>
            </w:r>
          </w:p>
        </w:tc>
        <w:tc>
          <w:tcPr>
            <w:tcW w:w="1193" w:type="dxa"/>
            <w:shd w:val="clear" w:color="auto" w:fill="C4EFCE"/>
            <w:vAlign w:val="center"/>
            <w:hideMark/>
          </w:tcPr>
          <w:p w14:paraId="3916C5A9" w14:textId="2EEBDAB8" w:rsidR="00DC5EC6" w:rsidRDefault="00DC5EC6">
            <w:pPr>
              <w:spacing w:line="240" w:lineRule="auto"/>
              <w:jc w:val="center"/>
              <w:rPr>
                <w:rFonts w:ascii="Calibri" w:eastAsia="Times New Roman" w:hAnsi="Calibri" w:cs="Calibri"/>
                <w:noProof/>
                <w:sz w:val="16"/>
              </w:rPr>
            </w:pPr>
          </w:p>
        </w:tc>
        <w:tc>
          <w:tcPr>
            <w:tcW w:w="930" w:type="dxa"/>
            <w:shd w:val="clear" w:color="auto" w:fill="C4EFCE"/>
            <w:vAlign w:val="center"/>
            <w:hideMark/>
          </w:tcPr>
          <w:p w14:paraId="3EC993CE" w14:textId="4B407D21" w:rsidR="00DC5EC6" w:rsidRDefault="003245A4">
            <w:pPr>
              <w:pStyle w:val="P68B1DB1-Normal8"/>
              <w:spacing w:line="240" w:lineRule="auto"/>
              <w:jc w:val="center"/>
              <w:rPr>
                <w:rFonts w:eastAsia="Times New Roman" w:cs="Calibri"/>
                <w:noProof/>
              </w:rPr>
            </w:pPr>
            <w:r>
              <w:rPr>
                <w:noProof/>
              </w:rPr>
              <w:t>Szám</w:t>
            </w:r>
          </w:p>
        </w:tc>
        <w:tc>
          <w:tcPr>
            <w:tcW w:w="1225" w:type="dxa"/>
            <w:shd w:val="clear" w:color="auto" w:fill="C4EFCE"/>
            <w:vAlign w:val="center"/>
            <w:hideMark/>
          </w:tcPr>
          <w:p w14:paraId="40DF9AC1" w14:textId="69274E4F" w:rsidR="00DC5EC6" w:rsidRDefault="003245A4">
            <w:pPr>
              <w:pStyle w:val="P68B1DB1-Normal8"/>
              <w:spacing w:line="240" w:lineRule="auto"/>
              <w:jc w:val="center"/>
              <w:rPr>
                <w:rFonts w:eastAsia="Times New Roman" w:cs="Calibri"/>
                <w:noProof/>
              </w:rPr>
            </w:pPr>
            <w:r>
              <w:rPr>
                <w:noProof/>
              </w:rPr>
              <w:t>0</w:t>
            </w:r>
          </w:p>
        </w:tc>
        <w:tc>
          <w:tcPr>
            <w:tcW w:w="671" w:type="dxa"/>
            <w:shd w:val="clear" w:color="auto" w:fill="C4EFCE"/>
            <w:vAlign w:val="center"/>
            <w:hideMark/>
          </w:tcPr>
          <w:p w14:paraId="706ECCC2" w14:textId="057ADB86" w:rsidR="00DC5EC6" w:rsidRDefault="003245A4">
            <w:pPr>
              <w:pStyle w:val="P68B1DB1-Normal8"/>
              <w:spacing w:line="240" w:lineRule="auto"/>
              <w:jc w:val="center"/>
              <w:rPr>
                <w:rFonts w:eastAsia="Times New Roman" w:cs="Calibri"/>
                <w:noProof/>
              </w:rPr>
            </w:pPr>
            <w:r>
              <w:rPr>
                <w:noProof/>
              </w:rPr>
              <w:t>5</w:t>
            </w:r>
          </w:p>
        </w:tc>
        <w:tc>
          <w:tcPr>
            <w:tcW w:w="539" w:type="dxa"/>
            <w:shd w:val="clear" w:color="auto" w:fill="C4EFCE"/>
            <w:vAlign w:val="center"/>
            <w:hideMark/>
          </w:tcPr>
          <w:p w14:paraId="03E2A86D" w14:textId="6E250259" w:rsidR="00DC5EC6" w:rsidRDefault="00D14F07">
            <w:pPr>
              <w:pStyle w:val="P68B1DB1-Normal8"/>
              <w:spacing w:line="240" w:lineRule="auto"/>
              <w:jc w:val="center"/>
              <w:rPr>
                <w:rFonts w:eastAsia="Times New Roman" w:cs="Calibri"/>
                <w:noProof/>
              </w:rPr>
            </w:pPr>
            <w:r>
              <w:rPr>
                <w:noProof/>
              </w:rPr>
              <w:t>1.NEGYEDÉV</w:t>
            </w:r>
          </w:p>
        </w:tc>
        <w:tc>
          <w:tcPr>
            <w:tcW w:w="672" w:type="dxa"/>
            <w:shd w:val="clear" w:color="auto" w:fill="C4EFCE"/>
            <w:vAlign w:val="center"/>
            <w:hideMark/>
          </w:tcPr>
          <w:p w14:paraId="217FE2C8" w14:textId="0B333ABA" w:rsidR="00DC5EC6" w:rsidRDefault="003245A4">
            <w:pPr>
              <w:pStyle w:val="P68B1DB1-Normal8"/>
              <w:spacing w:line="240" w:lineRule="auto"/>
              <w:jc w:val="center"/>
              <w:rPr>
                <w:rFonts w:eastAsia="Times New Roman" w:cs="Calibri"/>
                <w:noProof/>
              </w:rPr>
            </w:pPr>
            <w:r>
              <w:rPr>
                <w:noProof/>
              </w:rPr>
              <w:t>2026</w:t>
            </w:r>
          </w:p>
        </w:tc>
        <w:tc>
          <w:tcPr>
            <w:tcW w:w="3756" w:type="dxa"/>
            <w:shd w:val="clear" w:color="auto" w:fill="C4EFCE"/>
            <w:vAlign w:val="center"/>
            <w:hideMark/>
          </w:tcPr>
          <w:p w14:paraId="752F7E82" w14:textId="604FBA79" w:rsidR="00DC5EC6" w:rsidRDefault="003245A4">
            <w:pPr>
              <w:pStyle w:val="P68B1DB1-Normal8"/>
              <w:widowControl w:val="0"/>
              <w:spacing w:after="160" w:line="240" w:lineRule="auto"/>
              <w:rPr>
                <w:rFonts w:eastAsia="Calibri" w:cs="Calibri"/>
                <w:noProof/>
              </w:rPr>
            </w:pPr>
            <w:r>
              <w:rPr>
                <w:noProof/>
              </w:rPr>
              <w:t>Azon épületek és laboratóriumok száma, amelyekhez felszerelést szállítottak (Nemzeti Helyzeti Archívum és állami laboratóriumok: José Figueiredo Laboratory, CNANS, LARQ és Forte de Sacavém).</w:t>
            </w:r>
          </w:p>
        </w:tc>
      </w:tr>
      <w:tr w:rsidR="00DC5EC6" w14:paraId="6CE186ED" w14:textId="77777777">
        <w:trPr>
          <w:trHeight w:val="2740"/>
        </w:trPr>
        <w:tc>
          <w:tcPr>
            <w:tcW w:w="1067" w:type="dxa"/>
            <w:shd w:val="clear" w:color="auto" w:fill="C5EFCE"/>
            <w:vAlign w:val="center"/>
            <w:hideMark/>
          </w:tcPr>
          <w:p w14:paraId="4096D4CD" w14:textId="77777777" w:rsidR="00DC5EC6" w:rsidRDefault="003245A4">
            <w:pPr>
              <w:pStyle w:val="P68B1DB1-Normal7"/>
              <w:spacing w:after="0" w:line="240" w:lineRule="auto"/>
              <w:jc w:val="center"/>
              <w:rPr>
                <w:rFonts w:eastAsia="Times New Roman" w:cs="Calibri"/>
                <w:noProof/>
              </w:rPr>
            </w:pPr>
            <w:r>
              <w:rPr>
                <w:noProof/>
              </w:rPr>
              <w:t>4.6</w:t>
            </w:r>
          </w:p>
        </w:tc>
        <w:tc>
          <w:tcPr>
            <w:tcW w:w="1191" w:type="dxa"/>
            <w:shd w:val="clear" w:color="auto" w:fill="C4EFCE"/>
            <w:vAlign w:val="center"/>
            <w:hideMark/>
          </w:tcPr>
          <w:p w14:paraId="756E9748" w14:textId="77777777" w:rsidR="00DC5EC6" w:rsidRDefault="003245A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EAEAB0E" w14:textId="77777777" w:rsidR="00DC5EC6" w:rsidRDefault="003245A4">
            <w:pPr>
              <w:pStyle w:val="P68B1DB1-Normal8"/>
              <w:spacing w:after="0" w:line="240" w:lineRule="auto"/>
              <w:jc w:val="center"/>
              <w:rPr>
                <w:rFonts w:eastAsia="Times New Roman" w:cs="Calibri"/>
                <w:noProof/>
              </w:rPr>
            </w:pPr>
            <w:r>
              <w:rPr>
                <w:noProof/>
              </w:rPr>
              <w:t>M </w:t>
            </w:r>
          </w:p>
        </w:tc>
        <w:tc>
          <w:tcPr>
            <w:tcW w:w="1588" w:type="dxa"/>
            <w:shd w:val="clear" w:color="auto" w:fill="C4EFCE"/>
            <w:vAlign w:val="center"/>
            <w:hideMark/>
          </w:tcPr>
          <w:p w14:paraId="7DE50256" w14:textId="77777777" w:rsidR="00DC5EC6" w:rsidRDefault="003245A4">
            <w:pPr>
              <w:pStyle w:val="P68B1DB1-Normal8"/>
              <w:spacing w:after="0" w:line="240" w:lineRule="auto"/>
              <w:jc w:val="center"/>
              <w:rPr>
                <w:rFonts w:eastAsia="Times New Roman" w:cs="Calibri"/>
                <w:noProof/>
              </w:rPr>
            </w:pPr>
            <w:r>
              <w:rPr>
                <w:noProof/>
              </w:rPr>
              <w:t>A „Saber Fazer” hálózat létrehozása </w:t>
            </w:r>
          </w:p>
        </w:tc>
        <w:tc>
          <w:tcPr>
            <w:tcW w:w="1193" w:type="dxa"/>
            <w:shd w:val="clear" w:color="auto" w:fill="C4EFCE"/>
            <w:vAlign w:val="center"/>
            <w:hideMark/>
          </w:tcPr>
          <w:p w14:paraId="55979DAB" w14:textId="7F73E08D" w:rsidR="00DC5EC6" w:rsidRDefault="003245A4">
            <w:pPr>
              <w:pStyle w:val="P68B1DB1-Normal8"/>
              <w:spacing w:after="0" w:line="240" w:lineRule="auto"/>
              <w:jc w:val="center"/>
              <w:rPr>
                <w:rFonts w:eastAsia="Times New Roman" w:cs="Calibri"/>
                <w:noProof/>
              </w:rPr>
            </w:pPr>
            <w:r>
              <w:rPr>
                <w:noProof/>
              </w:rPr>
              <w:t xml:space="preserve">A hazai kisüzemi termelésre, a nyersanyagok azonosítására és feltérképezésére vonatkozó információk és dokumentáció adattárának létrehozása </w:t>
            </w:r>
          </w:p>
        </w:tc>
        <w:tc>
          <w:tcPr>
            <w:tcW w:w="930" w:type="dxa"/>
            <w:shd w:val="clear" w:color="auto" w:fill="C4EFCE"/>
            <w:vAlign w:val="center"/>
            <w:hideMark/>
          </w:tcPr>
          <w:p w14:paraId="34888FD9" w14:textId="77777777" w:rsidR="00DC5EC6" w:rsidRDefault="003245A4">
            <w:pPr>
              <w:pStyle w:val="P68B1DB1-Normal8"/>
              <w:spacing w:after="0" w:line="240" w:lineRule="auto"/>
              <w:jc w:val="center"/>
              <w:rPr>
                <w:rFonts w:eastAsia="Times New Roman" w:cs="Calibri"/>
                <w:noProof/>
              </w:rPr>
            </w:pPr>
            <w:r>
              <w:rPr>
                <w:noProof/>
              </w:rPr>
              <w:t>  </w:t>
            </w:r>
          </w:p>
        </w:tc>
        <w:tc>
          <w:tcPr>
            <w:tcW w:w="1225" w:type="dxa"/>
            <w:shd w:val="clear" w:color="auto" w:fill="C4EFCE"/>
            <w:vAlign w:val="center"/>
            <w:hideMark/>
          </w:tcPr>
          <w:p w14:paraId="760352CB" w14:textId="77777777" w:rsidR="00DC5EC6" w:rsidRDefault="003245A4">
            <w:pPr>
              <w:pStyle w:val="P68B1DB1-Normal8"/>
              <w:spacing w:after="0" w:line="240" w:lineRule="auto"/>
              <w:jc w:val="center"/>
              <w:rPr>
                <w:rFonts w:eastAsia="Times New Roman" w:cs="Calibri"/>
                <w:noProof/>
              </w:rPr>
            </w:pPr>
            <w:r>
              <w:rPr>
                <w:noProof/>
              </w:rPr>
              <w:t>  </w:t>
            </w:r>
          </w:p>
        </w:tc>
        <w:tc>
          <w:tcPr>
            <w:tcW w:w="671" w:type="dxa"/>
            <w:shd w:val="clear" w:color="auto" w:fill="C4EFCE"/>
            <w:vAlign w:val="center"/>
            <w:hideMark/>
          </w:tcPr>
          <w:p w14:paraId="788C2337" w14:textId="77777777" w:rsidR="00DC5EC6" w:rsidRDefault="003245A4">
            <w:pPr>
              <w:pStyle w:val="P68B1DB1-Normal8"/>
              <w:spacing w:after="0" w:line="240" w:lineRule="auto"/>
              <w:jc w:val="center"/>
              <w:rPr>
                <w:rFonts w:eastAsia="Times New Roman" w:cs="Calibri"/>
                <w:noProof/>
              </w:rPr>
            </w:pPr>
            <w:r>
              <w:rPr>
                <w:noProof/>
              </w:rPr>
              <w:t>  </w:t>
            </w:r>
          </w:p>
        </w:tc>
        <w:tc>
          <w:tcPr>
            <w:tcW w:w="539" w:type="dxa"/>
            <w:shd w:val="clear" w:color="auto" w:fill="C4EFCE"/>
            <w:vAlign w:val="center"/>
            <w:hideMark/>
          </w:tcPr>
          <w:p w14:paraId="332FDD5B" w14:textId="6A0CFB80" w:rsidR="00DC5EC6" w:rsidRDefault="00D14F07">
            <w:pPr>
              <w:pStyle w:val="P68B1DB1-Normal8"/>
              <w:spacing w:after="0" w:line="240" w:lineRule="auto"/>
              <w:jc w:val="center"/>
              <w:rPr>
                <w:rFonts w:eastAsia="Times New Roman" w:cs="Calibri"/>
                <w:noProof/>
              </w:rPr>
            </w:pPr>
            <w:r>
              <w:rPr>
                <w:noProof/>
              </w:rPr>
              <w:t>4. NEGYEDÉV </w:t>
            </w:r>
          </w:p>
        </w:tc>
        <w:tc>
          <w:tcPr>
            <w:tcW w:w="672" w:type="dxa"/>
            <w:shd w:val="clear" w:color="auto" w:fill="C4EFCE"/>
            <w:vAlign w:val="center"/>
            <w:hideMark/>
          </w:tcPr>
          <w:p w14:paraId="4E4BC6F2" w14:textId="77777777" w:rsidR="00DC5EC6" w:rsidRDefault="003245A4">
            <w:pPr>
              <w:pStyle w:val="P68B1DB1-Normal8"/>
              <w:spacing w:after="0" w:line="240" w:lineRule="auto"/>
              <w:jc w:val="center"/>
              <w:rPr>
                <w:rFonts w:eastAsia="Times New Roman" w:cs="Calibri"/>
                <w:noProof/>
              </w:rPr>
            </w:pPr>
            <w:r>
              <w:rPr>
                <w:noProof/>
              </w:rPr>
              <w:t>2022 </w:t>
            </w:r>
          </w:p>
        </w:tc>
        <w:tc>
          <w:tcPr>
            <w:tcW w:w="3756" w:type="dxa"/>
            <w:shd w:val="clear" w:color="auto" w:fill="C4EFCE"/>
            <w:vAlign w:val="center"/>
            <w:hideMark/>
          </w:tcPr>
          <w:p w14:paraId="4C1C186A" w14:textId="77777777" w:rsidR="00DC5EC6" w:rsidRDefault="003245A4">
            <w:pPr>
              <w:pStyle w:val="P68B1DB1-Normal8"/>
              <w:spacing w:after="0" w:line="240" w:lineRule="auto"/>
              <w:jc w:val="both"/>
              <w:rPr>
                <w:rFonts w:eastAsia="Times New Roman" w:cs="Calibri"/>
                <w:noProof/>
              </w:rPr>
            </w:pPr>
            <w:r>
              <w:rPr>
                <w:noProof/>
              </w:rPr>
              <w:t>A „Saber Fazer” hálózat létrehozása: a hazai kisüzemi termelésre vonatkozó információk és dokumentáció adattárának létrehozása; valamint a kisüzemi termelésben felhasznált nyersanyagok azonosítása és feltérképezése.</w:t>
            </w:r>
          </w:p>
        </w:tc>
      </w:tr>
      <w:tr w:rsidR="00DC5EC6" w14:paraId="35C27186" w14:textId="77777777">
        <w:trPr>
          <w:trHeight w:val="1492"/>
        </w:trPr>
        <w:tc>
          <w:tcPr>
            <w:tcW w:w="1067" w:type="dxa"/>
            <w:shd w:val="clear" w:color="auto" w:fill="C5EFCE"/>
            <w:vAlign w:val="center"/>
            <w:hideMark/>
          </w:tcPr>
          <w:p w14:paraId="23022BEF" w14:textId="77777777" w:rsidR="00DC5EC6" w:rsidRDefault="003245A4">
            <w:pPr>
              <w:pStyle w:val="P68B1DB1-Normal7"/>
              <w:spacing w:after="0" w:line="240" w:lineRule="auto"/>
              <w:jc w:val="center"/>
              <w:rPr>
                <w:rFonts w:eastAsia="Times New Roman" w:cs="Calibri"/>
                <w:noProof/>
              </w:rPr>
            </w:pPr>
            <w:r>
              <w:rPr>
                <w:noProof/>
              </w:rPr>
              <w:t>4.7</w:t>
            </w:r>
          </w:p>
        </w:tc>
        <w:tc>
          <w:tcPr>
            <w:tcW w:w="1191" w:type="dxa"/>
            <w:shd w:val="clear" w:color="auto" w:fill="C4EFCE"/>
            <w:vAlign w:val="center"/>
            <w:hideMark/>
          </w:tcPr>
          <w:p w14:paraId="255C30CA" w14:textId="77777777" w:rsidR="00DC5EC6" w:rsidRDefault="003245A4">
            <w:pPr>
              <w:pStyle w:val="P68B1DB1-Normal8"/>
              <w:spacing w:after="0" w:line="240" w:lineRule="auto"/>
              <w:jc w:val="center"/>
              <w:rPr>
                <w:rFonts w:eastAsia="Times New Roman" w:cs="Calibri"/>
                <w:noProof/>
              </w:rPr>
            </w:pPr>
            <w:r>
              <w:rPr>
                <w:noProof/>
              </w:rPr>
              <w:t xml:space="preserve">Re-C04-i02  </w:t>
            </w:r>
          </w:p>
        </w:tc>
        <w:tc>
          <w:tcPr>
            <w:tcW w:w="1060" w:type="dxa"/>
            <w:shd w:val="clear" w:color="auto" w:fill="C4EFCE"/>
            <w:vAlign w:val="center"/>
            <w:hideMark/>
          </w:tcPr>
          <w:p w14:paraId="5CC87B5D" w14:textId="77777777" w:rsidR="00DC5EC6" w:rsidRDefault="003245A4">
            <w:pPr>
              <w:pStyle w:val="P68B1DB1-Normal8"/>
              <w:spacing w:after="0" w:line="240" w:lineRule="auto"/>
              <w:jc w:val="center"/>
              <w:rPr>
                <w:rFonts w:eastAsia="Times New Roman" w:cs="Calibri"/>
                <w:noProof/>
              </w:rPr>
            </w:pPr>
            <w:r>
              <w:rPr>
                <w:noProof/>
              </w:rPr>
              <w:t>T</w:t>
            </w:r>
          </w:p>
        </w:tc>
        <w:tc>
          <w:tcPr>
            <w:tcW w:w="1588" w:type="dxa"/>
            <w:shd w:val="clear" w:color="auto" w:fill="C4EFCE"/>
            <w:vAlign w:val="center"/>
            <w:hideMark/>
          </w:tcPr>
          <w:p w14:paraId="123191A7" w14:textId="77777777" w:rsidR="00DC5EC6" w:rsidRDefault="003245A4">
            <w:pPr>
              <w:pStyle w:val="P68B1DB1-Normal8"/>
              <w:spacing w:after="0" w:line="240" w:lineRule="auto"/>
              <w:jc w:val="center"/>
              <w:rPr>
                <w:rFonts w:eastAsia="Times New Roman" w:cs="Calibri"/>
                <w:noProof/>
              </w:rPr>
            </w:pPr>
            <w:r>
              <w:rPr>
                <w:noProof/>
              </w:rPr>
              <w:t>A kulturális örökség részét képező épületek és nemzeti színházak rehabilitációjára és megőrzésére aláírt szerződések</w:t>
            </w:r>
          </w:p>
        </w:tc>
        <w:tc>
          <w:tcPr>
            <w:tcW w:w="1193" w:type="dxa"/>
            <w:shd w:val="clear" w:color="auto" w:fill="C4EFCE"/>
            <w:vAlign w:val="center"/>
            <w:hideMark/>
          </w:tcPr>
          <w:p w14:paraId="12AD789B" w14:textId="77777777" w:rsidR="00DC5EC6" w:rsidRDefault="003245A4">
            <w:pPr>
              <w:pStyle w:val="P68B1DB1-Normal8"/>
              <w:spacing w:after="0" w:line="240" w:lineRule="auto"/>
              <w:rPr>
                <w:rFonts w:eastAsia="Times New Roman" w:cs="Calibri"/>
                <w:noProof/>
              </w:rPr>
            </w:pPr>
            <w:r>
              <w:rPr>
                <w:noProof/>
              </w:rPr>
              <w:t>Aláírt szerződések</w:t>
            </w:r>
          </w:p>
        </w:tc>
        <w:tc>
          <w:tcPr>
            <w:tcW w:w="930" w:type="dxa"/>
            <w:shd w:val="clear" w:color="auto" w:fill="C4EFCE"/>
            <w:vAlign w:val="center"/>
            <w:hideMark/>
          </w:tcPr>
          <w:p w14:paraId="23F889FB"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10D23A74" w14:textId="77777777" w:rsidR="00DC5EC6" w:rsidRDefault="003245A4">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6C192691" w14:textId="77777777" w:rsidR="00DC5EC6" w:rsidRDefault="003245A4">
            <w:pPr>
              <w:pStyle w:val="P68B1DB1-Normal8"/>
              <w:spacing w:after="0" w:line="240" w:lineRule="auto"/>
              <w:jc w:val="center"/>
              <w:rPr>
                <w:rFonts w:eastAsia="Times New Roman" w:cs="Calibri"/>
                <w:noProof/>
              </w:rPr>
            </w:pPr>
            <w:r>
              <w:rPr>
                <w:noProof/>
              </w:rPr>
              <w:t>49</w:t>
            </w:r>
          </w:p>
        </w:tc>
        <w:tc>
          <w:tcPr>
            <w:tcW w:w="539" w:type="dxa"/>
            <w:shd w:val="clear" w:color="auto" w:fill="C4EFCE"/>
            <w:vAlign w:val="center"/>
            <w:hideMark/>
          </w:tcPr>
          <w:p w14:paraId="1BE96BE2" w14:textId="4AAA8C8A" w:rsidR="00DC5EC6" w:rsidRDefault="00D14F07">
            <w:pPr>
              <w:pStyle w:val="P68B1DB1-Normal8"/>
              <w:spacing w:after="0" w:line="240" w:lineRule="auto"/>
              <w:jc w:val="center"/>
              <w:rPr>
                <w:rFonts w:eastAsia="Times New Roman" w:cs="Calibri"/>
                <w:noProof/>
              </w:rPr>
            </w:pPr>
            <w:r>
              <w:rPr>
                <w:noProof/>
              </w:rPr>
              <w:t>3. NEGYEDÉV</w:t>
            </w:r>
          </w:p>
        </w:tc>
        <w:tc>
          <w:tcPr>
            <w:tcW w:w="672" w:type="dxa"/>
            <w:shd w:val="clear" w:color="auto" w:fill="C4EFCE"/>
            <w:vAlign w:val="center"/>
            <w:hideMark/>
          </w:tcPr>
          <w:p w14:paraId="64DC8375" w14:textId="77777777" w:rsidR="00DC5EC6" w:rsidRDefault="003245A4">
            <w:pPr>
              <w:pStyle w:val="P68B1DB1-Normal8"/>
              <w:spacing w:after="0" w:line="240" w:lineRule="auto"/>
              <w:jc w:val="center"/>
              <w:rPr>
                <w:rFonts w:eastAsia="Times New Roman" w:cs="Calibri"/>
                <w:noProof/>
              </w:rPr>
            </w:pPr>
            <w:r>
              <w:rPr>
                <w:noProof/>
              </w:rPr>
              <w:t>2023</w:t>
            </w:r>
          </w:p>
        </w:tc>
        <w:tc>
          <w:tcPr>
            <w:tcW w:w="3756" w:type="dxa"/>
            <w:shd w:val="clear" w:color="auto" w:fill="C4EFCE"/>
            <w:vAlign w:val="center"/>
            <w:hideMark/>
          </w:tcPr>
          <w:p w14:paraId="7AAC0ED8" w14:textId="3E3946FA" w:rsidR="00DC5EC6" w:rsidRDefault="003245A4">
            <w:pPr>
              <w:pStyle w:val="P68B1DB1-Normal8"/>
              <w:spacing w:after="0" w:line="240" w:lineRule="auto"/>
              <w:jc w:val="both"/>
              <w:rPr>
                <w:rFonts w:eastAsia="Times New Roman" w:cs="Calibri"/>
                <w:noProof/>
              </w:rPr>
            </w:pPr>
            <w:r>
              <w:rPr>
                <w:noProof/>
              </w:rPr>
              <w:t>Azon kulturális helyszínek száma, amelyekre múzeumok, műemlékek, állami paloták és nemzeti színházak rehabilitációjára és megőrzésére vonatkozó szerződéseket írtak alá.</w:t>
            </w:r>
          </w:p>
        </w:tc>
      </w:tr>
      <w:tr w:rsidR="00DC5EC6" w14:paraId="21A4EBFD" w14:textId="77777777">
        <w:trPr>
          <w:trHeight w:val="1691"/>
        </w:trPr>
        <w:tc>
          <w:tcPr>
            <w:tcW w:w="1067" w:type="dxa"/>
            <w:shd w:val="clear" w:color="auto" w:fill="C5EFCE"/>
            <w:vAlign w:val="center"/>
            <w:hideMark/>
          </w:tcPr>
          <w:p w14:paraId="53135006" w14:textId="77777777" w:rsidR="00DC5EC6" w:rsidRDefault="003245A4">
            <w:pPr>
              <w:pStyle w:val="P68B1DB1-Normal7"/>
              <w:spacing w:after="0" w:line="240" w:lineRule="auto"/>
              <w:jc w:val="center"/>
              <w:rPr>
                <w:rFonts w:eastAsia="Times New Roman" w:cs="Calibri"/>
                <w:noProof/>
              </w:rPr>
            </w:pPr>
            <w:r>
              <w:rPr>
                <w:noProof/>
              </w:rPr>
              <w:t>4.8</w:t>
            </w:r>
          </w:p>
        </w:tc>
        <w:tc>
          <w:tcPr>
            <w:tcW w:w="1191" w:type="dxa"/>
            <w:shd w:val="clear" w:color="auto" w:fill="C4EFCE"/>
            <w:vAlign w:val="center"/>
            <w:hideMark/>
          </w:tcPr>
          <w:p w14:paraId="26F1C65B" w14:textId="77777777" w:rsidR="00DC5EC6" w:rsidRDefault="003245A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hideMark/>
          </w:tcPr>
          <w:p w14:paraId="2453522C" w14:textId="77777777" w:rsidR="00DC5EC6" w:rsidRDefault="003245A4">
            <w:pPr>
              <w:pStyle w:val="P68B1DB1-Normal8"/>
              <w:spacing w:after="0" w:line="240" w:lineRule="auto"/>
              <w:jc w:val="center"/>
              <w:rPr>
                <w:rFonts w:eastAsia="Times New Roman" w:cs="Calibri"/>
                <w:noProof/>
              </w:rPr>
            </w:pPr>
            <w:r>
              <w:rPr>
                <w:noProof/>
              </w:rPr>
              <w:t>T </w:t>
            </w:r>
          </w:p>
        </w:tc>
        <w:tc>
          <w:tcPr>
            <w:tcW w:w="1588" w:type="dxa"/>
            <w:shd w:val="clear" w:color="auto" w:fill="C4EFCE"/>
            <w:vAlign w:val="center"/>
            <w:hideMark/>
          </w:tcPr>
          <w:p w14:paraId="2B8435E8" w14:textId="2A41D561" w:rsidR="00DC5EC6" w:rsidRDefault="003245A4">
            <w:pPr>
              <w:pStyle w:val="P68B1DB1-Normal8"/>
              <w:spacing w:after="0" w:line="240" w:lineRule="auto"/>
              <w:jc w:val="center"/>
              <w:rPr>
                <w:rFonts w:eastAsia="Times New Roman" w:cs="Calibri"/>
                <w:noProof/>
              </w:rPr>
            </w:pPr>
            <w:r>
              <w:rPr>
                <w:noProof/>
              </w:rPr>
              <w:t xml:space="preserve">A kulturális örökség részét képező épületek és nemzeti színházak rehabilitációjára és megőrzésére irányuló munkálatok </w:t>
            </w:r>
          </w:p>
        </w:tc>
        <w:tc>
          <w:tcPr>
            <w:tcW w:w="1193" w:type="dxa"/>
            <w:shd w:val="clear" w:color="auto" w:fill="C4EFCE"/>
            <w:vAlign w:val="center"/>
            <w:hideMark/>
          </w:tcPr>
          <w:p w14:paraId="0A14C98B" w14:textId="77777777" w:rsidR="00DC5EC6" w:rsidRDefault="003245A4">
            <w:pPr>
              <w:pStyle w:val="P68B1DB1-Normal8"/>
              <w:spacing w:after="0" w:line="240" w:lineRule="auto"/>
              <w:rPr>
                <w:rFonts w:eastAsia="Times New Roman" w:cs="Calibri"/>
                <w:noProof/>
              </w:rPr>
            </w:pPr>
            <w:r>
              <w:rPr>
                <w:noProof/>
              </w:rPr>
              <w:t>A munkálatok befejezése</w:t>
            </w:r>
          </w:p>
        </w:tc>
        <w:tc>
          <w:tcPr>
            <w:tcW w:w="930" w:type="dxa"/>
            <w:shd w:val="clear" w:color="auto" w:fill="C4EFCE"/>
            <w:vAlign w:val="center"/>
            <w:hideMark/>
          </w:tcPr>
          <w:p w14:paraId="5A849F2E" w14:textId="77777777" w:rsidR="00DC5EC6" w:rsidRDefault="003245A4">
            <w:pPr>
              <w:pStyle w:val="P68B1DB1-Normal8"/>
              <w:spacing w:after="0" w:line="240" w:lineRule="auto"/>
              <w:jc w:val="center"/>
              <w:rPr>
                <w:rFonts w:eastAsia="Times New Roman" w:cs="Calibri"/>
                <w:noProof/>
              </w:rPr>
            </w:pPr>
            <w:r>
              <w:rPr>
                <w:noProof/>
              </w:rPr>
              <w:t>Szám</w:t>
            </w:r>
          </w:p>
        </w:tc>
        <w:tc>
          <w:tcPr>
            <w:tcW w:w="1225" w:type="dxa"/>
            <w:shd w:val="clear" w:color="auto" w:fill="C4EFCE"/>
            <w:vAlign w:val="center"/>
            <w:hideMark/>
          </w:tcPr>
          <w:p w14:paraId="2CDB7EB4" w14:textId="77777777" w:rsidR="00DC5EC6" w:rsidRDefault="003245A4">
            <w:pPr>
              <w:pStyle w:val="P68B1DB1-Normal8"/>
              <w:spacing w:after="0" w:line="240" w:lineRule="auto"/>
              <w:jc w:val="center"/>
              <w:rPr>
                <w:rFonts w:eastAsia="Times New Roman" w:cs="Calibri"/>
                <w:noProof/>
              </w:rPr>
            </w:pPr>
            <w:r>
              <w:rPr>
                <w:noProof/>
              </w:rPr>
              <w:t>0</w:t>
            </w:r>
          </w:p>
        </w:tc>
        <w:tc>
          <w:tcPr>
            <w:tcW w:w="671" w:type="dxa"/>
            <w:shd w:val="clear" w:color="auto" w:fill="C4EFCE"/>
            <w:vAlign w:val="center"/>
            <w:hideMark/>
          </w:tcPr>
          <w:p w14:paraId="7B9894CE" w14:textId="6B71FBD0" w:rsidR="00DC5EC6" w:rsidRDefault="003245A4">
            <w:pPr>
              <w:pStyle w:val="P68B1DB1-Normal8"/>
              <w:spacing w:after="0" w:line="240" w:lineRule="auto"/>
              <w:jc w:val="center"/>
              <w:rPr>
                <w:rFonts w:eastAsia="Times New Roman" w:cs="Calibri"/>
                <w:noProof/>
              </w:rPr>
            </w:pPr>
            <w:r>
              <w:rPr>
                <w:noProof/>
              </w:rPr>
              <w:t>75</w:t>
            </w:r>
          </w:p>
        </w:tc>
        <w:tc>
          <w:tcPr>
            <w:tcW w:w="539" w:type="dxa"/>
            <w:shd w:val="clear" w:color="auto" w:fill="C4EFCE"/>
            <w:vAlign w:val="center"/>
            <w:hideMark/>
          </w:tcPr>
          <w:p w14:paraId="2791A5BD" w14:textId="709697A1" w:rsidR="00DC5EC6" w:rsidRDefault="00D14F07">
            <w:pPr>
              <w:pStyle w:val="P68B1DB1-Normal8"/>
              <w:spacing w:after="0" w:line="240" w:lineRule="auto"/>
              <w:jc w:val="center"/>
              <w:rPr>
                <w:rFonts w:eastAsia="Times New Roman" w:cs="Calibri"/>
                <w:noProof/>
              </w:rPr>
            </w:pPr>
            <w:r>
              <w:rPr>
                <w:noProof/>
              </w:rPr>
              <w:t>1.NEGYEDÉV </w:t>
            </w:r>
          </w:p>
        </w:tc>
        <w:tc>
          <w:tcPr>
            <w:tcW w:w="672" w:type="dxa"/>
            <w:shd w:val="clear" w:color="auto" w:fill="C4EFCE"/>
            <w:vAlign w:val="center"/>
            <w:hideMark/>
          </w:tcPr>
          <w:p w14:paraId="199003BA" w14:textId="4BAD9944" w:rsidR="00DC5EC6" w:rsidRDefault="003245A4">
            <w:pPr>
              <w:pStyle w:val="P68B1DB1-Normal8"/>
              <w:spacing w:after="0" w:line="240" w:lineRule="auto"/>
              <w:jc w:val="center"/>
              <w:rPr>
                <w:rFonts w:eastAsia="Times New Roman" w:cs="Calibri"/>
                <w:noProof/>
              </w:rPr>
            </w:pPr>
            <w:r>
              <w:rPr>
                <w:noProof/>
              </w:rPr>
              <w:t>2026</w:t>
            </w:r>
          </w:p>
        </w:tc>
        <w:tc>
          <w:tcPr>
            <w:tcW w:w="3756" w:type="dxa"/>
            <w:shd w:val="clear" w:color="auto" w:fill="C4EFCE"/>
            <w:vAlign w:val="center"/>
            <w:hideMark/>
          </w:tcPr>
          <w:p w14:paraId="44EBB5A9" w14:textId="5E647B96" w:rsidR="00DC5EC6" w:rsidRDefault="003245A4">
            <w:pPr>
              <w:pStyle w:val="P68B1DB1-Normal8"/>
              <w:spacing w:after="0" w:line="240" w:lineRule="auto"/>
              <w:jc w:val="both"/>
              <w:rPr>
                <w:rFonts w:eastAsia="Times New Roman" w:cs="Calibri"/>
                <w:noProof/>
              </w:rPr>
            </w:pPr>
            <w:r>
              <w:rPr>
                <w:noProof/>
              </w:rPr>
              <w:t>Azon kulturális helyszínek száma, amelyek esetében múzeumok, műemlékek, állami paloták és nemzeti színházak rehabilitációjára és megőrzésére irányuló munkálatokat végeztek.</w:t>
            </w:r>
          </w:p>
        </w:tc>
      </w:tr>
      <w:tr w:rsidR="00DC5EC6" w14:paraId="6C8F3CC5" w14:textId="77777777">
        <w:trPr>
          <w:trHeight w:val="2486"/>
        </w:trPr>
        <w:tc>
          <w:tcPr>
            <w:tcW w:w="1067" w:type="dxa"/>
            <w:shd w:val="clear" w:color="auto" w:fill="C5EFCE"/>
            <w:vAlign w:val="center"/>
          </w:tcPr>
          <w:p w14:paraId="14F7780E" w14:textId="50B225CD" w:rsidR="00DC5EC6" w:rsidRDefault="003245A4">
            <w:pPr>
              <w:pStyle w:val="P68B1DB1-Normal11"/>
              <w:spacing w:line="240" w:lineRule="auto"/>
              <w:jc w:val="center"/>
              <w:rPr>
                <w:rFonts w:eastAsiaTheme="minorEastAsia"/>
                <w:noProof/>
              </w:rPr>
            </w:pPr>
            <w:r>
              <w:rPr>
                <w:noProof/>
              </w:rPr>
              <w:t>4.11</w:t>
            </w:r>
          </w:p>
        </w:tc>
        <w:tc>
          <w:tcPr>
            <w:tcW w:w="1191" w:type="dxa"/>
            <w:shd w:val="clear" w:color="auto" w:fill="C4EFCE"/>
            <w:vAlign w:val="center"/>
          </w:tcPr>
          <w:p w14:paraId="031805CE" w14:textId="198EF4ED" w:rsidR="00DC5EC6" w:rsidRDefault="003245A4">
            <w:pPr>
              <w:pStyle w:val="P68B1DB1-Normal8"/>
              <w:spacing w:after="0" w:line="240" w:lineRule="auto"/>
              <w:jc w:val="center"/>
              <w:rPr>
                <w:rFonts w:eastAsia="Times New Roman" w:cs="Calibri"/>
                <w:noProof/>
              </w:rPr>
            </w:pPr>
            <w:r>
              <w:rPr>
                <w:noProof/>
              </w:rPr>
              <w:t>Re-C04-i02 </w:t>
            </w:r>
          </w:p>
        </w:tc>
        <w:tc>
          <w:tcPr>
            <w:tcW w:w="1060" w:type="dxa"/>
            <w:shd w:val="clear" w:color="auto" w:fill="C4EFCE"/>
            <w:vAlign w:val="center"/>
          </w:tcPr>
          <w:p w14:paraId="0170B3FA" w14:textId="1839734A" w:rsidR="00DC5EC6" w:rsidRDefault="003245A4">
            <w:pPr>
              <w:pStyle w:val="P68B1DB1-Normal12"/>
              <w:spacing w:line="240" w:lineRule="auto"/>
              <w:jc w:val="center"/>
              <w:rPr>
                <w:rFonts w:eastAsiaTheme="minorEastAsia"/>
                <w:noProof/>
              </w:rPr>
            </w:pPr>
            <w:r>
              <w:rPr>
                <w:noProof/>
              </w:rPr>
              <w:t>M</w:t>
            </w:r>
          </w:p>
        </w:tc>
        <w:tc>
          <w:tcPr>
            <w:tcW w:w="1588" w:type="dxa"/>
            <w:shd w:val="clear" w:color="auto" w:fill="C4EFCE"/>
            <w:vAlign w:val="center"/>
          </w:tcPr>
          <w:p w14:paraId="7A827ECC" w14:textId="31B94B99" w:rsidR="00DC5EC6" w:rsidRDefault="003245A4">
            <w:pPr>
              <w:pStyle w:val="P68B1DB1-Normal8"/>
              <w:widowControl w:val="0"/>
              <w:spacing w:after="0" w:line="240" w:lineRule="auto"/>
              <w:jc w:val="center"/>
              <w:rPr>
                <w:rFonts w:eastAsia="Calibri" w:cs="Calibri"/>
                <w:noProof/>
              </w:rPr>
            </w:pPr>
            <w:r>
              <w:rPr>
                <w:noProof/>
              </w:rPr>
              <w:t>A „Saber Fazer” technológiai központ kezdeményezés laboratóriumainak és útvonalainak telepítése, valamint a hagyományos technikákkal kapcsolatos pedagógiai és információs tevékenységek létrehozása.</w:t>
            </w:r>
          </w:p>
        </w:tc>
        <w:tc>
          <w:tcPr>
            <w:tcW w:w="1193" w:type="dxa"/>
            <w:shd w:val="clear" w:color="auto" w:fill="C4EFCE"/>
            <w:vAlign w:val="center"/>
          </w:tcPr>
          <w:p w14:paraId="02EC0D5B" w14:textId="2468D793" w:rsidR="00DC5EC6" w:rsidRDefault="003245A4">
            <w:pPr>
              <w:pStyle w:val="P68B1DB1-Normal8"/>
              <w:spacing w:after="0" w:line="240" w:lineRule="auto"/>
              <w:jc w:val="center"/>
              <w:rPr>
                <w:rFonts w:eastAsia="Calibri" w:cs="Calibri"/>
                <w:noProof/>
              </w:rPr>
            </w:pPr>
            <w:r>
              <w:rPr>
                <w:noProof/>
              </w:rPr>
              <w:t>Laboratóriumok létesítése és útvonalak kialakítása, informatív tevékenységek kialakítása</w:t>
            </w:r>
          </w:p>
        </w:tc>
        <w:tc>
          <w:tcPr>
            <w:tcW w:w="930" w:type="dxa"/>
            <w:shd w:val="clear" w:color="auto" w:fill="C4EFCE"/>
            <w:vAlign w:val="center"/>
          </w:tcPr>
          <w:p w14:paraId="00D6DCB5" w14:textId="6E4FFB7F" w:rsidR="00DC5EC6" w:rsidRDefault="00DC5EC6">
            <w:pPr>
              <w:spacing w:line="240" w:lineRule="auto"/>
              <w:jc w:val="center"/>
              <w:rPr>
                <w:rFonts w:eastAsiaTheme="minorEastAsia"/>
                <w:noProof/>
                <w:sz w:val="16"/>
              </w:rPr>
            </w:pPr>
          </w:p>
        </w:tc>
        <w:tc>
          <w:tcPr>
            <w:tcW w:w="1225" w:type="dxa"/>
            <w:shd w:val="clear" w:color="auto" w:fill="C4EFCE"/>
            <w:vAlign w:val="center"/>
          </w:tcPr>
          <w:p w14:paraId="212F99FB" w14:textId="75AD13CC" w:rsidR="00DC5EC6" w:rsidRDefault="00DC5EC6">
            <w:pPr>
              <w:spacing w:line="240" w:lineRule="auto"/>
              <w:jc w:val="center"/>
              <w:rPr>
                <w:rFonts w:eastAsiaTheme="minorEastAsia"/>
                <w:noProof/>
                <w:sz w:val="16"/>
              </w:rPr>
            </w:pPr>
          </w:p>
        </w:tc>
        <w:tc>
          <w:tcPr>
            <w:tcW w:w="671" w:type="dxa"/>
            <w:shd w:val="clear" w:color="auto" w:fill="C4EFCE"/>
            <w:vAlign w:val="center"/>
          </w:tcPr>
          <w:p w14:paraId="55B67104" w14:textId="32C4CF8D" w:rsidR="00DC5EC6" w:rsidRDefault="00DC5EC6">
            <w:pPr>
              <w:spacing w:line="240" w:lineRule="auto"/>
              <w:jc w:val="center"/>
              <w:rPr>
                <w:rFonts w:eastAsiaTheme="minorEastAsia"/>
                <w:noProof/>
                <w:sz w:val="16"/>
              </w:rPr>
            </w:pPr>
          </w:p>
        </w:tc>
        <w:tc>
          <w:tcPr>
            <w:tcW w:w="539" w:type="dxa"/>
            <w:shd w:val="clear" w:color="auto" w:fill="C4EFCE"/>
            <w:vAlign w:val="center"/>
          </w:tcPr>
          <w:p w14:paraId="21CA84BA" w14:textId="5377008D" w:rsidR="00DC5EC6" w:rsidRDefault="00D14F07">
            <w:pPr>
              <w:pStyle w:val="P68B1DB1-Normal12"/>
              <w:spacing w:line="240" w:lineRule="auto"/>
              <w:jc w:val="center"/>
              <w:rPr>
                <w:rFonts w:eastAsiaTheme="minorEastAsia"/>
                <w:noProof/>
              </w:rPr>
            </w:pPr>
            <w:r>
              <w:rPr>
                <w:noProof/>
              </w:rPr>
              <w:t>4. NEGYEDÉV</w:t>
            </w:r>
          </w:p>
        </w:tc>
        <w:tc>
          <w:tcPr>
            <w:tcW w:w="672" w:type="dxa"/>
            <w:shd w:val="clear" w:color="auto" w:fill="C4EFCE"/>
            <w:vAlign w:val="center"/>
          </w:tcPr>
          <w:p w14:paraId="48405223" w14:textId="3B99029C" w:rsidR="00DC5EC6" w:rsidRDefault="003245A4">
            <w:pPr>
              <w:pStyle w:val="P68B1DB1-Normal12"/>
              <w:spacing w:line="240" w:lineRule="auto"/>
              <w:jc w:val="center"/>
              <w:rPr>
                <w:rFonts w:eastAsiaTheme="minorEastAsia"/>
                <w:noProof/>
              </w:rPr>
            </w:pPr>
            <w:r>
              <w:rPr>
                <w:noProof/>
              </w:rPr>
              <w:t>2025</w:t>
            </w:r>
          </w:p>
        </w:tc>
        <w:tc>
          <w:tcPr>
            <w:tcW w:w="3756" w:type="dxa"/>
            <w:shd w:val="clear" w:color="auto" w:fill="C4EFCE"/>
            <w:vAlign w:val="center"/>
          </w:tcPr>
          <w:p w14:paraId="68A57C86" w14:textId="204DEDB9" w:rsidR="00DC5EC6" w:rsidRDefault="003245A4">
            <w:pPr>
              <w:pStyle w:val="P68B1DB1-Normal8"/>
              <w:spacing w:line="240" w:lineRule="auto"/>
              <w:rPr>
                <w:rFonts w:eastAsia="Calibri" w:cs="Calibri"/>
                <w:noProof/>
              </w:rPr>
            </w:pPr>
            <w:r>
              <w:rPr>
                <w:noProof/>
              </w:rPr>
              <w:t>Létre kell hozni a „Saber Fazer” technológiai központ kezdeményezés laboratóriumait és útvonalait.</w:t>
            </w:r>
          </w:p>
          <w:p w14:paraId="4A586D50" w14:textId="49FECD44" w:rsidR="00DC5EC6" w:rsidRDefault="003245A4">
            <w:pPr>
              <w:pStyle w:val="P68B1DB1-Normal8"/>
              <w:spacing w:line="240" w:lineRule="auto"/>
              <w:rPr>
                <w:rFonts w:eastAsia="Calibri" w:cs="Calibri"/>
                <w:noProof/>
              </w:rPr>
            </w:pPr>
            <w:r>
              <w:rPr>
                <w:noProof/>
              </w:rPr>
              <w:t>Létre kell hozni a hagyományos technikákkal kapcsolatos pedagógiai és információs tevékenységeket</w:t>
            </w:r>
          </w:p>
        </w:tc>
      </w:tr>
      <w:tr w:rsidR="00DC5EC6" w14:paraId="2E9B74C5" w14:textId="77777777">
        <w:trPr>
          <w:trHeight w:val="1232"/>
        </w:trPr>
        <w:tc>
          <w:tcPr>
            <w:tcW w:w="1067" w:type="dxa"/>
            <w:shd w:val="clear" w:color="auto" w:fill="C5EFCE"/>
            <w:vAlign w:val="center"/>
          </w:tcPr>
          <w:p w14:paraId="7B23F4D9" w14:textId="656A027C" w:rsidR="00DC5EC6" w:rsidRDefault="003245A4">
            <w:pPr>
              <w:pStyle w:val="P68B1DB1-Normal11"/>
              <w:spacing w:after="0" w:line="240" w:lineRule="auto"/>
              <w:jc w:val="center"/>
              <w:rPr>
                <w:rFonts w:eastAsiaTheme="minorEastAsia"/>
                <w:noProof/>
              </w:rPr>
            </w:pPr>
            <w:r>
              <w:rPr>
                <w:noProof/>
              </w:rPr>
              <w:t>4.12</w:t>
            </w:r>
          </w:p>
        </w:tc>
        <w:tc>
          <w:tcPr>
            <w:tcW w:w="1191" w:type="dxa"/>
            <w:shd w:val="clear" w:color="auto" w:fill="C4EFCE"/>
            <w:vAlign w:val="center"/>
          </w:tcPr>
          <w:p w14:paraId="2D75212B" w14:textId="699667CF" w:rsidR="00DC5EC6" w:rsidRDefault="003245A4">
            <w:pPr>
              <w:pStyle w:val="P68B1DB1-Normal12"/>
              <w:spacing w:line="240" w:lineRule="auto"/>
              <w:jc w:val="center"/>
              <w:rPr>
                <w:rFonts w:eastAsiaTheme="minorEastAsia"/>
                <w:noProof/>
              </w:rPr>
            </w:pPr>
            <w:r>
              <w:rPr>
                <w:noProof/>
              </w:rPr>
              <w:t>Re-C04-i02</w:t>
            </w:r>
          </w:p>
        </w:tc>
        <w:tc>
          <w:tcPr>
            <w:tcW w:w="1060" w:type="dxa"/>
            <w:shd w:val="clear" w:color="auto" w:fill="C4EFCE"/>
            <w:vAlign w:val="center"/>
          </w:tcPr>
          <w:p w14:paraId="01863DAD" w14:textId="500BD97C" w:rsidR="00DC5EC6" w:rsidRDefault="003245A4">
            <w:pPr>
              <w:pStyle w:val="P68B1DB1-Normal12"/>
              <w:spacing w:after="0" w:line="240" w:lineRule="auto"/>
              <w:jc w:val="center"/>
              <w:rPr>
                <w:rFonts w:eastAsiaTheme="minorEastAsia"/>
                <w:noProof/>
              </w:rPr>
            </w:pPr>
            <w:r>
              <w:rPr>
                <w:noProof/>
              </w:rPr>
              <w:t>M</w:t>
            </w:r>
          </w:p>
        </w:tc>
        <w:tc>
          <w:tcPr>
            <w:tcW w:w="1588" w:type="dxa"/>
            <w:shd w:val="clear" w:color="auto" w:fill="C4EFCE"/>
            <w:vAlign w:val="center"/>
          </w:tcPr>
          <w:p w14:paraId="15F8BB2A" w14:textId="4AD42237" w:rsidR="00DC5EC6" w:rsidRDefault="003245A4">
            <w:pPr>
              <w:pStyle w:val="P68B1DB1-Normal12"/>
              <w:widowControl w:val="0"/>
              <w:spacing w:after="0" w:line="240" w:lineRule="auto"/>
              <w:jc w:val="center"/>
              <w:rPr>
                <w:rFonts w:eastAsia="Calibri"/>
                <w:noProof/>
              </w:rPr>
            </w:pPr>
            <w:r>
              <w:rPr>
                <w:noProof/>
              </w:rPr>
              <w:t>A Nemzeti Irattár építésének befejezése</w:t>
            </w:r>
          </w:p>
        </w:tc>
        <w:tc>
          <w:tcPr>
            <w:tcW w:w="1193" w:type="dxa"/>
            <w:shd w:val="clear" w:color="auto" w:fill="C4EFCE"/>
            <w:vAlign w:val="center"/>
          </w:tcPr>
          <w:p w14:paraId="21192B9D" w14:textId="5381A138" w:rsidR="00DC5EC6" w:rsidRDefault="003245A4">
            <w:pPr>
              <w:pStyle w:val="P68B1DB1-Normal12"/>
              <w:spacing w:after="0" w:line="240" w:lineRule="auto"/>
              <w:jc w:val="center"/>
              <w:rPr>
                <w:rFonts w:eastAsiaTheme="minorEastAsia"/>
                <w:noProof/>
              </w:rPr>
            </w:pPr>
            <w:r>
              <w:rPr>
                <w:noProof/>
              </w:rPr>
              <w:t>Az építési munkák befejezése</w:t>
            </w:r>
          </w:p>
          <w:p w14:paraId="0230FF46" w14:textId="6B7D17FB" w:rsidR="00DC5EC6" w:rsidRDefault="00DC5EC6">
            <w:pPr>
              <w:spacing w:after="0" w:line="240" w:lineRule="auto"/>
              <w:jc w:val="center"/>
              <w:rPr>
                <w:rFonts w:eastAsiaTheme="minorEastAsia"/>
                <w:noProof/>
                <w:sz w:val="16"/>
              </w:rPr>
            </w:pPr>
          </w:p>
        </w:tc>
        <w:tc>
          <w:tcPr>
            <w:tcW w:w="930" w:type="dxa"/>
            <w:shd w:val="clear" w:color="auto" w:fill="C4EFCE"/>
            <w:vAlign w:val="center"/>
          </w:tcPr>
          <w:p w14:paraId="2CBDC436" w14:textId="77777777" w:rsidR="00DC5EC6" w:rsidRDefault="00DC5EC6">
            <w:pPr>
              <w:spacing w:after="0" w:line="240" w:lineRule="auto"/>
              <w:jc w:val="center"/>
              <w:rPr>
                <w:rFonts w:eastAsiaTheme="minorEastAsia"/>
                <w:noProof/>
                <w:sz w:val="16"/>
              </w:rPr>
            </w:pPr>
          </w:p>
        </w:tc>
        <w:tc>
          <w:tcPr>
            <w:tcW w:w="1225" w:type="dxa"/>
            <w:shd w:val="clear" w:color="auto" w:fill="C4EFCE"/>
            <w:vAlign w:val="center"/>
          </w:tcPr>
          <w:p w14:paraId="071D080E" w14:textId="77777777" w:rsidR="00DC5EC6" w:rsidRDefault="00DC5EC6">
            <w:pPr>
              <w:spacing w:after="0" w:line="240" w:lineRule="auto"/>
              <w:jc w:val="center"/>
              <w:rPr>
                <w:rFonts w:eastAsiaTheme="minorEastAsia"/>
                <w:noProof/>
                <w:sz w:val="16"/>
              </w:rPr>
            </w:pPr>
          </w:p>
        </w:tc>
        <w:tc>
          <w:tcPr>
            <w:tcW w:w="671" w:type="dxa"/>
            <w:shd w:val="clear" w:color="auto" w:fill="C4EFCE"/>
            <w:vAlign w:val="center"/>
          </w:tcPr>
          <w:p w14:paraId="7FCAA4F0" w14:textId="77777777" w:rsidR="00DC5EC6" w:rsidRDefault="00DC5EC6">
            <w:pPr>
              <w:spacing w:after="0" w:line="240" w:lineRule="auto"/>
              <w:jc w:val="center"/>
              <w:rPr>
                <w:rFonts w:eastAsiaTheme="minorEastAsia"/>
                <w:noProof/>
                <w:sz w:val="16"/>
              </w:rPr>
            </w:pPr>
          </w:p>
        </w:tc>
        <w:tc>
          <w:tcPr>
            <w:tcW w:w="539" w:type="dxa"/>
            <w:shd w:val="clear" w:color="auto" w:fill="C4EFCE"/>
            <w:vAlign w:val="center"/>
          </w:tcPr>
          <w:p w14:paraId="1C2674F4" w14:textId="68208390" w:rsidR="00DC5EC6" w:rsidRDefault="00D14F07">
            <w:pPr>
              <w:pStyle w:val="P68B1DB1-Normal12"/>
              <w:spacing w:after="0" w:line="240" w:lineRule="auto"/>
              <w:jc w:val="center"/>
              <w:rPr>
                <w:rFonts w:eastAsiaTheme="minorEastAsia"/>
                <w:noProof/>
              </w:rPr>
            </w:pPr>
            <w:r>
              <w:rPr>
                <w:noProof/>
              </w:rPr>
              <w:t>1.NEGYEDÉV</w:t>
            </w:r>
          </w:p>
        </w:tc>
        <w:tc>
          <w:tcPr>
            <w:tcW w:w="672" w:type="dxa"/>
            <w:shd w:val="clear" w:color="auto" w:fill="C4EFCE"/>
            <w:vAlign w:val="center"/>
          </w:tcPr>
          <w:p w14:paraId="0A6163C6" w14:textId="6FB0E70F" w:rsidR="00DC5EC6" w:rsidRDefault="003245A4">
            <w:pPr>
              <w:pStyle w:val="P68B1DB1-Normal12"/>
              <w:spacing w:after="0" w:line="240" w:lineRule="auto"/>
              <w:jc w:val="center"/>
              <w:rPr>
                <w:rFonts w:eastAsiaTheme="minorEastAsia"/>
                <w:noProof/>
              </w:rPr>
            </w:pPr>
            <w:r>
              <w:rPr>
                <w:noProof/>
              </w:rPr>
              <w:t>2026</w:t>
            </w:r>
          </w:p>
        </w:tc>
        <w:tc>
          <w:tcPr>
            <w:tcW w:w="3756" w:type="dxa"/>
            <w:shd w:val="clear" w:color="auto" w:fill="C4EFCE"/>
            <w:vAlign w:val="center"/>
          </w:tcPr>
          <w:p w14:paraId="553D6012" w14:textId="684A611B" w:rsidR="00DC5EC6" w:rsidRDefault="003245A4">
            <w:pPr>
              <w:pStyle w:val="P68B1DB1-Normal12"/>
              <w:spacing w:line="240" w:lineRule="auto"/>
              <w:rPr>
                <w:rFonts w:ascii="Calibri" w:eastAsia="Times New Roman" w:hAnsi="Calibri" w:cs="Calibri"/>
                <w:noProof/>
              </w:rPr>
            </w:pPr>
            <w:r>
              <w:rPr>
                <w:noProof/>
              </w:rPr>
              <w:t>A Sound Nemzeti Irattár épülete építésének befejezése. Az épületnek legalább 1 100 m² használható területtel kell rendelkeznie, és többek között megbízható dokumentumok megőrzésére alkalmas felszereléssel kell rendelkeznie. Az n</w:t>
            </w:r>
            <w:r>
              <w:rPr>
                <w:rFonts w:ascii="Calibri" w:hAnsi="Calibri"/>
                <w:noProof/>
              </w:rPr>
              <w:t>ew épület primerenergia-szükségletének legalább 20%-kal a közel nulla energiaigényű épületekre vonatkozó követelmények alatt kell lennie.</w:t>
            </w:r>
          </w:p>
        </w:tc>
      </w:tr>
    </w:tbl>
    <w:p w14:paraId="7A7D7EC6" w14:textId="25A02098" w:rsidR="00DC5EC6" w:rsidRDefault="00DC5EC6">
      <w:pPr>
        <w:rPr>
          <w:noProof/>
        </w:rPr>
      </w:pPr>
    </w:p>
    <w:p w14:paraId="796D791C" w14:textId="77777777" w:rsidR="00DC5EC6" w:rsidRDefault="00DC5EC6">
      <w:pPr>
        <w:rPr>
          <w:rFonts w:ascii="Times New Roman" w:eastAsiaTheme="minorEastAsia" w:hAnsi="Times New Roman" w:cs="Times New Roman"/>
          <w:noProof/>
          <w:sz w:val="24"/>
        </w:rPr>
      </w:pPr>
    </w:p>
    <w:p w14:paraId="77CC12FE" w14:textId="77777777" w:rsidR="00DC5EC6" w:rsidRDefault="00DC5EC6">
      <w:pPr>
        <w:rPr>
          <w:rFonts w:ascii="Times New Roman" w:eastAsiaTheme="minorEastAsia" w:hAnsi="Times New Roman" w:cs="Times New Roman"/>
          <w:noProof/>
          <w:sz w:val="24"/>
        </w:rPr>
      </w:pPr>
    </w:p>
    <w:p w14:paraId="62B18445" w14:textId="77777777" w:rsidR="00DC5EC6" w:rsidRDefault="00DC5EC6">
      <w:pPr>
        <w:rPr>
          <w:rFonts w:ascii="Times New Roman" w:eastAsiaTheme="minorEastAsia" w:hAnsi="Times New Roman" w:cs="Times New Roman"/>
          <w:b/>
          <w:noProof/>
          <w:sz w:val="24"/>
          <w:u w:val="single"/>
        </w:rPr>
        <w:sectPr w:rsidR="00DC5EC6" w:rsidSect="00E00EDD">
          <w:headerReference w:type="even" r:id="rId90"/>
          <w:headerReference w:type="default" r:id="rId91"/>
          <w:footerReference w:type="even" r:id="rId92"/>
          <w:footerReference w:type="default" r:id="rId93"/>
          <w:headerReference w:type="first" r:id="rId94"/>
          <w:footerReference w:type="first" r:id="rId95"/>
          <w:pgSz w:w="16839" w:h="11907" w:orient="landscape"/>
          <w:pgMar w:top="1134" w:right="1134" w:bottom="1134" w:left="1134" w:header="567" w:footer="567" w:gutter="0"/>
          <w:cols w:space="720"/>
          <w:docGrid w:linePitch="360"/>
        </w:sectPr>
      </w:pPr>
    </w:p>
    <w:p w14:paraId="67852003" w14:textId="0F9C7E16" w:rsidR="00DC5EC6" w:rsidRDefault="003245A4">
      <w:pPr>
        <w:pStyle w:val="P68B1DB1-Normal3"/>
        <w:rPr>
          <w:rFonts w:eastAsiaTheme="minorEastAsia" w:cs="Times New Roman"/>
          <w:noProof/>
        </w:rPr>
      </w:pPr>
      <w:r>
        <w:rPr>
          <w:noProof/>
        </w:rPr>
        <w:t xml:space="preserve">E. 5. </w:t>
      </w:r>
      <w:r w:rsidR="00342815">
        <w:rPr>
          <w:noProof/>
        </w:rPr>
        <w:t>KOMPONENS</w:t>
      </w:r>
      <w:r>
        <w:rPr>
          <w:noProof/>
        </w:rPr>
        <w:t>: Beruházás és innováció</w:t>
      </w:r>
    </w:p>
    <w:p w14:paraId="1531FA16" w14:textId="77777777" w:rsidR="00DC5EC6" w:rsidRDefault="003245A4">
      <w:pPr>
        <w:pStyle w:val="P68B1DB1-Normal4"/>
        <w:jc w:val="both"/>
        <w:rPr>
          <w:rFonts w:eastAsiaTheme="minorEastAsia" w:cs="Times New Roman"/>
          <w:noProof/>
        </w:rPr>
      </w:pPr>
      <w:r>
        <w:rPr>
          <w:noProof/>
        </w:rPr>
        <w:t>A portugál helyreállítási és rezilienciaépítési terv e komponense a kutatás és innováció viszonylag szerény szintjéhez kapcsolódó kihívásokkal foglalkozik, különösen a vállalkozások és a tudomány közötti kapcsolatok előmozdítása révén, különös tekintettel a zöld átállással kapcsolatos innovációra, valamint a portugál üzleti ágazat tartósan alultőkésítettségével kapcsolatos kihívásokra, amely a Covid19-világjárvány következtében tovább romlott.</w:t>
      </w:r>
    </w:p>
    <w:p w14:paraId="44389BA8" w14:textId="77777777" w:rsidR="00DC5EC6" w:rsidRDefault="003245A4">
      <w:pPr>
        <w:pStyle w:val="P68B1DB1-Normal4"/>
        <w:jc w:val="both"/>
        <w:rPr>
          <w:rFonts w:eastAsiaTheme="minorEastAsia" w:cs="Times New Roman"/>
          <w:noProof/>
        </w:rPr>
      </w:pPr>
      <w:r>
        <w:rPr>
          <w:noProof/>
        </w:rPr>
        <w:t xml:space="preserve">A komponens célja a portugál gazdaság versenyképességének és ellenálló képességének növelése a kutatás megerősítését célzó intézkedések révén, előmozdítva annak eredményeit az üzleti szektornak, ezáltal előmozdítva az innovációt és a beruházásokat. A komponens kutatási és innovációs részének célja a tudományos élet és a vállalkozások közötti együttműködés javítása, Portugália tudományos és technológiai potenciáljának megerősítése, valamint a jelentős társadalmi-gazdasági és környezeti kihívásokkal foglalkozó ambiciózus és átfogó kutatási és innovációs menetrendek végrehajtásának támogatása. Ez várhatóan fokozott és hatékonyabb K+F- és innovációs beruházások, a kutatási eredmények beruházásokba való jobb átültetését, a termelési struktúra diverzifikációját és szakosodását célzó célzott támogatás, a már meglévő ipari ágazatok és feltörekvő területek versenyalapú megerősítésében rejlő tényleges potenciál kiaknázása, valamint a kettős átálláshoz való hozzájárulás révén érhető el. Ezen összetevő célja különösen a magas hozzáadott értékű áruk és szolgáltatások exportjának növelése, a K+F beruházások növelése (mind az új, magas képzettséget igénylő munkahelyek, mind a vállalkozások K+F kiadásainak növelése révén), valamint a szén-dioxid-kibocsátás csökkentéséhez való hozzájárulás. </w:t>
      </w:r>
    </w:p>
    <w:p w14:paraId="0D653E56" w14:textId="77777777" w:rsidR="00DC5EC6" w:rsidRDefault="003245A4">
      <w:pPr>
        <w:pStyle w:val="P68B1DB1-Normal4"/>
        <w:jc w:val="both"/>
        <w:rPr>
          <w:rFonts w:eastAsiaTheme="minorEastAsia" w:cs="Times New Roman"/>
          <w:noProof/>
        </w:rPr>
      </w:pPr>
      <w:r>
        <w:rPr>
          <w:noProof/>
        </w:rPr>
        <w:t xml:space="preserve">Összhangban azzal, hogy támogatni kell a termelőrendszer fizetőképességét és kezelni kell a finanszírozáshoz való hozzáférés piaci hiányosságait, ez a komponens magában foglal egy olyan reformot és beruházásokat, amelyek a Nemzeti Fejlesztési Bank, a </w:t>
      </w:r>
      <w:r>
        <w:rPr>
          <w:i/>
          <w:noProof/>
        </w:rPr>
        <w:t>Banco Português de Fomento</w:t>
      </w:r>
      <w:r>
        <w:rPr>
          <w:noProof/>
        </w:rPr>
        <w:t xml:space="preserve"> létrehozása és tőkemegerősítése, valamint új pénzügyi eszközök kifejlesztése révén hozzájárulnak a portugál vállalati finanszírozási piac javításához. A komponens tőkepiaci reformokat is bevezet a portugál tőkepiacok hosszú távú megerősítése érdekében a meglévő jogi keret felülvizsgálata és új jogszabályok elfogadása révén, különös hangsúlyt fektetve az értékpapír-befektetési társaságokra a gazdaság fejlesztése érdekében (SIMFE), a kollektív befektetési vállalkozásokra és az értékpapírtörvény felülvizsgálatára.</w:t>
      </w:r>
    </w:p>
    <w:p w14:paraId="0F7F4FD3" w14:textId="77777777" w:rsidR="00DC5EC6" w:rsidRDefault="003245A4">
      <w:pPr>
        <w:pStyle w:val="P68B1DB1-Normal4"/>
        <w:jc w:val="both"/>
        <w:rPr>
          <w:rFonts w:eastAsiaTheme="minorEastAsia" w:cs="Times New Roman"/>
          <w:noProof/>
        </w:rPr>
      </w:pPr>
      <w:r>
        <w:rPr>
          <w:noProof/>
        </w:rPr>
        <w:t xml:space="preserve">A komponens támogatja az éghajlatvédelmi átállással kapcsolatos beruházásokról szóló országspecifikus ajánlás (2020. évi 3. országspecifikus ajánlás), az innovációs beruházásokkal kapcsolatos gazdaságpolitikai összpontosításról szóló országspecifikus ajánlás (2019. évi 3. országspecifikus ajánlás) és a 2020. évi 3. országspecifikus ajánlás (a zöld és digitális átállásra irányuló fókuszberuházások) végrehajtását. A komponens hozzájárul a vállalkozások, különösen a kis- és középvállalkozások likviditáshoz való hozzáférésének biztosítását és a gazdasági fellendülést elősegítő magánberuházások előmozdítását célzó ideiglenes intézkedések végrehajtásáról szóló országspecifikus ajánlás (2020. évi 3. országspecifikus ajánlás) megvalósításához. </w:t>
      </w:r>
    </w:p>
    <w:p w14:paraId="664ADF2C" w14:textId="511AE2E5" w:rsidR="00DC5EC6" w:rsidRDefault="003245A4">
      <w:pPr>
        <w:pStyle w:val="P68B1DB1-Normal4"/>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61608694"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F17D5AC"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E.1. Vissza nem térítendő pénzügyi támogatás – a reformok és beruházások ismertetése</w:t>
      </w:r>
    </w:p>
    <w:p w14:paraId="606D15A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RE-r09 reform: A K+I+F és a vállalkozásokba történő innovatív beruházások előmozdítása</w:t>
      </w:r>
    </w:p>
    <w:p w14:paraId="53E39BC7" w14:textId="77777777" w:rsidR="00DC5EC6" w:rsidRDefault="003245A4">
      <w:pPr>
        <w:pStyle w:val="P68B1DB1-Normal4"/>
        <w:keepNext/>
        <w:spacing w:before="40" w:after="0" w:line="259" w:lineRule="auto"/>
        <w:jc w:val="both"/>
        <w:rPr>
          <w:rFonts w:eastAsiaTheme="minorEastAsia" w:cs="Times New Roman"/>
          <w:noProof/>
        </w:rPr>
      </w:pPr>
      <w:r>
        <w:rPr>
          <w:noProof/>
        </w:rPr>
        <w:t>A reform célja a K+F beruházások előmozdítása, különösen a köz- és magánszektorbeli K+F beruházások hatékonyabbá és eredményesebbé tételéhez kedvező keretfeltételek biztosítása révén. A reform a 2018–2030-as technológiai és vállalati innovációs stratégia aktualizálásának részét képezi. Az aktualizálás célja, hogy megkönnyítse a köz- és magánszféra közötti partnerségek finanszírozását és működőképessé tételét az ambiciózus kutatási és innovációs menetrendek támogatása érdekében. A reform célja a K+F tevékenységek finanszírozási eszközeihez való hozzáférés egyszerűsítése, valamint a finanszírozás kiszámíthatóságának és stabilitásának javítása az állami K+F beruházások többéves programozási keretének létrehozásával, a K+F beruházások független nyomonkövetési rendszerének támogatásával. Az e reformmal összefüggésben végrehajtandó beruházások a RE-C05-i01.01 és az RE-C05-i01.02.</w:t>
      </w:r>
    </w:p>
    <w:p w14:paraId="5DDBF669"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december 31-ig be kell fejezni.</w:t>
      </w:r>
    </w:p>
    <w:p w14:paraId="5A89012B"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RE-r11 reform: Az interfészintézmények hálózatának bővítése és megszilárdítása.</w:t>
      </w:r>
    </w:p>
    <w:p w14:paraId="54FEC57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 A reform célja a tudományos élet és a vállalkozások közötti kapcsolatok javítása a tudásáramlás és a technológiatranszfer fokozása érdekében.</w:t>
      </w:r>
    </w:p>
    <w:p w14:paraId="4CE9F67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a technológiai interfészrendszer – különösen az INTERFACE program keretében létrehozott technológiai központok és INTERFACE központok – jogszabályi és szabályozási keretének felülvizsgálatából és szabványosításából áll. A technológiai központok és az INTERFACE központok kutatási szervezeteket (köztük felsőoktatási intézményeket) és vállalatokat kötnek össze a tudás- és technológiatranszfer támogatása érdekében. A reform meghatározza e szervezetek létrehozásának folyamatát, valamint irányítási és finanszírozási modelljét. </w:t>
      </w:r>
    </w:p>
    <w:p w14:paraId="46A2033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jogalkotási javaslat előkészítéséért a kormány által létrehozott technológiai infrastruktúrákkal foglalkozó munkacsoport felel. </w:t>
      </w:r>
    </w:p>
    <w:p w14:paraId="5061F46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e reformmal összefüggésben végrehajtandó beruházások a RE-C05-i01.01 és az RE-C05-i01.02. </w:t>
      </w:r>
    </w:p>
    <w:p w14:paraId="58E8E4D5" w14:textId="77777777" w:rsidR="00DC5EC6" w:rsidRDefault="003245A4">
      <w:pPr>
        <w:pStyle w:val="P68B1DB1-Normal4"/>
        <w:keepNext/>
        <w:spacing w:before="40" w:after="0" w:line="259" w:lineRule="auto"/>
        <w:jc w:val="both"/>
        <w:rPr>
          <w:rFonts w:eastAsiaTheme="minorEastAsia"/>
          <w:noProof/>
        </w:rPr>
      </w:pPr>
      <w:r>
        <w:rPr>
          <w:noProof/>
        </w:rPr>
        <w:t xml:space="preserve">A reform végrehajtását 2021. december 31-ig be kell fejezni. </w:t>
      </w:r>
    </w:p>
    <w:p w14:paraId="799FB709"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Reform RE-r12: A fenntartható mezőgazdaság, élelmiszeripar és agráripar kutatási és innovációs menetrendje.</w:t>
      </w:r>
    </w:p>
    <w:p w14:paraId="7F3DD78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célja a portugál mezőgazdasági ágazat megerősítése, az élelmezés- és táplálkozásbiztonság biztosítása, az egészséghez és a jóléthez való hozzájárulás, a vidéki területek kezelésének javítása, a biológiai sokféleség megőrzésének előmozdítása, az éghajlatváltozás hatásainak enyhítéséhez szükséges kiigazítások és hozzájárulások, valamint más gazdasági tevékenységek – többek között a mezőgazdasági szolgáltatások, sőt az étkeztetés és az idegenforgalom – ösztönzése. </w:t>
      </w:r>
    </w:p>
    <w:p w14:paraId="0282D255" w14:textId="77777777" w:rsidR="00DC5EC6" w:rsidRDefault="003245A4">
      <w:pPr>
        <w:pStyle w:val="P68B1DB1-Normal4"/>
        <w:keepNext/>
        <w:spacing w:before="40" w:after="0" w:line="259" w:lineRule="auto"/>
        <w:jc w:val="both"/>
        <w:rPr>
          <w:rFonts w:eastAsiaTheme="minorEastAsia" w:cs="Times New Roman"/>
          <w:noProof/>
        </w:rPr>
      </w:pPr>
      <w:r>
        <w:rPr>
          <w:noProof/>
        </w:rPr>
        <w:t>A reform támogatja a 20|30 mezőgazdasági innovációs terv végrehajtását. Ez magában foglalja a meglévő infrastruktúra frissítéséhez és előkészítéséhez szükséges eszközök biztosítását, valamint a funkcionális szövetségek előmozdítását az agrár-élelmiszeripari lánc, a vállalkozások és a kutatás mentén, a mezőgazdasági ágazat szükségleteire irányuló K+I fejlesztésének és integrációjának előmozdítása érdekében, a zöld és digitális átállás érdekében.</w:t>
      </w:r>
    </w:p>
    <w:p w14:paraId="6FCBAA78" w14:textId="72B74A7B" w:rsidR="00DC5EC6" w:rsidRDefault="003245A4">
      <w:pPr>
        <w:pStyle w:val="P68B1DB1-Normal4"/>
        <w:keepNext/>
        <w:spacing w:before="40" w:after="0" w:line="259" w:lineRule="auto"/>
        <w:jc w:val="both"/>
        <w:rPr>
          <w:rFonts w:eastAsiaTheme="minorEastAsia" w:cs="Times New Roman"/>
          <w:noProof/>
        </w:rPr>
      </w:pPr>
      <w:r>
        <w:rPr>
          <w:noProof/>
        </w:rPr>
        <w:t xml:space="preserve">A reform végrehajtását 2020. december 31-ig kellett befejezni. </w:t>
      </w:r>
    </w:p>
    <w:p w14:paraId="7CB132E9" w14:textId="34FB19F1" w:rsidR="00DC5EC6" w:rsidRDefault="00DC5EC6">
      <w:pPr>
        <w:keepNext/>
        <w:spacing w:before="40" w:after="0" w:line="259" w:lineRule="auto"/>
        <w:jc w:val="both"/>
        <w:rPr>
          <w:rFonts w:ascii="Times New Roman" w:eastAsiaTheme="minorEastAsia" w:hAnsi="Times New Roman" w:cs="Times New Roman"/>
          <w:noProof/>
          <w:sz w:val="24"/>
        </w:rPr>
      </w:pPr>
    </w:p>
    <w:p w14:paraId="201F11C9" w14:textId="62FA20B0" w:rsidR="00DC5EC6" w:rsidRDefault="00DC5EC6">
      <w:pPr>
        <w:keepNext/>
        <w:spacing w:before="40" w:after="0" w:line="259" w:lineRule="auto"/>
        <w:jc w:val="both"/>
        <w:rPr>
          <w:rFonts w:ascii="Times New Roman" w:eastAsiaTheme="minorEastAsia" w:hAnsi="Times New Roman" w:cs="Times New Roman"/>
          <w:noProof/>
          <w:sz w:val="24"/>
        </w:rPr>
      </w:pPr>
    </w:p>
    <w:p w14:paraId="30C4E385" w14:textId="77777777" w:rsidR="00DC5EC6" w:rsidRDefault="00DC5EC6">
      <w:pPr>
        <w:keepNext/>
        <w:spacing w:before="40" w:after="0" w:line="259" w:lineRule="auto"/>
        <w:jc w:val="both"/>
        <w:rPr>
          <w:rFonts w:ascii="Times New Roman" w:eastAsiaTheme="minorEastAsia" w:hAnsi="Times New Roman"/>
          <w:noProof/>
          <w:sz w:val="24"/>
        </w:rPr>
      </w:pPr>
    </w:p>
    <w:p w14:paraId="7357A22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RE-C05–i01.01 beruházás: Az üzleti innováció menetrendjeinek/szövetségeinek mozgósítása.</w:t>
      </w:r>
    </w:p>
    <w:p w14:paraId="03F47396"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Portugália tudományos és technológiai képességeinek mozgósítása és megerősítése üzleti-tudományi konzorciumokon alapuló ambiciózus kutatási és innovációs menetrendek bevezetése révén.</w:t>
      </w:r>
    </w:p>
    <w:p w14:paraId="5402E4A2" w14:textId="39C43DF0" w:rsidR="00DC5EC6" w:rsidRDefault="003245A4">
      <w:pPr>
        <w:pStyle w:val="P68B1DB1-Normal4"/>
        <w:keepNext/>
        <w:spacing w:before="40" w:after="0" w:line="259" w:lineRule="auto"/>
        <w:jc w:val="both"/>
        <w:rPr>
          <w:rFonts w:eastAsiaTheme="minorEastAsia" w:cs="Times New Roman"/>
          <w:noProof/>
        </w:rPr>
      </w:pPr>
      <w:r>
        <w:rPr>
          <w:noProof/>
        </w:rPr>
        <w:t xml:space="preserve">A beruházás elsősorban az üzleti innováció mobilizálására vonatkozó menetrendek/szövetségek végrehajtásához nyújtott támogatásokból áll két egymást kiegészítő eszköz révén: i. innovációs paktumok, amelyek előmozdítják az együttműködést és innovációs projektek kidolgozásához vezetnek, valamint ii. a K+F-re irányuló projektek mobilizálása, valamint annak beruházások révén új árukká és szolgáltatásokká történő átalakítása. A mobilizációs menetrendeket nyílt versenypályázati felhívások útján választják ki vállalkozások és tudományos, tudományos és/vagy technológiai intézmények közötti konzorciumok által előterjesztendő stratégiai tervekre vonatkozóan. Ez a beruházás a RE-r09 keretében végrehajtandó stratégiai keretre épül, és megerősíti az interfészintézmények szerepét és e hálózat megszilárdítását. </w:t>
      </w:r>
    </w:p>
    <w:p w14:paraId="0E09FBF6" w14:textId="77777777"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11"/>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12"/>
      </w:r>
      <w:r>
        <w:rPr>
          <w:noProof/>
        </w:rPr>
        <w:t>; hulladéklerakókkal, hulladékégetőkkel</w:t>
      </w:r>
      <w:r w:rsidRPr="00D14F07">
        <w:rPr>
          <w:noProof/>
          <w:vertAlign w:val="superscript"/>
        </w:rPr>
        <w:footnoteReference w:id="13"/>
      </w:r>
      <w:r>
        <w:rPr>
          <w:noProof/>
        </w:rPr>
        <w:t xml:space="preserve"> és mechanikai-biológiai szennyvíztisztító telepekkel kapcsolatos tevékenységek</w:t>
      </w:r>
      <w:r w:rsidRPr="00D14F07">
        <w:rPr>
          <w:noProof/>
          <w:vertAlign w:val="superscript"/>
        </w:rPr>
        <w:footnoteReference w:id="14"/>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5C52E9CB"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73E004C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RE-C05–i01.02 beruházás: Zöld menetrendek/szövetségek az üzleti innovációért</w:t>
      </w:r>
    </w:p>
    <w:p w14:paraId="742560E6" w14:textId="52E527EF"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hogy ugyanazokat az eszközöket hajtsa végre, mint a RE-C05-i01.01 esetében, azonban vállalkozások és tudományos, tudományos és/vagy technológiai intézmények közötti konzorciumok révén a zöld menetrendek korlátozott körére specializálódott az innováció támogatása érdekében (a zöld átállásra összpontosítva, a Helyreállítási és Rezilienciaépítési Eszközről szóló rendelet mellékletének 022. mezőjére összpontosítva). </w:t>
      </w:r>
    </w:p>
    <w:p w14:paraId="59034061" w14:textId="2902A5C2"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15"/>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16"/>
      </w:r>
      <w:r>
        <w:rPr>
          <w:noProof/>
        </w:rPr>
        <w:t>; hulladéklerakókkal, hulladékégetőkkel</w:t>
      </w:r>
      <w:r w:rsidRPr="00D14F07">
        <w:rPr>
          <w:noProof/>
          <w:vertAlign w:val="superscript"/>
        </w:rPr>
        <w:footnoteReference w:id="17"/>
      </w:r>
      <w:r>
        <w:rPr>
          <w:noProof/>
        </w:rPr>
        <w:t xml:space="preserve"> és mechanikai-biológiai szennyvíztisztító telepekkel kapcsolatos tevékenységek</w:t>
      </w:r>
      <w:r w:rsidRPr="00D14F07">
        <w:rPr>
          <w:noProof/>
          <w:vertAlign w:val="superscript"/>
        </w:rPr>
        <w:footnoteReference w:id="18"/>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484ECBF2" w14:textId="77777777" w:rsidR="00DC5EC6" w:rsidRDefault="003245A4">
      <w:pPr>
        <w:pStyle w:val="P68B1DB1-Normal4"/>
        <w:keepNext/>
        <w:spacing w:before="40" w:after="0" w:line="259" w:lineRule="auto"/>
        <w:jc w:val="both"/>
        <w:rPr>
          <w:rFonts w:eastAsiaTheme="minorEastAsia"/>
          <w:noProof/>
        </w:rPr>
      </w:pPr>
      <w:r>
        <w:rPr>
          <w:noProof/>
        </w:rPr>
        <w:t xml:space="preserve">A beruházás végrehajtását 2025. december 31-ig be kell fejezni. </w:t>
      </w:r>
    </w:p>
    <w:p w14:paraId="11F2ED5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RE-C05–i02 beruházás: Kapcsolódási pontokra irányuló küldetés – a tudományos és technológiai támogató hálózat megújítása és a termelési szerkezetre vonatkozó iránymutatás</w:t>
      </w:r>
    </w:p>
    <w:p w14:paraId="2F86ED35" w14:textId="34E07F85" w:rsidR="00DC5EC6" w:rsidRDefault="003245A4">
      <w:pPr>
        <w:pStyle w:val="P68B1DB1-Normal4"/>
        <w:keepNext/>
        <w:spacing w:before="40" w:after="0" w:line="259" w:lineRule="auto"/>
        <w:jc w:val="both"/>
        <w:rPr>
          <w:rFonts w:eastAsiaTheme="minorEastAsia" w:cs="Times New Roman"/>
          <w:noProof/>
        </w:rPr>
      </w:pPr>
      <w:r>
        <w:rPr>
          <w:noProof/>
        </w:rPr>
        <w:t>A beruházás célja a nemzeti tudományos és technológiai rendszer megerősítése és megerősítése, valamint az üzleti körök közötti kapcsolatok javítása a hatékony technológiaátadás és a kutatási eredmények innovációba való átültetése érdekében. A beruházás a technológiai interfészrendszer-központok és az együttműködő laboratóriumok CoLAB új finanszírozási modelljének megszilárdításából áll, amelyek közvetlenül vagy közvetve szakképzett munkahelyek létrehozására törekszenek, az alapfinanszírozás 1/3-ából, a versenyalapú finanszírozás 1/3-ából és a piaci finanszírozás 1/3-ából álló szerkezeten alapuló kutatási és innovációs menetrendek végrehajtása révén, 186 millió EUR összegű alapfinanszírozás biztosításával</w:t>
      </w:r>
      <w:r>
        <w:rPr>
          <w:i/>
          <w:noProof/>
        </w:rPr>
        <w:t>.</w:t>
      </w:r>
      <w:r>
        <w:rPr>
          <w:noProof/>
        </w:rPr>
        <w:t xml:space="preserve"> A beruházás 500 olyan vállalkozás eléréséből áll, amelyek részesülnek e rendszer előnyeiből és az INTERFACE szervezetek által nyújtott szolgáltatásokból. Az RE-r11 reform és az RE-C05-i02 beruházás együttes fellépése várhatóan eléri a fent említett célkitűzéseket. </w:t>
      </w:r>
    </w:p>
    <w:p w14:paraId="6646C73E" w14:textId="77777777"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19"/>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20"/>
      </w:r>
      <w:r>
        <w:rPr>
          <w:noProof/>
        </w:rPr>
        <w:t>; hulladéklerakókkal, hulladékégetőkkel</w:t>
      </w:r>
      <w:r w:rsidRPr="00D14F07">
        <w:rPr>
          <w:noProof/>
          <w:vertAlign w:val="superscript"/>
        </w:rPr>
        <w:footnoteReference w:id="21"/>
      </w:r>
      <w:r>
        <w:rPr>
          <w:noProof/>
        </w:rPr>
        <w:t xml:space="preserve"> és mechanikai-biológiai szennyvíztisztító telepekkel kapcsolatos tevékenységek</w:t>
      </w:r>
      <w:r w:rsidRPr="00D14F07">
        <w:rPr>
          <w:noProof/>
          <w:vertAlign w:val="superscript"/>
        </w:rPr>
        <w:footnoteReference w:id="22"/>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5B04203E"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855D333"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RE-C05–i03 beruházás: A fenntartható mezőgazdaságra, élelmiszeriparra és agráriparra vonatkozó kutatási és innovációs menetrend [A 20 30 mezőgazdasági innovációs menetrend].</w:t>
      </w:r>
    </w:p>
    <w:p w14:paraId="1F941BD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 kutatás és az innováció fellendítése a fenntarthatóbb mezőgazdaság megvalósítása érdekében. </w:t>
      </w:r>
    </w:p>
    <w:p w14:paraId="0FFD493F" w14:textId="49252C87" w:rsidR="00DC5EC6" w:rsidRDefault="003245A4">
      <w:pPr>
        <w:pStyle w:val="P68B1DB1-Normal4"/>
        <w:keepNext/>
        <w:spacing w:before="40" w:after="0" w:line="259" w:lineRule="auto"/>
        <w:jc w:val="both"/>
        <w:rPr>
          <w:rFonts w:eastAsiaTheme="minorEastAsia" w:cs="Times New Roman"/>
          <w:noProof/>
        </w:rPr>
      </w:pPr>
      <w:r>
        <w:rPr>
          <w:noProof/>
        </w:rPr>
        <w:t xml:space="preserve">A beruházás köz- és magánszervezeteknek nyújtott támogatásokból áll a 20|30 mezőgazdasági innovációs terv támogatására. A menetrend 15 kiemelt kezdeményezésre épül, amelyek támogatják a K+F- és innovációs projekteket, valamint a digitalizációra összpontosító 5 innovációs strukturáló projektet. Ezeknek a kutatási és innovációs projekteknek meg kell felelniük a közös agrárpolitikára vonatkozó portugál stratégiai tervben meghatározott igényeknek. A különböző kezdeményezések magukban foglalják a körforgásos biogazdasággal és a precíziós gazdálkodással kapcsolatos intézkedéseket. A projektek kiválasztásakor különböző termelési rendszereket és ágazatokat kell figyelembe venni. Várhatóan 100 kutatási és innovációs projekt részesül támogatásban. Emellett a beruházásnak magában kell foglalnia 24 kísérleti gazdaság és laboratórium (innovációs központok) tudományos létesítményeinek és berendezéseinek helyreállítását és korszerűsítését. </w:t>
      </w:r>
    </w:p>
    <w:p w14:paraId="02EFC191" w14:textId="727A1287" w:rsidR="00DC5EC6" w:rsidRDefault="003245A4">
      <w:pPr>
        <w:pStyle w:val="P68B1DB1-Normal4"/>
        <w:keepNext/>
        <w:spacing w:before="40" w:after="0" w:line="259" w:lineRule="auto"/>
        <w:jc w:val="both"/>
        <w:rPr>
          <w:rFonts w:eastAsiaTheme="minorEastAsia" w:cs="Times New Roman"/>
          <w:noProof/>
          <w:highlight w:val="green"/>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sidRPr="00D14F07">
        <w:rPr>
          <w:noProof/>
          <w:vertAlign w:val="superscript"/>
        </w:rPr>
        <w:footnoteReference w:id="23"/>
      </w:r>
      <w:r>
        <w:rPr>
          <w:noProof/>
        </w:rPr>
        <w:t>; 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24"/>
      </w:r>
      <w:r>
        <w:rPr>
          <w:noProof/>
        </w:rPr>
        <w:t>; hulladéklerakókkal, hulladékégetőkkel</w:t>
      </w:r>
      <w:r w:rsidRPr="00D14F07">
        <w:rPr>
          <w:noProof/>
          <w:vertAlign w:val="superscript"/>
        </w:rPr>
        <w:footnoteReference w:id="25"/>
      </w:r>
      <w:r>
        <w:rPr>
          <w:noProof/>
        </w:rPr>
        <w:t xml:space="preserve"> és mechanikai-biológiai szennyvíztisztító telepekkel kapcsolatos tevékenységek</w:t>
      </w:r>
      <w:r w:rsidRPr="00D14F07">
        <w:rPr>
          <w:noProof/>
          <w:vertAlign w:val="superscript"/>
        </w:rPr>
        <w:footnoteReference w:id="26"/>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6749735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07D9C278"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RE-C05–i04-RAA beruházás: Az Azori-szigetek üzleti rendszerének feltőkésítése</w:t>
      </w:r>
    </w:p>
    <w:p w14:paraId="4806397B" w14:textId="77777777" w:rsidR="00DC5EC6" w:rsidRDefault="003245A4">
      <w:pPr>
        <w:pStyle w:val="P68B1DB1-Normal4"/>
        <w:spacing w:before="40" w:after="0" w:line="259" w:lineRule="auto"/>
        <w:jc w:val="both"/>
        <w:rPr>
          <w:rFonts w:eastAsiaTheme="minorEastAsia" w:cs="Times New Roman"/>
          <w:noProof/>
        </w:rPr>
      </w:pPr>
      <w:r>
        <w:rPr>
          <w:noProof/>
        </w:rPr>
        <w:t>Az intézkedés célja az Azori-szigetek autonóm régióban működő vállalkozások alultőkésítésével kapcsolatos strukturális probléma kezelése.</w:t>
      </w:r>
    </w:p>
    <w:p w14:paraId="31D7ECE4" w14:textId="0CCCA1E9" w:rsidR="00DC5EC6" w:rsidRDefault="003245A4">
      <w:pPr>
        <w:pStyle w:val="P68B1DB1-Normal4"/>
        <w:spacing w:before="40" w:after="0" w:line="259" w:lineRule="auto"/>
        <w:jc w:val="both"/>
        <w:rPr>
          <w:rFonts w:eastAsiaTheme="minorEastAsia" w:cs="Times New Roman"/>
          <w:noProof/>
        </w:rPr>
      </w:pPr>
      <w:r>
        <w:rPr>
          <w:noProof/>
        </w:rPr>
        <w:t xml:space="preserve">Ez a befektetés a különleges célú gazdasági egység létrehozásából áll, amely ezt követően 125 000 000 EUR-t fektet be életképes azori-szigeteki vállalkozásokba, főként tőke formájában. A beruházás kiegészíti a vállalatok tőkésítését célzó, regionális kerettel és az autonóm régió üzleti struktúrájának sajátosságaihoz igazodó célzott eszközökkel rendelkező nemzeti beruházásokat. </w:t>
      </w:r>
    </w:p>
    <w:p w14:paraId="43A7AC10" w14:textId="77777777" w:rsidR="00DC5EC6" w:rsidRDefault="003245A4">
      <w:pPr>
        <w:pStyle w:val="P68B1DB1-Normal4"/>
        <w:spacing w:before="40" w:after="0" w:line="259" w:lineRule="auto"/>
        <w:jc w:val="both"/>
        <w:rPr>
          <w:rFonts w:eastAsiaTheme="minorEastAsia" w:cs="Times New Roman"/>
          <w:noProof/>
        </w:rPr>
      </w:pPr>
      <w:r>
        <w:rPr>
          <w:noProof/>
        </w:rPr>
        <w:t xml:space="preserve">Valamennyi projektet a DNSH technikai iránymutatással (2021/C58/01) teljes összhangban kell végrehajtani. Portugália emellett kötelezettséget vállalt arra, hogy a 125 000 000 EUR összegű eszközhöz kapcsolódó, a Banco Português </w:t>
      </w:r>
      <w:r>
        <w:rPr>
          <w:i/>
          <w:noProof/>
        </w:rPr>
        <w:t>de Fomento mint a különleges célú gazdasági egység irányító</w:t>
      </w:r>
      <w:r>
        <w:rPr>
          <w:noProof/>
        </w:rPr>
        <w:t xml:space="preserve"> szerve által elfogadandó beruházáspolitikai dokumentum részletezi a támogatott vállalatok kiválasztási/jogosultsági kritériumait, biztosítva a Helyreállítási és Rezilienciaépítési Eszköz éghajlat-politikai és környezetvédelmi követelményeinek tiszteletben tartását, beleértve a támogatott eszközökre/tevékenységekre és/vagy vállalatokra vonatkozó DNSH technikai iránymutatásnak (2021/C58/01) való megfelelést, valamint meghatározza a befektetési célokat és a célzott hozamokat. A támogatott vállalatok DNSH technikai iránymutatásának (2021/C58/01) való megfelelés érdekében a beruházási politikának elő kell írnia a következőket: </w:t>
      </w:r>
    </w:p>
    <w:p w14:paraId="1280B55C"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 xml:space="preserve">fenntarthatósági vizsgálat alkalmazása, </w:t>
      </w:r>
    </w:p>
    <w:p w14:paraId="6EBA5233"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az alábbi elemeket tartalmazó kizárási lista:</w:t>
      </w:r>
    </w:p>
    <w:p w14:paraId="7CF06F2D"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Fosszilis tüzelőanyagokhoz kapcsolódó tevékenységek, beleértve a továbbfelhasználást is</w:t>
      </w:r>
      <w:r w:rsidRPr="00D14F07">
        <w:rPr>
          <w:noProof/>
          <w:vertAlign w:val="superscript"/>
        </w:rPr>
        <w:footnoteReference w:id="27"/>
      </w:r>
      <w:r>
        <w:rPr>
          <w:noProof/>
        </w:rPr>
        <w:t xml:space="preserve">; </w:t>
      </w:r>
    </w:p>
    <w:p w14:paraId="4A89E7FD"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Az uniós kibocsátáskereskedelmi rendszer (ETS) keretében végzett tevékenységek, amelyek a vonatkozó referenciaértékeknél nem alacsonyabb várható üvegházhatásúgáz-kibocsátást érnek el</w:t>
      </w:r>
      <w:r w:rsidRPr="00D14F07">
        <w:rPr>
          <w:noProof/>
          <w:vertAlign w:val="superscript"/>
        </w:rPr>
        <w:footnoteReference w:id="28"/>
      </w:r>
      <w:r>
        <w:rPr>
          <w:noProof/>
        </w:rPr>
        <w:t xml:space="preserve">; </w:t>
      </w:r>
    </w:p>
    <w:p w14:paraId="3363B8AD"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Hulladéklerakókkal, hulladékégetőkkel</w:t>
      </w:r>
      <w:r w:rsidRPr="00D14F07">
        <w:rPr>
          <w:noProof/>
          <w:vertAlign w:val="superscript"/>
        </w:rPr>
        <w:footnoteReference w:id="29"/>
      </w:r>
      <w:r>
        <w:rPr>
          <w:noProof/>
        </w:rPr>
        <w:t xml:space="preserve"> és mechanikai-biológiai szennyvíztisztító telepekkel kapcsolatos tevékenységek</w:t>
      </w:r>
      <w:r w:rsidRPr="00D14F07">
        <w:rPr>
          <w:noProof/>
          <w:vertAlign w:val="superscript"/>
        </w:rPr>
        <w:footnoteReference w:id="30"/>
      </w:r>
      <w:r>
        <w:rPr>
          <w:noProof/>
        </w:rPr>
        <w:t xml:space="preserve">; </w:t>
      </w:r>
    </w:p>
    <w:p w14:paraId="222E0859"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Olyan tevékenységek, amelyek esetében a hulladék hosszú távú ártalmatlanítása hosszú távon károsíthatja a környezetet, például a nukleáris hulladékot; és</w:t>
      </w:r>
    </w:p>
    <w:p w14:paraId="5B02FFE5" w14:textId="77777777" w:rsidR="00DC5EC6" w:rsidRDefault="003245A4">
      <w:pPr>
        <w:pStyle w:val="P68B1DB1-Normal4"/>
        <w:numPr>
          <w:ilvl w:val="1"/>
          <w:numId w:val="64"/>
        </w:numPr>
        <w:spacing w:before="40" w:after="160" w:line="259" w:lineRule="auto"/>
        <w:contextualSpacing/>
        <w:jc w:val="both"/>
        <w:rPr>
          <w:rFonts w:eastAsiaTheme="minorEastAsia" w:cs="Times New Roman"/>
          <w:noProof/>
        </w:rPr>
      </w:pPr>
      <w:r>
        <w:rPr>
          <w:noProof/>
        </w:rPr>
        <w:t xml:space="preserve">A fenti eszközökre és tevékenységekre irányuló K+F+I. </w:t>
      </w:r>
    </w:p>
    <w:p w14:paraId="1D1FCB8F"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 xml:space="preserve">kötelező jogszabályi megfelelési ellenőrzések a </w:t>
      </w:r>
      <w:r>
        <w:rPr>
          <w:i/>
          <w:noProof/>
        </w:rPr>
        <w:t>Banco Português de Fomento</w:t>
      </w:r>
      <w:r>
        <w:rPr>
          <w:noProof/>
        </w:rPr>
        <w:t xml:space="preserve"> és/vagy kiválasztott pénzügyi közvetítői révén a fenntarthatósági vizsgálat alól mentesített ügyletek esetében, és </w:t>
      </w:r>
    </w:p>
    <w:p w14:paraId="67D0FED8" w14:textId="77777777" w:rsidR="00DC5EC6" w:rsidRDefault="003245A4">
      <w:pPr>
        <w:pStyle w:val="P68B1DB1-Normal4"/>
        <w:numPr>
          <w:ilvl w:val="0"/>
          <w:numId w:val="57"/>
        </w:numPr>
        <w:spacing w:before="40" w:after="160" w:line="259" w:lineRule="auto"/>
        <w:contextualSpacing/>
        <w:jc w:val="both"/>
        <w:rPr>
          <w:rFonts w:eastAsiaTheme="minorEastAsia" w:cs="Times New Roman"/>
          <w:noProof/>
        </w:rPr>
      </w:pPr>
      <w:r>
        <w:rPr>
          <w:noProof/>
        </w:rPr>
        <w:t>a tőketámogatás azon kedvezményezettjei, amelyek bevételeinek legalább 50%-a a kizárási listán felsorolt tevékenységekből származik a zöld átállásra vonatkozó tervek elfogadása és közzététele céljából.</w:t>
      </w:r>
    </w:p>
    <w:p w14:paraId="57CD92C3"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végrehajtását 2025. december 31-ig be kell fejezni. </w:t>
      </w:r>
    </w:p>
    <w:p w14:paraId="04842B12"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RE-C05-i05-RAA beruházás: Azori-szigeteki mezőgazdaság gazdasági fellendülése</w:t>
      </w:r>
    </w:p>
    <w:p w14:paraId="5D74F80D"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célja az Azori-szigetek mezőgazdaságának fellendítése, különös tekintettel a fenntarthatóságra és a helyi termelés előmozdítására. Az Azori-szigetek mezőgazdasága nagy gazdasági, társadalmi és területi jelentőséggel bír a regionális kohézió szempontjából, tekintettel a sajátos jellemzőkkel rendelkező szigetek által jellemzett regionális terület széttöredezettségére. E beruházás célja, hogy i. hozzájáruljon a regionális termelési potenciál rezilienciájához és fenntartható növekedéséhez, ii. enyhítse a válság által az Azori-szigetek mezőgazdasági és agrár-élelmiszeripari ágazatára gyakorolt gazdasági és társadalmi hatásokat, valamint iii. hozzájáruljon a kettős éghajlatvédelmi és digitális átálláshoz az Azori-szigetek mezőgazdasági és agrár-élelmiszeripari ágazatában. </w:t>
      </w:r>
    </w:p>
    <w:p w14:paraId="6B5CF27F" w14:textId="216C1C52" w:rsidR="00DC5EC6" w:rsidRDefault="003245A4">
      <w:pPr>
        <w:pStyle w:val="P68B1DB1-Normal4"/>
        <w:spacing w:before="40" w:after="0" w:line="259" w:lineRule="auto"/>
        <w:jc w:val="both"/>
        <w:rPr>
          <w:rFonts w:eastAsiaTheme="minorEastAsia" w:cs="Times New Roman"/>
          <w:noProof/>
        </w:rPr>
      </w:pPr>
      <w:r>
        <w:rPr>
          <w:noProof/>
        </w:rPr>
        <w:t xml:space="preserve">A beruházás i. a termékek és termelési folyamatok innovációjára irányuló beruházási projektek támogatásából áll a regionális mezőgazdasági vállalkozások számára, ii. az innovációba és a kettős átállásba történő közberuházásokból (beleértve a mezőgazdasági termelők készségeinek javítását célzó programot a kettős átállás és a fenntartható fogyasztás érdekében, beleértve a tanúsításokat is), valamint iii. a szerkezetátalakításba történő közberuházásokból, beleértve a termelési folyamatok innovációjába és a regionális vágási hálózat zöld átállásába történő beruházásokat és a tej minőségének tanúsítását. </w:t>
      </w:r>
    </w:p>
    <w:p w14:paraId="67CFE1ED"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0FE3436B" w14:textId="1CD87910" w:rsidR="00DC5EC6" w:rsidRDefault="003245A4">
      <w:pPr>
        <w:pStyle w:val="P68B1DB1-Normal5"/>
        <w:keepNext/>
        <w:spacing w:before="240" w:after="0" w:line="259" w:lineRule="auto"/>
        <w:ind w:left="851"/>
        <w:jc w:val="both"/>
        <w:outlineLvl w:val="3"/>
        <w:rPr>
          <w:rFonts w:eastAsiaTheme="minorEastAsia" w:cs="Times New Roman"/>
          <w:noProof/>
        </w:rPr>
      </w:pPr>
      <w:bookmarkStart w:id="8" w:name="_Toc137472448"/>
      <w:bookmarkStart w:id="9" w:name="_Hlk144129521"/>
      <w:r>
        <w:rPr>
          <w:noProof/>
        </w:rPr>
        <w:t xml:space="preserve">RE-C05–i07-RAM beruházás: Tőkésítési eszközök Madeira vállalatai </w:t>
      </w:r>
      <w:bookmarkEnd w:id="8"/>
      <w:r>
        <w:rPr>
          <w:noProof/>
        </w:rPr>
        <w:t xml:space="preserve">számára </w:t>
      </w:r>
    </w:p>
    <w:p w14:paraId="1C9E1081" w14:textId="77777777" w:rsidR="00DC5EC6" w:rsidRDefault="003245A4">
      <w:pPr>
        <w:pStyle w:val="P68B1DB1-Normal4"/>
        <w:spacing w:before="40" w:after="0" w:line="259" w:lineRule="auto"/>
        <w:jc w:val="both"/>
        <w:rPr>
          <w:rFonts w:cs="Times New Roman"/>
          <w:noProof/>
        </w:rPr>
      </w:pPr>
      <w:r>
        <w:rPr>
          <w:noProof/>
        </w:rPr>
        <w:t xml:space="preserve">Ezen intézkedés célja a beruházások támogatása Madeira autonóm régióban a helyi vállalatok strukturális likviditási problémáinak kezelése, valamint a regionális gazdaság versenyképességének erősítése céljából. </w:t>
      </w:r>
    </w:p>
    <w:p w14:paraId="76EBD3EA" w14:textId="19DDA592" w:rsidR="00DC5EC6" w:rsidRDefault="003245A4">
      <w:pPr>
        <w:pStyle w:val="P68B1DB1-Normal4"/>
        <w:spacing w:before="40" w:after="0" w:line="259" w:lineRule="auto"/>
        <w:jc w:val="both"/>
        <w:rPr>
          <w:rFonts w:cs="Times New Roman"/>
          <w:noProof/>
        </w:rPr>
      </w:pPr>
      <w:r>
        <w:rPr>
          <w:noProof/>
        </w:rPr>
        <w:t>Ez a beruházás a hitelkereten (</w:t>
      </w:r>
      <w:r>
        <w:rPr>
          <w:i/>
          <w:noProof/>
        </w:rPr>
        <w:t>Investe RAM 2020) keresztül nyújtott pénzügyi támogatás megerősítéséből</w:t>
      </w:r>
      <w:r>
        <w:rPr>
          <w:noProof/>
        </w:rPr>
        <w:t xml:space="preserve"> áll. Az eszköz hitelgaranciát nyújt a vállalkozásoknak, összesen 15 900 000 EUR összegű kölcsönt garantálva. Az instrumentumnak a hitelek kamatköltségeit is támogatnia kell (a kockázatmentes (Euribor) kamatláb 100%-a és a legfeljebb 3,4%-os kockázati felár legalább 60%-a esetében). A befektetést a </w:t>
      </w:r>
      <w:r>
        <w:rPr>
          <w:i/>
          <w:noProof/>
        </w:rPr>
        <w:t>Banco Português de Fomento, az Instituto de Desenvolvimento Empresarial</w:t>
      </w:r>
      <w:r>
        <w:rPr>
          <w:noProof/>
        </w:rPr>
        <w:t xml:space="preserve"> és az általuk kiválasztott pénzügyi közvetítők közötti protokoll útján kell megvalósítani.</w:t>
      </w:r>
    </w:p>
    <w:p w14:paraId="502DBAE8" w14:textId="3F70318A" w:rsidR="00DC5EC6" w:rsidRDefault="003245A4">
      <w:pPr>
        <w:pStyle w:val="P68B1DB1-Normal4"/>
        <w:spacing w:before="40" w:after="0" w:line="259" w:lineRule="auto"/>
        <w:jc w:val="both"/>
        <w:rPr>
          <w:rFonts w:cs="Times New Roman"/>
          <w:noProof/>
        </w:rPr>
      </w:pPr>
      <w:r>
        <w:rPr>
          <w:noProof/>
        </w:rPr>
        <w:t xml:space="preserve">Annak biztosítása érdekében, hogy az intézkedés megfeleljen a jelentős károkozás elkerülését célzó elvnek a Helyreállítási és Rezilienciaépítési Eszköz keretében a jelentős károkozás elkerülését célzó elvnek (2021/C58/01), a </w:t>
      </w:r>
      <w:r>
        <w:rPr>
          <w:i/>
          <w:noProof/>
        </w:rPr>
        <w:t>Banco Português de Fomento</w:t>
      </w:r>
      <w:r>
        <w:rPr>
          <w:noProof/>
        </w:rPr>
        <w:t xml:space="preserve">, az </w:t>
      </w:r>
      <w:r>
        <w:rPr>
          <w:i/>
          <w:noProof/>
        </w:rPr>
        <w:t>Instituto de Desenvolvimento Empresarial</w:t>
      </w:r>
      <w:r>
        <w:rPr>
          <w:noProof/>
        </w:rPr>
        <w:t xml:space="preserve"> és az általuk kiválasztott pénzügyi közvetítők közötti jogi megállapodás(ok), valamint a pénzügyi eszköz későbbi végrehajtási megállapodása (jegyzőkönyve):</w:t>
      </w:r>
    </w:p>
    <w:p w14:paraId="05683CB6" w14:textId="2E756E4E" w:rsidR="00DC5EC6" w:rsidRDefault="003245A4">
      <w:pPr>
        <w:pStyle w:val="ListParagraph"/>
        <w:keepNext w:val="0"/>
        <w:numPr>
          <w:ilvl w:val="0"/>
          <w:numId w:val="74"/>
        </w:numPr>
        <w:spacing w:before="120" w:after="120" w:line="22" w:lineRule="atLeast"/>
        <w:rPr>
          <w:noProof/>
        </w:rPr>
      </w:pPr>
      <w:r>
        <w:rPr>
          <w:noProof/>
        </w:rPr>
        <w:t>A tevékenységek és eszközök alábbi listájának kizárása a támogathatóságból: a fosszilis tüzelőanyagokhoz kapcsolódó tevékenységek és eszközök, beleértve a downstream felhasználást is</w:t>
      </w:r>
      <w:r>
        <w:rPr>
          <w:rStyle w:val="FootnoteReference"/>
          <w:noProof/>
        </w:rPr>
        <w:footnoteReference w:id="31"/>
      </w:r>
      <w:r>
        <w:rPr>
          <w:noProof/>
        </w:rPr>
        <w:t>; az uniós kibocsátáskereskedelmi rendszer (ETS) keretében végzett tevékenységek és eszközök, amelyek a vonatkozó referenciaértékeknél nem alacsonyabb várható üvegházhatásúgáz-kibocsátást érnek el</w:t>
      </w:r>
      <w:r>
        <w:rPr>
          <w:rStyle w:val="FootnoteReference"/>
          <w:noProof/>
        </w:rPr>
        <w:footnoteReference w:id="32"/>
      </w:r>
      <w:r>
        <w:rPr>
          <w:noProof/>
        </w:rPr>
        <w:t>; hulladéklerakókkal, hulladékégetőkkel és mechanikai-biológiai szennyvíztisztító telepekkel kapcsolatos tevékenységek</w:t>
      </w:r>
      <w:r>
        <w:rPr>
          <w:rStyle w:val="FootnoteReference"/>
          <w:noProof/>
        </w:rPr>
        <w:footnoteReference w:id="33"/>
      </w:r>
      <w:r>
        <w:rPr>
          <w:noProof/>
        </w:rPr>
        <w:t xml:space="preserve"> és eszközök</w:t>
      </w:r>
      <w:r>
        <w:rPr>
          <w:rStyle w:val="FootnoteReference"/>
          <w:noProof/>
        </w:rPr>
        <w:footnoteReference w:id="34"/>
      </w:r>
      <w:r>
        <w:rPr>
          <w:noProof/>
        </w:rPr>
        <w:t>; és</w:t>
      </w:r>
    </w:p>
    <w:p w14:paraId="0AEDD136" w14:textId="78BAD798" w:rsidR="00DC5EC6" w:rsidRDefault="003245A4">
      <w:pPr>
        <w:pStyle w:val="ListParagraph"/>
        <w:keepNext w:val="0"/>
        <w:numPr>
          <w:ilvl w:val="0"/>
          <w:numId w:val="74"/>
        </w:numPr>
        <w:spacing w:before="120" w:after="120" w:line="22" w:lineRule="atLeast"/>
        <w:rPr>
          <w:noProof/>
        </w:rPr>
      </w:pPr>
      <w:r>
        <w:rPr>
          <w:noProof/>
        </w:rPr>
        <w:t>A címzett vonatkozó uniós és nemzeti környezetvédelmi jogszabályainak való megfelelés előírása.</w:t>
      </w:r>
    </w:p>
    <w:p w14:paraId="0AB91DA2" w14:textId="6E00CAC3" w:rsidR="00DC5EC6" w:rsidRDefault="003245A4">
      <w:pPr>
        <w:pStyle w:val="P68B1DB1-Normal4"/>
        <w:spacing w:line="22" w:lineRule="atLeast"/>
        <w:jc w:val="both"/>
        <w:rPr>
          <w:rFonts w:cs="Times New Roman"/>
          <w:noProof/>
        </w:rPr>
      </w:pPr>
      <w:r>
        <w:rPr>
          <w:noProof/>
        </w:rPr>
        <w:t>A beruházás végrehajtását 2025. december 31-ig be kell fejezni.</w:t>
      </w:r>
    </w:p>
    <w:p w14:paraId="3868A1A9" w14:textId="37A914CF" w:rsidR="00DC5EC6" w:rsidRDefault="003245A4">
      <w:pPr>
        <w:pStyle w:val="P68B1DB1-Heading214"/>
        <w:rPr>
          <w:noProof/>
        </w:rPr>
      </w:pPr>
      <w:bookmarkStart w:id="10" w:name="_Toc137472449"/>
      <w:bookmarkEnd w:id="9"/>
      <w:r>
        <w:rPr>
          <w:noProof/>
        </w:rPr>
        <w:t>RE-C05–i08 beruházás: Több digitális tudomány</w:t>
      </w:r>
      <w:bookmarkEnd w:id="10"/>
    </w:p>
    <w:p w14:paraId="210E9435" w14:textId="77777777" w:rsidR="00DC5EC6" w:rsidRDefault="003245A4">
      <w:pPr>
        <w:pStyle w:val="P68B1DB1-Normal4"/>
        <w:rPr>
          <w:rFonts w:cs="Times New Roman"/>
          <w:noProof/>
        </w:rPr>
      </w:pPr>
      <w:r>
        <w:rPr>
          <w:noProof/>
        </w:rPr>
        <w:t>Ezen intézkedés célja a tudomány és a nemzeti tudományos és technológiai rendszert támogató szolgáltatások digitális átalakulási és digitalizálási folyamatának felgyorsítása.</w:t>
      </w:r>
    </w:p>
    <w:p w14:paraId="27ECE621" w14:textId="77777777" w:rsidR="00DC5EC6" w:rsidRDefault="003245A4">
      <w:pPr>
        <w:pStyle w:val="P68B1DB1-Normal4"/>
        <w:rPr>
          <w:rFonts w:cs="Times New Roman"/>
          <w:noProof/>
        </w:rPr>
      </w:pPr>
      <w:r>
        <w:rPr>
          <w:noProof/>
        </w:rPr>
        <w:t>E célból a beruházás:</w:t>
      </w:r>
    </w:p>
    <w:p w14:paraId="46455329" w14:textId="5256B8E3" w:rsidR="00DC5EC6" w:rsidRDefault="003245A4">
      <w:pPr>
        <w:pStyle w:val="ListParagraph"/>
        <w:keepNext w:val="0"/>
        <w:numPr>
          <w:ilvl w:val="0"/>
          <w:numId w:val="75"/>
        </w:numPr>
        <w:spacing w:before="120" w:after="120" w:line="240" w:lineRule="auto"/>
        <w:rPr>
          <w:noProof/>
        </w:rPr>
      </w:pPr>
      <w:r>
        <w:rPr>
          <w:noProof/>
        </w:rPr>
        <w:t>A „Science XXI campus” és a „Science Desk” (fizikai és online) „Science Desk” létrehozása, ahol a kutatók, a K+F szervezetek és a felsőoktatási intézmények számára nyújtott szolgáltatásokat és finanszírozási mechanizmusokat egy helyen kell elérhetővé tenni;</w:t>
      </w:r>
    </w:p>
    <w:p w14:paraId="6C941732" w14:textId="2B79750A" w:rsidR="00DC5EC6" w:rsidRDefault="003245A4">
      <w:pPr>
        <w:pStyle w:val="ListParagraph"/>
        <w:keepNext w:val="0"/>
        <w:numPr>
          <w:ilvl w:val="0"/>
          <w:numId w:val="75"/>
        </w:numPr>
        <w:spacing w:before="120" w:after="120" w:line="240" w:lineRule="auto"/>
        <w:rPr>
          <w:noProof/>
        </w:rPr>
      </w:pPr>
      <w:r>
        <w:rPr>
          <w:noProof/>
        </w:rPr>
        <w:t>Létrehozza a nemzeti fejlett számítástechnikai központot (CNCA), amely fedezi az új „Deucalion” szuperszámítógéphez való portugál nemzeti hozzájárulást, és kiegészíti a két szuperszámítógép, a „Deucalion” és a „Mare Nostrum 5” működéséhez szükséges adatközpontot/támogató infrastruktúrát;</w:t>
      </w:r>
    </w:p>
    <w:p w14:paraId="084AC810" w14:textId="77777777" w:rsidR="00DC5EC6" w:rsidRDefault="003245A4">
      <w:pPr>
        <w:pStyle w:val="ListParagraph"/>
        <w:keepNext w:val="0"/>
        <w:numPr>
          <w:ilvl w:val="0"/>
          <w:numId w:val="75"/>
        </w:numPr>
        <w:spacing w:before="120" w:after="120" w:line="240" w:lineRule="auto"/>
        <w:rPr>
          <w:noProof/>
        </w:rPr>
      </w:pPr>
      <w:r>
        <w:rPr>
          <w:noProof/>
        </w:rPr>
        <w:t>Támogatja egy olyan K+F projektprogram elindítását, amely a kiberbiztonság, a mesterséges intelligencia és az adattudomány fejlett rendszereinek fejlesztésére és végrehajtására összpontosít a közigazgatásban, valamint egy tudományos szerepvállalást elősegítő program elindítását;</w:t>
      </w:r>
    </w:p>
    <w:p w14:paraId="37E9BAB2" w14:textId="659E6A48" w:rsidR="00DC5EC6" w:rsidRDefault="003245A4">
      <w:pPr>
        <w:pStyle w:val="ListParagraph"/>
        <w:keepNext w:val="0"/>
        <w:numPr>
          <w:ilvl w:val="0"/>
          <w:numId w:val="75"/>
        </w:numPr>
        <w:spacing w:before="120" w:after="120" w:line="240" w:lineRule="auto"/>
        <w:rPr>
          <w:noProof/>
        </w:rPr>
      </w:pPr>
      <w:r>
        <w:rPr>
          <w:noProof/>
        </w:rPr>
        <w:t>A tömeges online tanfolyamok nemzeti platformján (NAU) keresztül kínált tanfolyamok számának növelése;</w:t>
      </w:r>
    </w:p>
    <w:p w14:paraId="1CAC10F0" w14:textId="77777777" w:rsidR="00DC5EC6" w:rsidRDefault="003245A4">
      <w:pPr>
        <w:pStyle w:val="ListParagraph"/>
        <w:keepNext w:val="0"/>
        <w:numPr>
          <w:ilvl w:val="0"/>
          <w:numId w:val="75"/>
        </w:numPr>
        <w:spacing w:before="120" w:after="120" w:line="240" w:lineRule="auto"/>
        <w:rPr>
          <w:noProof/>
        </w:rPr>
      </w:pPr>
      <w:r>
        <w:rPr>
          <w:noProof/>
        </w:rPr>
        <w:t>A nyílt tudományos és kutatási adatok nemzeti programjának (PNCADAI) végrehajtása.</w:t>
      </w:r>
    </w:p>
    <w:p w14:paraId="32824034" w14:textId="77777777" w:rsidR="00DC5EC6" w:rsidRDefault="003245A4">
      <w:pPr>
        <w:pStyle w:val="P68B1DB1-Normal4"/>
        <w:rPr>
          <w:rFonts w:cs="Times New Roman"/>
          <w:noProof/>
        </w:rPr>
      </w:pPr>
      <w:r>
        <w:rPr>
          <w:noProof/>
        </w:rPr>
        <w:t>A beruházás végrehajtását 2026. március 31-ig be kell fejezni.</w:t>
      </w:r>
    </w:p>
    <w:p w14:paraId="37E57FD8" w14:textId="6C90134D" w:rsidR="00DC5EC6" w:rsidRDefault="003245A4">
      <w:pPr>
        <w:pStyle w:val="P68B1DB1-Heading214"/>
        <w:rPr>
          <w:noProof/>
        </w:rPr>
      </w:pPr>
      <w:bookmarkStart w:id="11" w:name="_Toc209238830"/>
      <w:bookmarkStart w:id="12" w:name="_Toc137472447"/>
      <w:r>
        <w:rPr>
          <w:noProof/>
        </w:rPr>
        <w:t>RE-C05-i09– növekmény: Az üzleti innovációra vonatkozó menetrendek/szövetségek mozgósítása</w:t>
      </w:r>
      <w:bookmarkEnd w:id="11"/>
      <w:bookmarkEnd w:id="12"/>
    </w:p>
    <w:p w14:paraId="2416536F" w14:textId="77777777" w:rsidR="00DC5EC6" w:rsidRDefault="003245A4">
      <w:pPr>
        <w:pStyle w:val="P68B1DB1-Normal4"/>
        <w:jc w:val="both"/>
        <w:rPr>
          <w:rFonts w:cs="Times New Roman"/>
          <w:noProof/>
        </w:rPr>
      </w:pPr>
      <w:r>
        <w:rPr>
          <w:noProof/>
        </w:rPr>
        <w:t xml:space="preserve">E beruházás célja az RE-C05-i01.01 beruházás növelése az 5. komponens keretében. Az intézkedés bővített részének növelnie kell az üzleti innováció mobilizálására vonatkozó menetrendek/szövetségek keretében megvalósított termékek, folyamatok vagy szolgáltatások számát. </w:t>
      </w:r>
    </w:p>
    <w:p w14:paraId="71CB417C" w14:textId="39E86924" w:rsidR="00DC5EC6" w:rsidRDefault="003245A4">
      <w:pPr>
        <w:pStyle w:val="P68B1DB1-Normal4"/>
        <w:jc w:val="both"/>
        <w:rPr>
          <w:rFonts w:eastAsiaTheme="minorEastAsia" w:cs="Times New Roman"/>
          <w:noProof/>
        </w:rPr>
      </w:pPr>
      <w:r>
        <w:rPr>
          <w:noProof/>
        </w:rPr>
        <w:t>A beruházás végrehajtását 2025. december 31-ig be kell fejezni.</w:t>
      </w:r>
    </w:p>
    <w:p w14:paraId="0EE30DD3" w14:textId="6E416376" w:rsidR="00DC5EC6" w:rsidRDefault="003245A4">
      <w:pPr>
        <w:pStyle w:val="P68B1DB1-Heading214"/>
        <w:rPr>
          <w:noProof/>
        </w:rPr>
      </w:pPr>
      <w:bookmarkStart w:id="13" w:name="_Toc137472485"/>
      <w:r>
        <w:rPr>
          <w:noProof/>
        </w:rPr>
        <w:t>RE-C05-i10– növekmény: Zöld menetrendek/szövetségek az üzleti innovációért</w:t>
      </w:r>
      <w:bookmarkEnd w:id="13"/>
    </w:p>
    <w:p w14:paraId="150A2213" w14:textId="5D8DC0D8" w:rsidR="00DC5EC6" w:rsidRDefault="003245A4">
      <w:pPr>
        <w:pStyle w:val="P68B1DB1-Normal4"/>
        <w:jc w:val="both"/>
        <w:rPr>
          <w:rFonts w:cs="Times New Roman"/>
          <w:noProof/>
        </w:rPr>
      </w:pPr>
      <w:r>
        <w:rPr>
          <w:noProof/>
        </w:rPr>
        <w:t>E beruházás célja az RE-C05–i01.02 beruházás növelése az 5. elem keretében. Az intézkedés kibővített részének növelnie kell a további zöld menetrendekből származó termékek, folyamatok vagy szolgáltatások számát.</w:t>
      </w:r>
    </w:p>
    <w:p w14:paraId="40C9E33B" w14:textId="77777777" w:rsidR="00DC5EC6" w:rsidRDefault="003245A4">
      <w:pPr>
        <w:pStyle w:val="P68B1DB1-Normal4"/>
        <w:jc w:val="both"/>
        <w:rPr>
          <w:rFonts w:eastAsiaTheme="minorEastAsia" w:cs="Times New Roman"/>
          <w:noProof/>
        </w:rPr>
      </w:pPr>
      <w:r>
        <w:rPr>
          <w:noProof/>
        </w:rPr>
        <w:t xml:space="preserve">A beruházás végrehajtását 2025. december 31-ig be kell fejezni. </w:t>
      </w:r>
    </w:p>
    <w:p w14:paraId="2DD7051F" w14:textId="77777777" w:rsidR="00DC5EC6" w:rsidRDefault="00DC5EC6">
      <w:pPr>
        <w:rPr>
          <w:rFonts w:ascii="Times New Roman" w:hAnsi="Times New Roman" w:cs="Times New Roman"/>
          <w:noProof/>
          <w:sz w:val="24"/>
        </w:rPr>
      </w:pPr>
    </w:p>
    <w:p w14:paraId="528A2C1C" w14:textId="77777777" w:rsidR="00DC5EC6" w:rsidRDefault="00DC5EC6">
      <w:pPr>
        <w:spacing w:line="22" w:lineRule="atLeast"/>
        <w:jc w:val="both"/>
        <w:rPr>
          <w:rFonts w:ascii="Times New Roman" w:hAnsi="Times New Roman" w:cs="Times New Roman"/>
          <w:noProof/>
          <w:sz w:val="24"/>
        </w:rPr>
      </w:pPr>
    </w:p>
    <w:p w14:paraId="040D9F53"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96"/>
          <w:headerReference w:type="default" r:id="rId97"/>
          <w:footerReference w:type="even" r:id="rId98"/>
          <w:footerReference w:type="default" r:id="rId99"/>
          <w:headerReference w:type="first" r:id="rId100"/>
          <w:footerReference w:type="first" r:id="rId101"/>
          <w:pgSz w:w="11907" w:h="16839"/>
          <w:pgMar w:top="1134" w:right="1134" w:bottom="1134" w:left="1134" w:header="567" w:footer="567" w:gutter="0"/>
          <w:cols w:space="720"/>
          <w:docGrid w:linePitch="360"/>
        </w:sectPr>
      </w:pPr>
    </w:p>
    <w:p w14:paraId="19A5F577" w14:textId="77777777" w:rsidR="00DC5EC6" w:rsidRDefault="00DC5EC6">
      <w:pPr>
        <w:spacing w:before="40" w:after="0" w:line="259" w:lineRule="auto"/>
        <w:jc w:val="both"/>
        <w:rPr>
          <w:rFonts w:ascii="Times New Roman" w:eastAsiaTheme="minorEastAsia" w:hAnsi="Times New Roman" w:cs="Times New Roman"/>
          <w:noProof/>
          <w:sz w:val="24"/>
        </w:rPr>
      </w:pPr>
    </w:p>
    <w:p w14:paraId="0EC6A68F" w14:textId="77777777"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E.2. Vissza nem térítendő pénzügyi támogatás – a végrehajtáshoz és a nyomon követéshez kapcsolódó mérföldkövek, célok, mutatók és ütemterv</w:t>
      </w:r>
    </w:p>
    <w:p w14:paraId="75F064A2" w14:textId="77777777" w:rsidR="00DC5EC6" w:rsidRDefault="00DC5EC6">
      <w:pPr>
        <w:spacing w:before="40" w:after="0" w:line="259" w:lineRule="auto"/>
        <w:jc w:val="both"/>
        <w:rPr>
          <w:rFonts w:ascii="Times New Roman" w:eastAsiaTheme="minorEastAsia" w:hAnsi="Times New Roman" w:cs="Times New Roman"/>
          <w:noProof/>
          <w:sz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65"/>
        <w:gridCol w:w="976"/>
        <w:gridCol w:w="1668"/>
        <w:gridCol w:w="2029"/>
        <w:gridCol w:w="982"/>
        <w:gridCol w:w="982"/>
        <w:gridCol w:w="626"/>
        <w:gridCol w:w="514"/>
        <w:gridCol w:w="747"/>
        <w:gridCol w:w="3919"/>
      </w:tblGrid>
      <w:tr w:rsidR="00DC5EC6" w14:paraId="1198CA4A" w14:textId="77777777">
        <w:trPr>
          <w:trHeight w:val="300"/>
          <w:tblHeader/>
        </w:trPr>
        <w:tc>
          <w:tcPr>
            <w:tcW w:w="1134" w:type="dxa"/>
            <w:vMerge w:val="restart"/>
            <w:shd w:val="clear" w:color="auto" w:fill="BDD6EE"/>
            <w:vAlign w:val="center"/>
            <w:hideMark/>
          </w:tcPr>
          <w:p w14:paraId="22518CE5"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65" w:type="dxa"/>
            <w:vMerge w:val="restart"/>
            <w:shd w:val="clear" w:color="auto" w:fill="BDD6EE"/>
            <w:noWrap/>
            <w:vAlign w:val="center"/>
            <w:hideMark/>
          </w:tcPr>
          <w:p w14:paraId="2D96F25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76" w:type="dxa"/>
            <w:vMerge w:val="restart"/>
            <w:shd w:val="clear" w:color="auto" w:fill="BDD6EE"/>
            <w:noWrap/>
            <w:vAlign w:val="center"/>
            <w:hideMark/>
          </w:tcPr>
          <w:p w14:paraId="441A5184" w14:textId="53663AE8" w:rsidR="00DC5EC6" w:rsidRDefault="003245A4">
            <w:pPr>
              <w:pStyle w:val="P68B1DB1-Normal6"/>
              <w:spacing w:after="0" w:line="240" w:lineRule="auto"/>
              <w:jc w:val="center"/>
              <w:rPr>
                <w:rFonts w:eastAsia="Times New Roman" w:cs="Times New Roman"/>
                <w:noProof/>
              </w:rPr>
            </w:pPr>
            <w:r>
              <w:rPr>
                <w:noProof/>
              </w:rPr>
              <w:t xml:space="preserve">Mérföldkő/cél </w:t>
            </w:r>
          </w:p>
          <w:p w14:paraId="12DC3346" w14:textId="13EEAED9" w:rsidR="00DC5EC6" w:rsidRDefault="00DC5EC6">
            <w:pPr>
              <w:spacing w:after="0" w:line="240" w:lineRule="auto"/>
              <w:rPr>
                <w:rFonts w:ascii="Times New Roman" w:eastAsia="Times New Roman" w:hAnsi="Times New Roman" w:cs="Times New Roman"/>
                <w:b/>
                <w:noProof/>
                <w:sz w:val="18"/>
              </w:rPr>
            </w:pPr>
          </w:p>
        </w:tc>
        <w:tc>
          <w:tcPr>
            <w:tcW w:w="1668" w:type="dxa"/>
            <w:vMerge w:val="restart"/>
            <w:shd w:val="clear" w:color="auto" w:fill="BDD6EE"/>
            <w:noWrap/>
            <w:vAlign w:val="center"/>
            <w:hideMark/>
          </w:tcPr>
          <w:p w14:paraId="24A7D056" w14:textId="77777777" w:rsidR="00DC5EC6" w:rsidRDefault="003245A4">
            <w:pPr>
              <w:pStyle w:val="P68B1DB1-Normal6"/>
              <w:spacing w:after="0" w:line="240" w:lineRule="auto"/>
              <w:jc w:val="center"/>
              <w:rPr>
                <w:rFonts w:eastAsia="Times New Roman" w:cs="Times New Roman"/>
                <w:noProof/>
              </w:rPr>
            </w:pPr>
            <w:r>
              <w:rPr>
                <w:noProof/>
              </w:rPr>
              <w:t>Név</w:t>
            </w:r>
          </w:p>
        </w:tc>
        <w:tc>
          <w:tcPr>
            <w:tcW w:w="2029" w:type="dxa"/>
            <w:vMerge w:val="restart"/>
            <w:shd w:val="clear" w:color="auto" w:fill="BDD6EE"/>
            <w:noWrap/>
            <w:vAlign w:val="center"/>
            <w:hideMark/>
          </w:tcPr>
          <w:p w14:paraId="54F026CB"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590" w:type="dxa"/>
            <w:gridSpan w:val="3"/>
            <w:shd w:val="clear" w:color="auto" w:fill="BDD6EE"/>
            <w:noWrap/>
            <w:vAlign w:val="center"/>
            <w:hideMark/>
          </w:tcPr>
          <w:p w14:paraId="1C0D1264"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61" w:type="dxa"/>
            <w:gridSpan w:val="2"/>
            <w:shd w:val="clear" w:color="auto" w:fill="BDD6EE"/>
            <w:noWrap/>
            <w:vAlign w:val="center"/>
            <w:hideMark/>
          </w:tcPr>
          <w:p w14:paraId="3C87353C"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19" w:type="dxa"/>
            <w:vMerge w:val="restart"/>
            <w:shd w:val="clear" w:color="auto" w:fill="BDD6EE"/>
            <w:noWrap/>
            <w:vAlign w:val="center"/>
            <w:hideMark/>
          </w:tcPr>
          <w:p w14:paraId="2A120D6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328E94F7" w14:textId="77777777">
        <w:trPr>
          <w:trHeight w:val="414"/>
          <w:tblHeader/>
        </w:trPr>
        <w:tc>
          <w:tcPr>
            <w:tcW w:w="1134" w:type="dxa"/>
            <w:vMerge/>
            <w:vAlign w:val="center"/>
            <w:hideMark/>
          </w:tcPr>
          <w:p w14:paraId="2D953042" w14:textId="77777777" w:rsidR="00DC5EC6" w:rsidRDefault="00DC5EC6">
            <w:pPr>
              <w:spacing w:after="0" w:line="240" w:lineRule="auto"/>
              <w:rPr>
                <w:rFonts w:ascii="Times New Roman" w:eastAsia="Times New Roman" w:hAnsi="Times New Roman" w:cs="Times New Roman"/>
                <w:b/>
                <w:noProof/>
                <w:sz w:val="18"/>
              </w:rPr>
            </w:pPr>
          </w:p>
        </w:tc>
        <w:tc>
          <w:tcPr>
            <w:tcW w:w="1165" w:type="dxa"/>
            <w:vMerge/>
            <w:vAlign w:val="center"/>
            <w:hideMark/>
          </w:tcPr>
          <w:p w14:paraId="4F69105E" w14:textId="77777777" w:rsidR="00DC5EC6" w:rsidRDefault="00DC5EC6">
            <w:pPr>
              <w:spacing w:after="0" w:line="240" w:lineRule="auto"/>
              <w:rPr>
                <w:rFonts w:ascii="Times New Roman" w:eastAsia="Times New Roman" w:hAnsi="Times New Roman" w:cs="Times New Roman"/>
                <w:b/>
                <w:noProof/>
                <w:sz w:val="18"/>
              </w:rPr>
            </w:pPr>
          </w:p>
        </w:tc>
        <w:tc>
          <w:tcPr>
            <w:tcW w:w="976" w:type="dxa"/>
            <w:vMerge/>
            <w:noWrap/>
            <w:vAlign w:val="center"/>
            <w:hideMark/>
          </w:tcPr>
          <w:p w14:paraId="0CA5CF6D" w14:textId="53822D8D" w:rsidR="00DC5EC6" w:rsidRDefault="00DC5EC6">
            <w:pPr>
              <w:spacing w:after="0" w:line="240" w:lineRule="auto"/>
              <w:rPr>
                <w:rFonts w:ascii="Times New Roman" w:eastAsia="Times New Roman" w:hAnsi="Times New Roman" w:cs="Times New Roman"/>
                <w:b/>
                <w:noProof/>
                <w:sz w:val="18"/>
              </w:rPr>
            </w:pPr>
          </w:p>
        </w:tc>
        <w:tc>
          <w:tcPr>
            <w:tcW w:w="1668" w:type="dxa"/>
            <w:vMerge/>
            <w:vAlign w:val="center"/>
            <w:hideMark/>
          </w:tcPr>
          <w:p w14:paraId="501343F1" w14:textId="77777777" w:rsidR="00DC5EC6" w:rsidRDefault="00DC5EC6">
            <w:pPr>
              <w:spacing w:after="0" w:line="240" w:lineRule="auto"/>
              <w:rPr>
                <w:rFonts w:ascii="Times New Roman" w:eastAsia="Times New Roman" w:hAnsi="Times New Roman" w:cs="Times New Roman"/>
                <w:b/>
                <w:noProof/>
                <w:sz w:val="18"/>
              </w:rPr>
            </w:pPr>
          </w:p>
        </w:tc>
        <w:tc>
          <w:tcPr>
            <w:tcW w:w="2029" w:type="dxa"/>
            <w:vMerge/>
            <w:vAlign w:val="center"/>
            <w:hideMark/>
          </w:tcPr>
          <w:p w14:paraId="0E224900" w14:textId="77777777" w:rsidR="00DC5EC6" w:rsidRDefault="00DC5EC6">
            <w:pPr>
              <w:spacing w:after="0" w:line="240" w:lineRule="auto"/>
              <w:rPr>
                <w:rFonts w:ascii="Times New Roman" w:eastAsia="Times New Roman" w:hAnsi="Times New Roman" w:cs="Times New Roman"/>
                <w:b/>
                <w:noProof/>
                <w:sz w:val="18"/>
              </w:rPr>
            </w:pPr>
          </w:p>
        </w:tc>
        <w:tc>
          <w:tcPr>
            <w:tcW w:w="982" w:type="dxa"/>
            <w:tcBorders>
              <w:bottom w:val="single" w:sz="4" w:space="0" w:color="auto"/>
            </w:tcBorders>
            <w:shd w:val="clear" w:color="auto" w:fill="BDD6EE"/>
            <w:noWrap/>
            <w:vAlign w:val="center"/>
            <w:hideMark/>
          </w:tcPr>
          <w:p w14:paraId="54572D4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82" w:type="dxa"/>
            <w:tcBorders>
              <w:bottom w:val="single" w:sz="4" w:space="0" w:color="auto"/>
            </w:tcBorders>
            <w:shd w:val="clear" w:color="auto" w:fill="BDD6EE"/>
            <w:noWrap/>
            <w:vAlign w:val="center"/>
            <w:hideMark/>
          </w:tcPr>
          <w:p w14:paraId="2F722543"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26" w:type="dxa"/>
            <w:tcBorders>
              <w:bottom w:val="single" w:sz="4" w:space="0" w:color="auto"/>
            </w:tcBorders>
            <w:shd w:val="clear" w:color="auto" w:fill="BDD6EE"/>
            <w:noWrap/>
            <w:vAlign w:val="center"/>
            <w:hideMark/>
          </w:tcPr>
          <w:p w14:paraId="490C54F4" w14:textId="77777777" w:rsidR="00DC5EC6" w:rsidRDefault="003245A4">
            <w:pPr>
              <w:pStyle w:val="P68B1DB1-Normal6"/>
              <w:spacing w:after="0" w:line="240" w:lineRule="auto"/>
              <w:jc w:val="center"/>
              <w:rPr>
                <w:rFonts w:eastAsia="Times New Roman" w:cs="Times New Roman"/>
                <w:noProof/>
              </w:rPr>
            </w:pPr>
            <w:r>
              <w:rPr>
                <w:noProof/>
              </w:rPr>
              <w:t>Cél</w:t>
            </w:r>
          </w:p>
        </w:tc>
        <w:tc>
          <w:tcPr>
            <w:tcW w:w="514" w:type="dxa"/>
            <w:tcBorders>
              <w:bottom w:val="single" w:sz="4" w:space="0" w:color="auto"/>
            </w:tcBorders>
            <w:shd w:val="clear" w:color="auto" w:fill="BDD6EE"/>
            <w:noWrap/>
            <w:vAlign w:val="center"/>
            <w:hideMark/>
          </w:tcPr>
          <w:p w14:paraId="7923F7C5" w14:textId="4989BD92" w:rsidR="00DC5EC6" w:rsidRDefault="003A02EC">
            <w:pPr>
              <w:pStyle w:val="P68B1DB1-Normal6"/>
              <w:spacing w:after="0" w:line="240" w:lineRule="auto"/>
              <w:jc w:val="center"/>
              <w:rPr>
                <w:rFonts w:eastAsia="Times New Roman" w:cs="Times New Roman"/>
                <w:noProof/>
              </w:rPr>
            </w:pPr>
            <w:r>
              <w:rPr>
                <w:noProof/>
              </w:rPr>
              <w:t>Negyedév</w:t>
            </w:r>
          </w:p>
        </w:tc>
        <w:tc>
          <w:tcPr>
            <w:tcW w:w="747" w:type="dxa"/>
            <w:tcBorders>
              <w:bottom w:val="single" w:sz="4" w:space="0" w:color="auto"/>
            </w:tcBorders>
            <w:shd w:val="clear" w:color="auto" w:fill="BDD6EE"/>
            <w:noWrap/>
            <w:vAlign w:val="center"/>
            <w:hideMark/>
          </w:tcPr>
          <w:p w14:paraId="73E52651" w14:textId="443A5352" w:rsidR="00DC5EC6" w:rsidRDefault="003245A4">
            <w:pPr>
              <w:pStyle w:val="P68B1DB1-Normal6"/>
              <w:spacing w:after="0" w:line="240" w:lineRule="auto"/>
              <w:jc w:val="center"/>
              <w:rPr>
                <w:rFonts w:eastAsia="Times New Roman" w:cs="Times New Roman"/>
                <w:noProof/>
              </w:rPr>
            </w:pPr>
            <w:r>
              <w:rPr>
                <w:noProof/>
              </w:rPr>
              <w:t>Év</w:t>
            </w:r>
          </w:p>
        </w:tc>
        <w:tc>
          <w:tcPr>
            <w:tcW w:w="3919" w:type="dxa"/>
            <w:vMerge/>
            <w:vAlign w:val="center"/>
            <w:hideMark/>
          </w:tcPr>
          <w:p w14:paraId="38FBE50A" w14:textId="77777777" w:rsidR="00DC5EC6" w:rsidRDefault="00DC5EC6">
            <w:pPr>
              <w:spacing w:after="0" w:line="240" w:lineRule="auto"/>
              <w:rPr>
                <w:rFonts w:ascii="Times New Roman" w:eastAsia="Times New Roman" w:hAnsi="Times New Roman" w:cs="Times New Roman"/>
                <w:b/>
                <w:noProof/>
                <w:sz w:val="18"/>
              </w:rPr>
            </w:pPr>
          </w:p>
        </w:tc>
      </w:tr>
      <w:tr w:rsidR="00DC5EC6" w14:paraId="110D1462" w14:textId="77777777">
        <w:trPr>
          <w:trHeight w:val="1328"/>
        </w:trPr>
        <w:tc>
          <w:tcPr>
            <w:tcW w:w="1134" w:type="dxa"/>
            <w:shd w:val="clear" w:color="auto" w:fill="C4EFCE"/>
            <w:vAlign w:val="center"/>
            <w:hideMark/>
          </w:tcPr>
          <w:p w14:paraId="6746EC53" w14:textId="77777777" w:rsidR="00DC5EC6" w:rsidRDefault="003245A4">
            <w:pPr>
              <w:pStyle w:val="P68B1DB1-Normal7"/>
              <w:spacing w:after="0" w:line="240" w:lineRule="auto"/>
              <w:jc w:val="center"/>
              <w:rPr>
                <w:rFonts w:eastAsia="Times New Roman" w:cs="Calibri"/>
                <w:noProof/>
              </w:rPr>
            </w:pPr>
            <w:r>
              <w:rPr>
                <w:noProof/>
              </w:rPr>
              <w:t>5.1</w:t>
            </w:r>
          </w:p>
        </w:tc>
        <w:tc>
          <w:tcPr>
            <w:tcW w:w="1165" w:type="dxa"/>
            <w:shd w:val="clear" w:color="auto" w:fill="C4EFCE"/>
            <w:vAlign w:val="center"/>
            <w:hideMark/>
          </w:tcPr>
          <w:p w14:paraId="26E5077E" w14:textId="77777777" w:rsidR="00DC5EC6" w:rsidRDefault="003245A4">
            <w:pPr>
              <w:pStyle w:val="P68B1DB1-Normal8"/>
              <w:spacing w:after="0" w:line="240" w:lineRule="auto"/>
              <w:jc w:val="center"/>
              <w:rPr>
                <w:rFonts w:eastAsia="Times New Roman" w:cs="Calibri"/>
                <w:noProof/>
              </w:rPr>
            </w:pPr>
            <w:r>
              <w:rPr>
                <w:noProof/>
              </w:rPr>
              <w:t>Re-C05-r09</w:t>
            </w:r>
          </w:p>
        </w:tc>
        <w:tc>
          <w:tcPr>
            <w:tcW w:w="976" w:type="dxa"/>
            <w:shd w:val="clear" w:color="auto" w:fill="C4EFCE"/>
            <w:vAlign w:val="center"/>
            <w:hideMark/>
          </w:tcPr>
          <w:p w14:paraId="3B5D305C"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1150D1F" w14:textId="77777777" w:rsidR="00DC5EC6" w:rsidRDefault="003245A4">
            <w:pPr>
              <w:pStyle w:val="P68B1DB1-Normal8"/>
              <w:spacing w:after="0" w:line="240" w:lineRule="auto"/>
              <w:jc w:val="center"/>
              <w:rPr>
                <w:rFonts w:eastAsia="Times New Roman" w:cs="Calibri"/>
                <w:noProof/>
              </w:rPr>
            </w:pPr>
            <w:r>
              <w:rPr>
                <w:noProof/>
              </w:rPr>
              <w:t>A 2030-ig tartó időszakra vonatkozó technológiai és üzleti innovációs stratégiára vonatkozó iránymutatások aktualizálása</w:t>
            </w:r>
          </w:p>
        </w:tc>
        <w:tc>
          <w:tcPr>
            <w:tcW w:w="2029" w:type="dxa"/>
            <w:shd w:val="clear" w:color="auto" w:fill="C4EFCE"/>
            <w:vAlign w:val="center"/>
            <w:hideMark/>
          </w:tcPr>
          <w:p w14:paraId="1FA50D9E" w14:textId="77777777" w:rsidR="00DC5EC6" w:rsidRDefault="003245A4">
            <w:pPr>
              <w:pStyle w:val="P68B1DB1-Normal8"/>
              <w:spacing w:after="0" w:line="240" w:lineRule="auto"/>
              <w:jc w:val="center"/>
              <w:rPr>
                <w:rFonts w:eastAsia="Times New Roman" w:cs="Calibri"/>
                <w:noProof/>
              </w:rPr>
            </w:pPr>
            <w:r>
              <w:rPr>
                <w:noProof/>
              </w:rPr>
              <w:t>A 2030-ig tartó időszakra vonatkozó technológiai és üzleti innovációs stratégiára vonatkozó aktualizált iránymutatások közzététele</w:t>
            </w:r>
          </w:p>
        </w:tc>
        <w:tc>
          <w:tcPr>
            <w:tcW w:w="982" w:type="dxa"/>
            <w:shd w:val="clear" w:color="auto" w:fill="C4EFCE"/>
            <w:vAlign w:val="center"/>
            <w:hideMark/>
          </w:tcPr>
          <w:p w14:paraId="1A083873"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86A4EC8"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315D3D4A"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1050DF5" w14:textId="4EEABA2F"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19F55430"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73AB634A" w14:textId="77777777" w:rsidR="00DC5EC6" w:rsidRDefault="003245A4">
            <w:pPr>
              <w:pStyle w:val="P68B1DB1-Normal8"/>
              <w:spacing w:after="0" w:line="240" w:lineRule="auto"/>
              <w:jc w:val="both"/>
              <w:rPr>
                <w:rFonts w:eastAsia="Times New Roman" w:cs="Calibri"/>
                <w:noProof/>
              </w:rPr>
            </w:pPr>
            <w:r>
              <w:rPr>
                <w:noProof/>
              </w:rPr>
              <w:t xml:space="preserve">A Portugália 2018–2030-as technológiai és üzleti innovációs stratégiájára vonatkozó iránymutatások jóváhagyásáról szóló minisztertanácsi határozat aktualizálása, figyelembe véve a nemrégiben elfogadott, Portugália 2030-ig szóló stratégiáját és a gazdasági helyreállítás új kihívásait.  </w:t>
            </w:r>
          </w:p>
        </w:tc>
      </w:tr>
      <w:tr w:rsidR="00DC5EC6" w14:paraId="5E5E0ADB" w14:textId="77777777">
        <w:trPr>
          <w:trHeight w:val="1134"/>
        </w:trPr>
        <w:tc>
          <w:tcPr>
            <w:tcW w:w="1134" w:type="dxa"/>
            <w:shd w:val="clear" w:color="auto" w:fill="C4EFCE"/>
            <w:vAlign w:val="center"/>
            <w:hideMark/>
          </w:tcPr>
          <w:p w14:paraId="3DD3A8E0" w14:textId="77777777" w:rsidR="00DC5EC6" w:rsidRDefault="003245A4">
            <w:pPr>
              <w:pStyle w:val="P68B1DB1-Normal7"/>
              <w:spacing w:after="0" w:line="240" w:lineRule="auto"/>
              <w:jc w:val="center"/>
              <w:rPr>
                <w:rFonts w:eastAsia="Times New Roman" w:cs="Calibri"/>
                <w:noProof/>
              </w:rPr>
            </w:pPr>
            <w:r>
              <w:rPr>
                <w:noProof/>
              </w:rPr>
              <w:t>5.2</w:t>
            </w:r>
          </w:p>
        </w:tc>
        <w:tc>
          <w:tcPr>
            <w:tcW w:w="1165" w:type="dxa"/>
            <w:shd w:val="clear" w:color="auto" w:fill="C4EFCE"/>
            <w:vAlign w:val="center"/>
            <w:hideMark/>
          </w:tcPr>
          <w:p w14:paraId="7C0278D5" w14:textId="77777777" w:rsidR="00DC5EC6" w:rsidRDefault="003245A4">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05E26CF5"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A7AA3EE" w14:textId="77777777" w:rsidR="00DC5EC6" w:rsidRDefault="003245A4">
            <w:pPr>
              <w:pStyle w:val="P68B1DB1-Normal8"/>
              <w:spacing w:after="0" w:line="240" w:lineRule="auto"/>
              <w:jc w:val="center"/>
              <w:rPr>
                <w:rFonts w:eastAsia="Times New Roman" w:cs="Calibri"/>
                <w:noProof/>
              </w:rPr>
            </w:pPr>
            <w:r>
              <w:rPr>
                <w:noProof/>
              </w:rPr>
              <w:t>Az elismert együttműködő laboratóriumok hálózatának bővítése</w:t>
            </w:r>
          </w:p>
        </w:tc>
        <w:tc>
          <w:tcPr>
            <w:tcW w:w="2029" w:type="dxa"/>
            <w:shd w:val="clear" w:color="auto" w:fill="C4EFCE"/>
            <w:vAlign w:val="center"/>
            <w:hideMark/>
          </w:tcPr>
          <w:p w14:paraId="2DEFD2C1"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475022A"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77E0ED1B" w14:textId="77777777" w:rsidR="00DC5EC6" w:rsidRDefault="003245A4">
            <w:pPr>
              <w:pStyle w:val="P68B1DB1-Normal8"/>
              <w:spacing w:after="0" w:line="240" w:lineRule="auto"/>
              <w:jc w:val="center"/>
              <w:rPr>
                <w:rFonts w:eastAsia="Times New Roman" w:cs="Calibri"/>
                <w:noProof/>
              </w:rPr>
            </w:pPr>
            <w:r>
              <w:rPr>
                <w:noProof/>
              </w:rPr>
              <w:t>26</w:t>
            </w:r>
          </w:p>
        </w:tc>
        <w:tc>
          <w:tcPr>
            <w:tcW w:w="626" w:type="dxa"/>
            <w:shd w:val="clear" w:color="auto" w:fill="C4EFCE"/>
            <w:vAlign w:val="center"/>
            <w:hideMark/>
          </w:tcPr>
          <w:p w14:paraId="0AF51B93" w14:textId="77777777" w:rsidR="00DC5EC6" w:rsidRDefault="003245A4">
            <w:pPr>
              <w:pStyle w:val="P68B1DB1-Normal8"/>
              <w:spacing w:after="0" w:line="240" w:lineRule="auto"/>
              <w:jc w:val="center"/>
              <w:rPr>
                <w:rFonts w:eastAsia="Times New Roman" w:cs="Calibri"/>
                <w:noProof/>
              </w:rPr>
            </w:pPr>
            <w:r>
              <w:rPr>
                <w:noProof/>
              </w:rPr>
              <w:t>35</w:t>
            </w:r>
          </w:p>
        </w:tc>
        <w:tc>
          <w:tcPr>
            <w:tcW w:w="514" w:type="dxa"/>
            <w:shd w:val="clear" w:color="auto" w:fill="C4EFCE"/>
            <w:vAlign w:val="center"/>
            <w:hideMark/>
          </w:tcPr>
          <w:p w14:paraId="782F8621" w14:textId="6C69E5FB" w:rsidR="00DC5EC6" w:rsidRDefault="003A02EC">
            <w:pPr>
              <w:pStyle w:val="P68B1DB1-Normal8"/>
              <w:spacing w:after="0" w:line="240" w:lineRule="auto"/>
              <w:jc w:val="center"/>
              <w:rPr>
                <w:rFonts w:eastAsia="Times New Roman" w:cs="Calibri"/>
                <w:noProof/>
              </w:rPr>
            </w:pPr>
            <w:r>
              <w:rPr>
                <w:noProof/>
              </w:rPr>
              <w:t>1.NEGYEDÉV</w:t>
            </w:r>
          </w:p>
        </w:tc>
        <w:tc>
          <w:tcPr>
            <w:tcW w:w="747" w:type="dxa"/>
            <w:shd w:val="clear" w:color="auto" w:fill="C4EFCE"/>
            <w:vAlign w:val="center"/>
            <w:hideMark/>
          </w:tcPr>
          <w:p w14:paraId="523994E0"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6113D01" w14:textId="77777777" w:rsidR="00DC5EC6" w:rsidRDefault="003245A4">
            <w:pPr>
              <w:pStyle w:val="P68B1DB1-Normal8"/>
              <w:spacing w:after="0" w:line="240" w:lineRule="auto"/>
              <w:jc w:val="both"/>
              <w:rPr>
                <w:rFonts w:eastAsia="Times New Roman" w:cs="Calibri"/>
                <w:noProof/>
              </w:rPr>
            </w:pPr>
            <w:r>
              <w:rPr>
                <w:noProof/>
              </w:rPr>
              <w:t>Az új együttműködő laboratóriumok képesítéseinek elismerése és odaítélése – Az együttműködő laboratóriumok hálózatának kiterjesztése a cím elismerésével és új szervezeteknek történő odaítélésével, az FCT, I.P (Tudomány és Technológia Alapítvány) igazgatótanácsa által kinevezett, elismert nemzetközi érdemekkel rendelkező szakértőkből álló független értékelő testület által lefolytatott kérelmezési és értékelési folyamat eredményeként</w:t>
            </w:r>
          </w:p>
        </w:tc>
      </w:tr>
      <w:tr w:rsidR="00DC5EC6" w14:paraId="35A3451C" w14:textId="77777777">
        <w:trPr>
          <w:trHeight w:val="832"/>
        </w:trPr>
        <w:tc>
          <w:tcPr>
            <w:tcW w:w="1134" w:type="dxa"/>
            <w:shd w:val="clear" w:color="auto" w:fill="C4EFCE"/>
            <w:vAlign w:val="center"/>
            <w:hideMark/>
          </w:tcPr>
          <w:p w14:paraId="58D355F0" w14:textId="77777777" w:rsidR="00DC5EC6" w:rsidRDefault="003245A4">
            <w:pPr>
              <w:pStyle w:val="P68B1DB1-Normal7"/>
              <w:spacing w:after="0" w:line="240" w:lineRule="auto"/>
              <w:jc w:val="center"/>
              <w:rPr>
                <w:rFonts w:eastAsia="Times New Roman" w:cs="Calibri"/>
                <w:noProof/>
              </w:rPr>
            </w:pPr>
            <w:r>
              <w:rPr>
                <w:noProof/>
              </w:rPr>
              <w:t>5.3</w:t>
            </w:r>
          </w:p>
        </w:tc>
        <w:tc>
          <w:tcPr>
            <w:tcW w:w="1165" w:type="dxa"/>
            <w:shd w:val="clear" w:color="auto" w:fill="C4EFCE"/>
            <w:vAlign w:val="center"/>
            <w:hideMark/>
          </w:tcPr>
          <w:p w14:paraId="3E94C4FC" w14:textId="77777777" w:rsidR="00DC5EC6" w:rsidRDefault="003245A4">
            <w:pPr>
              <w:pStyle w:val="P68B1DB1-Normal8"/>
              <w:spacing w:after="0" w:line="240" w:lineRule="auto"/>
              <w:jc w:val="center"/>
              <w:rPr>
                <w:rFonts w:eastAsia="Times New Roman" w:cs="Calibri"/>
                <w:noProof/>
              </w:rPr>
            </w:pPr>
            <w:r>
              <w:rPr>
                <w:noProof/>
              </w:rPr>
              <w:t>Re-C05-r11</w:t>
            </w:r>
          </w:p>
        </w:tc>
        <w:tc>
          <w:tcPr>
            <w:tcW w:w="976" w:type="dxa"/>
            <w:shd w:val="clear" w:color="auto" w:fill="C4EFCE"/>
            <w:vAlign w:val="center"/>
            <w:hideMark/>
          </w:tcPr>
          <w:p w14:paraId="6C55C77E"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31D325B5" w14:textId="77777777" w:rsidR="00DC5EC6" w:rsidRDefault="003245A4">
            <w:pPr>
              <w:pStyle w:val="P68B1DB1-Normal8"/>
              <w:spacing w:after="0" w:line="240" w:lineRule="auto"/>
              <w:jc w:val="center"/>
              <w:rPr>
                <w:rFonts w:eastAsia="Times New Roman" w:cs="Calibri"/>
                <w:noProof/>
              </w:rPr>
            </w:pPr>
            <w:r>
              <w:rPr>
                <w:noProof/>
              </w:rPr>
              <w:t>A technológiai és innovációs központokra vonatkozó új jogi szabályozás hatálybalépése</w:t>
            </w:r>
          </w:p>
        </w:tc>
        <w:tc>
          <w:tcPr>
            <w:tcW w:w="2029" w:type="dxa"/>
            <w:shd w:val="clear" w:color="auto" w:fill="C4EFCE"/>
            <w:vAlign w:val="center"/>
            <w:hideMark/>
          </w:tcPr>
          <w:p w14:paraId="0C5A7131" w14:textId="77777777" w:rsidR="00DC5EC6" w:rsidRDefault="003245A4">
            <w:pPr>
              <w:pStyle w:val="P68B1DB1-Normal8"/>
              <w:spacing w:after="0" w:line="240" w:lineRule="auto"/>
              <w:jc w:val="center"/>
              <w:rPr>
                <w:rFonts w:eastAsia="Times New Roman" w:cs="Calibri"/>
                <w:noProof/>
              </w:rPr>
            </w:pPr>
            <w:r>
              <w:rPr>
                <w:noProof/>
              </w:rPr>
              <w:t xml:space="preserve">A technológiai és innovációs központokra vonatkozó új jogi szabályozás hatálybalépése </w:t>
            </w:r>
          </w:p>
        </w:tc>
        <w:tc>
          <w:tcPr>
            <w:tcW w:w="982" w:type="dxa"/>
            <w:shd w:val="clear" w:color="auto" w:fill="C4EFCE"/>
            <w:vAlign w:val="center"/>
            <w:hideMark/>
          </w:tcPr>
          <w:p w14:paraId="04B50F84"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3120DC99"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54BBA269"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D528544" w14:textId="0B100B9D"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21CF437E"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75CFEAF" w14:textId="77777777" w:rsidR="00DC5EC6" w:rsidRDefault="003245A4">
            <w:pPr>
              <w:pStyle w:val="P68B1DB1-Normal8"/>
              <w:spacing w:after="0" w:line="240" w:lineRule="auto"/>
              <w:jc w:val="both"/>
              <w:rPr>
                <w:rFonts w:eastAsia="Times New Roman" w:cs="Calibri"/>
                <w:noProof/>
              </w:rPr>
            </w:pPr>
            <w:r>
              <w:rPr>
                <w:noProof/>
              </w:rPr>
              <w:t>A jogszabály felülvizsgálja és egységesíti a tudományos és technológiai rendszer részét képező szervezetek jogszabályi és szabályozási keretét, meghatározva annak finanszírozási és értékelési modelljét.</w:t>
            </w:r>
          </w:p>
        </w:tc>
      </w:tr>
      <w:tr w:rsidR="00DC5EC6" w14:paraId="0A1CA6E0" w14:textId="77777777">
        <w:trPr>
          <w:trHeight w:val="882"/>
        </w:trPr>
        <w:tc>
          <w:tcPr>
            <w:tcW w:w="1134" w:type="dxa"/>
            <w:shd w:val="clear" w:color="auto" w:fill="C4EFCE"/>
            <w:vAlign w:val="center"/>
            <w:hideMark/>
          </w:tcPr>
          <w:p w14:paraId="539F0C3A" w14:textId="77777777" w:rsidR="00DC5EC6" w:rsidRDefault="003245A4">
            <w:pPr>
              <w:pStyle w:val="P68B1DB1-Normal7"/>
              <w:spacing w:after="0" w:line="240" w:lineRule="auto"/>
              <w:jc w:val="center"/>
              <w:rPr>
                <w:rFonts w:eastAsia="Times New Roman" w:cs="Calibri"/>
                <w:noProof/>
              </w:rPr>
            </w:pPr>
            <w:r>
              <w:rPr>
                <w:noProof/>
              </w:rPr>
              <w:t>5.4</w:t>
            </w:r>
          </w:p>
        </w:tc>
        <w:tc>
          <w:tcPr>
            <w:tcW w:w="1165" w:type="dxa"/>
            <w:shd w:val="clear" w:color="auto" w:fill="C4EFCE"/>
            <w:vAlign w:val="center"/>
            <w:hideMark/>
          </w:tcPr>
          <w:p w14:paraId="17A4EABC" w14:textId="77777777" w:rsidR="00DC5EC6" w:rsidRDefault="003245A4">
            <w:pPr>
              <w:pStyle w:val="P68B1DB1-Normal8"/>
              <w:spacing w:after="0" w:line="240" w:lineRule="auto"/>
              <w:jc w:val="center"/>
              <w:rPr>
                <w:rFonts w:eastAsia="Times New Roman" w:cs="Calibri"/>
                <w:noProof/>
              </w:rPr>
            </w:pPr>
            <w:r>
              <w:rPr>
                <w:noProof/>
              </w:rPr>
              <w:t>Re-C05-r12</w:t>
            </w:r>
          </w:p>
        </w:tc>
        <w:tc>
          <w:tcPr>
            <w:tcW w:w="976" w:type="dxa"/>
            <w:shd w:val="clear" w:color="auto" w:fill="C4EFCE"/>
            <w:vAlign w:val="center"/>
            <w:hideMark/>
          </w:tcPr>
          <w:p w14:paraId="2CCDE3B9"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71A5F73D" w14:textId="77777777" w:rsidR="00DC5EC6" w:rsidRDefault="003245A4">
            <w:pPr>
              <w:pStyle w:val="P68B1DB1-Normal8"/>
              <w:spacing w:after="0" w:line="240" w:lineRule="auto"/>
              <w:jc w:val="center"/>
              <w:rPr>
                <w:rFonts w:eastAsia="Times New Roman" w:cs="Calibri"/>
                <w:noProof/>
              </w:rPr>
            </w:pPr>
            <w:r>
              <w:rPr>
                <w:noProof/>
              </w:rPr>
              <w:t>A mezőgazdasági innovációs terv jóváhagyása</w:t>
            </w:r>
          </w:p>
        </w:tc>
        <w:tc>
          <w:tcPr>
            <w:tcW w:w="2029" w:type="dxa"/>
            <w:shd w:val="clear" w:color="auto" w:fill="C4EFCE"/>
            <w:vAlign w:val="center"/>
            <w:hideMark/>
          </w:tcPr>
          <w:p w14:paraId="070AC07F" w14:textId="77777777" w:rsidR="00DC5EC6" w:rsidRDefault="003245A4">
            <w:pPr>
              <w:pStyle w:val="P68B1DB1-Normal8"/>
              <w:spacing w:after="0" w:line="240" w:lineRule="auto"/>
              <w:jc w:val="center"/>
              <w:rPr>
                <w:rFonts w:eastAsia="Times New Roman" w:cs="Calibri"/>
                <w:noProof/>
              </w:rPr>
            </w:pPr>
            <w:r>
              <w:rPr>
                <w:noProof/>
              </w:rPr>
              <w:t>A mezőgazdasági innovációs terv jóváhagyása</w:t>
            </w:r>
          </w:p>
        </w:tc>
        <w:tc>
          <w:tcPr>
            <w:tcW w:w="982" w:type="dxa"/>
            <w:shd w:val="clear" w:color="auto" w:fill="C4EFCE"/>
            <w:vAlign w:val="center"/>
            <w:hideMark/>
          </w:tcPr>
          <w:p w14:paraId="428779D0"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2590ACF"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0D0096C5"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6AA4C8CC" w14:textId="784272C1"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4EB83404" w14:textId="77777777" w:rsidR="00DC5EC6" w:rsidRDefault="003245A4">
            <w:pPr>
              <w:pStyle w:val="P68B1DB1-Normal8"/>
              <w:spacing w:after="0" w:line="240" w:lineRule="auto"/>
              <w:jc w:val="center"/>
              <w:rPr>
                <w:rFonts w:eastAsia="Times New Roman" w:cs="Calibri"/>
                <w:noProof/>
              </w:rPr>
            </w:pPr>
            <w:r>
              <w:rPr>
                <w:noProof/>
              </w:rPr>
              <w:t>2020</w:t>
            </w:r>
          </w:p>
        </w:tc>
        <w:tc>
          <w:tcPr>
            <w:tcW w:w="3919" w:type="dxa"/>
            <w:shd w:val="clear" w:color="auto" w:fill="C4EFCE"/>
            <w:vAlign w:val="center"/>
            <w:hideMark/>
          </w:tcPr>
          <w:p w14:paraId="0BB06B9A" w14:textId="77777777" w:rsidR="00DC5EC6" w:rsidRDefault="003245A4">
            <w:pPr>
              <w:pStyle w:val="P68B1DB1-Normal8"/>
              <w:spacing w:after="0" w:line="240" w:lineRule="auto"/>
              <w:jc w:val="both"/>
              <w:rPr>
                <w:rFonts w:eastAsia="Times New Roman" w:cs="Calibri"/>
                <w:noProof/>
              </w:rPr>
            </w:pPr>
            <w:r>
              <w:rPr>
                <w:noProof/>
              </w:rPr>
              <w:t>A Miniszterek Tanácsának a mezőgazdasági innovációs tervet jóváhagyó határozatának közzététele. A Miniszterek Tanácsának 2020. október 15-én közzétett határozata</w:t>
            </w:r>
          </w:p>
        </w:tc>
      </w:tr>
      <w:tr w:rsidR="00DC5EC6" w14:paraId="32426B30" w14:textId="77777777">
        <w:trPr>
          <w:trHeight w:val="290"/>
        </w:trPr>
        <w:tc>
          <w:tcPr>
            <w:tcW w:w="1134" w:type="dxa"/>
            <w:shd w:val="clear" w:color="auto" w:fill="C4EFCE"/>
            <w:vAlign w:val="center"/>
            <w:hideMark/>
          </w:tcPr>
          <w:p w14:paraId="496B6F04" w14:textId="11995258" w:rsidR="00DC5EC6" w:rsidRDefault="003245A4">
            <w:pPr>
              <w:pStyle w:val="P68B1DB1-Normal7"/>
              <w:spacing w:after="0" w:line="240" w:lineRule="auto"/>
              <w:jc w:val="center"/>
              <w:rPr>
                <w:rFonts w:eastAsia="Times New Roman" w:cs="Calibri"/>
                <w:noProof/>
              </w:rPr>
            </w:pPr>
            <w:r>
              <w:rPr>
                <w:noProof/>
              </w:rPr>
              <w:t>5.5</w:t>
            </w:r>
          </w:p>
        </w:tc>
        <w:tc>
          <w:tcPr>
            <w:tcW w:w="1165" w:type="dxa"/>
            <w:shd w:val="clear" w:color="auto" w:fill="C4EFCE"/>
            <w:vAlign w:val="center"/>
            <w:hideMark/>
          </w:tcPr>
          <w:p w14:paraId="398EBCED" w14:textId="77777777" w:rsidR="00DC5EC6" w:rsidRDefault="003245A4">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33F2AD16"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FE6E86D" w14:textId="1BD699C7" w:rsidR="00DC5EC6" w:rsidRDefault="003245A4">
            <w:pPr>
              <w:pStyle w:val="P68B1DB1-Normal8"/>
              <w:spacing w:after="0" w:line="240" w:lineRule="auto"/>
              <w:jc w:val="center"/>
              <w:rPr>
                <w:rFonts w:eastAsia="Times New Roman" w:cs="Calibri"/>
                <w:noProof/>
              </w:rPr>
            </w:pPr>
            <w:r>
              <w:rPr>
                <w:noProof/>
              </w:rPr>
              <w:t>Szerződések megkötése új termékek, eljárások vagy szolgáltatások kifejlesztésére a releváns stratégiai területeken (innovációs menetrendek).</w:t>
            </w:r>
          </w:p>
        </w:tc>
        <w:tc>
          <w:tcPr>
            <w:tcW w:w="2029" w:type="dxa"/>
            <w:shd w:val="clear" w:color="auto" w:fill="C4EFCE"/>
            <w:vAlign w:val="center"/>
            <w:hideMark/>
          </w:tcPr>
          <w:p w14:paraId="586F89B8"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0335E1"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7836D100"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9FCEC27" w14:textId="77777777" w:rsidR="00DC5EC6" w:rsidRDefault="003245A4">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26FC7773" w14:textId="5F21DBB6"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3E7F441B" w14:textId="77777777" w:rsidR="00DC5EC6" w:rsidRDefault="003245A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B6D042" w14:textId="77777777" w:rsidR="00DC5EC6" w:rsidRDefault="003245A4">
            <w:pPr>
              <w:pStyle w:val="P68B1DB1-Normal8"/>
              <w:spacing w:after="0" w:line="240" w:lineRule="auto"/>
              <w:jc w:val="both"/>
              <w:rPr>
                <w:rFonts w:eastAsia="Times New Roman" w:cs="Calibri"/>
                <w:noProof/>
              </w:rPr>
            </w:pPr>
            <w:r>
              <w:rPr>
                <w:noProof/>
              </w:rPr>
              <w:t xml:space="preserve">Hat szerződés (innovációs paktumok vagy mobilizációs projektek) megkötése konzorciumokkal, amelyek a következőket foglalják magukban: A konzorciumot alkotó jogalanyok azonosítása; </w:t>
            </w:r>
          </w:p>
          <w:p w14:paraId="4551FC29" w14:textId="213B120F" w:rsidR="00DC5EC6" w:rsidRDefault="003245A4">
            <w:pPr>
              <w:pStyle w:val="P68B1DB1-Normal8"/>
              <w:spacing w:after="0" w:line="240" w:lineRule="auto"/>
              <w:jc w:val="both"/>
              <w:rPr>
                <w:rFonts w:eastAsia="Times New Roman" w:cs="Calibri"/>
                <w:noProof/>
              </w:rPr>
            </w:pPr>
            <w:r>
              <w:rPr>
                <w:noProof/>
              </w:rPr>
              <w:t>Az üzleti terv/beruházás;</w:t>
            </w:r>
          </w:p>
          <w:p w14:paraId="74966FD9" w14:textId="77777777" w:rsidR="00DC5EC6" w:rsidRDefault="003245A4">
            <w:pPr>
              <w:pStyle w:val="P68B1DB1-Normal8"/>
              <w:spacing w:after="0" w:line="240" w:lineRule="auto"/>
              <w:jc w:val="both"/>
              <w:rPr>
                <w:rFonts w:eastAsia="Times New Roman" w:cs="Calibri"/>
                <w:noProof/>
              </w:rPr>
            </w:pPr>
            <w:r>
              <w:rPr>
                <w:noProof/>
              </w:rPr>
              <w:t xml:space="preserve">a finanszírozás összege; </w:t>
            </w:r>
          </w:p>
          <w:p w14:paraId="3EC5A194" w14:textId="77777777" w:rsidR="00DC5EC6" w:rsidRDefault="003245A4">
            <w:pPr>
              <w:pStyle w:val="P68B1DB1-Normal8"/>
              <w:spacing w:after="0" w:line="240" w:lineRule="auto"/>
              <w:jc w:val="both"/>
              <w:rPr>
                <w:rFonts w:eastAsia="Times New Roman" w:cs="Calibri"/>
                <w:noProof/>
              </w:rPr>
            </w:pPr>
            <w:r>
              <w:rPr>
                <w:noProof/>
              </w:rPr>
              <w:t xml:space="preserve">A kedvezményezettre vonatkozó célkitűzések; </w:t>
            </w:r>
          </w:p>
          <w:p w14:paraId="6A5827B9" w14:textId="77777777" w:rsidR="00DC5EC6" w:rsidRDefault="003245A4">
            <w:pPr>
              <w:pStyle w:val="P68B1DB1-Normal8"/>
              <w:spacing w:after="0" w:line="240" w:lineRule="auto"/>
              <w:jc w:val="both"/>
              <w:rPr>
                <w:rFonts w:eastAsia="Times New Roman" w:cs="Calibri"/>
                <w:noProof/>
              </w:rPr>
            </w:pPr>
            <w:r>
              <w:rPr>
                <w:noProof/>
              </w:rPr>
              <w:t xml:space="preserve">A nyomon követés formája. </w:t>
            </w:r>
          </w:p>
          <w:p w14:paraId="336484AB" w14:textId="12D62436" w:rsidR="00DC5EC6" w:rsidRDefault="003245A4">
            <w:pPr>
              <w:pStyle w:val="P68B1DB1-Normal8"/>
              <w:spacing w:after="0" w:line="240" w:lineRule="auto"/>
              <w:jc w:val="both"/>
              <w:rPr>
                <w:rFonts w:eastAsia="Times New Roman" w:cs="Calibri"/>
                <w:noProof/>
              </w:rPr>
            </w:pPr>
            <w:r>
              <w:rPr>
                <w:noProof/>
              </w:rPr>
              <w:t>A szerződéseknek összesen legalább 60 terméket, eljárást vagy szolgáltatást kell támogatniuk. 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tc>
      </w:tr>
      <w:tr w:rsidR="00DC5EC6" w14:paraId="2A70DAF8" w14:textId="77777777">
        <w:trPr>
          <w:trHeight w:val="1177"/>
        </w:trPr>
        <w:tc>
          <w:tcPr>
            <w:tcW w:w="1134" w:type="dxa"/>
            <w:shd w:val="clear" w:color="auto" w:fill="C4EFCE"/>
            <w:vAlign w:val="center"/>
            <w:hideMark/>
          </w:tcPr>
          <w:p w14:paraId="509D06FA" w14:textId="77777777" w:rsidR="00DC5EC6" w:rsidRDefault="003245A4">
            <w:pPr>
              <w:pStyle w:val="P68B1DB1-Normal7"/>
              <w:spacing w:after="0" w:line="240" w:lineRule="auto"/>
              <w:jc w:val="center"/>
              <w:rPr>
                <w:rFonts w:eastAsia="Times New Roman" w:cs="Calibri"/>
                <w:noProof/>
              </w:rPr>
            </w:pPr>
            <w:r>
              <w:rPr>
                <w:noProof/>
              </w:rPr>
              <w:t>5.6</w:t>
            </w:r>
          </w:p>
        </w:tc>
        <w:tc>
          <w:tcPr>
            <w:tcW w:w="1165" w:type="dxa"/>
            <w:shd w:val="clear" w:color="auto" w:fill="C4EFCE"/>
            <w:vAlign w:val="center"/>
            <w:hideMark/>
          </w:tcPr>
          <w:p w14:paraId="33218AE0" w14:textId="77777777" w:rsidR="00DC5EC6" w:rsidRDefault="003245A4">
            <w:pPr>
              <w:pStyle w:val="P68B1DB1-Normal8"/>
              <w:spacing w:after="0" w:line="240" w:lineRule="auto"/>
              <w:jc w:val="center"/>
              <w:rPr>
                <w:rFonts w:eastAsia="Times New Roman" w:cs="Calibri"/>
                <w:noProof/>
              </w:rPr>
            </w:pPr>
            <w:r>
              <w:rPr>
                <w:noProof/>
              </w:rPr>
              <w:t>Re-C05-i01.01</w:t>
            </w:r>
          </w:p>
        </w:tc>
        <w:tc>
          <w:tcPr>
            <w:tcW w:w="976" w:type="dxa"/>
            <w:shd w:val="clear" w:color="auto" w:fill="C4EFCE"/>
            <w:vAlign w:val="center"/>
            <w:hideMark/>
          </w:tcPr>
          <w:p w14:paraId="28D975FD"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99030BE" w14:textId="77777777" w:rsidR="00DC5EC6" w:rsidRDefault="003245A4">
            <w:pPr>
              <w:pStyle w:val="P68B1DB1-Normal8"/>
              <w:spacing w:after="0" w:line="240" w:lineRule="auto"/>
              <w:jc w:val="center"/>
              <w:rPr>
                <w:rFonts w:eastAsia="Times New Roman" w:cs="Calibri"/>
                <w:noProof/>
              </w:rPr>
            </w:pPr>
            <w:r>
              <w:rPr>
                <w:noProof/>
              </w:rPr>
              <w:t xml:space="preserve">A 6 szerződés végrehajtásának lezárása (innovációs paktumok vagy projektek mozgósítása)  </w:t>
            </w:r>
          </w:p>
        </w:tc>
        <w:tc>
          <w:tcPr>
            <w:tcW w:w="2029" w:type="dxa"/>
            <w:shd w:val="clear" w:color="auto" w:fill="C4EFCE"/>
            <w:vAlign w:val="center"/>
            <w:hideMark/>
          </w:tcPr>
          <w:p w14:paraId="6BAACDF3"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12ABD6D2"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655CED5C"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90ACFAB" w14:textId="77777777" w:rsidR="00DC5EC6" w:rsidRDefault="003245A4">
            <w:pPr>
              <w:pStyle w:val="P68B1DB1-Normal8"/>
              <w:spacing w:after="0" w:line="240" w:lineRule="auto"/>
              <w:jc w:val="center"/>
              <w:rPr>
                <w:rFonts w:eastAsia="Times New Roman" w:cs="Calibri"/>
                <w:noProof/>
              </w:rPr>
            </w:pPr>
            <w:r>
              <w:rPr>
                <w:noProof/>
              </w:rPr>
              <w:t>6</w:t>
            </w:r>
          </w:p>
        </w:tc>
        <w:tc>
          <w:tcPr>
            <w:tcW w:w="514" w:type="dxa"/>
            <w:shd w:val="clear" w:color="auto" w:fill="C4EFCE"/>
            <w:vAlign w:val="center"/>
            <w:hideMark/>
          </w:tcPr>
          <w:p w14:paraId="6ECDA684" w14:textId="4997D0D0" w:rsidR="00DC5EC6" w:rsidRDefault="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6279F629" w14:textId="77777777" w:rsidR="00DC5EC6" w:rsidRDefault="003245A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BE5656C" w14:textId="77777777" w:rsidR="00DC5EC6" w:rsidRDefault="003245A4">
            <w:pPr>
              <w:pStyle w:val="P68B1DB1-Normal8"/>
              <w:spacing w:after="0" w:line="240" w:lineRule="auto"/>
              <w:jc w:val="both"/>
              <w:rPr>
                <w:rFonts w:eastAsia="Times New Roman" w:cs="Calibri"/>
                <w:noProof/>
              </w:rPr>
            </w:pPr>
            <w:r>
              <w:rPr>
                <w:noProof/>
              </w:rPr>
              <w:t xml:space="preserve">A releváns stratégiai területeken a konzorciumokkal kötött hat szerződés (innovációs paktumok vagy mozgósító projektek) végrehajtásából eredő termékek, folyamatok vagy szolgáltatások befejezése. </w:t>
            </w:r>
          </w:p>
        </w:tc>
      </w:tr>
      <w:tr w:rsidR="003A02EC" w14:paraId="6643E212" w14:textId="77777777">
        <w:trPr>
          <w:trHeight w:val="3677"/>
        </w:trPr>
        <w:tc>
          <w:tcPr>
            <w:tcW w:w="1134" w:type="dxa"/>
            <w:shd w:val="clear" w:color="auto" w:fill="C4EFCE"/>
            <w:vAlign w:val="center"/>
            <w:hideMark/>
          </w:tcPr>
          <w:p w14:paraId="468D23F3" w14:textId="77777777" w:rsidR="003A02EC" w:rsidRDefault="003A02EC" w:rsidP="003A02EC">
            <w:pPr>
              <w:pStyle w:val="P68B1DB1-Normal7"/>
              <w:spacing w:after="0" w:line="240" w:lineRule="auto"/>
              <w:jc w:val="center"/>
              <w:rPr>
                <w:rFonts w:eastAsia="Times New Roman" w:cs="Calibri"/>
                <w:noProof/>
              </w:rPr>
            </w:pPr>
            <w:r>
              <w:rPr>
                <w:noProof/>
              </w:rPr>
              <w:t>5.7 </w:t>
            </w:r>
          </w:p>
        </w:tc>
        <w:tc>
          <w:tcPr>
            <w:tcW w:w="1165" w:type="dxa"/>
            <w:shd w:val="clear" w:color="auto" w:fill="C4EFCE"/>
            <w:vAlign w:val="center"/>
            <w:hideMark/>
          </w:tcPr>
          <w:p w14:paraId="2FA90289" w14:textId="77777777" w:rsidR="003A02EC" w:rsidRDefault="003A02EC" w:rsidP="003A02EC">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01D312C5"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983D09B" w14:textId="4A5620C6" w:rsidR="003A02EC" w:rsidRDefault="003A02EC" w:rsidP="003A02EC">
            <w:pPr>
              <w:pStyle w:val="P68B1DB1-Normal8"/>
              <w:spacing w:after="0" w:line="240" w:lineRule="auto"/>
              <w:jc w:val="center"/>
              <w:rPr>
                <w:rFonts w:eastAsia="Times New Roman" w:cs="Calibri"/>
                <w:noProof/>
              </w:rPr>
            </w:pPr>
            <w:r>
              <w:rPr>
                <w:noProof/>
              </w:rPr>
              <w:t xml:space="preserve">Szerződések megkötése új termékek, eljárások vagy szolgáltatások kifejlesztésére az alacsony szén-dioxid-kibocsátású gazdaság, az ellenálló képesség és az éghajlatváltozáshoz való alkalmazkodás szempontjából releváns stratégiai területeken. </w:t>
            </w:r>
          </w:p>
        </w:tc>
        <w:tc>
          <w:tcPr>
            <w:tcW w:w="2029" w:type="dxa"/>
            <w:shd w:val="clear" w:color="auto" w:fill="C4EFCE"/>
            <w:vAlign w:val="center"/>
            <w:hideMark/>
          </w:tcPr>
          <w:p w14:paraId="70E69742"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945C4B9"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6498CFE3"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56C19C5" w14:textId="77777777" w:rsidR="003A02EC" w:rsidRDefault="003A02EC" w:rsidP="003A02EC">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2F258065" w14:textId="43F4E68E"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4CBB76C3" w14:textId="77777777" w:rsidR="003A02EC" w:rsidRDefault="003A02EC" w:rsidP="003A02EC">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60F200E4" w14:textId="77777777" w:rsidR="003A02EC" w:rsidRDefault="003A02EC" w:rsidP="003A02EC">
            <w:pPr>
              <w:pStyle w:val="P68B1DB1-Normal8"/>
              <w:spacing w:after="0" w:line="240" w:lineRule="auto"/>
              <w:jc w:val="both"/>
              <w:rPr>
                <w:rFonts w:eastAsia="Times New Roman" w:cs="Calibri"/>
                <w:noProof/>
              </w:rPr>
            </w:pPr>
            <w:r>
              <w:rPr>
                <w:noProof/>
              </w:rPr>
              <w:t>Négy szerződés (innovációs paktumok vagy mobilizációs projektek) megkötése konzorciumokkal, amelyek a következőket foglalják magukban: A konzorciumot alkotó jogalanyok azonosítása;</w:t>
            </w:r>
          </w:p>
          <w:p w14:paraId="270B450D" w14:textId="4F7D3223" w:rsidR="003A02EC" w:rsidRDefault="003A02EC" w:rsidP="003A02EC">
            <w:pPr>
              <w:pStyle w:val="P68B1DB1-Normal8"/>
              <w:spacing w:after="0" w:line="240" w:lineRule="auto"/>
              <w:jc w:val="both"/>
              <w:rPr>
                <w:rFonts w:eastAsia="Times New Roman" w:cs="Calibri"/>
                <w:noProof/>
              </w:rPr>
            </w:pPr>
            <w:r>
              <w:rPr>
                <w:noProof/>
              </w:rPr>
              <w:t xml:space="preserve">Az üzleti terv/beruházás; </w:t>
            </w:r>
          </w:p>
          <w:p w14:paraId="026E6977" w14:textId="77777777" w:rsidR="003A02EC" w:rsidRDefault="003A02EC" w:rsidP="003A02EC">
            <w:pPr>
              <w:pStyle w:val="P68B1DB1-Normal8"/>
              <w:spacing w:after="0" w:line="240" w:lineRule="auto"/>
              <w:jc w:val="both"/>
              <w:rPr>
                <w:rFonts w:eastAsia="Times New Roman" w:cs="Calibri"/>
                <w:noProof/>
              </w:rPr>
            </w:pPr>
            <w:r>
              <w:rPr>
                <w:noProof/>
              </w:rPr>
              <w:t xml:space="preserve">a finanszírozás összege; </w:t>
            </w:r>
          </w:p>
          <w:p w14:paraId="3DAD31FF" w14:textId="77777777" w:rsidR="003A02EC" w:rsidRDefault="003A02EC" w:rsidP="003A02EC">
            <w:pPr>
              <w:pStyle w:val="P68B1DB1-Normal8"/>
              <w:spacing w:after="0" w:line="240" w:lineRule="auto"/>
              <w:jc w:val="both"/>
              <w:rPr>
                <w:rFonts w:eastAsia="Times New Roman" w:cs="Calibri"/>
                <w:noProof/>
              </w:rPr>
            </w:pPr>
            <w:r>
              <w:rPr>
                <w:noProof/>
              </w:rPr>
              <w:t xml:space="preserve">A kedvezményezettre vonatkozó célkitűzések; </w:t>
            </w:r>
          </w:p>
          <w:p w14:paraId="7918E159" w14:textId="77777777" w:rsidR="003A02EC" w:rsidRDefault="003A02EC" w:rsidP="003A02EC">
            <w:pPr>
              <w:pStyle w:val="P68B1DB1-Normal8"/>
              <w:spacing w:after="0" w:line="240" w:lineRule="auto"/>
              <w:jc w:val="both"/>
              <w:rPr>
                <w:rFonts w:eastAsia="Times New Roman" w:cs="Calibri"/>
                <w:noProof/>
              </w:rPr>
            </w:pPr>
            <w:r>
              <w:rPr>
                <w:noProof/>
              </w:rPr>
              <w:t>A nyomon követés formája.</w:t>
            </w:r>
          </w:p>
          <w:p w14:paraId="663B5E0B" w14:textId="77777777" w:rsidR="003A02EC" w:rsidRDefault="003A02EC" w:rsidP="003A02EC">
            <w:pPr>
              <w:spacing w:after="0" w:line="240" w:lineRule="auto"/>
              <w:jc w:val="both"/>
              <w:rPr>
                <w:rFonts w:ascii="Calibri" w:eastAsia="Times New Roman" w:hAnsi="Calibri" w:cs="Calibri"/>
                <w:noProof/>
                <w:sz w:val="16"/>
              </w:rPr>
            </w:pPr>
          </w:p>
          <w:p w14:paraId="4EC7E909" w14:textId="1C2F6D07" w:rsidR="003A02EC" w:rsidRDefault="003A02EC" w:rsidP="003A02EC">
            <w:pPr>
              <w:pStyle w:val="P68B1DB1-Normal9"/>
              <w:spacing w:after="0" w:line="240" w:lineRule="auto"/>
              <w:jc w:val="both"/>
              <w:rPr>
                <w:rFonts w:eastAsia="Times New Roman" w:cs="Calibri"/>
                <w:noProof/>
                <w:sz w:val="16"/>
              </w:rPr>
            </w:pPr>
            <w:r>
              <w:rPr>
                <w:noProof/>
                <w:sz w:val="16"/>
              </w:rPr>
              <w:t>A szerződéseknek összesen legalább 40 terméket, folyamatot vagy szolgáltatást kell támogatniuk, és tükrözniük kell a 022. beavatkozási területtel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w:t>
            </w:r>
            <w:r>
              <w:rPr>
                <w:noProof/>
              </w:rPr>
              <w:t xml:space="preserve"> </w:t>
            </w:r>
            <w:r>
              <w:rPr>
                <w:noProof/>
                <w:sz w:val="16"/>
              </w:rPr>
              <w:t>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tc>
      </w:tr>
      <w:tr w:rsidR="003A02EC" w14:paraId="7CCE9FC2" w14:textId="77777777">
        <w:trPr>
          <w:trHeight w:val="1405"/>
        </w:trPr>
        <w:tc>
          <w:tcPr>
            <w:tcW w:w="1134" w:type="dxa"/>
            <w:shd w:val="clear" w:color="auto" w:fill="C4EFCE"/>
            <w:vAlign w:val="center"/>
            <w:hideMark/>
          </w:tcPr>
          <w:p w14:paraId="42B4F12E" w14:textId="77777777" w:rsidR="003A02EC" w:rsidRDefault="003A02EC" w:rsidP="003A02EC">
            <w:pPr>
              <w:pStyle w:val="P68B1DB1-Normal7"/>
              <w:spacing w:after="0" w:line="240" w:lineRule="auto"/>
              <w:jc w:val="center"/>
              <w:rPr>
                <w:rFonts w:eastAsia="Times New Roman" w:cs="Calibri"/>
                <w:noProof/>
              </w:rPr>
            </w:pPr>
            <w:r>
              <w:rPr>
                <w:noProof/>
              </w:rPr>
              <w:t>5.8</w:t>
            </w:r>
          </w:p>
        </w:tc>
        <w:tc>
          <w:tcPr>
            <w:tcW w:w="1165" w:type="dxa"/>
            <w:shd w:val="clear" w:color="auto" w:fill="C4EFCE"/>
            <w:vAlign w:val="center"/>
            <w:hideMark/>
          </w:tcPr>
          <w:p w14:paraId="32953778" w14:textId="77777777" w:rsidR="003A02EC" w:rsidRDefault="003A02EC" w:rsidP="003A02EC">
            <w:pPr>
              <w:pStyle w:val="P68B1DB1-Normal8"/>
              <w:spacing w:after="0" w:line="240" w:lineRule="auto"/>
              <w:jc w:val="center"/>
              <w:rPr>
                <w:rFonts w:eastAsia="Times New Roman" w:cs="Calibri"/>
                <w:noProof/>
              </w:rPr>
            </w:pPr>
            <w:r>
              <w:rPr>
                <w:noProof/>
              </w:rPr>
              <w:t>Re-C05-i01.02</w:t>
            </w:r>
          </w:p>
        </w:tc>
        <w:tc>
          <w:tcPr>
            <w:tcW w:w="976" w:type="dxa"/>
            <w:shd w:val="clear" w:color="auto" w:fill="C4EFCE"/>
            <w:vAlign w:val="center"/>
            <w:hideMark/>
          </w:tcPr>
          <w:p w14:paraId="217DD48E"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73501CE1" w14:textId="77777777" w:rsidR="003A02EC" w:rsidRDefault="003A02EC" w:rsidP="003A02EC">
            <w:pPr>
              <w:pStyle w:val="P68B1DB1-Normal8"/>
              <w:spacing w:after="0" w:line="240" w:lineRule="auto"/>
              <w:jc w:val="center"/>
              <w:rPr>
                <w:rFonts w:eastAsia="Times New Roman" w:cs="Calibri"/>
                <w:noProof/>
              </w:rPr>
            </w:pPr>
            <w:r>
              <w:rPr>
                <w:noProof/>
              </w:rPr>
              <w:t xml:space="preserve">Az alacsony szén-dioxid-kibocsátású gazdaság, az ellenálló képesség és az éghajlatváltozáshoz való alkalmazkodás szempontjából releváns termékek, folyamatok vagy szolgáltatások </w:t>
            </w:r>
          </w:p>
        </w:tc>
        <w:tc>
          <w:tcPr>
            <w:tcW w:w="2029" w:type="dxa"/>
            <w:shd w:val="clear" w:color="auto" w:fill="C4EFCE"/>
            <w:vAlign w:val="center"/>
            <w:hideMark/>
          </w:tcPr>
          <w:p w14:paraId="6370E703"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D5B40EB"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0D6679D"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C51CFC6" w14:textId="77777777" w:rsidR="003A02EC" w:rsidRDefault="003A02EC" w:rsidP="003A02EC">
            <w:pPr>
              <w:pStyle w:val="P68B1DB1-Normal8"/>
              <w:spacing w:after="0" w:line="240" w:lineRule="auto"/>
              <w:jc w:val="center"/>
              <w:rPr>
                <w:rFonts w:eastAsia="Times New Roman" w:cs="Calibri"/>
                <w:noProof/>
              </w:rPr>
            </w:pPr>
            <w:r>
              <w:rPr>
                <w:noProof/>
              </w:rPr>
              <w:t>4</w:t>
            </w:r>
          </w:p>
        </w:tc>
        <w:tc>
          <w:tcPr>
            <w:tcW w:w="514" w:type="dxa"/>
            <w:shd w:val="clear" w:color="auto" w:fill="C4EFCE"/>
            <w:vAlign w:val="center"/>
            <w:hideMark/>
          </w:tcPr>
          <w:p w14:paraId="599C9B52" w14:textId="46E70B71"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67FF8210"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502D8185" w14:textId="77777777" w:rsidR="003A02EC" w:rsidRDefault="003A02EC" w:rsidP="003A02EC">
            <w:pPr>
              <w:pStyle w:val="P68B1DB1-Normal8"/>
              <w:spacing w:after="0" w:line="240" w:lineRule="auto"/>
              <w:jc w:val="both"/>
              <w:rPr>
                <w:rFonts w:eastAsia="Times New Roman" w:cs="Calibri"/>
                <w:noProof/>
              </w:rPr>
            </w:pPr>
            <w:r>
              <w:rPr>
                <w:noProof/>
              </w:rPr>
              <w:t>A konzorciumokkal kötött négy szerződés (innovációs paktumok vagy mobilizációs projektek) végrehajtásából eredő termékek, folyamatok vagy szolgáltatások befejezése, tükrözve a 022. beavatkozási területtel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w:t>
            </w:r>
          </w:p>
        </w:tc>
      </w:tr>
      <w:tr w:rsidR="003A02EC" w14:paraId="7306DD3C" w14:textId="77777777">
        <w:trPr>
          <w:trHeight w:val="420"/>
        </w:trPr>
        <w:tc>
          <w:tcPr>
            <w:tcW w:w="1134" w:type="dxa"/>
            <w:shd w:val="clear" w:color="auto" w:fill="C4EFCE"/>
            <w:vAlign w:val="center"/>
            <w:hideMark/>
          </w:tcPr>
          <w:p w14:paraId="1DD3CA84" w14:textId="77777777" w:rsidR="003A02EC" w:rsidRDefault="003A02EC" w:rsidP="003A02EC">
            <w:pPr>
              <w:pStyle w:val="P68B1DB1-Normal7"/>
              <w:spacing w:after="0" w:line="240" w:lineRule="auto"/>
              <w:jc w:val="center"/>
              <w:rPr>
                <w:rFonts w:eastAsia="Times New Roman" w:cs="Calibri"/>
                <w:noProof/>
              </w:rPr>
            </w:pPr>
            <w:r>
              <w:rPr>
                <w:noProof/>
              </w:rPr>
              <w:t>5.9</w:t>
            </w:r>
          </w:p>
        </w:tc>
        <w:tc>
          <w:tcPr>
            <w:tcW w:w="1165" w:type="dxa"/>
            <w:shd w:val="clear" w:color="auto" w:fill="C4EFCE"/>
            <w:vAlign w:val="center"/>
            <w:hideMark/>
          </w:tcPr>
          <w:p w14:paraId="610CF94D" w14:textId="77777777" w:rsidR="003A02EC" w:rsidRDefault="003A02EC" w:rsidP="003A02EC">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49C4E686"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21CC7D92" w14:textId="62765798" w:rsidR="003A02EC" w:rsidRDefault="003A02EC" w:rsidP="003A02EC">
            <w:pPr>
              <w:pStyle w:val="P68B1DB1-Normal8"/>
              <w:spacing w:after="0" w:line="240" w:lineRule="auto"/>
              <w:jc w:val="center"/>
              <w:rPr>
                <w:rFonts w:eastAsia="Times New Roman" w:cs="Calibri"/>
                <w:noProof/>
              </w:rPr>
            </w:pPr>
            <w:r>
              <w:rPr>
                <w:noProof/>
              </w:rPr>
              <w:t xml:space="preserve">Az interfészt biztosító szervezetekkel, köztük az együttműködő laboratóriumokkal – Colabokkal kötött szerződések </w:t>
            </w:r>
          </w:p>
        </w:tc>
        <w:tc>
          <w:tcPr>
            <w:tcW w:w="2029" w:type="dxa"/>
            <w:shd w:val="clear" w:color="auto" w:fill="C4EFCE"/>
            <w:vAlign w:val="center"/>
            <w:hideMark/>
          </w:tcPr>
          <w:p w14:paraId="3CFA0A2E"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F654CC4"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4C3EF509"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64B4173" w14:textId="77777777" w:rsidR="003A02EC" w:rsidRDefault="003A02EC" w:rsidP="003A02EC">
            <w:pPr>
              <w:pStyle w:val="P68B1DB1-Normal8"/>
              <w:spacing w:after="0" w:line="240" w:lineRule="auto"/>
              <w:jc w:val="center"/>
              <w:rPr>
                <w:rFonts w:eastAsia="Times New Roman" w:cs="Calibri"/>
                <w:noProof/>
              </w:rPr>
            </w:pPr>
            <w:r>
              <w:rPr>
                <w:noProof/>
              </w:rPr>
              <w:t>20</w:t>
            </w:r>
          </w:p>
        </w:tc>
        <w:tc>
          <w:tcPr>
            <w:tcW w:w="514" w:type="dxa"/>
            <w:shd w:val="clear" w:color="auto" w:fill="C4EFCE"/>
            <w:vAlign w:val="center"/>
            <w:hideMark/>
          </w:tcPr>
          <w:p w14:paraId="301A90D3" w14:textId="4FABB89A"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0632C366" w14:textId="77777777" w:rsidR="003A02EC" w:rsidRDefault="003A02EC" w:rsidP="003A02EC">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41D8E0A7" w14:textId="77777777" w:rsidR="003A02EC" w:rsidRDefault="003A02EC" w:rsidP="003A02EC">
            <w:pPr>
              <w:pStyle w:val="P68B1DB1-Normal8"/>
              <w:spacing w:after="0" w:line="240" w:lineRule="auto"/>
              <w:jc w:val="both"/>
              <w:rPr>
                <w:rFonts w:eastAsia="Times New Roman" w:cs="Calibri"/>
                <w:noProof/>
              </w:rPr>
            </w:pPr>
            <w:r>
              <w:rPr>
                <w:noProof/>
              </w:rPr>
              <w:t xml:space="preserve">Ajánlati felhívást követően a támogatandó szervezetek kiválasztása. Ez a felhívás az „interfész” entitásként vagy együttműködő laboratóriumként elismert támogatókra korlátozódik. </w:t>
            </w:r>
          </w:p>
          <w:p w14:paraId="7F724A76" w14:textId="77777777" w:rsidR="003A02EC" w:rsidRDefault="003A02EC" w:rsidP="003A02EC">
            <w:pPr>
              <w:spacing w:after="0" w:line="240" w:lineRule="auto"/>
              <w:jc w:val="both"/>
              <w:rPr>
                <w:rFonts w:ascii="Calibri" w:eastAsia="Times New Roman" w:hAnsi="Calibri" w:cs="Calibri"/>
                <w:noProof/>
                <w:sz w:val="16"/>
              </w:rPr>
            </w:pPr>
          </w:p>
          <w:p w14:paraId="647EE43D" w14:textId="710B48F1" w:rsidR="003A02EC" w:rsidRDefault="003A02EC" w:rsidP="003A02EC">
            <w:pPr>
              <w:pStyle w:val="P68B1DB1-Normal9"/>
              <w:spacing w:after="0" w:line="240" w:lineRule="auto"/>
              <w:jc w:val="both"/>
              <w:rPr>
                <w:rFonts w:eastAsia="Times New Roman" w:cs="Calibri"/>
                <w:noProof/>
                <w:sz w:val="16"/>
              </w:rPr>
            </w:pPr>
            <w:r>
              <w:rPr>
                <w:noProof/>
                <w:sz w:val="16"/>
              </w:rPr>
              <w:t>A szerződéseknek tükrözniük kell a 021. (Technológiaátadás és együttműködés a vállalkozások, a kutatóközpontok és az oktatási ágazat között) és/vagy a 022. (Kutatási és innovációs folyamatok, technológiaátadás és együttműködés a vállalkozások között, az alacsony szén-dioxid-kibocsátású gazdaságra, valamint az éghajlatváltozáshoz való ellenálló képességre és az éghajlatváltozáshoz való alkalmazkodásra összpontosító) beavatkozási területhez való igazodást.</w:t>
            </w:r>
            <w:r>
              <w:rPr>
                <w:noProof/>
              </w:rPr>
              <w:t xml:space="preserve"> </w:t>
            </w:r>
            <w:r>
              <w:rPr>
                <w:noProof/>
                <w:sz w:val="16"/>
              </w:rPr>
              <w:t>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tc>
      </w:tr>
      <w:tr w:rsidR="003A02EC" w14:paraId="5DDFFD35" w14:textId="77777777">
        <w:trPr>
          <w:trHeight w:val="1366"/>
        </w:trPr>
        <w:tc>
          <w:tcPr>
            <w:tcW w:w="1134" w:type="dxa"/>
            <w:shd w:val="clear" w:color="auto" w:fill="C4EFCE"/>
            <w:vAlign w:val="center"/>
            <w:hideMark/>
          </w:tcPr>
          <w:p w14:paraId="4A7C31C4" w14:textId="77777777" w:rsidR="003A02EC" w:rsidRDefault="003A02EC" w:rsidP="003A02EC">
            <w:pPr>
              <w:pStyle w:val="P68B1DB1-Normal7"/>
              <w:spacing w:after="0" w:line="240" w:lineRule="auto"/>
              <w:jc w:val="center"/>
              <w:rPr>
                <w:rFonts w:eastAsia="Times New Roman" w:cs="Calibri"/>
                <w:noProof/>
              </w:rPr>
            </w:pPr>
            <w:r>
              <w:rPr>
                <w:noProof/>
              </w:rPr>
              <w:t>5.10</w:t>
            </w:r>
          </w:p>
        </w:tc>
        <w:tc>
          <w:tcPr>
            <w:tcW w:w="1165" w:type="dxa"/>
            <w:shd w:val="clear" w:color="auto" w:fill="C4EFCE"/>
            <w:vAlign w:val="center"/>
            <w:hideMark/>
          </w:tcPr>
          <w:p w14:paraId="198E11A9" w14:textId="77777777" w:rsidR="003A02EC" w:rsidRDefault="003A02EC" w:rsidP="003A02EC">
            <w:pPr>
              <w:pStyle w:val="P68B1DB1-Normal8"/>
              <w:spacing w:after="0" w:line="240" w:lineRule="auto"/>
              <w:jc w:val="center"/>
              <w:rPr>
                <w:rFonts w:eastAsia="Times New Roman" w:cs="Calibri"/>
                <w:noProof/>
              </w:rPr>
            </w:pPr>
            <w:r>
              <w:rPr>
                <w:noProof/>
              </w:rPr>
              <w:t>Re-C05-i02</w:t>
            </w:r>
          </w:p>
        </w:tc>
        <w:tc>
          <w:tcPr>
            <w:tcW w:w="976" w:type="dxa"/>
            <w:shd w:val="clear" w:color="auto" w:fill="C4EFCE"/>
            <w:vAlign w:val="center"/>
            <w:hideMark/>
          </w:tcPr>
          <w:p w14:paraId="7A48319F"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EA48790" w14:textId="77777777" w:rsidR="003A02EC" w:rsidRDefault="003A02EC" w:rsidP="003A02EC">
            <w:pPr>
              <w:pStyle w:val="P68B1DB1-Normal8"/>
              <w:spacing w:after="0" w:line="240" w:lineRule="auto"/>
              <w:jc w:val="center"/>
              <w:rPr>
                <w:rFonts w:eastAsia="Times New Roman" w:cs="Calibri"/>
                <w:noProof/>
              </w:rPr>
            </w:pPr>
            <w:r>
              <w:rPr>
                <w:noProof/>
              </w:rPr>
              <w:t>Az interfészt biztosító szervezetek, köztük az együttműködő laboratóriumok által nyújtott szolgáltatásokat igénybe vevő vállalatok – Colab-ok</w:t>
            </w:r>
          </w:p>
        </w:tc>
        <w:tc>
          <w:tcPr>
            <w:tcW w:w="2029" w:type="dxa"/>
            <w:shd w:val="clear" w:color="auto" w:fill="C4EFCE"/>
            <w:vAlign w:val="center"/>
            <w:hideMark/>
          </w:tcPr>
          <w:p w14:paraId="48F1813E"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3F810DF"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0EAC23B1"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CE1E755" w14:textId="77777777" w:rsidR="003A02EC" w:rsidRDefault="003A02EC" w:rsidP="003A02EC">
            <w:pPr>
              <w:pStyle w:val="P68B1DB1-Normal8"/>
              <w:spacing w:after="0" w:line="240" w:lineRule="auto"/>
              <w:jc w:val="center"/>
              <w:rPr>
                <w:rFonts w:eastAsia="Times New Roman" w:cs="Calibri"/>
                <w:noProof/>
              </w:rPr>
            </w:pPr>
            <w:r>
              <w:rPr>
                <w:noProof/>
              </w:rPr>
              <w:t>500</w:t>
            </w:r>
          </w:p>
        </w:tc>
        <w:tc>
          <w:tcPr>
            <w:tcW w:w="514" w:type="dxa"/>
            <w:shd w:val="clear" w:color="auto" w:fill="C4EFCE"/>
            <w:vAlign w:val="center"/>
            <w:hideMark/>
          </w:tcPr>
          <w:p w14:paraId="0174A444" w14:textId="50D360BA"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72CE65E5"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327EDF0" w14:textId="77777777" w:rsidR="003A02EC" w:rsidRDefault="003A02EC" w:rsidP="003A02EC">
            <w:pPr>
              <w:pStyle w:val="P68B1DB1-Normal8"/>
              <w:spacing w:after="0" w:line="240" w:lineRule="auto"/>
              <w:jc w:val="both"/>
              <w:rPr>
                <w:rFonts w:eastAsia="Times New Roman" w:cs="Calibri"/>
                <w:noProof/>
              </w:rPr>
            </w:pPr>
            <w:r>
              <w:rPr>
                <w:noProof/>
              </w:rPr>
              <w:t>A kapcsolódási pontok által évente benyújtandó végrehajtási jelentéseknek lehetővé kell tenniük az alapfinanszírozás odaítélésekor tett konkrét célkitűzésekhez viszonyított mennyiségi előrehaladás mérését, különös tekintettel a nyújtott szolgáltatásokból részesülő vállalkozások számára.</w:t>
            </w:r>
          </w:p>
        </w:tc>
      </w:tr>
      <w:tr w:rsidR="00DC5EC6" w14:paraId="296A7EE2" w14:textId="77777777">
        <w:trPr>
          <w:trHeight w:val="420"/>
        </w:trPr>
        <w:tc>
          <w:tcPr>
            <w:tcW w:w="1134" w:type="dxa"/>
            <w:shd w:val="clear" w:color="auto" w:fill="C4EFCE"/>
            <w:vAlign w:val="center"/>
            <w:hideMark/>
          </w:tcPr>
          <w:p w14:paraId="7501BF2E" w14:textId="0A9B9B12" w:rsidR="00DC5EC6" w:rsidRDefault="003245A4">
            <w:pPr>
              <w:pStyle w:val="P68B1DB1-Normal7"/>
              <w:spacing w:after="0" w:line="240" w:lineRule="auto"/>
              <w:jc w:val="center"/>
              <w:rPr>
                <w:rFonts w:eastAsia="Times New Roman" w:cs="Calibri"/>
                <w:noProof/>
              </w:rPr>
            </w:pPr>
            <w:r>
              <w:rPr>
                <w:noProof/>
              </w:rPr>
              <w:t>5.11</w:t>
            </w:r>
          </w:p>
        </w:tc>
        <w:tc>
          <w:tcPr>
            <w:tcW w:w="1165" w:type="dxa"/>
            <w:shd w:val="clear" w:color="auto" w:fill="C4EFCE"/>
            <w:vAlign w:val="center"/>
            <w:hideMark/>
          </w:tcPr>
          <w:p w14:paraId="5F103B40" w14:textId="77777777" w:rsidR="00DC5EC6" w:rsidRDefault="003245A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BDE3B0"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BD49DD1" w14:textId="77777777" w:rsidR="00DC5EC6" w:rsidRDefault="003245A4">
            <w:pPr>
              <w:pStyle w:val="P68B1DB1-Normal8"/>
              <w:spacing w:after="0" w:line="240" w:lineRule="auto"/>
              <w:jc w:val="center"/>
              <w:rPr>
                <w:rFonts w:eastAsia="Times New Roman" w:cs="Calibri"/>
                <w:noProof/>
              </w:rPr>
            </w:pPr>
            <w:r>
              <w:rPr>
                <w:noProof/>
              </w:rPr>
              <w:t xml:space="preserve">Pályázati eljárás kutatási és innovációs projektekre </w:t>
            </w:r>
          </w:p>
        </w:tc>
        <w:tc>
          <w:tcPr>
            <w:tcW w:w="2029" w:type="dxa"/>
            <w:shd w:val="clear" w:color="auto" w:fill="C4EFCE"/>
            <w:vAlign w:val="center"/>
            <w:hideMark/>
          </w:tcPr>
          <w:p w14:paraId="56B754AF" w14:textId="77777777" w:rsidR="00DC5EC6" w:rsidRDefault="003245A4">
            <w:pPr>
              <w:pStyle w:val="P68B1DB1-Normal8"/>
              <w:spacing w:after="0" w:line="240" w:lineRule="auto"/>
              <w:jc w:val="center"/>
              <w:rPr>
                <w:rFonts w:eastAsia="Times New Roman" w:cs="Calibri"/>
                <w:noProof/>
              </w:rPr>
            </w:pPr>
            <w:r>
              <w:rPr>
                <w:noProof/>
              </w:rPr>
              <w:t xml:space="preserve">A kutatási és innovációs projektekre vonatkozó pályázati eljárás megnyitásáról szóló hirdetmény közzététele </w:t>
            </w:r>
          </w:p>
        </w:tc>
        <w:tc>
          <w:tcPr>
            <w:tcW w:w="982" w:type="dxa"/>
            <w:shd w:val="clear" w:color="auto" w:fill="C4EFCE"/>
            <w:vAlign w:val="center"/>
            <w:hideMark/>
          </w:tcPr>
          <w:p w14:paraId="52389DDB"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10CC40E"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1CA43B3"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793F21D" w14:textId="27D8D338"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51BBEBF8"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09C4175C" w14:textId="77777777" w:rsidR="00DC5EC6" w:rsidRDefault="003245A4">
            <w:pPr>
              <w:pStyle w:val="P68B1DB1-Normal8"/>
              <w:spacing w:after="0" w:line="240" w:lineRule="auto"/>
              <w:jc w:val="both"/>
              <w:rPr>
                <w:rFonts w:eastAsia="Times New Roman" w:cs="Calibri"/>
                <w:noProof/>
              </w:rPr>
            </w:pPr>
            <w:r>
              <w:rPr>
                <w:noProof/>
              </w:rPr>
              <w:t xml:space="preserve">Pályázat kiírása a 2030-ig tartó időszakra vonatkozó mezőgazdasági innovációs menetrend kezdeményezései keretében finanszírozandó kutatási és innovációs programokra/projektekre. </w:t>
            </w:r>
          </w:p>
          <w:p w14:paraId="424377D2" w14:textId="77777777" w:rsidR="00DC5EC6" w:rsidRDefault="00DC5EC6">
            <w:pPr>
              <w:spacing w:after="0" w:line="240" w:lineRule="auto"/>
              <w:jc w:val="both"/>
              <w:rPr>
                <w:rFonts w:ascii="Calibri" w:eastAsia="Times New Roman" w:hAnsi="Calibri" w:cs="Calibri"/>
                <w:noProof/>
                <w:sz w:val="16"/>
              </w:rPr>
            </w:pPr>
          </w:p>
          <w:p w14:paraId="4EAA924A" w14:textId="77777777" w:rsidR="00DC5EC6" w:rsidRDefault="003245A4">
            <w:pPr>
              <w:pStyle w:val="P68B1DB1-Normal8"/>
              <w:spacing w:after="0" w:line="240" w:lineRule="auto"/>
              <w:jc w:val="both"/>
              <w:rPr>
                <w:rFonts w:eastAsia="Times New Roman" w:cs="Calibri"/>
                <w:noProof/>
              </w:rPr>
            </w:pPr>
            <w:r>
              <w:rPr>
                <w:noProof/>
              </w:rPr>
              <w:t xml:space="preserve">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 A kiválasztási kritériumok biztosítják, hogy a projektek a következőkre összpontosítsanak: </w:t>
            </w:r>
          </w:p>
          <w:p w14:paraId="6AB443B7" w14:textId="3523683F" w:rsidR="00DC5EC6" w:rsidRDefault="003245A4">
            <w:pPr>
              <w:pStyle w:val="P68B1DB1-Normal8"/>
              <w:spacing w:after="0" w:line="240" w:lineRule="auto"/>
              <w:rPr>
                <w:rFonts w:eastAsia="Times New Roman" w:cs="Calibri"/>
                <w:noProof/>
              </w:rPr>
            </w:pPr>
            <w:r>
              <w:rPr>
                <w:noProof/>
              </w:rPr>
              <w:t xml:space="preserve">az alacsony szén-dioxid-kibocsátású gazdaságról, a rezilienciáról és az éghajlatváltozáshoz való alkalmazkodásról a kibocsátások csökkentése, a szénmegkötés növelése vagy az éghajlatváltozással szembeni ellenálló képesség és az éghajlatváltozáshoz való alkalmazkodás megerősítése révén, tükrözve a Helyreállítási és Rezilienciaépítési Eszközről szóló rendelet VI. mellékletében jelzett 022. beavatkozási terület követelményeit </w:t>
            </w:r>
          </w:p>
          <w:p w14:paraId="31587418" w14:textId="3A5A6E5D" w:rsidR="00DC5EC6" w:rsidRDefault="003245A4">
            <w:pPr>
              <w:pStyle w:val="P68B1DB1-Normal8"/>
              <w:spacing w:after="0" w:line="240" w:lineRule="auto"/>
              <w:jc w:val="both"/>
              <w:rPr>
                <w:rFonts w:eastAsia="Times New Roman" w:cs="Calibri"/>
                <w:noProof/>
              </w:rPr>
            </w:pPr>
            <w:r>
              <w:rPr>
                <w:noProof/>
              </w:rPr>
              <w:t>vagy a digitalizációra irányuló K+F projektek, például az egységes mezőgazdasági portál, a digitális átállás és az értékláncokhoz kapcsolódó K+I projektek, tükrözve a 009. beavatkozási terület követelményeit.</w:t>
            </w:r>
          </w:p>
        </w:tc>
      </w:tr>
      <w:tr w:rsidR="00DC5EC6" w14:paraId="00335F0E" w14:textId="77777777">
        <w:trPr>
          <w:trHeight w:val="1347"/>
        </w:trPr>
        <w:tc>
          <w:tcPr>
            <w:tcW w:w="1134" w:type="dxa"/>
            <w:shd w:val="clear" w:color="auto" w:fill="C4EFCE"/>
            <w:vAlign w:val="center"/>
            <w:hideMark/>
          </w:tcPr>
          <w:p w14:paraId="6928F1B6" w14:textId="77777777" w:rsidR="00DC5EC6" w:rsidRDefault="003245A4">
            <w:pPr>
              <w:pStyle w:val="P68B1DB1-Normal7"/>
              <w:spacing w:after="0" w:line="240" w:lineRule="auto"/>
              <w:jc w:val="center"/>
              <w:rPr>
                <w:rFonts w:eastAsia="Times New Roman" w:cs="Calibri"/>
                <w:noProof/>
              </w:rPr>
            </w:pPr>
            <w:r>
              <w:rPr>
                <w:noProof/>
              </w:rPr>
              <w:t>5.12</w:t>
            </w:r>
          </w:p>
        </w:tc>
        <w:tc>
          <w:tcPr>
            <w:tcW w:w="1165" w:type="dxa"/>
            <w:shd w:val="clear" w:color="auto" w:fill="C4EFCE"/>
            <w:vAlign w:val="center"/>
            <w:hideMark/>
          </w:tcPr>
          <w:p w14:paraId="62CDCC6D" w14:textId="77777777" w:rsidR="00DC5EC6" w:rsidRDefault="003245A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0C284E5D"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152F452" w14:textId="77777777" w:rsidR="00DC5EC6" w:rsidRDefault="003245A4">
            <w:pPr>
              <w:pStyle w:val="P68B1DB1-Normal8"/>
              <w:spacing w:after="0" w:line="240" w:lineRule="auto"/>
              <w:jc w:val="center"/>
              <w:rPr>
                <w:rFonts w:eastAsia="Times New Roman" w:cs="Calibri"/>
                <w:noProof/>
              </w:rPr>
            </w:pPr>
            <w:r>
              <w:rPr>
                <w:noProof/>
              </w:rPr>
              <w:t xml:space="preserve">A 2030-ig tartó időszakra vonatkozó mezőgazdasági innovációs menetrend zöld szempontjaira összpontosító innovációs és kutatási projektek lezárása </w:t>
            </w:r>
          </w:p>
        </w:tc>
        <w:tc>
          <w:tcPr>
            <w:tcW w:w="2029" w:type="dxa"/>
            <w:shd w:val="clear" w:color="auto" w:fill="C4EFCE"/>
            <w:vAlign w:val="center"/>
            <w:hideMark/>
          </w:tcPr>
          <w:p w14:paraId="6673998C"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BD66CB2"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6C14CFFD"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757C0954" w14:textId="77777777" w:rsidR="00DC5EC6" w:rsidRDefault="003245A4">
            <w:pPr>
              <w:pStyle w:val="P68B1DB1-Normal8"/>
              <w:spacing w:after="0" w:line="240" w:lineRule="auto"/>
              <w:jc w:val="center"/>
              <w:rPr>
                <w:rFonts w:eastAsia="Times New Roman" w:cs="Calibri"/>
                <w:noProof/>
              </w:rPr>
            </w:pPr>
            <w:r>
              <w:rPr>
                <w:noProof/>
              </w:rPr>
              <w:t>100</w:t>
            </w:r>
          </w:p>
        </w:tc>
        <w:tc>
          <w:tcPr>
            <w:tcW w:w="514" w:type="dxa"/>
            <w:shd w:val="clear" w:color="auto" w:fill="C4EFCE"/>
            <w:vAlign w:val="center"/>
            <w:hideMark/>
          </w:tcPr>
          <w:p w14:paraId="327ED56D" w14:textId="49E4422B"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46CE7E74" w14:textId="77777777" w:rsidR="00DC5EC6" w:rsidRDefault="003245A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7AD60965" w14:textId="77777777" w:rsidR="00DC5EC6" w:rsidRDefault="003245A4">
            <w:pPr>
              <w:pStyle w:val="P68B1DB1-Normal8"/>
              <w:spacing w:after="0" w:line="240" w:lineRule="auto"/>
              <w:jc w:val="both"/>
              <w:rPr>
                <w:rFonts w:eastAsia="Times New Roman" w:cs="Calibri"/>
                <w:noProof/>
              </w:rPr>
            </w:pPr>
            <w:r>
              <w:rPr>
                <w:noProof/>
              </w:rPr>
              <w:t>Összesen 100 finanszírozott és befejezett K+I projekt. Az innovációs menetrend 15 kezdeményezése közül legalább egyhez hozzájáruló, az alacsony szén-dioxid-kibocsátású gazdaságra, a rezilienciára és az éghajlatváltozáshoz való alkalmazkodásra összpontosító kutatási és innovációs projektek és programok támogatása.</w:t>
            </w:r>
          </w:p>
        </w:tc>
      </w:tr>
      <w:tr w:rsidR="00DC5EC6" w14:paraId="58EE858D" w14:textId="77777777">
        <w:trPr>
          <w:trHeight w:val="1406"/>
        </w:trPr>
        <w:tc>
          <w:tcPr>
            <w:tcW w:w="1134" w:type="dxa"/>
            <w:shd w:val="clear" w:color="auto" w:fill="C4EFCE"/>
            <w:vAlign w:val="center"/>
            <w:hideMark/>
          </w:tcPr>
          <w:p w14:paraId="4DD25D33" w14:textId="77777777" w:rsidR="00DC5EC6" w:rsidRDefault="003245A4">
            <w:pPr>
              <w:pStyle w:val="P68B1DB1-Normal7"/>
              <w:spacing w:after="0" w:line="240" w:lineRule="auto"/>
              <w:jc w:val="center"/>
              <w:rPr>
                <w:rFonts w:eastAsia="Times New Roman" w:cs="Calibri"/>
                <w:noProof/>
              </w:rPr>
            </w:pPr>
            <w:r>
              <w:rPr>
                <w:noProof/>
              </w:rPr>
              <w:t>5.13</w:t>
            </w:r>
          </w:p>
        </w:tc>
        <w:tc>
          <w:tcPr>
            <w:tcW w:w="1165" w:type="dxa"/>
            <w:shd w:val="clear" w:color="auto" w:fill="C4EFCE"/>
            <w:vAlign w:val="center"/>
            <w:hideMark/>
          </w:tcPr>
          <w:p w14:paraId="1A4E4173" w14:textId="77777777" w:rsidR="00DC5EC6" w:rsidRDefault="003245A4">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4731AB6C" w14:textId="77777777" w:rsidR="00DC5EC6" w:rsidRDefault="003245A4">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78A357C" w14:textId="147DED00" w:rsidR="00DC5EC6" w:rsidRDefault="003245A4">
            <w:pPr>
              <w:pStyle w:val="P68B1DB1-Normal8"/>
              <w:spacing w:after="0" w:line="240" w:lineRule="auto"/>
              <w:jc w:val="center"/>
              <w:rPr>
                <w:rFonts w:eastAsia="Times New Roman" w:cs="Calibri"/>
                <w:noProof/>
              </w:rPr>
            </w:pPr>
            <w:r>
              <w:rPr>
                <w:noProof/>
              </w:rPr>
              <w:t>A 2030-ig tartó időszakra vonatkozó mezőgazdasági innovációs terv digitális szempontjaira összpontosító 5 strukturáló projekt lezárása</w:t>
            </w:r>
          </w:p>
        </w:tc>
        <w:tc>
          <w:tcPr>
            <w:tcW w:w="2029" w:type="dxa"/>
            <w:shd w:val="clear" w:color="auto" w:fill="C4EFCE"/>
            <w:vAlign w:val="center"/>
            <w:hideMark/>
          </w:tcPr>
          <w:p w14:paraId="6C32BB6C"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14D1538" w14:textId="77777777" w:rsidR="00DC5EC6" w:rsidRDefault="003245A4">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533F044" w14:textId="77777777" w:rsidR="00DC5EC6" w:rsidRDefault="003245A4">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4954256" w14:textId="77777777" w:rsidR="00DC5EC6" w:rsidRDefault="003245A4">
            <w:pPr>
              <w:pStyle w:val="P68B1DB1-Normal8"/>
              <w:spacing w:after="0" w:line="240" w:lineRule="auto"/>
              <w:jc w:val="center"/>
              <w:rPr>
                <w:rFonts w:eastAsia="Times New Roman" w:cs="Calibri"/>
                <w:noProof/>
              </w:rPr>
            </w:pPr>
            <w:r>
              <w:rPr>
                <w:noProof/>
              </w:rPr>
              <w:t>5</w:t>
            </w:r>
          </w:p>
        </w:tc>
        <w:tc>
          <w:tcPr>
            <w:tcW w:w="514" w:type="dxa"/>
            <w:shd w:val="clear" w:color="auto" w:fill="C4EFCE"/>
            <w:vAlign w:val="center"/>
            <w:hideMark/>
          </w:tcPr>
          <w:p w14:paraId="0D1EAAB9" w14:textId="19118981"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6C8827A3" w14:textId="77777777" w:rsidR="00DC5EC6" w:rsidRDefault="003245A4">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E658D67" w14:textId="77777777" w:rsidR="00DC5EC6" w:rsidRDefault="003245A4">
            <w:pPr>
              <w:pStyle w:val="P68B1DB1-Normal8"/>
              <w:spacing w:after="0" w:line="240" w:lineRule="auto"/>
              <w:jc w:val="both"/>
              <w:rPr>
                <w:rFonts w:eastAsia="Times New Roman" w:cs="Calibri"/>
                <w:noProof/>
              </w:rPr>
            </w:pPr>
            <w:r>
              <w:rPr>
                <w:noProof/>
              </w:rPr>
              <w:t>Összesen 5 finanszírozott és befejezett innovációs strukturáló projekt. Az innovációs menetrend 15 kezdeményezése közül legalább egyhez hozzájáruló és a digitalizációra összpontosító innovációs projektek támogatása.</w:t>
            </w:r>
          </w:p>
        </w:tc>
      </w:tr>
      <w:tr w:rsidR="003A02EC" w14:paraId="0325433E" w14:textId="77777777">
        <w:trPr>
          <w:trHeight w:val="420"/>
        </w:trPr>
        <w:tc>
          <w:tcPr>
            <w:tcW w:w="1134" w:type="dxa"/>
            <w:shd w:val="clear" w:color="auto" w:fill="C4EFCE"/>
            <w:vAlign w:val="center"/>
            <w:hideMark/>
          </w:tcPr>
          <w:p w14:paraId="2C9BBFE3" w14:textId="330406B0" w:rsidR="003A02EC" w:rsidRDefault="003A02EC" w:rsidP="003A02EC">
            <w:pPr>
              <w:pStyle w:val="P68B1DB1-Normal7"/>
              <w:spacing w:after="0" w:line="240" w:lineRule="auto"/>
              <w:jc w:val="center"/>
              <w:rPr>
                <w:rFonts w:eastAsia="Times New Roman" w:cs="Calibri"/>
                <w:noProof/>
              </w:rPr>
            </w:pPr>
            <w:r>
              <w:rPr>
                <w:noProof/>
              </w:rPr>
              <w:t>5.14</w:t>
            </w:r>
          </w:p>
        </w:tc>
        <w:tc>
          <w:tcPr>
            <w:tcW w:w="1165" w:type="dxa"/>
            <w:shd w:val="clear" w:color="auto" w:fill="C4EFCE"/>
            <w:vAlign w:val="center"/>
            <w:hideMark/>
          </w:tcPr>
          <w:p w14:paraId="6E1D1FCF" w14:textId="77777777" w:rsidR="003A02EC" w:rsidRDefault="003A02EC" w:rsidP="003A02EC">
            <w:pPr>
              <w:pStyle w:val="P68B1DB1-Normal8"/>
              <w:spacing w:after="0" w:line="240" w:lineRule="auto"/>
              <w:jc w:val="center"/>
              <w:rPr>
                <w:rFonts w:eastAsia="Times New Roman" w:cs="Calibri"/>
                <w:noProof/>
              </w:rPr>
            </w:pPr>
            <w:r>
              <w:rPr>
                <w:noProof/>
              </w:rPr>
              <w:t>Re-C05-i03</w:t>
            </w:r>
          </w:p>
        </w:tc>
        <w:tc>
          <w:tcPr>
            <w:tcW w:w="976" w:type="dxa"/>
            <w:shd w:val="clear" w:color="auto" w:fill="C4EFCE"/>
            <w:vAlign w:val="center"/>
            <w:hideMark/>
          </w:tcPr>
          <w:p w14:paraId="6E5A38D0"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6428411" w14:textId="77777777" w:rsidR="003A02EC" w:rsidRDefault="003A02EC" w:rsidP="003A02EC">
            <w:pPr>
              <w:pStyle w:val="P68B1DB1-Normal8"/>
              <w:spacing w:after="0" w:line="240" w:lineRule="auto"/>
              <w:jc w:val="center"/>
              <w:rPr>
                <w:rFonts w:eastAsia="Times New Roman" w:cs="Calibri"/>
                <w:noProof/>
              </w:rPr>
            </w:pPr>
            <w:r>
              <w:rPr>
                <w:noProof/>
              </w:rPr>
              <w:t>A mezőgazdasági innovációs központok megújítása/korszerűsítése</w:t>
            </w:r>
          </w:p>
        </w:tc>
        <w:tc>
          <w:tcPr>
            <w:tcW w:w="2029" w:type="dxa"/>
            <w:shd w:val="clear" w:color="auto" w:fill="C4EFCE"/>
            <w:vAlign w:val="center"/>
            <w:hideMark/>
          </w:tcPr>
          <w:p w14:paraId="10D14770"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7AE3D33"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026E9922"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7F56B64" w14:textId="77777777" w:rsidR="003A02EC" w:rsidRDefault="003A02EC" w:rsidP="003A02EC">
            <w:pPr>
              <w:pStyle w:val="P68B1DB1-Normal8"/>
              <w:spacing w:after="0" w:line="240" w:lineRule="auto"/>
              <w:jc w:val="center"/>
              <w:rPr>
                <w:rFonts w:eastAsia="Times New Roman" w:cs="Calibri"/>
                <w:noProof/>
              </w:rPr>
            </w:pPr>
            <w:r>
              <w:rPr>
                <w:noProof/>
              </w:rPr>
              <w:t>24</w:t>
            </w:r>
          </w:p>
        </w:tc>
        <w:tc>
          <w:tcPr>
            <w:tcW w:w="514" w:type="dxa"/>
            <w:shd w:val="clear" w:color="auto" w:fill="C4EFCE"/>
            <w:vAlign w:val="center"/>
            <w:hideMark/>
          </w:tcPr>
          <w:p w14:paraId="4D25C474" w14:textId="2ACC0956"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3CEE80EA"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03E8138F" w14:textId="77777777" w:rsidR="003A02EC" w:rsidRDefault="003A02EC" w:rsidP="003A02EC">
            <w:pPr>
              <w:pStyle w:val="P68B1DB1-Normal8"/>
              <w:spacing w:after="0" w:line="240" w:lineRule="auto"/>
              <w:jc w:val="both"/>
              <w:rPr>
                <w:rFonts w:eastAsia="Times New Roman" w:cs="Calibri"/>
                <w:noProof/>
              </w:rPr>
            </w:pPr>
            <w:r>
              <w:rPr>
                <w:noProof/>
              </w:rPr>
              <w:t xml:space="preserve">A mezőgazdasággal, élelmezéssel és vidékfejlesztéssel foglalkozó nemzeti innovációs hálózat létrehozása 24 innovációs központ korszerűsítése révén. </w:t>
            </w:r>
          </w:p>
          <w:p w14:paraId="24D464A1" w14:textId="2ABBDBB2" w:rsidR="003A02EC" w:rsidRDefault="003A02EC" w:rsidP="003A02EC">
            <w:pPr>
              <w:pStyle w:val="P68B1DB1-Normal8"/>
              <w:spacing w:after="0" w:line="240" w:lineRule="auto"/>
              <w:jc w:val="both"/>
              <w:rPr>
                <w:rFonts w:eastAsia="Times New Roman" w:cs="Calibri"/>
                <w:noProof/>
              </w:rPr>
            </w:pPr>
            <w:r>
              <w:rPr>
                <w:noProof/>
              </w:rPr>
              <w:t>Ez a beruházás elsősorban az infrastruktúra felújítását és a laboratóriumi tudományos berendezések beszerzését foglalja magában.</w:t>
            </w:r>
          </w:p>
        </w:tc>
      </w:tr>
      <w:tr w:rsidR="00DC5EC6" w14:paraId="60F470C2" w14:textId="77777777">
        <w:trPr>
          <w:trHeight w:val="1050"/>
        </w:trPr>
        <w:tc>
          <w:tcPr>
            <w:tcW w:w="1134" w:type="dxa"/>
            <w:shd w:val="clear" w:color="auto" w:fill="C4EFCE"/>
            <w:vAlign w:val="center"/>
            <w:hideMark/>
          </w:tcPr>
          <w:p w14:paraId="5E8992DB" w14:textId="470E960C" w:rsidR="00DC5EC6" w:rsidRDefault="003245A4">
            <w:pPr>
              <w:pStyle w:val="P68B1DB1-Normal7"/>
              <w:spacing w:after="0" w:line="240" w:lineRule="auto"/>
              <w:jc w:val="center"/>
              <w:rPr>
                <w:rFonts w:eastAsia="Times New Roman" w:cs="Calibri"/>
                <w:noProof/>
              </w:rPr>
            </w:pPr>
            <w:r>
              <w:rPr>
                <w:noProof/>
              </w:rPr>
              <w:t>5.15</w:t>
            </w:r>
          </w:p>
        </w:tc>
        <w:tc>
          <w:tcPr>
            <w:tcW w:w="1165" w:type="dxa"/>
            <w:shd w:val="clear" w:color="auto" w:fill="C4EFCE"/>
            <w:vAlign w:val="center"/>
            <w:hideMark/>
          </w:tcPr>
          <w:p w14:paraId="5ED3CA87" w14:textId="77777777" w:rsidR="00DC5EC6" w:rsidRDefault="003245A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7E0D7741"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5A4ED20" w14:textId="77777777" w:rsidR="00DC5EC6" w:rsidRDefault="003245A4">
            <w:pPr>
              <w:pStyle w:val="P68B1DB1-Normal8"/>
              <w:spacing w:after="0" w:line="240" w:lineRule="auto"/>
              <w:jc w:val="center"/>
              <w:rPr>
                <w:rFonts w:eastAsia="Times New Roman" w:cs="Calibri"/>
                <w:noProof/>
              </w:rPr>
            </w:pPr>
            <w:r>
              <w:rPr>
                <w:noProof/>
              </w:rPr>
              <w:t>Az Azori-szigeteken működő vállalkozások feltőkésítési eszközéről szóló rendelet elfogadása</w:t>
            </w:r>
          </w:p>
        </w:tc>
        <w:tc>
          <w:tcPr>
            <w:tcW w:w="2029" w:type="dxa"/>
            <w:shd w:val="clear" w:color="auto" w:fill="C4EFCE"/>
            <w:vAlign w:val="center"/>
            <w:hideMark/>
          </w:tcPr>
          <w:p w14:paraId="0329CFDA" w14:textId="77777777" w:rsidR="00DC5EC6" w:rsidRDefault="003245A4">
            <w:pPr>
              <w:pStyle w:val="P68B1DB1-Normal8"/>
              <w:spacing w:after="0" w:line="240" w:lineRule="auto"/>
              <w:jc w:val="center"/>
              <w:rPr>
                <w:rFonts w:eastAsia="Times New Roman" w:cs="Calibri"/>
                <w:noProof/>
              </w:rPr>
            </w:pPr>
            <w:r>
              <w:rPr>
                <w:noProof/>
              </w:rPr>
              <w:t xml:space="preserve">Az Azori-szigetek regionális kormánya által elfogadott rendelet a tőkésítési intézkedés megállapításáról és a </w:t>
            </w:r>
            <w:r>
              <w:rPr>
                <w:i/>
                <w:noProof/>
              </w:rPr>
              <w:t>Banco Portugues de Fomento</w:t>
            </w:r>
            <w:r>
              <w:rPr>
                <w:noProof/>
              </w:rPr>
              <w:t xml:space="preserve"> befektetési politikájának elfogadásáról</w:t>
            </w:r>
          </w:p>
        </w:tc>
        <w:tc>
          <w:tcPr>
            <w:tcW w:w="982" w:type="dxa"/>
            <w:shd w:val="clear" w:color="auto" w:fill="C4EFCE"/>
            <w:vAlign w:val="center"/>
            <w:hideMark/>
          </w:tcPr>
          <w:p w14:paraId="76178EE5"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0D1E9F3"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008B1F9"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38A054C2" w14:textId="1CB24EE0"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79E05766"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2D2AB17A" w14:textId="77777777" w:rsidR="00DC5EC6" w:rsidRDefault="003245A4">
            <w:pPr>
              <w:pStyle w:val="P68B1DB1-Normal8"/>
              <w:spacing w:after="0" w:line="240" w:lineRule="auto"/>
              <w:jc w:val="both"/>
              <w:rPr>
                <w:rFonts w:eastAsia="Times New Roman" w:cs="Calibri"/>
                <w:noProof/>
              </w:rPr>
            </w:pPr>
            <w:r>
              <w:rPr>
                <w:noProof/>
              </w:rPr>
              <w:t xml:space="preserve">Az Azori-szigetek regionális kormánya rendeletet fogadott el a tőkésítési intézkedésről, és megbízta, hogy a </w:t>
            </w:r>
            <w:r>
              <w:rPr>
                <w:i/>
                <w:noProof/>
              </w:rPr>
              <w:t>Banco Portugues de Fomento</w:t>
            </w:r>
            <w:r>
              <w:rPr>
                <w:noProof/>
              </w:rPr>
              <w:t xml:space="preserve"> fogadjon el olyan befektetési politikát, amely többek között meghatározza a kedvezményezett társaságok jogosultsági feltételeit és kiválasztását az egyes pénzügyieszköz-típusok tekintetében. A rendeletnek elő kell írnia, hogy a beruházási politikának tartalmaznia kell a támogatott vállalatok DNSH technikai iránymutatásának (2021/C58/01) való megfelelésre vonatkozó kiválasztási/jogosultsági kritériumokat, amelyek a következőket írják elő: </w:t>
            </w:r>
          </w:p>
          <w:p w14:paraId="34F2D080" w14:textId="77777777" w:rsidR="00DC5EC6" w:rsidRDefault="003245A4">
            <w:pPr>
              <w:pStyle w:val="P68B1DB1-Normal8"/>
              <w:spacing w:after="0" w:line="240" w:lineRule="auto"/>
              <w:jc w:val="both"/>
              <w:rPr>
                <w:rFonts w:eastAsia="Times New Roman" w:cs="Calibri"/>
                <w:noProof/>
              </w:rPr>
            </w:pPr>
            <w:r>
              <w:rPr>
                <w:noProof/>
              </w:rPr>
              <w:t xml:space="preserve">fenntarthatósági vizsgálat alkalmazása, </w:t>
            </w:r>
          </w:p>
          <w:p w14:paraId="65116438" w14:textId="77777777" w:rsidR="00DC5EC6" w:rsidRDefault="003245A4">
            <w:pPr>
              <w:pStyle w:val="P68B1DB1-Normal8"/>
              <w:spacing w:after="0" w:line="240" w:lineRule="auto"/>
              <w:jc w:val="both"/>
              <w:rPr>
                <w:rFonts w:eastAsia="Times New Roman" w:cs="Calibri"/>
                <w:noProof/>
              </w:rPr>
            </w:pPr>
            <w:r>
              <w:rPr>
                <w:noProof/>
              </w:rPr>
              <w:t xml:space="preserve">kizárási lista, amely az alábbi elemeket tartalmazza: </w:t>
            </w:r>
          </w:p>
          <w:p w14:paraId="436922B2"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Fosszilis</w:t>
            </w:r>
            <w:r>
              <w:rPr>
                <w:rFonts w:ascii="Times New Roman" w:hAnsi="Times New Roman"/>
                <w:noProof/>
                <w:sz w:val="14"/>
              </w:rPr>
              <w:t xml:space="preserve"> </w:t>
            </w:r>
            <w:r>
              <w:rPr>
                <w:rFonts w:ascii="Calibri" w:hAnsi="Calibri"/>
                <w:noProof/>
                <w:sz w:val="16"/>
              </w:rPr>
              <w:t>tüzelőanyagokhoz (beleértve a downstream felhasználást is) kapcsolódó beruházások, kivéve a DNSH-iránymutatás III. mellékletében meghatározott feltételeknek megfelelő földgázalapú hő- és villamosenergia-termelést</w:t>
            </w:r>
          </w:p>
          <w:p w14:paraId="14409371"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Az</w:t>
            </w:r>
            <w:r>
              <w:rPr>
                <w:rFonts w:ascii="Times New Roman" w:hAnsi="Times New Roman"/>
                <w:noProof/>
                <w:sz w:val="14"/>
              </w:rPr>
              <w:t xml:space="preserve"> </w:t>
            </w:r>
            <w:r>
              <w:rPr>
                <w:rFonts w:ascii="Calibri" w:hAnsi="Calibri"/>
                <w:noProof/>
                <w:sz w:val="16"/>
              </w:rPr>
              <w:t xml:space="preserve">ETS hatálya alá tartozó olyan tevékenységek, amelyek CO2-egyenértékben kifejezett kibocsátása nem alacsonyabb, mint az ingyenes kiosztásra megállapított referenciaértékek. </w:t>
            </w:r>
          </w:p>
          <w:p w14:paraId="55434946"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 xml:space="preserve">A hulladék hulladéklerakókban történő ártalmatlanítására szolgáló létesítményekbe, a mechanikai-biológiai tisztító üzemekbe és a hulladékkezelő hulladékégetőkbe történő beruházások. A kizárási lista nem vonatkozik a kizárólag nem újrafeldolgozható veszélyes hulladékok kezelésére szolgáló üzemekre; meglévő üzemekre, ahol a beruházás célja az energiahatékonyság növelése, a füstgázok tárolása vagy felhasználása vagy hulladékégetésből származó anyagok visszanyerése, feltéve, hogy az ilyen beruházások nem eredményezik az üzemek hulladékfeldolgozási kapacitásának növekedését vagy az üzem élettartamának meghosszabbítását. </w:t>
            </w:r>
          </w:p>
          <w:p w14:paraId="344B3A1B"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Olyan</w:t>
            </w:r>
            <w:r>
              <w:rPr>
                <w:rFonts w:ascii="Times New Roman" w:hAnsi="Times New Roman"/>
                <w:noProof/>
                <w:sz w:val="14"/>
              </w:rPr>
              <w:t xml:space="preserve"> </w:t>
            </w:r>
            <w:r>
              <w:rPr>
                <w:rFonts w:ascii="Calibri" w:hAnsi="Calibri"/>
                <w:noProof/>
                <w:sz w:val="16"/>
              </w:rPr>
              <w:t xml:space="preserve">tevékenységek, amelyek esetében a hulladék hosszú távú ártalmatlanítása hosszú távon károsíthatja a környezetet (pl. nukleáris hulladék). </w:t>
            </w:r>
          </w:p>
          <w:p w14:paraId="1A84525D" w14:textId="77777777" w:rsidR="00DC5EC6" w:rsidRDefault="003245A4">
            <w:pPr>
              <w:spacing w:after="0" w:line="240" w:lineRule="auto"/>
              <w:jc w:val="both"/>
              <w:rPr>
                <w:rFonts w:ascii="Calibri" w:eastAsia="Times New Roman" w:hAnsi="Calibri" w:cs="Calibri"/>
                <w:noProof/>
                <w:sz w:val="16"/>
              </w:rPr>
            </w:pPr>
            <w:r>
              <w:rPr>
                <w:rFonts w:ascii="Calibri" w:hAnsi="Calibri"/>
                <w:noProof/>
                <w:sz w:val="16"/>
              </w:rPr>
              <w:t>– A fenti</w:t>
            </w:r>
            <w:r>
              <w:rPr>
                <w:rFonts w:ascii="Times New Roman" w:hAnsi="Times New Roman"/>
                <w:noProof/>
                <w:sz w:val="14"/>
              </w:rPr>
              <w:t xml:space="preserve"> </w:t>
            </w:r>
            <w:r>
              <w:rPr>
                <w:rFonts w:ascii="Calibri" w:hAnsi="Calibri"/>
                <w:noProof/>
                <w:sz w:val="16"/>
              </w:rPr>
              <w:t xml:space="preserve">eszközökre és tevékenységekre irányuló K+F+I. </w:t>
            </w:r>
          </w:p>
          <w:p w14:paraId="54498B89" w14:textId="77777777" w:rsidR="00DC5EC6" w:rsidRDefault="003245A4">
            <w:pPr>
              <w:pStyle w:val="P68B1DB1-Normal8"/>
              <w:spacing w:after="0" w:line="240" w:lineRule="auto"/>
              <w:jc w:val="both"/>
              <w:rPr>
                <w:rFonts w:eastAsia="Times New Roman" w:cs="Calibri"/>
                <w:noProof/>
              </w:rPr>
            </w:pPr>
            <w:r>
              <w:rPr>
                <w:noProof/>
              </w:rPr>
              <w:t>kötelező jogszabályi megfelelési ellenőrzések a BPF-en és/vagy annak kiválasztott pénzügyi közvetítőin keresztül a fenntarthatósági vizsgálat alól mentesített ügyletek esetében</w:t>
            </w:r>
          </w:p>
          <w:p w14:paraId="2E85E023" w14:textId="05CE3EBD" w:rsidR="00DC5EC6" w:rsidRDefault="003245A4">
            <w:pPr>
              <w:pStyle w:val="P68B1DB1-Normal8"/>
              <w:spacing w:after="0" w:line="240" w:lineRule="auto"/>
              <w:jc w:val="both"/>
              <w:rPr>
                <w:rFonts w:eastAsia="Times New Roman" w:cs="Calibri"/>
                <w:noProof/>
              </w:rPr>
            </w:pPr>
            <w:r>
              <w:rPr>
                <w:noProof/>
              </w:rPr>
              <w:t>a tőketámogatás azon kedvezményezettjei, amelyek bevételeinek legalább 50%-a a kizárási listán felsorolt tevékenységekből származik, hogy zöld átállási terveket fogadjanak el és tegyenek közzé.</w:t>
            </w:r>
          </w:p>
        </w:tc>
      </w:tr>
      <w:tr w:rsidR="00DC5EC6" w14:paraId="140CEE72" w14:textId="77777777">
        <w:trPr>
          <w:trHeight w:val="1933"/>
        </w:trPr>
        <w:tc>
          <w:tcPr>
            <w:tcW w:w="1134" w:type="dxa"/>
            <w:shd w:val="clear" w:color="auto" w:fill="C4EFCE"/>
            <w:vAlign w:val="center"/>
            <w:hideMark/>
          </w:tcPr>
          <w:p w14:paraId="5D768A55" w14:textId="58B8B80D" w:rsidR="00DC5EC6" w:rsidRDefault="003245A4">
            <w:pPr>
              <w:pStyle w:val="P68B1DB1-Normal7"/>
              <w:spacing w:after="0" w:line="240" w:lineRule="auto"/>
              <w:jc w:val="center"/>
              <w:rPr>
                <w:rFonts w:eastAsia="Times New Roman" w:cs="Calibri"/>
                <w:noProof/>
              </w:rPr>
            </w:pPr>
            <w:r>
              <w:rPr>
                <w:noProof/>
              </w:rPr>
              <w:t>5.16</w:t>
            </w:r>
          </w:p>
        </w:tc>
        <w:tc>
          <w:tcPr>
            <w:tcW w:w="1165" w:type="dxa"/>
            <w:shd w:val="clear" w:color="auto" w:fill="C4EFCE"/>
            <w:vAlign w:val="center"/>
            <w:hideMark/>
          </w:tcPr>
          <w:p w14:paraId="27A5C23C" w14:textId="77777777" w:rsidR="00DC5EC6" w:rsidRDefault="003245A4">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1D194C18"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6E88F574" w14:textId="77777777" w:rsidR="00DC5EC6" w:rsidRDefault="003245A4">
            <w:pPr>
              <w:pStyle w:val="P68B1DB1-Normal8"/>
              <w:spacing w:after="0" w:line="240" w:lineRule="auto"/>
              <w:jc w:val="center"/>
              <w:rPr>
                <w:rFonts w:eastAsia="Times New Roman" w:cs="Calibri"/>
                <w:noProof/>
              </w:rPr>
            </w:pPr>
            <w:r>
              <w:rPr>
                <w:noProof/>
              </w:rPr>
              <w:t>A vállalkozások feltőkésítési eszközére vonatkozó beruházási politika elfogadása az Azori-szigeteken</w:t>
            </w:r>
          </w:p>
        </w:tc>
        <w:tc>
          <w:tcPr>
            <w:tcW w:w="2029" w:type="dxa"/>
            <w:shd w:val="clear" w:color="auto" w:fill="C4EFCE"/>
            <w:vAlign w:val="center"/>
            <w:hideMark/>
          </w:tcPr>
          <w:p w14:paraId="173D60F3" w14:textId="77777777" w:rsidR="00DC5EC6" w:rsidRDefault="003245A4">
            <w:pPr>
              <w:pStyle w:val="P68B1DB1-Normal8"/>
              <w:spacing w:after="0" w:line="240" w:lineRule="auto"/>
              <w:jc w:val="center"/>
              <w:rPr>
                <w:rFonts w:eastAsia="Times New Roman" w:cs="Calibri"/>
                <w:noProof/>
              </w:rPr>
            </w:pPr>
            <w:r>
              <w:rPr>
                <w:noProof/>
              </w:rPr>
              <w:t>Az intézkedésben előirányzott valamennyi pénzügyi eszközre kiterjedő befektetési politika BPF általi elfogadása.</w:t>
            </w:r>
          </w:p>
        </w:tc>
        <w:tc>
          <w:tcPr>
            <w:tcW w:w="982" w:type="dxa"/>
            <w:shd w:val="clear" w:color="auto" w:fill="C4EFCE"/>
            <w:vAlign w:val="center"/>
            <w:hideMark/>
          </w:tcPr>
          <w:p w14:paraId="28BCFCDB"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753D2856"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46414FB9"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529C3603" w14:textId="73C81E98" w:rsidR="00DC5EC6" w:rsidRDefault="003A02EC">
            <w:pPr>
              <w:pStyle w:val="P68B1DB1-Normal8"/>
              <w:spacing w:after="0" w:line="240" w:lineRule="auto"/>
              <w:jc w:val="center"/>
              <w:rPr>
                <w:rFonts w:eastAsia="Times New Roman" w:cs="Calibri"/>
                <w:noProof/>
              </w:rPr>
            </w:pPr>
            <w:r>
              <w:rPr>
                <w:noProof/>
              </w:rPr>
              <w:t>3. NEGYEDÉV</w:t>
            </w:r>
          </w:p>
        </w:tc>
        <w:tc>
          <w:tcPr>
            <w:tcW w:w="747" w:type="dxa"/>
            <w:shd w:val="clear" w:color="auto" w:fill="C4EFCE"/>
            <w:vAlign w:val="center"/>
            <w:hideMark/>
          </w:tcPr>
          <w:p w14:paraId="4DD0E7B5" w14:textId="77777777" w:rsidR="00DC5EC6" w:rsidRDefault="003245A4">
            <w:pPr>
              <w:pStyle w:val="P68B1DB1-Normal8"/>
              <w:spacing w:after="0" w:line="240" w:lineRule="auto"/>
              <w:jc w:val="center"/>
              <w:rPr>
                <w:rFonts w:eastAsia="Times New Roman" w:cs="Calibri"/>
                <w:noProof/>
              </w:rPr>
            </w:pPr>
            <w:r>
              <w:rPr>
                <w:noProof/>
              </w:rPr>
              <w:t>2021</w:t>
            </w:r>
          </w:p>
        </w:tc>
        <w:tc>
          <w:tcPr>
            <w:tcW w:w="3919" w:type="dxa"/>
            <w:shd w:val="clear" w:color="auto" w:fill="C4EFCE"/>
            <w:vAlign w:val="center"/>
            <w:hideMark/>
          </w:tcPr>
          <w:p w14:paraId="6255E3B1" w14:textId="77777777" w:rsidR="00DC5EC6" w:rsidRDefault="003245A4">
            <w:pPr>
              <w:pStyle w:val="P68B1DB1-Normal8"/>
              <w:spacing w:after="0" w:line="240" w:lineRule="auto"/>
              <w:jc w:val="both"/>
              <w:rPr>
                <w:rFonts w:eastAsia="Times New Roman" w:cs="Calibri"/>
                <w:noProof/>
              </w:rPr>
            </w:pPr>
            <w:r>
              <w:rPr>
                <w:noProof/>
              </w:rPr>
              <w:t>Az intézkedésben előirányzott valamennyi pénzügyi eszközre kiterjedő befektetési politika BPF általi elfogadása. A befektetési politikát a BPF-nek kell kidolgoznia és elfogadnia a kedvezményezettként kiválasztott vállalkozások támogatására alkalmazott pénzügyi eszközökből származó részesedéseket birtokló gazdasági egység irányító szerveként. A befektetési politikának tükröznie kell az Azori-szigeteken működő vállalkozások feltőkésítési eszközéről szóló rendeletben meghatározott kiválasztási/jogosultsági kritériumokat és alkalmazandó kötelezettségvállalásokat/célokat.</w:t>
            </w:r>
          </w:p>
        </w:tc>
      </w:tr>
      <w:tr w:rsidR="003A02EC" w14:paraId="787BD1C2" w14:textId="77777777">
        <w:trPr>
          <w:trHeight w:val="684"/>
        </w:trPr>
        <w:tc>
          <w:tcPr>
            <w:tcW w:w="1134" w:type="dxa"/>
            <w:shd w:val="clear" w:color="auto" w:fill="C4EFCE"/>
            <w:vAlign w:val="center"/>
            <w:hideMark/>
          </w:tcPr>
          <w:p w14:paraId="4F244987" w14:textId="77777777" w:rsidR="003A02EC" w:rsidRDefault="003A02EC" w:rsidP="003A02EC">
            <w:pPr>
              <w:pStyle w:val="P68B1DB1-Normal7"/>
              <w:spacing w:after="0" w:line="240" w:lineRule="auto"/>
              <w:jc w:val="center"/>
              <w:rPr>
                <w:rFonts w:eastAsia="Times New Roman" w:cs="Calibri"/>
                <w:noProof/>
              </w:rPr>
            </w:pPr>
            <w:r>
              <w:rPr>
                <w:noProof/>
              </w:rPr>
              <w:t>5.17</w:t>
            </w:r>
          </w:p>
        </w:tc>
        <w:tc>
          <w:tcPr>
            <w:tcW w:w="1165" w:type="dxa"/>
            <w:shd w:val="clear" w:color="auto" w:fill="C4EFCE"/>
            <w:vAlign w:val="center"/>
            <w:hideMark/>
          </w:tcPr>
          <w:p w14:paraId="3E25B023" w14:textId="77777777" w:rsidR="003A02EC" w:rsidRDefault="003A02EC" w:rsidP="003A02EC">
            <w:pPr>
              <w:pStyle w:val="P68B1DB1-Normal8"/>
              <w:spacing w:after="0" w:line="240" w:lineRule="auto"/>
              <w:jc w:val="center"/>
              <w:rPr>
                <w:rFonts w:eastAsia="Times New Roman" w:cs="Calibri"/>
                <w:noProof/>
              </w:rPr>
            </w:pPr>
            <w:r>
              <w:rPr>
                <w:noProof/>
              </w:rPr>
              <w:t>Re-C05-i04-RAA</w:t>
            </w:r>
          </w:p>
        </w:tc>
        <w:tc>
          <w:tcPr>
            <w:tcW w:w="976" w:type="dxa"/>
            <w:shd w:val="clear" w:color="auto" w:fill="C4EFCE"/>
            <w:vAlign w:val="center"/>
            <w:hideMark/>
          </w:tcPr>
          <w:p w14:paraId="46E2FE5D"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0D4512D9" w14:textId="77777777" w:rsidR="003A02EC" w:rsidRDefault="003A02EC" w:rsidP="003A02EC">
            <w:pPr>
              <w:pStyle w:val="P68B1DB1-Normal8"/>
              <w:spacing w:after="0" w:line="240" w:lineRule="auto"/>
              <w:jc w:val="center"/>
              <w:rPr>
                <w:rFonts w:eastAsia="Times New Roman" w:cs="Calibri"/>
                <w:noProof/>
              </w:rPr>
            </w:pPr>
            <w:r>
              <w:rPr>
                <w:noProof/>
              </w:rPr>
              <w:t xml:space="preserve">Összesen 125 000 000 EUR leszállítása a régió nem pénzügyi vállalatainak sajáttőke- és kvázisajáttőke-támogatás formájában, az eszköz beruházási politikájával összhangban. Indikatív jelleggel a becslések szerint a terv befejezésével legalább 300 vállalkozást kell támogatni. </w:t>
            </w:r>
          </w:p>
        </w:tc>
        <w:tc>
          <w:tcPr>
            <w:tcW w:w="2029" w:type="dxa"/>
            <w:shd w:val="clear" w:color="auto" w:fill="C4EFCE"/>
            <w:vAlign w:val="center"/>
            <w:hideMark/>
          </w:tcPr>
          <w:p w14:paraId="2DF0D93D"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CABACD" w14:textId="77777777" w:rsidR="003A02EC" w:rsidRDefault="003A02EC" w:rsidP="003A02EC">
            <w:pPr>
              <w:pStyle w:val="P68B1DB1-Normal8"/>
              <w:spacing w:after="0" w:line="240" w:lineRule="auto"/>
              <w:jc w:val="center"/>
              <w:rPr>
                <w:rFonts w:eastAsia="Times New Roman" w:cs="Calibri"/>
                <w:noProof/>
              </w:rPr>
            </w:pPr>
            <w:r>
              <w:rPr>
                <w:noProof/>
              </w:rPr>
              <w:t>EUR</w:t>
            </w:r>
          </w:p>
        </w:tc>
        <w:tc>
          <w:tcPr>
            <w:tcW w:w="982" w:type="dxa"/>
            <w:shd w:val="clear" w:color="auto" w:fill="C4EFCE"/>
            <w:vAlign w:val="center"/>
            <w:hideMark/>
          </w:tcPr>
          <w:p w14:paraId="7B6D0271"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20039D31" w14:textId="77777777" w:rsidR="003A02EC" w:rsidRDefault="003A02EC" w:rsidP="003A02EC">
            <w:pPr>
              <w:pStyle w:val="P68B1DB1-Normal8"/>
              <w:spacing w:after="0" w:line="240" w:lineRule="auto"/>
              <w:jc w:val="center"/>
              <w:rPr>
                <w:rFonts w:eastAsia="Times New Roman" w:cs="Calibri"/>
                <w:noProof/>
              </w:rPr>
            </w:pPr>
            <w:r>
              <w:rPr>
                <w:noProof/>
              </w:rPr>
              <w:t xml:space="preserve">125 000 000 </w:t>
            </w:r>
          </w:p>
        </w:tc>
        <w:tc>
          <w:tcPr>
            <w:tcW w:w="514" w:type="dxa"/>
            <w:shd w:val="clear" w:color="auto" w:fill="C4EFCE"/>
            <w:vAlign w:val="center"/>
            <w:hideMark/>
          </w:tcPr>
          <w:p w14:paraId="45B22942" w14:textId="359A09F8"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5EE59541"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89BB502" w14:textId="31A7E732" w:rsidR="003A02EC" w:rsidRDefault="003A02EC" w:rsidP="003A02EC">
            <w:pPr>
              <w:pStyle w:val="P68B1DB1-Normal8"/>
              <w:spacing w:after="0" w:line="240" w:lineRule="auto"/>
              <w:jc w:val="both"/>
              <w:rPr>
                <w:rFonts w:eastAsia="Times New Roman" w:cs="Calibri"/>
                <w:noProof/>
              </w:rPr>
            </w:pPr>
            <w:r>
              <w:rPr>
                <w:noProof/>
              </w:rPr>
              <w:t>Összesen 125 000 000 EUR összegű támogatás nyújtása a régió nem pénzügyi vállalatainak sajáttőke- és kvázisajáttőke-támogatás formájában, az Azori-szigeteken működő vállalkozások feltőkésítési eszközére vonatkozóan elfogadott beruházási politikával összhangban. A</w:t>
            </w:r>
            <w:r>
              <w:rPr>
                <w:i/>
                <w:noProof/>
              </w:rPr>
              <w:t>Banco Portugues de Fomento</w:t>
            </w:r>
            <w:r>
              <w:rPr>
                <w:noProof/>
              </w:rPr>
              <w:t xml:space="preserve"> felelős a végrehajtott műveletekről való beszámolásért. Ebben a jelentésben a pénzügyi mozgások mellett közzé kell tenni a kedvezményezett vállalatok listáját, azok adóazonosító számát és CAE-számát, a szerződés időpontját, az odaítélt finanszírozást, a felhasznált pénzügyi eszköz típusát és adott esetben az érintett pénzügyi szervezetet.</w:t>
            </w:r>
          </w:p>
        </w:tc>
      </w:tr>
      <w:tr w:rsidR="00DC5EC6" w14:paraId="22040B4A" w14:textId="77777777">
        <w:trPr>
          <w:trHeight w:val="1480"/>
        </w:trPr>
        <w:tc>
          <w:tcPr>
            <w:tcW w:w="1134" w:type="dxa"/>
            <w:shd w:val="clear" w:color="auto" w:fill="C4EFCE"/>
            <w:vAlign w:val="center"/>
            <w:hideMark/>
          </w:tcPr>
          <w:p w14:paraId="412AFCFB" w14:textId="77777777" w:rsidR="00DC5EC6" w:rsidRDefault="003245A4">
            <w:pPr>
              <w:pStyle w:val="P68B1DB1-Normal7"/>
              <w:spacing w:after="0" w:line="240" w:lineRule="auto"/>
              <w:jc w:val="center"/>
              <w:rPr>
                <w:rFonts w:eastAsia="Times New Roman" w:cs="Calibri"/>
                <w:noProof/>
              </w:rPr>
            </w:pPr>
            <w:r>
              <w:rPr>
                <w:noProof/>
              </w:rPr>
              <w:t>5.18</w:t>
            </w:r>
          </w:p>
        </w:tc>
        <w:tc>
          <w:tcPr>
            <w:tcW w:w="1165" w:type="dxa"/>
            <w:shd w:val="clear" w:color="auto" w:fill="C4EFCE"/>
            <w:vAlign w:val="center"/>
            <w:hideMark/>
          </w:tcPr>
          <w:p w14:paraId="29380C9D" w14:textId="77777777" w:rsidR="00DC5EC6" w:rsidRDefault="003245A4">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648BE4C" w14:textId="77777777" w:rsidR="00DC5EC6" w:rsidRDefault="003245A4">
            <w:pPr>
              <w:pStyle w:val="P68B1DB1-Normal8"/>
              <w:spacing w:after="0" w:line="240" w:lineRule="auto"/>
              <w:jc w:val="center"/>
              <w:rPr>
                <w:rFonts w:eastAsia="Times New Roman" w:cs="Calibri"/>
                <w:noProof/>
              </w:rPr>
            </w:pPr>
            <w:r>
              <w:rPr>
                <w:noProof/>
              </w:rPr>
              <w:t>M</w:t>
            </w:r>
          </w:p>
        </w:tc>
        <w:tc>
          <w:tcPr>
            <w:tcW w:w="1668" w:type="dxa"/>
            <w:shd w:val="clear" w:color="auto" w:fill="C4EFCE"/>
            <w:vAlign w:val="center"/>
            <w:hideMark/>
          </w:tcPr>
          <w:p w14:paraId="0FB94C98" w14:textId="77777777" w:rsidR="00DC5EC6" w:rsidRDefault="003245A4">
            <w:pPr>
              <w:pStyle w:val="P68B1DB1-Normal8"/>
              <w:spacing w:after="0" w:line="240" w:lineRule="auto"/>
              <w:jc w:val="center"/>
              <w:rPr>
                <w:rFonts w:eastAsia="Times New Roman" w:cs="Calibri"/>
                <w:noProof/>
              </w:rPr>
            </w:pPr>
            <w:r>
              <w:rPr>
                <w:noProof/>
              </w:rPr>
              <w:t>Az Azori-szigetek mezőgazdasági innovációs és digitalizációs programjának közzététele</w:t>
            </w:r>
          </w:p>
        </w:tc>
        <w:tc>
          <w:tcPr>
            <w:tcW w:w="2029" w:type="dxa"/>
            <w:shd w:val="clear" w:color="auto" w:fill="C4EFCE"/>
            <w:vAlign w:val="center"/>
            <w:hideMark/>
          </w:tcPr>
          <w:p w14:paraId="52BC14AC" w14:textId="77777777" w:rsidR="00DC5EC6" w:rsidRDefault="003245A4">
            <w:pPr>
              <w:pStyle w:val="P68B1DB1-Normal8"/>
              <w:spacing w:after="0" w:line="240" w:lineRule="auto"/>
              <w:jc w:val="center"/>
              <w:rPr>
                <w:rFonts w:eastAsia="Times New Roman" w:cs="Calibri"/>
                <w:noProof/>
              </w:rPr>
            </w:pPr>
            <w:r>
              <w:rPr>
                <w:noProof/>
              </w:rPr>
              <w:t>Az Azori-szigetek mezőgazdasági innovációs és digitalizációs programjának közzététele</w:t>
            </w:r>
          </w:p>
        </w:tc>
        <w:tc>
          <w:tcPr>
            <w:tcW w:w="982" w:type="dxa"/>
            <w:shd w:val="clear" w:color="auto" w:fill="C4EFCE"/>
            <w:vAlign w:val="center"/>
            <w:hideMark/>
          </w:tcPr>
          <w:p w14:paraId="1471DFD5" w14:textId="77777777" w:rsidR="00DC5EC6" w:rsidRDefault="003245A4">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6FA49D95" w14:textId="77777777" w:rsidR="00DC5EC6" w:rsidRDefault="003245A4">
            <w:pPr>
              <w:pStyle w:val="P68B1DB1-Normal8"/>
              <w:spacing w:after="0" w:line="240" w:lineRule="auto"/>
              <w:jc w:val="center"/>
              <w:rPr>
                <w:rFonts w:eastAsia="Times New Roman" w:cs="Calibri"/>
                <w:noProof/>
              </w:rPr>
            </w:pPr>
            <w:r>
              <w:rPr>
                <w:noProof/>
              </w:rPr>
              <w:t> </w:t>
            </w:r>
          </w:p>
        </w:tc>
        <w:tc>
          <w:tcPr>
            <w:tcW w:w="626" w:type="dxa"/>
            <w:shd w:val="clear" w:color="auto" w:fill="C4EFCE"/>
            <w:vAlign w:val="center"/>
            <w:hideMark/>
          </w:tcPr>
          <w:p w14:paraId="193E479B" w14:textId="77777777" w:rsidR="00DC5EC6" w:rsidRDefault="003245A4">
            <w:pPr>
              <w:pStyle w:val="P68B1DB1-Normal8"/>
              <w:spacing w:after="0" w:line="240" w:lineRule="auto"/>
              <w:jc w:val="center"/>
              <w:rPr>
                <w:rFonts w:eastAsia="Times New Roman" w:cs="Calibri"/>
                <w:noProof/>
              </w:rPr>
            </w:pPr>
            <w:r>
              <w:rPr>
                <w:noProof/>
              </w:rPr>
              <w:t> </w:t>
            </w:r>
          </w:p>
        </w:tc>
        <w:tc>
          <w:tcPr>
            <w:tcW w:w="514" w:type="dxa"/>
            <w:shd w:val="clear" w:color="auto" w:fill="C4EFCE"/>
            <w:vAlign w:val="center"/>
            <w:hideMark/>
          </w:tcPr>
          <w:p w14:paraId="054DBD22" w14:textId="430DC02A" w:rsidR="00DC5EC6" w:rsidRDefault="003A02EC">
            <w:pPr>
              <w:pStyle w:val="P68B1DB1-Normal8"/>
              <w:spacing w:after="0" w:line="240" w:lineRule="auto"/>
              <w:jc w:val="center"/>
              <w:rPr>
                <w:rFonts w:eastAsia="Times New Roman" w:cs="Calibri"/>
                <w:noProof/>
              </w:rPr>
            </w:pPr>
            <w:r>
              <w:rPr>
                <w:noProof/>
              </w:rPr>
              <w:t>2. NEGYEDÉV</w:t>
            </w:r>
          </w:p>
        </w:tc>
        <w:tc>
          <w:tcPr>
            <w:tcW w:w="747" w:type="dxa"/>
            <w:shd w:val="clear" w:color="auto" w:fill="C4EFCE"/>
            <w:vAlign w:val="center"/>
            <w:hideMark/>
          </w:tcPr>
          <w:p w14:paraId="125D8132" w14:textId="77777777" w:rsidR="00DC5EC6" w:rsidRDefault="003245A4">
            <w:pPr>
              <w:pStyle w:val="P68B1DB1-Normal8"/>
              <w:spacing w:after="0" w:line="240" w:lineRule="auto"/>
              <w:jc w:val="center"/>
              <w:rPr>
                <w:rFonts w:eastAsia="Times New Roman" w:cs="Calibri"/>
                <w:noProof/>
              </w:rPr>
            </w:pPr>
            <w:r>
              <w:rPr>
                <w:noProof/>
              </w:rPr>
              <w:t>2022</w:t>
            </w:r>
          </w:p>
        </w:tc>
        <w:tc>
          <w:tcPr>
            <w:tcW w:w="3919" w:type="dxa"/>
            <w:shd w:val="clear" w:color="auto" w:fill="C4EFCE"/>
            <w:vAlign w:val="center"/>
            <w:hideMark/>
          </w:tcPr>
          <w:p w14:paraId="2832055A" w14:textId="77777777" w:rsidR="00DC5EC6" w:rsidRDefault="003245A4">
            <w:pPr>
              <w:pStyle w:val="P68B1DB1-Normal8"/>
              <w:spacing w:after="0" w:line="240" w:lineRule="auto"/>
              <w:jc w:val="both"/>
              <w:rPr>
                <w:rFonts w:eastAsia="Times New Roman" w:cs="Calibri"/>
                <w:noProof/>
              </w:rPr>
            </w:pPr>
            <w:r>
              <w:rPr>
                <w:noProof/>
              </w:rPr>
              <w:t>Az Azori-szigetek mezőgazdaságára vonatkozó innovációs és digitalizációs program közzététele, beleértve egy nyomonkövetési hálózat kialakítására vonatkozó tervet és a szigeti szintű mezőgazdasági közleményeket, valamint a digitális valóságra való átállásra és a precíziós gazdálkodásra vonatkozó tervet.</w:t>
            </w:r>
          </w:p>
        </w:tc>
      </w:tr>
      <w:tr w:rsidR="003A02EC" w14:paraId="66C0B1D9" w14:textId="77777777">
        <w:trPr>
          <w:trHeight w:val="1446"/>
        </w:trPr>
        <w:tc>
          <w:tcPr>
            <w:tcW w:w="1134" w:type="dxa"/>
            <w:shd w:val="clear" w:color="auto" w:fill="C4EFCE"/>
            <w:vAlign w:val="center"/>
            <w:hideMark/>
          </w:tcPr>
          <w:p w14:paraId="1031D533" w14:textId="77777777" w:rsidR="003A02EC" w:rsidRDefault="003A02EC" w:rsidP="003A02EC">
            <w:pPr>
              <w:pStyle w:val="P68B1DB1-Normal7"/>
              <w:spacing w:after="0" w:line="240" w:lineRule="auto"/>
              <w:jc w:val="center"/>
              <w:rPr>
                <w:rFonts w:eastAsia="Times New Roman" w:cs="Calibri"/>
                <w:noProof/>
              </w:rPr>
            </w:pPr>
            <w:r>
              <w:rPr>
                <w:noProof/>
              </w:rPr>
              <w:t>5.19</w:t>
            </w:r>
          </w:p>
        </w:tc>
        <w:tc>
          <w:tcPr>
            <w:tcW w:w="1165" w:type="dxa"/>
            <w:shd w:val="clear" w:color="auto" w:fill="C4EFCE"/>
            <w:vAlign w:val="center"/>
            <w:hideMark/>
          </w:tcPr>
          <w:p w14:paraId="62CCCBA9"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65ADECD5"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5C638A6F" w14:textId="77777777" w:rsidR="003A02EC" w:rsidRDefault="003A02EC" w:rsidP="003A02EC">
            <w:pPr>
              <w:pStyle w:val="P68B1DB1-Normal8"/>
              <w:spacing w:after="0" w:line="240" w:lineRule="auto"/>
              <w:jc w:val="center"/>
              <w:rPr>
                <w:rFonts w:eastAsia="Times New Roman" w:cs="Calibri"/>
                <w:noProof/>
              </w:rPr>
            </w:pPr>
            <w:r>
              <w:rPr>
                <w:noProof/>
              </w:rPr>
              <w:t>Új (az elavult struktúrák felváltására) vagy az állatok levágásáért felelős átminősített struktúrákra, valamint a tej minőségének és az élelmiszer-biztonságnak a tanúsítására</w:t>
            </w:r>
          </w:p>
        </w:tc>
        <w:tc>
          <w:tcPr>
            <w:tcW w:w="2029" w:type="dxa"/>
            <w:shd w:val="clear" w:color="auto" w:fill="C4EFCE"/>
            <w:vAlign w:val="center"/>
            <w:hideMark/>
          </w:tcPr>
          <w:p w14:paraId="71C2A31B"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52F83A65"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17E50AA3"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48D5CFCE" w14:textId="77777777" w:rsidR="003A02EC" w:rsidRDefault="003A02EC" w:rsidP="003A02EC">
            <w:pPr>
              <w:pStyle w:val="P68B1DB1-Normal8"/>
              <w:spacing w:after="0" w:line="240" w:lineRule="auto"/>
              <w:jc w:val="center"/>
              <w:rPr>
                <w:rFonts w:eastAsia="Times New Roman" w:cs="Calibri"/>
                <w:noProof/>
              </w:rPr>
            </w:pPr>
            <w:r>
              <w:rPr>
                <w:noProof/>
              </w:rPr>
              <w:t>3</w:t>
            </w:r>
          </w:p>
        </w:tc>
        <w:tc>
          <w:tcPr>
            <w:tcW w:w="514" w:type="dxa"/>
            <w:shd w:val="clear" w:color="auto" w:fill="C4EFCE"/>
            <w:vAlign w:val="center"/>
            <w:hideMark/>
          </w:tcPr>
          <w:p w14:paraId="4D91DB57" w14:textId="034B43A1"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6F9879B6" w14:textId="3DB5DF04"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4782248B" w14:textId="77777777" w:rsidR="003A02EC" w:rsidRDefault="003A02EC" w:rsidP="003A02EC">
            <w:pPr>
              <w:pStyle w:val="P68B1DB1-Normal8"/>
              <w:spacing w:after="0" w:line="240" w:lineRule="auto"/>
              <w:jc w:val="both"/>
              <w:rPr>
                <w:rFonts w:eastAsia="Times New Roman" w:cs="Calibri"/>
                <w:noProof/>
              </w:rPr>
            </w:pPr>
            <w:r>
              <w:rPr>
                <w:noProof/>
              </w:rPr>
              <w:t>Az állatok levágásáért, a tej minőségének tanúsításáért és az élelmiszer-biztonságért felelős új struktúrákkal (az elavult struktúrák felváltása érdekében) vagy újraminősített struktúrákkal kapcsolatos munkálatok véglegesítése a piacok fejlődésére és növekvő igényeire való reagálás érdekében, beleértve a termelési és szervezési folyamatok innovációjába, a zöld átállásba, a digitális átállásba és az állatjólétbe történő beruházásokat.</w:t>
            </w:r>
          </w:p>
        </w:tc>
      </w:tr>
      <w:tr w:rsidR="003A02EC" w14:paraId="0FE8C46B" w14:textId="77777777">
        <w:trPr>
          <w:trHeight w:val="1550"/>
        </w:trPr>
        <w:tc>
          <w:tcPr>
            <w:tcW w:w="1134" w:type="dxa"/>
            <w:shd w:val="clear" w:color="auto" w:fill="C4EFCE"/>
            <w:vAlign w:val="center"/>
            <w:hideMark/>
          </w:tcPr>
          <w:p w14:paraId="0973CB5F" w14:textId="77777777" w:rsidR="003A02EC" w:rsidRDefault="003A02EC" w:rsidP="003A02EC">
            <w:pPr>
              <w:pStyle w:val="P68B1DB1-Normal7"/>
              <w:spacing w:after="0" w:line="240" w:lineRule="auto"/>
              <w:jc w:val="center"/>
              <w:rPr>
                <w:rFonts w:eastAsia="Times New Roman" w:cs="Calibri"/>
                <w:noProof/>
              </w:rPr>
            </w:pPr>
            <w:r>
              <w:rPr>
                <w:noProof/>
              </w:rPr>
              <w:t>5.20</w:t>
            </w:r>
          </w:p>
        </w:tc>
        <w:tc>
          <w:tcPr>
            <w:tcW w:w="1165" w:type="dxa"/>
            <w:shd w:val="clear" w:color="auto" w:fill="C4EFCE"/>
            <w:vAlign w:val="center"/>
            <w:hideMark/>
          </w:tcPr>
          <w:p w14:paraId="3A4DA074"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4F114AAC"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656A7BBA" w14:textId="77777777" w:rsidR="003A02EC" w:rsidRDefault="003A02EC" w:rsidP="003A02EC">
            <w:pPr>
              <w:pStyle w:val="P68B1DB1-Normal8"/>
              <w:spacing w:after="0" w:line="240" w:lineRule="auto"/>
              <w:jc w:val="center"/>
              <w:rPr>
                <w:rFonts w:eastAsia="Times New Roman" w:cs="Calibri"/>
                <w:noProof/>
              </w:rPr>
            </w:pPr>
            <w:r>
              <w:rPr>
                <w:noProof/>
              </w:rPr>
              <w:t>A feldolgozó és forgalmazó ágazatban működő vállalkozások szerkezetátalakítására irányuló támogatási rendszerek keretében támogatott projektek</w:t>
            </w:r>
          </w:p>
        </w:tc>
        <w:tc>
          <w:tcPr>
            <w:tcW w:w="2029" w:type="dxa"/>
            <w:shd w:val="clear" w:color="auto" w:fill="C4EFCE"/>
            <w:vAlign w:val="center"/>
            <w:hideMark/>
          </w:tcPr>
          <w:p w14:paraId="41198735"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0B64C0AB"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3400D61"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3B4E10FD" w14:textId="77777777" w:rsidR="003A02EC" w:rsidRDefault="003A02EC" w:rsidP="003A02EC">
            <w:pPr>
              <w:pStyle w:val="P68B1DB1-Normal8"/>
              <w:spacing w:after="0" w:line="240" w:lineRule="auto"/>
              <w:jc w:val="center"/>
              <w:rPr>
                <w:rFonts w:eastAsia="Times New Roman" w:cs="Calibri"/>
                <w:noProof/>
              </w:rPr>
            </w:pPr>
            <w:r>
              <w:rPr>
                <w:noProof/>
              </w:rPr>
              <w:t>9</w:t>
            </w:r>
          </w:p>
        </w:tc>
        <w:tc>
          <w:tcPr>
            <w:tcW w:w="514" w:type="dxa"/>
            <w:shd w:val="clear" w:color="auto" w:fill="C4EFCE"/>
            <w:vAlign w:val="center"/>
            <w:hideMark/>
          </w:tcPr>
          <w:p w14:paraId="3CEE9014" w14:textId="4E071C1B"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271A24C3"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310109FC" w14:textId="77777777" w:rsidR="003A02EC" w:rsidRDefault="003A02EC" w:rsidP="003A02EC">
            <w:pPr>
              <w:pStyle w:val="P68B1DB1-Normal8"/>
              <w:spacing w:after="0" w:line="240" w:lineRule="auto"/>
              <w:jc w:val="both"/>
              <w:rPr>
                <w:rFonts w:eastAsia="Times New Roman" w:cs="Calibri"/>
                <w:noProof/>
              </w:rPr>
            </w:pPr>
            <w:r>
              <w:rPr>
                <w:noProof/>
              </w:rPr>
              <w:t>A termékekkel és termelési folyamatokkal kapcsolatos innovációra, a zöld átállásra és a digitális átállásra irányuló támogatási rendszerek keretében jóváhagyott és szerződtetett projektek, amelyek célja a mezőgazdasági feldolgozó és értékesítési ágazatban működő vállalkozások szerkezetátalakítása.</w:t>
            </w:r>
          </w:p>
        </w:tc>
      </w:tr>
      <w:tr w:rsidR="003A02EC" w14:paraId="0924F5C3" w14:textId="77777777">
        <w:trPr>
          <w:trHeight w:val="971"/>
        </w:trPr>
        <w:tc>
          <w:tcPr>
            <w:tcW w:w="1134" w:type="dxa"/>
            <w:shd w:val="clear" w:color="auto" w:fill="C4EFCE"/>
            <w:vAlign w:val="center"/>
            <w:hideMark/>
          </w:tcPr>
          <w:p w14:paraId="6FC3F55D" w14:textId="77777777" w:rsidR="003A02EC" w:rsidRDefault="003A02EC" w:rsidP="003A02EC">
            <w:pPr>
              <w:pStyle w:val="P68B1DB1-Normal7"/>
              <w:spacing w:after="0" w:line="240" w:lineRule="auto"/>
              <w:jc w:val="center"/>
              <w:rPr>
                <w:rFonts w:eastAsia="Times New Roman" w:cs="Calibri"/>
                <w:noProof/>
              </w:rPr>
            </w:pPr>
            <w:r>
              <w:rPr>
                <w:noProof/>
              </w:rPr>
              <w:t>5.21</w:t>
            </w:r>
          </w:p>
        </w:tc>
        <w:tc>
          <w:tcPr>
            <w:tcW w:w="1165" w:type="dxa"/>
            <w:shd w:val="clear" w:color="auto" w:fill="C4EFCE"/>
            <w:vAlign w:val="center"/>
            <w:hideMark/>
          </w:tcPr>
          <w:p w14:paraId="4BA8EF57"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2AF2AE81"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3B1D52CC" w14:textId="77777777" w:rsidR="003A02EC" w:rsidRDefault="003A02EC" w:rsidP="003A02EC">
            <w:pPr>
              <w:pStyle w:val="P68B1DB1-Normal8"/>
              <w:spacing w:after="0" w:line="240" w:lineRule="auto"/>
              <w:jc w:val="center"/>
              <w:rPr>
                <w:rFonts w:eastAsia="Times New Roman" w:cs="Calibri"/>
                <w:noProof/>
              </w:rPr>
            </w:pPr>
            <w:r>
              <w:rPr>
                <w:noProof/>
              </w:rPr>
              <w:t>A mezőgazdasági üzemek szerkezetátalakítására irányuló támogatási rendszerek keretében támogatott projektek</w:t>
            </w:r>
          </w:p>
        </w:tc>
        <w:tc>
          <w:tcPr>
            <w:tcW w:w="2029" w:type="dxa"/>
            <w:shd w:val="clear" w:color="auto" w:fill="C4EFCE"/>
            <w:vAlign w:val="center"/>
            <w:hideMark/>
          </w:tcPr>
          <w:p w14:paraId="6EFE1DF8"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25D0A656"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5089F2CE"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5734A034" w14:textId="30F54B9E" w:rsidR="003A02EC" w:rsidRDefault="003A02EC" w:rsidP="003A02EC">
            <w:pPr>
              <w:pStyle w:val="P68B1DB1-Normal8"/>
              <w:spacing w:after="0" w:line="240" w:lineRule="auto"/>
              <w:jc w:val="center"/>
              <w:rPr>
                <w:rFonts w:eastAsia="Times New Roman" w:cs="Calibri"/>
                <w:noProof/>
              </w:rPr>
            </w:pPr>
            <w:r>
              <w:rPr>
                <w:noProof/>
              </w:rPr>
              <w:t>178</w:t>
            </w:r>
          </w:p>
        </w:tc>
        <w:tc>
          <w:tcPr>
            <w:tcW w:w="514" w:type="dxa"/>
            <w:shd w:val="clear" w:color="auto" w:fill="C4EFCE"/>
            <w:vAlign w:val="center"/>
            <w:hideMark/>
          </w:tcPr>
          <w:p w14:paraId="18F2BCCA" w14:textId="123FE4E7"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33415951"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6D0C3A49" w14:textId="77777777" w:rsidR="003A02EC" w:rsidRDefault="003A02EC" w:rsidP="003A02EC">
            <w:pPr>
              <w:pStyle w:val="P68B1DB1-Normal8"/>
              <w:spacing w:after="0" w:line="240" w:lineRule="auto"/>
              <w:jc w:val="both"/>
              <w:rPr>
                <w:rFonts w:eastAsia="Times New Roman" w:cs="Calibri"/>
                <w:noProof/>
              </w:rPr>
            </w:pPr>
            <w:r>
              <w:rPr>
                <w:noProof/>
              </w:rPr>
              <w:t>A termelési és szervezési termékekkel és folyamatokkal kapcsolatos innovációra, a zöld átállásra és a digitális átállásra irányuló támogatási rendszerek keretében jóváhagyott és szerződtetett projektek, amelyek célja a gazdaságok szerkezetátalakítása.</w:t>
            </w:r>
          </w:p>
        </w:tc>
      </w:tr>
      <w:tr w:rsidR="003A02EC" w14:paraId="7B64C750" w14:textId="77777777">
        <w:trPr>
          <w:trHeight w:val="67"/>
        </w:trPr>
        <w:tc>
          <w:tcPr>
            <w:tcW w:w="1134" w:type="dxa"/>
            <w:shd w:val="clear" w:color="auto" w:fill="C4EFCE"/>
            <w:vAlign w:val="center"/>
            <w:hideMark/>
          </w:tcPr>
          <w:p w14:paraId="69F4FB66" w14:textId="77777777" w:rsidR="003A02EC" w:rsidRDefault="003A02EC" w:rsidP="003A02EC">
            <w:pPr>
              <w:pStyle w:val="P68B1DB1-Normal7"/>
              <w:spacing w:after="0" w:line="240" w:lineRule="auto"/>
              <w:jc w:val="center"/>
              <w:rPr>
                <w:rFonts w:eastAsia="Times New Roman" w:cs="Calibri"/>
                <w:noProof/>
              </w:rPr>
            </w:pPr>
            <w:r>
              <w:rPr>
                <w:noProof/>
              </w:rPr>
              <w:t>5.22</w:t>
            </w:r>
          </w:p>
        </w:tc>
        <w:tc>
          <w:tcPr>
            <w:tcW w:w="1165" w:type="dxa"/>
            <w:shd w:val="clear" w:color="auto" w:fill="C4EFCE"/>
            <w:vAlign w:val="center"/>
            <w:hideMark/>
          </w:tcPr>
          <w:p w14:paraId="765D75C8" w14:textId="77777777" w:rsidR="003A02EC" w:rsidRDefault="003A02EC" w:rsidP="003A02EC">
            <w:pPr>
              <w:pStyle w:val="P68B1DB1-Normal8"/>
              <w:spacing w:after="0" w:line="240" w:lineRule="auto"/>
              <w:jc w:val="center"/>
              <w:rPr>
                <w:rFonts w:eastAsia="Times New Roman" w:cs="Calibri"/>
                <w:noProof/>
              </w:rPr>
            </w:pPr>
            <w:r>
              <w:rPr>
                <w:noProof/>
              </w:rPr>
              <w:t>Re-C05-i05-RAA</w:t>
            </w:r>
          </w:p>
        </w:tc>
        <w:tc>
          <w:tcPr>
            <w:tcW w:w="976" w:type="dxa"/>
            <w:shd w:val="clear" w:color="auto" w:fill="C4EFCE"/>
            <w:vAlign w:val="center"/>
            <w:hideMark/>
          </w:tcPr>
          <w:p w14:paraId="7A7C71EA" w14:textId="77777777" w:rsidR="003A02EC" w:rsidRDefault="003A02EC" w:rsidP="003A02EC">
            <w:pPr>
              <w:pStyle w:val="P68B1DB1-Normal8"/>
              <w:spacing w:after="0" w:line="240" w:lineRule="auto"/>
              <w:jc w:val="center"/>
              <w:rPr>
                <w:rFonts w:eastAsia="Times New Roman" w:cs="Calibri"/>
                <w:noProof/>
              </w:rPr>
            </w:pPr>
            <w:r>
              <w:rPr>
                <w:noProof/>
              </w:rPr>
              <w:t>T</w:t>
            </w:r>
          </w:p>
        </w:tc>
        <w:tc>
          <w:tcPr>
            <w:tcW w:w="1668" w:type="dxa"/>
            <w:shd w:val="clear" w:color="auto" w:fill="C4EFCE"/>
            <w:vAlign w:val="center"/>
            <w:hideMark/>
          </w:tcPr>
          <w:p w14:paraId="132B0C61" w14:textId="77777777" w:rsidR="003A02EC" w:rsidRDefault="003A02EC" w:rsidP="003A02EC">
            <w:pPr>
              <w:pStyle w:val="P68B1DB1-Normal8"/>
              <w:spacing w:after="0" w:line="240" w:lineRule="auto"/>
              <w:jc w:val="center"/>
              <w:rPr>
                <w:rFonts w:eastAsia="Times New Roman" w:cs="Calibri"/>
                <w:noProof/>
              </w:rPr>
            </w:pPr>
            <w:r>
              <w:rPr>
                <w:noProof/>
              </w:rPr>
              <w:t>A mezőgazdasági termelők szerepvállalásának növelését célzó program keretében speciális technikai támogatásban részesülő gazdaságok</w:t>
            </w:r>
          </w:p>
        </w:tc>
        <w:tc>
          <w:tcPr>
            <w:tcW w:w="2029" w:type="dxa"/>
            <w:shd w:val="clear" w:color="auto" w:fill="C4EFCE"/>
            <w:vAlign w:val="center"/>
            <w:hideMark/>
          </w:tcPr>
          <w:p w14:paraId="7586AE24" w14:textId="77777777" w:rsidR="003A02EC" w:rsidRDefault="003A02EC" w:rsidP="003A02EC">
            <w:pPr>
              <w:pStyle w:val="P68B1DB1-Normal8"/>
              <w:spacing w:after="0" w:line="240" w:lineRule="auto"/>
              <w:jc w:val="center"/>
              <w:rPr>
                <w:rFonts w:eastAsia="Times New Roman" w:cs="Calibri"/>
                <w:noProof/>
              </w:rPr>
            </w:pPr>
            <w:r>
              <w:rPr>
                <w:noProof/>
              </w:rPr>
              <w:t> </w:t>
            </w:r>
          </w:p>
        </w:tc>
        <w:tc>
          <w:tcPr>
            <w:tcW w:w="982" w:type="dxa"/>
            <w:shd w:val="clear" w:color="auto" w:fill="C4EFCE"/>
            <w:vAlign w:val="center"/>
            <w:hideMark/>
          </w:tcPr>
          <w:p w14:paraId="4AD3912A" w14:textId="77777777" w:rsidR="003A02EC" w:rsidRDefault="003A02EC" w:rsidP="003A02EC">
            <w:pPr>
              <w:pStyle w:val="P68B1DB1-Normal8"/>
              <w:spacing w:after="0" w:line="240" w:lineRule="auto"/>
              <w:jc w:val="center"/>
              <w:rPr>
                <w:rFonts w:eastAsia="Times New Roman" w:cs="Calibri"/>
                <w:noProof/>
              </w:rPr>
            </w:pPr>
            <w:r>
              <w:rPr>
                <w:noProof/>
              </w:rPr>
              <w:t>Szám</w:t>
            </w:r>
          </w:p>
        </w:tc>
        <w:tc>
          <w:tcPr>
            <w:tcW w:w="982" w:type="dxa"/>
            <w:shd w:val="clear" w:color="auto" w:fill="C4EFCE"/>
            <w:vAlign w:val="center"/>
            <w:hideMark/>
          </w:tcPr>
          <w:p w14:paraId="3174DC4A" w14:textId="77777777" w:rsidR="003A02EC" w:rsidRDefault="003A02EC" w:rsidP="003A02EC">
            <w:pPr>
              <w:pStyle w:val="P68B1DB1-Normal8"/>
              <w:spacing w:after="0" w:line="240" w:lineRule="auto"/>
              <w:jc w:val="center"/>
              <w:rPr>
                <w:rFonts w:eastAsia="Times New Roman" w:cs="Calibri"/>
                <w:noProof/>
              </w:rPr>
            </w:pPr>
            <w:r>
              <w:rPr>
                <w:noProof/>
              </w:rPr>
              <w:t>0</w:t>
            </w:r>
          </w:p>
        </w:tc>
        <w:tc>
          <w:tcPr>
            <w:tcW w:w="626" w:type="dxa"/>
            <w:shd w:val="clear" w:color="auto" w:fill="C4EFCE"/>
            <w:vAlign w:val="center"/>
            <w:hideMark/>
          </w:tcPr>
          <w:p w14:paraId="6B33C92A" w14:textId="77777777" w:rsidR="003A02EC" w:rsidRDefault="003A02EC" w:rsidP="003A02EC">
            <w:pPr>
              <w:pStyle w:val="P68B1DB1-Normal8"/>
              <w:spacing w:after="0" w:line="240" w:lineRule="auto"/>
              <w:jc w:val="center"/>
              <w:rPr>
                <w:rFonts w:eastAsia="Times New Roman" w:cs="Calibri"/>
                <w:noProof/>
              </w:rPr>
            </w:pPr>
            <w:r>
              <w:rPr>
                <w:noProof/>
              </w:rPr>
              <w:t>2 000</w:t>
            </w:r>
          </w:p>
        </w:tc>
        <w:tc>
          <w:tcPr>
            <w:tcW w:w="514" w:type="dxa"/>
            <w:shd w:val="clear" w:color="auto" w:fill="C4EFCE"/>
            <w:vAlign w:val="center"/>
            <w:hideMark/>
          </w:tcPr>
          <w:p w14:paraId="3CB938A2" w14:textId="7C8F1604" w:rsidR="003A02EC" w:rsidRDefault="003A02EC" w:rsidP="003A02EC">
            <w:pPr>
              <w:pStyle w:val="P68B1DB1-Normal8"/>
              <w:spacing w:after="0" w:line="240" w:lineRule="auto"/>
              <w:jc w:val="center"/>
              <w:rPr>
                <w:rFonts w:eastAsia="Times New Roman" w:cs="Calibri"/>
                <w:noProof/>
              </w:rPr>
            </w:pPr>
            <w:r>
              <w:rPr>
                <w:noProof/>
              </w:rPr>
              <w:t>4. NEGYEDÉV</w:t>
            </w:r>
          </w:p>
        </w:tc>
        <w:tc>
          <w:tcPr>
            <w:tcW w:w="747" w:type="dxa"/>
            <w:shd w:val="clear" w:color="auto" w:fill="C4EFCE"/>
            <w:vAlign w:val="center"/>
            <w:hideMark/>
          </w:tcPr>
          <w:p w14:paraId="28BE79BE" w14:textId="77777777" w:rsidR="003A02EC" w:rsidRDefault="003A02EC" w:rsidP="003A02EC">
            <w:pPr>
              <w:pStyle w:val="P68B1DB1-Normal8"/>
              <w:spacing w:after="0" w:line="240" w:lineRule="auto"/>
              <w:jc w:val="center"/>
              <w:rPr>
                <w:rFonts w:eastAsia="Times New Roman" w:cs="Calibri"/>
                <w:noProof/>
              </w:rPr>
            </w:pPr>
            <w:r>
              <w:rPr>
                <w:noProof/>
              </w:rPr>
              <w:t>2025</w:t>
            </w:r>
          </w:p>
        </w:tc>
        <w:tc>
          <w:tcPr>
            <w:tcW w:w="3919" w:type="dxa"/>
            <w:shd w:val="clear" w:color="auto" w:fill="C4EFCE"/>
            <w:vAlign w:val="center"/>
            <w:hideMark/>
          </w:tcPr>
          <w:p w14:paraId="2E512E2A" w14:textId="77777777" w:rsidR="003A02EC" w:rsidRDefault="003A02EC" w:rsidP="003A02EC">
            <w:pPr>
              <w:pStyle w:val="P68B1DB1-Normal8"/>
              <w:spacing w:after="0" w:line="240" w:lineRule="auto"/>
              <w:jc w:val="both"/>
              <w:rPr>
                <w:rFonts w:eastAsia="Times New Roman" w:cs="Calibri"/>
                <w:noProof/>
              </w:rPr>
            </w:pPr>
            <w:r>
              <w:rPr>
                <w:noProof/>
              </w:rPr>
              <w:t>A mezőgazdasági termelők szerepvállalásának növelését célzó program keretében végrehajtandó intézkedések részeként speciális technikai segítségnyújtásban részesülő mezőgazdasági üzemek.</w:t>
            </w:r>
          </w:p>
        </w:tc>
      </w:tr>
      <w:tr w:rsidR="00DC5EC6" w14:paraId="6B3FA3FC" w14:textId="77777777">
        <w:trPr>
          <w:trHeight w:val="2709"/>
        </w:trPr>
        <w:tc>
          <w:tcPr>
            <w:tcW w:w="1134" w:type="dxa"/>
            <w:shd w:val="clear" w:color="auto" w:fill="C4EFCE"/>
            <w:vAlign w:val="center"/>
          </w:tcPr>
          <w:p w14:paraId="54E7BC25" w14:textId="62E6C5C0" w:rsidR="00DC5EC6" w:rsidRDefault="003245A4">
            <w:pPr>
              <w:pStyle w:val="P68B1DB1-Normal11"/>
              <w:spacing w:after="0" w:line="240" w:lineRule="auto"/>
              <w:jc w:val="center"/>
              <w:rPr>
                <w:rFonts w:eastAsia="Times New Roman" w:cstheme="minorHAnsi"/>
                <w:noProof/>
              </w:rPr>
            </w:pPr>
            <w:r>
              <w:rPr>
                <w:noProof/>
              </w:rPr>
              <w:t>5.33</w:t>
            </w:r>
          </w:p>
        </w:tc>
        <w:tc>
          <w:tcPr>
            <w:tcW w:w="1165" w:type="dxa"/>
            <w:shd w:val="clear" w:color="auto" w:fill="C4EFCE"/>
            <w:vAlign w:val="center"/>
          </w:tcPr>
          <w:p w14:paraId="5929BA6C" w14:textId="428A8C0E" w:rsidR="00DC5EC6" w:rsidRDefault="003245A4">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30E1990D" w14:textId="582BDEE3" w:rsidR="00DC5EC6" w:rsidRDefault="003245A4">
            <w:pPr>
              <w:pStyle w:val="P68B1DB1-Normal12"/>
              <w:spacing w:after="0" w:line="240" w:lineRule="auto"/>
              <w:jc w:val="center"/>
              <w:rPr>
                <w:rFonts w:eastAsia="Times New Roman" w:cstheme="minorHAnsi"/>
                <w:noProof/>
              </w:rPr>
            </w:pPr>
            <w:r>
              <w:rPr>
                <w:noProof/>
              </w:rPr>
              <w:t>M</w:t>
            </w:r>
          </w:p>
        </w:tc>
        <w:tc>
          <w:tcPr>
            <w:tcW w:w="1668" w:type="dxa"/>
            <w:shd w:val="clear" w:color="auto" w:fill="C4EFCE"/>
            <w:vAlign w:val="center"/>
          </w:tcPr>
          <w:p w14:paraId="59B95D11" w14:textId="5995F441" w:rsidR="00DC5EC6" w:rsidRDefault="003245A4">
            <w:pPr>
              <w:pStyle w:val="P68B1DB1-Bodytext1013"/>
              <w:jc w:val="center"/>
              <w:rPr>
                <w:rFonts w:cstheme="minorHAnsi"/>
                <w:noProof/>
              </w:rPr>
            </w:pPr>
            <w:r>
              <w:rPr>
                <w:noProof/>
              </w:rPr>
              <w:t>A Banco Português de Fomento, az Instituto de Desenvolvimento Empresarial és a kiválasztott pénzügyi közvetítők közötti végrehajtási megállapodás (protokoll) aláírása</w:t>
            </w:r>
          </w:p>
        </w:tc>
        <w:tc>
          <w:tcPr>
            <w:tcW w:w="2029" w:type="dxa"/>
            <w:shd w:val="clear" w:color="auto" w:fill="C4EFCE"/>
            <w:vAlign w:val="center"/>
          </w:tcPr>
          <w:p w14:paraId="37342ABF" w14:textId="1772DDF4" w:rsidR="00DC5EC6" w:rsidRDefault="003245A4">
            <w:pPr>
              <w:pStyle w:val="P68B1DB1-Normal12"/>
              <w:spacing w:after="0" w:line="240" w:lineRule="auto"/>
              <w:jc w:val="center"/>
              <w:rPr>
                <w:rFonts w:eastAsia="Times New Roman" w:cstheme="minorHAnsi"/>
                <w:noProof/>
              </w:rPr>
            </w:pPr>
            <w:r>
              <w:rPr>
                <w:noProof/>
              </w:rPr>
              <w:t>A Banco Português de Fomento, az Instituto de Desenvolvimento Empresarial és a kiválasztott pénzügyi közvetítők közötti, az intézkedésben előirányzott valamennyi pénzügyi eszközre kiterjedő végrehajtási megállapodás (jegyzőkönyv) aláírása</w:t>
            </w:r>
          </w:p>
        </w:tc>
        <w:tc>
          <w:tcPr>
            <w:tcW w:w="982" w:type="dxa"/>
            <w:shd w:val="clear" w:color="auto" w:fill="C4EFCE"/>
            <w:vAlign w:val="center"/>
          </w:tcPr>
          <w:p w14:paraId="6758A57F" w14:textId="77777777" w:rsidR="00DC5EC6" w:rsidRDefault="00DC5EC6">
            <w:pPr>
              <w:spacing w:after="0" w:line="240" w:lineRule="auto"/>
              <w:jc w:val="center"/>
              <w:rPr>
                <w:rFonts w:eastAsia="Times New Roman" w:cstheme="minorHAnsi"/>
                <w:noProof/>
                <w:sz w:val="16"/>
              </w:rPr>
            </w:pPr>
          </w:p>
        </w:tc>
        <w:tc>
          <w:tcPr>
            <w:tcW w:w="982" w:type="dxa"/>
            <w:shd w:val="clear" w:color="auto" w:fill="C4EFCE"/>
            <w:vAlign w:val="center"/>
          </w:tcPr>
          <w:p w14:paraId="4ED1D73F" w14:textId="77777777" w:rsidR="00DC5EC6" w:rsidRDefault="00DC5EC6">
            <w:pPr>
              <w:spacing w:after="0" w:line="240" w:lineRule="auto"/>
              <w:jc w:val="center"/>
              <w:rPr>
                <w:rFonts w:eastAsia="Times New Roman" w:cstheme="minorHAnsi"/>
                <w:noProof/>
                <w:sz w:val="16"/>
              </w:rPr>
            </w:pPr>
          </w:p>
        </w:tc>
        <w:tc>
          <w:tcPr>
            <w:tcW w:w="626" w:type="dxa"/>
            <w:shd w:val="clear" w:color="auto" w:fill="C4EFCE"/>
            <w:vAlign w:val="center"/>
          </w:tcPr>
          <w:p w14:paraId="633B6B1E" w14:textId="77777777" w:rsidR="00DC5EC6" w:rsidRDefault="00DC5EC6">
            <w:pPr>
              <w:spacing w:after="0" w:line="240" w:lineRule="auto"/>
              <w:jc w:val="center"/>
              <w:rPr>
                <w:rFonts w:eastAsia="Times New Roman" w:cstheme="minorHAnsi"/>
                <w:noProof/>
                <w:sz w:val="16"/>
              </w:rPr>
            </w:pPr>
          </w:p>
        </w:tc>
        <w:tc>
          <w:tcPr>
            <w:tcW w:w="514" w:type="dxa"/>
            <w:shd w:val="clear" w:color="auto" w:fill="C4EFCE"/>
            <w:vAlign w:val="center"/>
          </w:tcPr>
          <w:p w14:paraId="798958ED" w14:textId="61819736" w:rsidR="00DC5EC6" w:rsidRDefault="003A02EC">
            <w:pPr>
              <w:pStyle w:val="P68B1DB1-Normal12"/>
              <w:spacing w:after="0" w:line="240" w:lineRule="auto"/>
              <w:jc w:val="center"/>
              <w:rPr>
                <w:rFonts w:eastAsia="Times New Roman" w:cstheme="minorHAnsi"/>
                <w:noProof/>
              </w:rPr>
            </w:pPr>
            <w:r>
              <w:rPr>
                <w:noProof/>
              </w:rPr>
              <w:t>2. NEGYEDÉV</w:t>
            </w:r>
          </w:p>
        </w:tc>
        <w:tc>
          <w:tcPr>
            <w:tcW w:w="747" w:type="dxa"/>
            <w:shd w:val="clear" w:color="auto" w:fill="C4EFCE"/>
            <w:vAlign w:val="center"/>
          </w:tcPr>
          <w:p w14:paraId="2525860B" w14:textId="3ECA8FE2" w:rsidR="00DC5EC6" w:rsidRDefault="003245A4">
            <w:pPr>
              <w:pStyle w:val="P68B1DB1-Normal12"/>
              <w:spacing w:after="0" w:line="240" w:lineRule="auto"/>
              <w:jc w:val="center"/>
              <w:rPr>
                <w:rFonts w:eastAsia="Times New Roman" w:cstheme="minorHAnsi"/>
                <w:noProof/>
              </w:rPr>
            </w:pPr>
            <w:r>
              <w:rPr>
                <w:noProof/>
              </w:rPr>
              <w:t>2024</w:t>
            </w:r>
          </w:p>
        </w:tc>
        <w:tc>
          <w:tcPr>
            <w:tcW w:w="3919" w:type="dxa"/>
            <w:shd w:val="clear" w:color="auto" w:fill="C4EFCE"/>
          </w:tcPr>
          <w:p w14:paraId="7BFE9655" w14:textId="291FD11F" w:rsidR="00DC5EC6" w:rsidRDefault="003245A4">
            <w:pPr>
              <w:pStyle w:val="P68B1DB1-Bodytext1013"/>
              <w:rPr>
                <w:rFonts w:cstheme="minorHAnsi"/>
                <w:noProof/>
              </w:rPr>
            </w:pPr>
            <w:r>
              <w:rPr>
                <w:noProof/>
              </w:rPr>
              <w:t xml:space="preserve">A Banco Português de Fomento, az Instituto de Desenvolvimento Empresarial és a kiválasztott pénzügyi közvetítők közötti, az intézkedésben előirányzott valamennyi pénzügyi eszközre kiterjedő végrehajtási megállapodás (protokoll) aláírása. </w:t>
            </w:r>
          </w:p>
          <w:p w14:paraId="2B9416E9" w14:textId="1999C5AE" w:rsidR="00DC5EC6" w:rsidRDefault="003245A4">
            <w:pPr>
              <w:pStyle w:val="P68B1DB1-Normal12"/>
              <w:spacing w:after="0" w:line="240" w:lineRule="auto"/>
              <w:jc w:val="both"/>
              <w:rPr>
                <w:rFonts w:eastAsia="Times New Roman" w:cstheme="minorHAnsi"/>
                <w:noProof/>
              </w:rPr>
            </w:pPr>
            <w:r>
              <w:rPr>
                <w:noProof/>
              </w:rPr>
              <w:t xml:space="preserve">A pénzügyi eszköz végrehajtási megállapodása és későbbi jogi dokumentumai megkövetelik (az intézkedés leírásában meghatározott) kizárási lista alkalmazását, valamint az uniós és nemzeti környezetvédelmi jogszabályoknak való megfelelés ellenőrzését. </w:t>
            </w:r>
          </w:p>
        </w:tc>
      </w:tr>
      <w:tr w:rsidR="003A02EC" w14:paraId="4CBE3D8A" w14:textId="77777777">
        <w:trPr>
          <w:trHeight w:val="67"/>
        </w:trPr>
        <w:tc>
          <w:tcPr>
            <w:tcW w:w="1134" w:type="dxa"/>
            <w:shd w:val="clear" w:color="auto" w:fill="C4EFCE"/>
            <w:vAlign w:val="center"/>
          </w:tcPr>
          <w:p w14:paraId="7BB0CA82" w14:textId="09AAED9B" w:rsidR="003A02EC" w:rsidRDefault="003A02EC" w:rsidP="003A02EC">
            <w:pPr>
              <w:pStyle w:val="P68B1DB1-Normal11"/>
              <w:spacing w:after="0" w:line="240" w:lineRule="auto"/>
              <w:jc w:val="center"/>
              <w:rPr>
                <w:rFonts w:eastAsia="Times New Roman" w:cstheme="minorHAnsi"/>
                <w:noProof/>
              </w:rPr>
            </w:pPr>
            <w:r>
              <w:rPr>
                <w:noProof/>
              </w:rPr>
              <w:t>5.34</w:t>
            </w:r>
          </w:p>
        </w:tc>
        <w:tc>
          <w:tcPr>
            <w:tcW w:w="1165" w:type="dxa"/>
            <w:shd w:val="clear" w:color="auto" w:fill="C4EFCE"/>
            <w:vAlign w:val="center"/>
          </w:tcPr>
          <w:p w14:paraId="4855C77A" w14:textId="5D5E927E" w:rsidR="003A02EC" w:rsidRDefault="003A02EC" w:rsidP="003A02EC">
            <w:pPr>
              <w:pStyle w:val="P68B1DB1-Normal12"/>
              <w:spacing w:after="0" w:line="240" w:lineRule="auto"/>
              <w:jc w:val="center"/>
              <w:rPr>
                <w:rFonts w:eastAsia="Times New Roman" w:cstheme="minorHAnsi"/>
                <w:noProof/>
              </w:rPr>
            </w:pPr>
            <w:r>
              <w:rPr>
                <w:noProof/>
              </w:rPr>
              <w:t>Re-C05-i07-RAM</w:t>
            </w:r>
          </w:p>
        </w:tc>
        <w:tc>
          <w:tcPr>
            <w:tcW w:w="976" w:type="dxa"/>
            <w:shd w:val="clear" w:color="auto" w:fill="C4EFCE"/>
            <w:vAlign w:val="center"/>
          </w:tcPr>
          <w:p w14:paraId="1DD25CAD" w14:textId="1026C3D1" w:rsidR="003A02EC" w:rsidRDefault="003A02EC" w:rsidP="003A02EC">
            <w:pPr>
              <w:pStyle w:val="P68B1DB1-Normal12"/>
              <w:spacing w:after="0" w:line="240" w:lineRule="auto"/>
              <w:jc w:val="center"/>
              <w:rPr>
                <w:rFonts w:eastAsia="Times New Roman" w:cstheme="minorHAnsi"/>
                <w:noProof/>
              </w:rPr>
            </w:pPr>
            <w:r>
              <w:rPr>
                <w:noProof/>
              </w:rPr>
              <w:t>T</w:t>
            </w:r>
          </w:p>
        </w:tc>
        <w:tc>
          <w:tcPr>
            <w:tcW w:w="1668" w:type="dxa"/>
            <w:shd w:val="clear" w:color="auto" w:fill="C4EFCE"/>
            <w:vAlign w:val="center"/>
          </w:tcPr>
          <w:p w14:paraId="2A3A2C05" w14:textId="671BE97B" w:rsidR="003A02EC" w:rsidRDefault="003A02EC" w:rsidP="003A02EC">
            <w:pPr>
              <w:pStyle w:val="P68B1DB1-Normal12"/>
              <w:spacing w:after="0" w:line="240" w:lineRule="auto"/>
              <w:jc w:val="center"/>
              <w:rPr>
                <w:rFonts w:eastAsia="Times New Roman" w:cstheme="minorHAnsi"/>
                <w:noProof/>
              </w:rPr>
            </w:pPr>
            <w:r>
              <w:rPr>
                <w:noProof/>
              </w:rPr>
              <w:t>Regionális vállalkozások projektjeit támogató hitelgaranciák.</w:t>
            </w:r>
          </w:p>
        </w:tc>
        <w:tc>
          <w:tcPr>
            <w:tcW w:w="2029" w:type="dxa"/>
            <w:shd w:val="clear" w:color="auto" w:fill="C4EFCE"/>
            <w:vAlign w:val="center"/>
          </w:tcPr>
          <w:p w14:paraId="14B7871F" w14:textId="4EB3B0C4" w:rsidR="003A02EC" w:rsidRDefault="003A02EC" w:rsidP="003A02EC">
            <w:pPr>
              <w:pStyle w:val="P68B1DB1-Normal12"/>
              <w:spacing w:after="0" w:line="240" w:lineRule="auto"/>
              <w:jc w:val="center"/>
              <w:rPr>
                <w:rFonts w:eastAsia="Times New Roman" w:cstheme="minorHAnsi"/>
                <w:noProof/>
              </w:rPr>
            </w:pPr>
            <w:r>
              <w:rPr>
                <w:noProof/>
              </w:rPr>
              <w:t>–</w:t>
            </w:r>
          </w:p>
        </w:tc>
        <w:tc>
          <w:tcPr>
            <w:tcW w:w="982" w:type="dxa"/>
            <w:shd w:val="clear" w:color="auto" w:fill="C4EFCE"/>
            <w:vAlign w:val="center"/>
          </w:tcPr>
          <w:p w14:paraId="5FC778CA" w14:textId="5E913ACC" w:rsidR="003A02EC" w:rsidRDefault="003A02EC" w:rsidP="003A02EC">
            <w:pPr>
              <w:pStyle w:val="P68B1DB1-Normal12"/>
              <w:spacing w:after="0" w:line="240" w:lineRule="auto"/>
              <w:jc w:val="center"/>
              <w:rPr>
                <w:rFonts w:eastAsia="Times New Roman" w:cstheme="minorHAnsi"/>
                <w:noProof/>
              </w:rPr>
            </w:pPr>
            <w:r>
              <w:rPr>
                <w:noProof/>
              </w:rPr>
              <w:t>EUR</w:t>
            </w:r>
          </w:p>
        </w:tc>
        <w:tc>
          <w:tcPr>
            <w:tcW w:w="982" w:type="dxa"/>
            <w:shd w:val="clear" w:color="auto" w:fill="C4EFCE"/>
            <w:vAlign w:val="center"/>
          </w:tcPr>
          <w:p w14:paraId="0271D6FF" w14:textId="04899E06" w:rsidR="003A02EC" w:rsidRDefault="003A02EC" w:rsidP="003A02EC">
            <w:pPr>
              <w:pStyle w:val="P68B1DB1-Normal12"/>
              <w:spacing w:after="0" w:line="240" w:lineRule="auto"/>
              <w:jc w:val="center"/>
              <w:rPr>
                <w:rFonts w:eastAsia="Times New Roman" w:cstheme="minorHAnsi"/>
                <w:noProof/>
              </w:rPr>
            </w:pPr>
            <w:r>
              <w:rPr>
                <w:noProof/>
              </w:rPr>
              <w:t>0</w:t>
            </w:r>
          </w:p>
        </w:tc>
        <w:tc>
          <w:tcPr>
            <w:tcW w:w="626" w:type="dxa"/>
            <w:shd w:val="clear" w:color="auto" w:fill="C4EFCE"/>
            <w:vAlign w:val="center"/>
          </w:tcPr>
          <w:p w14:paraId="6451A08B" w14:textId="2E7FED99" w:rsidR="003A02EC" w:rsidRDefault="003A02EC" w:rsidP="003A02EC">
            <w:pPr>
              <w:pStyle w:val="P68B1DB1-Normal12"/>
              <w:spacing w:after="0" w:line="240" w:lineRule="auto"/>
              <w:jc w:val="center"/>
              <w:rPr>
                <w:rFonts w:eastAsia="Times New Roman" w:cstheme="minorHAnsi"/>
                <w:noProof/>
              </w:rPr>
            </w:pPr>
            <w:r>
              <w:rPr>
                <w:noProof/>
              </w:rPr>
              <w:t>15 900 000</w:t>
            </w:r>
          </w:p>
        </w:tc>
        <w:tc>
          <w:tcPr>
            <w:tcW w:w="514" w:type="dxa"/>
            <w:shd w:val="clear" w:color="auto" w:fill="C4EFCE"/>
            <w:vAlign w:val="center"/>
          </w:tcPr>
          <w:p w14:paraId="2A88DF46" w14:textId="1A869912" w:rsidR="003A02EC" w:rsidRDefault="003A02EC" w:rsidP="003A02EC">
            <w:pPr>
              <w:pStyle w:val="P68B1DB1-Normal12"/>
              <w:spacing w:after="0" w:line="240" w:lineRule="auto"/>
              <w:jc w:val="center"/>
              <w:rPr>
                <w:rFonts w:eastAsia="Times New Roman" w:cstheme="minorHAnsi"/>
                <w:noProof/>
              </w:rPr>
            </w:pPr>
            <w:r>
              <w:rPr>
                <w:noProof/>
              </w:rPr>
              <w:t>4. NEGYEDÉV</w:t>
            </w:r>
          </w:p>
        </w:tc>
        <w:tc>
          <w:tcPr>
            <w:tcW w:w="747" w:type="dxa"/>
            <w:shd w:val="clear" w:color="auto" w:fill="C4EFCE"/>
            <w:vAlign w:val="center"/>
          </w:tcPr>
          <w:p w14:paraId="5FEA44B0" w14:textId="0E21A022" w:rsidR="003A02EC" w:rsidRDefault="003A02EC" w:rsidP="003A02EC">
            <w:pPr>
              <w:pStyle w:val="P68B1DB1-Normal12"/>
              <w:spacing w:after="0" w:line="240" w:lineRule="auto"/>
              <w:jc w:val="center"/>
              <w:rPr>
                <w:rFonts w:eastAsia="Times New Roman" w:cstheme="minorHAnsi"/>
                <w:noProof/>
              </w:rPr>
            </w:pPr>
            <w:r>
              <w:rPr>
                <w:noProof/>
              </w:rPr>
              <w:t>2025</w:t>
            </w:r>
          </w:p>
        </w:tc>
        <w:tc>
          <w:tcPr>
            <w:tcW w:w="3919" w:type="dxa"/>
            <w:shd w:val="clear" w:color="auto" w:fill="C4EFCE"/>
          </w:tcPr>
          <w:p w14:paraId="3959FFFC" w14:textId="44A649C9" w:rsidR="003A02EC" w:rsidRDefault="003A02EC" w:rsidP="003A02EC">
            <w:pPr>
              <w:pStyle w:val="P68B1DB1-Normal12"/>
              <w:spacing w:after="0" w:line="240" w:lineRule="auto"/>
              <w:jc w:val="both"/>
              <w:rPr>
                <w:rFonts w:eastAsia="Times New Roman" w:cstheme="minorHAnsi"/>
                <w:noProof/>
              </w:rPr>
            </w:pPr>
            <w:r>
              <w:rPr>
                <w:noProof/>
              </w:rPr>
              <w:t xml:space="preserve">Garanciák nyújtása 15 900 000 EUR összegű hitelre, valamint a kölcsönök kamatköltségeinek támogatása a nemzeti kölcsönös garanciarendszer keretében, legalább 10 regionális projektet támogatva. </w:t>
            </w:r>
          </w:p>
        </w:tc>
      </w:tr>
      <w:tr w:rsidR="003A02EC" w14:paraId="2C5CFDE1" w14:textId="77777777">
        <w:trPr>
          <w:trHeight w:val="67"/>
        </w:trPr>
        <w:tc>
          <w:tcPr>
            <w:tcW w:w="1134" w:type="dxa"/>
            <w:shd w:val="clear" w:color="auto" w:fill="C4EFCE"/>
            <w:vAlign w:val="center"/>
          </w:tcPr>
          <w:p w14:paraId="0773CFB1" w14:textId="6033DE37" w:rsidR="003A02EC" w:rsidRDefault="003A02EC" w:rsidP="003A02EC">
            <w:pPr>
              <w:pStyle w:val="P68B1DB1-Normal11"/>
              <w:spacing w:after="0" w:line="240" w:lineRule="auto"/>
              <w:jc w:val="center"/>
              <w:rPr>
                <w:rFonts w:cstheme="minorHAnsi"/>
                <w:noProof/>
              </w:rPr>
            </w:pPr>
            <w:r>
              <w:rPr>
                <w:noProof/>
              </w:rPr>
              <w:t>5.35</w:t>
            </w:r>
          </w:p>
        </w:tc>
        <w:tc>
          <w:tcPr>
            <w:tcW w:w="1165" w:type="dxa"/>
            <w:shd w:val="clear" w:color="auto" w:fill="C4EFCE"/>
            <w:vAlign w:val="center"/>
          </w:tcPr>
          <w:p w14:paraId="00F378C5" w14:textId="26E033C1" w:rsidR="003A02EC" w:rsidRDefault="003A02EC" w:rsidP="003A02EC">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176CCB47" w14:textId="022E3FC5" w:rsidR="003A02EC" w:rsidRDefault="003A02EC" w:rsidP="003A02EC">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3BF0EA1" w14:textId="55368CAA" w:rsidR="003A02EC" w:rsidRDefault="003A02EC" w:rsidP="003A02EC">
            <w:pPr>
              <w:pStyle w:val="P68B1DB1-Normal12"/>
              <w:spacing w:after="0" w:line="240" w:lineRule="auto"/>
              <w:jc w:val="center"/>
              <w:rPr>
                <w:noProof/>
              </w:rPr>
            </w:pPr>
            <w:r>
              <w:rPr>
                <w:noProof/>
              </w:rPr>
              <w:t>A „Science XXI campus” és a „Science Desk” befejezése, valamint szolgáltatások nyújtása a Nemzeti Nyílt Tudomány és Nyílt Kutatási Adatprogram (PNCADAI) keretében</w:t>
            </w:r>
          </w:p>
        </w:tc>
        <w:tc>
          <w:tcPr>
            <w:tcW w:w="2029" w:type="dxa"/>
            <w:shd w:val="clear" w:color="auto" w:fill="C4EFCE"/>
            <w:vAlign w:val="center"/>
          </w:tcPr>
          <w:p w14:paraId="13A0FF6F" w14:textId="77777777" w:rsidR="003A02EC" w:rsidRDefault="003A02EC" w:rsidP="003A02EC">
            <w:pPr>
              <w:spacing w:after="0" w:line="240" w:lineRule="auto"/>
              <w:jc w:val="center"/>
              <w:rPr>
                <w:rFonts w:cstheme="minorHAnsi"/>
                <w:noProof/>
                <w:sz w:val="16"/>
              </w:rPr>
            </w:pPr>
          </w:p>
        </w:tc>
        <w:tc>
          <w:tcPr>
            <w:tcW w:w="982" w:type="dxa"/>
            <w:shd w:val="clear" w:color="auto" w:fill="C4EFCE"/>
            <w:vAlign w:val="center"/>
          </w:tcPr>
          <w:p w14:paraId="22740551" w14:textId="1CB75FCC" w:rsidR="003A02EC" w:rsidRDefault="003A02EC" w:rsidP="003A02EC">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7FCAC8C" w14:textId="6C811F49" w:rsidR="003A02EC" w:rsidRDefault="003A02EC" w:rsidP="003A02EC">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13745293" w14:textId="3C59DC12" w:rsidR="003A02EC" w:rsidRDefault="003A02EC" w:rsidP="003A02EC">
            <w:pPr>
              <w:pStyle w:val="P68B1DB1-Normal12"/>
              <w:spacing w:after="0" w:line="240" w:lineRule="auto"/>
              <w:jc w:val="center"/>
              <w:rPr>
                <w:noProof/>
                <w:highlight w:val="cyan"/>
              </w:rPr>
            </w:pPr>
            <w:r>
              <w:rPr>
                <w:noProof/>
              </w:rPr>
              <w:t>9</w:t>
            </w:r>
          </w:p>
        </w:tc>
        <w:tc>
          <w:tcPr>
            <w:tcW w:w="514" w:type="dxa"/>
            <w:shd w:val="clear" w:color="auto" w:fill="C4EFCE"/>
            <w:vAlign w:val="center"/>
          </w:tcPr>
          <w:p w14:paraId="70909177" w14:textId="1239874E"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752967AE" w14:textId="0BF8F3C5" w:rsidR="003A02EC" w:rsidRDefault="003A02EC" w:rsidP="003A02EC">
            <w:pPr>
              <w:pStyle w:val="P68B1DB1-Normal12"/>
              <w:spacing w:after="0" w:line="240" w:lineRule="auto"/>
              <w:jc w:val="center"/>
              <w:rPr>
                <w:rFonts w:cstheme="minorHAnsi"/>
                <w:noProof/>
              </w:rPr>
            </w:pPr>
            <w:r>
              <w:rPr>
                <w:noProof/>
              </w:rPr>
              <w:t>2025 </w:t>
            </w:r>
          </w:p>
        </w:tc>
        <w:tc>
          <w:tcPr>
            <w:tcW w:w="3919" w:type="dxa"/>
            <w:shd w:val="clear" w:color="auto" w:fill="C4EFCE"/>
            <w:vAlign w:val="center"/>
          </w:tcPr>
          <w:p w14:paraId="74F80FFD" w14:textId="63AC4EAE" w:rsidR="003A02EC" w:rsidRDefault="003A02EC" w:rsidP="003A02EC">
            <w:pPr>
              <w:pStyle w:val="P68B1DB1-Normal12"/>
              <w:spacing w:after="0" w:line="240" w:lineRule="auto"/>
              <w:jc w:val="both"/>
              <w:rPr>
                <w:noProof/>
              </w:rPr>
            </w:pPr>
            <w:r>
              <w:rPr>
                <w:noProof/>
              </w:rPr>
              <w:t xml:space="preserve">A két digitális és fizikai tudományos és technológiai szolgáltatás befejezése: „Campus Science XXI” és „Science Desk”. </w:t>
            </w:r>
          </w:p>
          <w:p w14:paraId="00F0CA38" w14:textId="04A5C66F" w:rsidR="003A02EC" w:rsidRDefault="003A02EC" w:rsidP="003A02EC">
            <w:pPr>
              <w:spacing w:after="0" w:line="240" w:lineRule="auto"/>
              <w:jc w:val="both"/>
              <w:rPr>
                <w:noProof/>
                <w:sz w:val="16"/>
              </w:rPr>
            </w:pPr>
          </w:p>
          <w:p w14:paraId="507B7C51" w14:textId="320143D7" w:rsidR="003A02EC" w:rsidRDefault="003A02EC" w:rsidP="003A02EC">
            <w:pPr>
              <w:pStyle w:val="P68B1DB1-Normal12"/>
              <w:spacing w:after="0" w:line="240" w:lineRule="auto"/>
              <w:jc w:val="both"/>
              <w:rPr>
                <w:noProof/>
              </w:rPr>
            </w:pPr>
            <w:r>
              <w:rPr>
                <w:noProof/>
              </w:rPr>
              <w:t>Hét online elektronikus szolgáltatás nyújtása a Nemzeti Nyílt Tudomány és Nyílt Kutatási Adatprogram (PNCADAI) keretében. A programnak tartalmaznia kell egy adatközponti infrastruktúrát, valamint egy adatkezelési szolgáltatást.</w:t>
            </w:r>
          </w:p>
        </w:tc>
      </w:tr>
      <w:tr w:rsidR="00DC5EC6" w14:paraId="7FB7AC29" w14:textId="77777777">
        <w:trPr>
          <w:trHeight w:val="67"/>
        </w:trPr>
        <w:tc>
          <w:tcPr>
            <w:tcW w:w="1134" w:type="dxa"/>
            <w:shd w:val="clear" w:color="auto" w:fill="C4EFCE"/>
            <w:vAlign w:val="center"/>
          </w:tcPr>
          <w:p w14:paraId="4B3A8873" w14:textId="179ED554" w:rsidR="00DC5EC6" w:rsidRDefault="003245A4">
            <w:pPr>
              <w:pStyle w:val="P68B1DB1-Normal11"/>
              <w:spacing w:after="0" w:line="240" w:lineRule="auto"/>
              <w:jc w:val="center"/>
              <w:rPr>
                <w:rFonts w:cstheme="minorHAnsi"/>
                <w:noProof/>
              </w:rPr>
            </w:pPr>
            <w:r>
              <w:rPr>
                <w:noProof/>
              </w:rPr>
              <w:t>5.36</w:t>
            </w:r>
          </w:p>
        </w:tc>
        <w:tc>
          <w:tcPr>
            <w:tcW w:w="1165" w:type="dxa"/>
            <w:shd w:val="clear" w:color="auto" w:fill="C4EFCE"/>
            <w:vAlign w:val="center"/>
          </w:tcPr>
          <w:p w14:paraId="1F9177C6" w14:textId="5AA691B4" w:rsidR="00DC5EC6" w:rsidRDefault="003245A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2AACB229" w14:textId="43308D7E" w:rsidR="00DC5EC6" w:rsidRDefault="003245A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3E3B9075" w14:textId="3A696E59" w:rsidR="00DC5EC6" w:rsidRDefault="003245A4">
            <w:pPr>
              <w:pStyle w:val="P68B1DB1-Normal12"/>
              <w:spacing w:after="0" w:line="240" w:lineRule="auto"/>
              <w:jc w:val="center"/>
              <w:rPr>
                <w:noProof/>
              </w:rPr>
            </w:pPr>
            <w:r>
              <w:rPr>
                <w:noProof/>
              </w:rPr>
              <w:t>A közigazgatási K+F program projektjeinek lezárása, valamint a tömeges online kurzusok nemzeti platformjának (NAU) új kurzusai</w:t>
            </w:r>
          </w:p>
        </w:tc>
        <w:tc>
          <w:tcPr>
            <w:tcW w:w="2029" w:type="dxa"/>
            <w:shd w:val="clear" w:color="auto" w:fill="C4EFCE"/>
            <w:vAlign w:val="center"/>
          </w:tcPr>
          <w:p w14:paraId="0E21AFE0" w14:textId="774900D8" w:rsidR="00DC5EC6" w:rsidRDefault="003245A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3D64CFE9" w14:textId="46B248A4" w:rsidR="00DC5EC6" w:rsidRDefault="003245A4">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F88E593" w14:textId="4099A441" w:rsidR="00DC5EC6" w:rsidRDefault="003245A4">
            <w:pPr>
              <w:pStyle w:val="P68B1DB1-Normal12"/>
              <w:spacing w:after="0" w:line="240" w:lineRule="auto"/>
              <w:jc w:val="center"/>
              <w:rPr>
                <w:rFonts w:cstheme="minorHAnsi"/>
                <w:noProof/>
              </w:rPr>
            </w:pPr>
            <w:r>
              <w:rPr>
                <w:noProof/>
              </w:rPr>
              <w:t>0</w:t>
            </w:r>
          </w:p>
        </w:tc>
        <w:tc>
          <w:tcPr>
            <w:tcW w:w="626" w:type="dxa"/>
            <w:shd w:val="clear" w:color="auto" w:fill="C4EFCE"/>
            <w:vAlign w:val="center"/>
          </w:tcPr>
          <w:p w14:paraId="21DC20A1" w14:textId="13A50267" w:rsidR="00DC5EC6" w:rsidRDefault="003245A4">
            <w:pPr>
              <w:pStyle w:val="P68B1DB1-Normal12"/>
              <w:spacing w:after="0" w:line="240" w:lineRule="auto"/>
              <w:jc w:val="center"/>
              <w:rPr>
                <w:noProof/>
                <w:highlight w:val="cyan"/>
              </w:rPr>
            </w:pPr>
            <w:r>
              <w:rPr>
                <w:noProof/>
              </w:rPr>
              <w:t>144</w:t>
            </w:r>
          </w:p>
        </w:tc>
        <w:tc>
          <w:tcPr>
            <w:tcW w:w="514" w:type="dxa"/>
            <w:shd w:val="clear" w:color="auto" w:fill="C4EFCE"/>
            <w:vAlign w:val="center"/>
          </w:tcPr>
          <w:p w14:paraId="14DC8D5E" w14:textId="754C8D0C" w:rsidR="00DC5EC6" w:rsidRDefault="003A02EC">
            <w:pPr>
              <w:pStyle w:val="P68B1DB1-Normal12"/>
              <w:spacing w:after="0" w:line="240" w:lineRule="auto"/>
              <w:jc w:val="center"/>
              <w:rPr>
                <w:rFonts w:cstheme="minorHAnsi"/>
                <w:noProof/>
              </w:rPr>
            </w:pPr>
            <w:r>
              <w:rPr>
                <w:noProof/>
              </w:rPr>
              <w:t>1.NEGYEDÉV</w:t>
            </w:r>
          </w:p>
        </w:tc>
        <w:tc>
          <w:tcPr>
            <w:tcW w:w="747" w:type="dxa"/>
            <w:shd w:val="clear" w:color="auto" w:fill="C4EFCE"/>
            <w:vAlign w:val="center"/>
          </w:tcPr>
          <w:p w14:paraId="6C28108F" w14:textId="341BEB1E" w:rsidR="00DC5EC6" w:rsidRDefault="003245A4">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3741DF14" w14:textId="79BB2D5C" w:rsidR="00DC5EC6" w:rsidRDefault="003245A4">
            <w:pPr>
              <w:pStyle w:val="P68B1DB1-Normal12"/>
              <w:spacing w:after="0" w:line="240" w:lineRule="auto"/>
              <w:jc w:val="both"/>
              <w:rPr>
                <w:noProof/>
              </w:rPr>
            </w:pPr>
            <w:r>
              <w:rPr>
                <w:noProof/>
              </w:rPr>
              <w:t xml:space="preserve">A közigazgatásban a K+F program részeként finanszírozott 94 projekt lezárása (többek között a mesterséges intelligencia, a kiberbiztonság és az adattudomány területén). </w:t>
            </w:r>
          </w:p>
          <w:p w14:paraId="222B1DF4" w14:textId="507AAE05" w:rsidR="00DC5EC6" w:rsidRDefault="00DC5EC6">
            <w:pPr>
              <w:spacing w:after="0" w:line="240" w:lineRule="auto"/>
              <w:jc w:val="both"/>
              <w:rPr>
                <w:noProof/>
                <w:sz w:val="16"/>
              </w:rPr>
            </w:pPr>
          </w:p>
          <w:p w14:paraId="58102DBE" w14:textId="173B1D60" w:rsidR="00DC5EC6" w:rsidRDefault="003245A4">
            <w:pPr>
              <w:pStyle w:val="P68B1DB1-Normal12"/>
              <w:spacing w:after="0" w:line="240" w:lineRule="auto"/>
              <w:jc w:val="both"/>
              <w:rPr>
                <w:noProof/>
              </w:rPr>
            </w:pPr>
            <w:r>
              <w:rPr>
                <w:noProof/>
              </w:rPr>
              <w:t>50 új tanfolyamot kínálnak a tömeges online tanfolyamok nemzeti platformján (NAU) keresztül, amelyek az újonnan kifejlesztett technológiai infrastruktúra előnyeit élvezik.</w:t>
            </w:r>
          </w:p>
        </w:tc>
      </w:tr>
      <w:tr w:rsidR="003A02EC" w14:paraId="3CFFEAB5" w14:textId="77777777">
        <w:trPr>
          <w:trHeight w:val="67"/>
        </w:trPr>
        <w:tc>
          <w:tcPr>
            <w:tcW w:w="1134" w:type="dxa"/>
            <w:shd w:val="clear" w:color="auto" w:fill="C4EFCE"/>
            <w:vAlign w:val="center"/>
          </w:tcPr>
          <w:p w14:paraId="02998C93" w14:textId="7BC372D7" w:rsidR="003A02EC" w:rsidRDefault="003A02EC" w:rsidP="003A02EC">
            <w:pPr>
              <w:pStyle w:val="P68B1DB1-Normal11"/>
              <w:spacing w:after="0" w:line="240" w:lineRule="auto"/>
              <w:jc w:val="center"/>
              <w:rPr>
                <w:rFonts w:cstheme="minorHAnsi"/>
                <w:noProof/>
              </w:rPr>
            </w:pPr>
            <w:r>
              <w:rPr>
                <w:noProof/>
              </w:rPr>
              <w:t>5.37</w:t>
            </w:r>
          </w:p>
        </w:tc>
        <w:tc>
          <w:tcPr>
            <w:tcW w:w="1165" w:type="dxa"/>
            <w:shd w:val="clear" w:color="auto" w:fill="C4EFCE"/>
            <w:vAlign w:val="center"/>
          </w:tcPr>
          <w:p w14:paraId="57B2A843" w14:textId="724532F4" w:rsidR="003A02EC" w:rsidRDefault="003A02EC" w:rsidP="003A02EC">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BEDE968" w14:textId="63C0C0AF" w:rsidR="003A02EC" w:rsidRDefault="003A02EC" w:rsidP="003A02EC">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71202E2B" w14:textId="74ACF820" w:rsidR="003A02EC" w:rsidRDefault="003A02EC" w:rsidP="003A02EC">
            <w:pPr>
              <w:pStyle w:val="P68B1DB1-Normal12"/>
              <w:spacing w:after="0" w:line="240" w:lineRule="auto"/>
              <w:jc w:val="center"/>
              <w:rPr>
                <w:rFonts w:cstheme="minorHAnsi"/>
                <w:noProof/>
              </w:rPr>
            </w:pPr>
            <w:r>
              <w:rPr>
                <w:noProof/>
              </w:rPr>
              <w:t>A fejlett számítástechnika nemzeti központjának (CNCA) létrehozása.</w:t>
            </w:r>
          </w:p>
        </w:tc>
        <w:tc>
          <w:tcPr>
            <w:tcW w:w="2029" w:type="dxa"/>
            <w:shd w:val="clear" w:color="auto" w:fill="C4EFCE"/>
            <w:vAlign w:val="center"/>
          </w:tcPr>
          <w:p w14:paraId="7A981D55" w14:textId="2AB7DBD0" w:rsidR="003A02EC" w:rsidRDefault="003A02EC" w:rsidP="003A02EC">
            <w:pPr>
              <w:pStyle w:val="P68B1DB1-Normal12"/>
              <w:spacing w:after="0" w:line="240" w:lineRule="auto"/>
              <w:jc w:val="center"/>
              <w:rPr>
                <w:rFonts w:cstheme="minorHAnsi"/>
                <w:noProof/>
              </w:rPr>
            </w:pPr>
            <w:r>
              <w:rPr>
                <w:noProof/>
              </w:rPr>
              <w:t>A fejlett számítástechnika nemzeti központjának létrehozása</w:t>
            </w:r>
          </w:p>
        </w:tc>
        <w:tc>
          <w:tcPr>
            <w:tcW w:w="982" w:type="dxa"/>
            <w:shd w:val="clear" w:color="auto" w:fill="C4EFCE"/>
            <w:vAlign w:val="center"/>
          </w:tcPr>
          <w:p w14:paraId="38AA2D81" w14:textId="77777777" w:rsidR="003A02EC" w:rsidRDefault="003A02EC" w:rsidP="003A02EC">
            <w:pPr>
              <w:spacing w:after="0" w:line="240" w:lineRule="auto"/>
              <w:jc w:val="center"/>
              <w:rPr>
                <w:rFonts w:cstheme="minorHAnsi"/>
                <w:noProof/>
                <w:sz w:val="16"/>
              </w:rPr>
            </w:pPr>
          </w:p>
        </w:tc>
        <w:tc>
          <w:tcPr>
            <w:tcW w:w="982" w:type="dxa"/>
            <w:shd w:val="clear" w:color="auto" w:fill="C4EFCE"/>
            <w:vAlign w:val="center"/>
          </w:tcPr>
          <w:p w14:paraId="73A08FCB" w14:textId="77777777" w:rsidR="003A02EC" w:rsidRDefault="003A02EC" w:rsidP="003A02EC">
            <w:pPr>
              <w:spacing w:after="0" w:line="240" w:lineRule="auto"/>
              <w:jc w:val="center"/>
              <w:rPr>
                <w:rFonts w:cstheme="minorHAnsi"/>
                <w:noProof/>
                <w:sz w:val="16"/>
              </w:rPr>
            </w:pPr>
          </w:p>
        </w:tc>
        <w:tc>
          <w:tcPr>
            <w:tcW w:w="626" w:type="dxa"/>
            <w:shd w:val="clear" w:color="auto" w:fill="C4EFCE"/>
            <w:vAlign w:val="center"/>
          </w:tcPr>
          <w:p w14:paraId="71B94818" w14:textId="77777777" w:rsidR="003A02EC" w:rsidRDefault="003A02EC" w:rsidP="003A02EC">
            <w:pPr>
              <w:spacing w:after="0" w:line="240" w:lineRule="auto"/>
              <w:jc w:val="center"/>
              <w:rPr>
                <w:rFonts w:cstheme="minorHAnsi"/>
                <w:noProof/>
                <w:sz w:val="16"/>
                <w:highlight w:val="cyan"/>
              </w:rPr>
            </w:pPr>
          </w:p>
        </w:tc>
        <w:tc>
          <w:tcPr>
            <w:tcW w:w="514" w:type="dxa"/>
            <w:shd w:val="clear" w:color="auto" w:fill="C4EFCE"/>
            <w:vAlign w:val="center"/>
          </w:tcPr>
          <w:p w14:paraId="6C0FA98B" w14:textId="4A3986B3"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2FE817D5" w14:textId="2B27B007" w:rsidR="003A02EC" w:rsidRDefault="003A02EC" w:rsidP="003A02EC">
            <w:pPr>
              <w:pStyle w:val="P68B1DB1-Normal12"/>
              <w:spacing w:after="0" w:line="240" w:lineRule="auto"/>
              <w:jc w:val="center"/>
              <w:rPr>
                <w:rFonts w:cstheme="minorHAnsi"/>
                <w:noProof/>
              </w:rPr>
            </w:pPr>
            <w:r>
              <w:rPr>
                <w:noProof/>
              </w:rPr>
              <w:t>2024 </w:t>
            </w:r>
          </w:p>
        </w:tc>
        <w:tc>
          <w:tcPr>
            <w:tcW w:w="3919" w:type="dxa"/>
            <w:shd w:val="clear" w:color="auto" w:fill="C4EFCE"/>
            <w:vAlign w:val="center"/>
          </w:tcPr>
          <w:p w14:paraId="75E7143A" w14:textId="7709FF39" w:rsidR="003A02EC" w:rsidRDefault="003A02EC" w:rsidP="003A02EC">
            <w:pPr>
              <w:pStyle w:val="P68B1DB1-Normal12"/>
              <w:spacing w:after="0" w:line="240" w:lineRule="auto"/>
              <w:jc w:val="both"/>
              <w:rPr>
                <w:rFonts w:cstheme="minorHAnsi"/>
                <w:noProof/>
              </w:rPr>
            </w:pPr>
            <w:r>
              <w:rPr>
                <w:noProof/>
              </w:rPr>
              <w:t>A fejlett számítástechnika nemzeti központjának létrehozása, amely egyetlen szervezetbe szervezi át a meglévő portugál számítástechnikai hálózatokat és központokat; két szuperszámítógép (Deucalion és Mare Nostrum 5) működésének támogatása.</w:t>
            </w:r>
          </w:p>
        </w:tc>
      </w:tr>
      <w:tr w:rsidR="00DC5EC6" w14:paraId="1168D75D" w14:textId="77777777">
        <w:trPr>
          <w:trHeight w:val="67"/>
        </w:trPr>
        <w:tc>
          <w:tcPr>
            <w:tcW w:w="1134" w:type="dxa"/>
            <w:shd w:val="clear" w:color="auto" w:fill="C4EFCE"/>
            <w:vAlign w:val="center"/>
          </w:tcPr>
          <w:p w14:paraId="6355B752" w14:textId="337B4A60" w:rsidR="00DC5EC6" w:rsidRDefault="003245A4">
            <w:pPr>
              <w:pStyle w:val="P68B1DB1-Normal11"/>
              <w:spacing w:after="0" w:line="240" w:lineRule="auto"/>
              <w:jc w:val="center"/>
              <w:rPr>
                <w:rFonts w:cstheme="minorHAnsi"/>
                <w:noProof/>
              </w:rPr>
            </w:pPr>
            <w:r>
              <w:rPr>
                <w:noProof/>
              </w:rPr>
              <w:t>5.38</w:t>
            </w:r>
          </w:p>
        </w:tc>
        <w:tc>
          <w:tcPr>
            <w:tcW w:w="1165" w:type="dxa"/>
            <w:shd w:val="clear" w:color="auto" w:fill="C4EFCE"/>
            <w:vAlign w:val="center"/>
          </w:tcPr>
          <w:p w14:paraId="6A66A585" w14:textId="1CB84C87" w:rsidR="00DC5EC6" w:rsidRDefault="003245A4">
            <w:pPr>
              <w:pStyle w:val="P68B1DB1-Normal12"/>
              <w:spacing w:after="0" w:line="240" w:lineRule="auto"/>
              <w:jc w:val="center"/>
              <w:rPr>
                <w:rFonts w:cstheme="minorHAnsi"/>
                <w:noProof/>
              </w:rPr>
            </w:pPr>
            <w:r>
              <w:rPr>
                <w:noProof/>
              </w:rPr>
              <w:t>Re-C05-i08</w:t>
            </w:r>
          </w:p>
        </w:tc>
        <w:tc>
          <w:tcPr>
            <w:tcW w:w="976" w:type="dxa"/>
            <w:shd w:val="clear" w:color="auto" w:fill="C4EFCE"/>
            <w:vAlign w:val="center"/>
          </w:tcPr>
          <w:p w14:paraId="7EE8CC42" w14:textId="655C9C80" w:rsidR="00DC5EC6" w:rsidRDefault="003245A4">
            <w:pPr>
              <w:pStyle w:val="P68B1DB1-Normal12"/>
              <w:spacing w:after="0" w:line="240" w:lineRule="auto"/>
              <w:jc w:val="center"/>
              <w:rPr>
                <w:rFonts w:cstheme="minorHAnsi"/>
                <w:noProof/>
              </w:rPr>
            </w:pPr>
            <w:r>
              <w:rPr>
                <w:noProof/>
              </w:rPr>
              <w:t>M</w:t>
            </w:r>
          </w:p>
        </w:tc>
        <w:tc>
          <w:tcPr>
            <w:tcW w:w="1668" w:type="dxa"/>
            <w:shd w:val="clear" w:color="auto" w:fill="C4EFCE"/>
            <w:vAlign w:val="center"/>
          </w:tcPr>
          <w:p w14:paraId="43F1043A" w14:textId="587CA9BE" w:rsidR="00DC5EC6" w:rsidRDefault="003245A4">
            <w:pPr>
              <w:pStyle w:val="P68B1DB1-Normal12"/>
              <w:spacing w:after="0" w:line="240" w:lineRule="auto"/>
              <w:jc w:val="center"/>
              <w:rPr>
                <w:rFonts w:cstheme="minorHAnsi"/>
                <w:noProof/>
              </w:rPr>
            </w:pPr>
            <w:r>
              <w:rPr>
                <w:noProof/>
              </w:rPr>
              <w:t>A nemzeti fejlett számítástechnikai központ támogató infrastruktúrájának és adatközpontjának befejezése</w:t>
            </w:r>
          </w:p>
        </w:tc>
        <w:tc>
          <w:tcPr>
            <w:tcW w:w="2029" w:type="dxa"/>
            <w:shd w:val="clear" w:color="auto" w:fill="C4EFCE"/>
            <w:vAlign w:val="center"/>
          </w:tcPr>
          <w:p w14:paraId="103BEF7A" w14:textId="505B7CAB" w:rsidR="00DC5EC6" w:rsidRDefault="003245A4">
            <w:pPr>
              <w:pStyle w:val="P68B1DB1-Normal12"/>
              <w:spacing w:after="0" w:line="240" w:lineRule="auto"/>
              <w:jc w:val="center"/>
              <w:rPr>
                <w:rFonts w:cstheme="minorHAnsi"/>
                <w:noProof/>
              </w:rPr>
            </w:pPr>
            <w:r>
              <w:rPr>
                <w:noProof/>
              </w:rPr>
              <w:t xml:space="preserve"> A nemzeti fejlett számítástechnikai központ támogató infrastruktúrájának és adatközpontjának befejezése</w:t>
            </w:r>
          </w:p>
        </w:tc>
        <w:tc>
          <w:tcPr>
            <w:tcW w:w="982" w:type="dxa"/>
            <w:shd w:val="clear" w:color="auto" w:fill="C4EFCE"/>
            <w:vAlign w:val="center"/>
          </w:tcPr>
          <w:p w14:paraId="665EDCF5" w14:textId="77777777" w:rsidR="00DC5EC6" w:rsidRDefault="00DC5EC6">
            <w:pPr>
              <w:spacing w:after="0" w:line="240" w:lineRule="auto"/>
              <w:jc w:val="center"/>
              <w:rPr>
                <w:rFonts w:cstheme="minorHAnsi"/>
                <w:noProof/>
                <w:sz w:val="16"/>
              </w:rPr>
            </w:pPr>
          </w:p>
        </w:tc>
        <w:tc>
          <w:tcPr>
            <w:tcW w:w="982" w:type="dxa"/>
            <w:shd w:val="clear" w:color="auto" w:fill="C4EFCE"/>
            <w:vAlign w:val="center"/>
          </w:tcPr>
          <w:p w14:paraId="604F8156" w14:textId="77777777" w:rsidR="00DC5EC6" w:rsidRDefault="00DC5EC6">
            <w:pPr>
              <w:spacing w:after="0" w:line="240" w:lineRule="auto"/>
              <w:jc w:val="center"/>
              <w:rPr>
                <w:rFonts w:cstheme="minorHAnsi"/>
                <w:noProof/>
                <w:sz w:val="16"/>
              </w:rPr>
            </w:pPr>
          </w:p>
        </w:tc>
        <w:tc>
          <w:tcPr>
            <w:tcW w:w="626" w:type="dxa"/>
            <w:shd w:val="clear" w:color="auto" w:fill="C4EFCE"/>
            <w:vAlign w:val="center"/>
          </w:tcPr>
          <w:p w14:paraId="6521B461" w14:textId="77777777" w:rsidR="00DC5EC6" w:rsidRDefault="00DC5EC6">
            <w:pPr>
              <w:spacing w:after="0" w:line="240" w:lineRule="auto"/>
              <w:jc w:val="center"/>
              <w:rPr>
                <w:rFonts w:cstheme="minorHAnsi"/>
                <w:noProof/>
                <w:sz w:val="16"/>
                <w:highlight w:val="cyan"/>
              </w:rPr>
            </w:pPr>
          </w:p>
        </w:tc>
        <w:tc>
          <w:tcPr>
            <w:tcW w:w="514" w:type="dxa"/>
            <w:shd w:val="clear" w:color="auto" w:fill="C4EFCE"/>
            <w:vAlign w:val="center"/>
          </w:tcPr>
          <w:p w14:paraId="5911DBE8" w14:textId="17570FE1" w:rsidR="00DC5EC6" w:rsidRDefault="003A02EC">
            <w:pPr>
              <w:pStyle w:val="P68B1DB1-Normal12"/>
              <w:spacing w:after="0" w:line="240" w:lineRule="auto"/>
              <w:jc w:val="center"/>
              <w:rPr>
                <w:rFonts w:cstheme="minorHAnsi"/>
                <w:noProof/>
              </w:rPr>
            </w:pPr>
            <w:r>
              <w:rPr>
                <w:noProof/>
              </w:rPr>
              <w:t>1.NEGYEDÉV</w:t>
            </w:r>
          </w:p>
        </w:tc>
        <w:tc>
          <w:tcPr>
            <w:tcW w:w="747" w:type="dxa"/>
            <w:shd w:val="clear" w:color="auto" w:fill="C4EFCE"/>
            <w:vAlign w:val="center"/>
          </w:tcPr>
          <w:p w14:paraId="1D2E37FD" w14:textId="5C75696B" w:rsidR="00DC5EC6" w:rsidRDefault="003245A4">
            <w:pPr>
              <w:pStyle w:val="P68B1DB1-Normal12"/>
              <w:spacing w:after="0" w:line="240" w:lineRule="auto"/>
              <w:jc w:val="center"/>
              <w:rPr>
                <w:rFonts w:cstheme="minorHAnsi"/>
                <w:noProof/>
              </w:rPr>
            </w:pPr>
            <w:r>
              <w:rPr>
                <w:noProof/>
              </w:rPr>
              <w:t>2026</w:t>
            </w:r>
          </w:p>
        </w:tc>
        <w:tc>
          <w:tcPr>
            <w:tcW w:w="3919" w:type="dxa"/>
            <w:shd w:val="clear" w:color="auto" w:fill="C4EFCE"/>
            <w:vAlign w:val="center"/>
          </w:tcPr>
          <w:p w14:paraId="11269D2F" w14:textId="53F8063F" w:rsidR="00DC5EC6" w:rsidRDefault="003245A4">
            <w:pPr>
              <w:pStyle w:val="P68B1DB1-Bodytext1013"/>
              <w:spacing w:line="256" w:lineRule="auto"/>
              <w:rPr>
                <w:rFonts w:cstheme="minorHAnsi"/>
                <w:noProof/>
              </w:rPr>
            </w:pPr>
            <w:r>
              <w:rPr>
                <w:noProof/>
              </w:rPr>
              <w:t>A nemzeti fejlett számítástechnikai központ támogató infrastruktúrájának és adatközpontjának befejezése </w:t>
            </w:r>
          </w:p>
        </w:tc>
      </w:tr>
      <w:tr w:rsidR="00DC5EC6" w14:paraId="3AE6E34A" w14:textId="77777777">
        <w:trPr>
          <w:trHeight w:val="67"/>
        </w:trPr>
        <w:tc>
          <w:tcPr>
            <w:tcW w:w="1134" w:type="dxa"/>
            <w:shd w:val="clear" w:color="auto" w:fill="C4EFCE"/>
            <w:vAlign w:val="center"/>
          </w:tcPr>
          <w:p w14:paraId="55867E7C" w14:textId="373DE81E" w:rsidR="00DC5EC6" w:rsidRDefault="003245A4">
            <w:pPr>
              <w:pStyle w:val="P68B1DB1-Normal11"/>
              <w:spacing w:after="0" w:line="240" w:lineRule="auto"/>
              <w:jc w:val="center"/>
              <w:rPr>
                <w:rFonts w:cstheme="minorHAnsi"/>
                <w:noProof/>
              </w:rPr>
            </w:pPr>
            <w:r>
              <w:rPr>
                <w:noProof/>
              </w:rPr>
              <w:t>5.39</w:t>
            </w:r>
          </w:p>
        </w:tc>
        <w:tc>
          <w:tcPr>
            <w:tcW w:w="1165" w:type="dxa"/>
            <w:shd w:val="clear" w:color="auto" w:fill="C4EFCE"/>
            <w:vAlign w:val="center"/>
          </w:tcPr>
          <w:p w14:paraId="23AF3018" w14:textId="0A8EDF3B" w:rsidR="00DC5EC6" w:rsidRDefault="003245A4">
            <w:pPr>
              <w:pStyle w:val="P68B1DB1-Normal12"/>
              <w:spacing w:after="0" w:line="240" w:lineRule="auto"/>
              <w:jc w:val="center"/>
              <w:rPr>
                <w:rFonts w:cstheme="minorHAnsi"/>
                <w:noProof/>
              </w:rPr>
            </w:pPr>
            <w:r>
              <w:rPr>
                <w:noProof/>
              </w:rPr>
              <w:t>Újra-C05-i09</w:t>
            </w:r>
          </w:p>
        </w:tc>
        <w:tc>
          <w:tcPr>
            <w:tcW w:w="976" w:type="dxa"/>
            <w:shd w:val="clear" w:color="auto" w:fill="C4EFCE"/>
            <w:vAlign w:val="center"/>
          </w:tcPr>
          <w:p w14:paraId="12D4C26B" w14:textId="71E2271E" w:rsidR="00DC5EC6" w:rsidRDefault="003245A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0733311B" w14:textId="4DAD6F17" w:rsidR="00DC5EC6" w:rsidRDefault="003245A4">
            <w:pPr>
              <w:pStyle w:val="P68B1DB1-Bodytext1013"/>
              <w:spacing w:line="256" w:lineRule="auto"/>
              <w:jc w:val="center"/>
              <w:rPr>
                <w:rFonts w:cstheme="minorHAnsi"/>
                <w:noProof/>
              </w:rPr>
            </w:pPr>
            <w:r>
              <w:rPr>
                <w:noProof/>
              </w:rPr>
              <w:t>Szerződések megkötése új termékek, eljárások vagy szolgáltatások kifejlesztésére a releváns stratégiai területeken (innovációs menetrendek).</w:t>
            </w:r>
          </w:p>
        </w:tc>
        <w:tc>
          <w:tcPr>
            <w:tcW w:w="2029" w:type="dxa"/>
            <w:shd w:val="clear" w:color="auto" w:fill="C4EFCE"/>
            <w:vAlign w:val="center"/>
          </w:tcPr>
          <w:p w14:paraId="51EF8F0E" w14:textId="406D3CE7" w:rsidR="00DC5EC6" w:rsidRDefault="00DC5EC6">
            <w:pPr>
              <w:spacing w:after="0" w:line="240" w:lineRule="auto"/>
              <w:jc w:val="center"/>
              <w:rPr>
                <w:rFonts w:cstheme="minorHAnsi"/>
                <w:noProof/>
                <w:sz w:val="16"/>
              </w:rPr>
            </w:pPr>
          </w:p>
        </w:tc>
        <w:tc>
          <w:tcPr>
            <w:tcW w:w="982" w:type="dxa"/>
            <w:shd w:val="clear" w:color="auto" w:fill="C4EFCE"/>
            <w:vAlign w:val="center"/>
          </w:tcPr>
          <w:p w14:paraId="6E4FF967" w14:textId="04C05558" w:rsidR="00DC5EC6" w:rsidRDefault="003245A4">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0D1FE526" w14:textId="0994B876" w:rsidR="00DC5EC6" w:rsidRDefault="003245A4">
            <w:pPr>
              <w:pStyle w:val="P68B1DB1-Normal12"/>
              <w:spacing w:after="0" w:line="240" w:lineRule="auto"/>
              <w:jc w:val="center"/>
              <w:rPr>
                <w:rFonts w:cstheme="minorHAnsi"/>
                <w:noProof/>
              </w:rPr>
            </w:pPr>
            <w:r>
              <w:rPr>
                <w:noProof/>
              </w:rPr>
              <w:t>6</w:t>
            </w:r>
          </w:p>
        </w:tc>
        <w:tc>
          <w:tcPr>
            <w:tcW w:w="626" w:type="dxa"/>
            <w:shd w:val="clear" w:color="auto" w:fill="C4EFCE"/>
            <w:vAlign w:val="center"/>
          </w:tcPr>
          <w:p w14:paraId="1BA698AE" w14:textId="4F2BA1A9" w:rsidR="00DC5EC6" w:rsidRDefault="003245A4">
            <w:pPr>
              <w:pStyle w:val="P68B1DB1-Normal12"/>
              <w:spacing w:after="0" w:line="240" w:lineRule="auto"/>
              <w:jc w:val="center"/>
              <w:rPr>
                <w:rFonts w:cstheme="minorHAnsi"/>
                <w:noProof/>
              </w:rPr>
            </w:pPr>
            <w:r>
              <w:rPr>
                <w:noProof/>
              </w:rPr>
              <w:t>12</w:t>
            </w:r>
          </w:p>
        </w:tc>
        <w:tc>
          <w:tcPr>
            <w:tcW w:w="514" w:type="dxa"/>
            <w:shd w:val="clear" w:color="auto" w:fill="C4EFCE"/>
            <w:vAlign w:val="center"/>
          </w:tcPr>
          <w:p w14:paraId="613C15B0" w14:textId="201EA5F0" w:rsidR="00DC5EC6" w:rsidRDefault="003A02EC">
            <w:pPr>
              <w:pStyle w:val="P68B1DB1-Normal12"/>
              <w:spacing w:after="0" w:line="240" w:lineRule="auto"/>
              <w:jc w:val="center"/>
              <w:rPr>
                <w:noProof/>
              </w:rPr>
            </w:pPr>
            <w:r>
              <w:rPr>
                <w:noProof/>
              </w:rPr>
              <w:t>2. NEGYEDÉV</w:t>
            </w:r>
          </w:p>
        </w:tc>
        <w:tc>
          <w:tcPr>
            <w:tcW w:w="747" w:type="dxa"/>
            <w:shd w:val="clear" w:color="auto" w:fill="C4EFCE"/>
            <w:vAlign w:val="center"/>
          </w:tcPr>
          <w:p w14:paraId="5918EFE8" w14:textId="585FC784" w:rsidR="00DC5EC6" w:rsidRDefault="003245A4">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6D75FE2C" w14:textId="033B317C" w:rsidR="00DC5EC6" w:rsidRDefault="003245A4">
            <w:pPr>
              <w:pStyle w:val="P68B1DB1-Bodytext1013"/>
              <w:spacing w:after="0" w:line="256" w:lineRule="auto"/>
              <w:rPr>
                <w:rFonts w:cstheme="minorHAnsi"/>
                <w:noProof/>
              </w:rPr>
            </w:pPr>
            <w:r>
              <w:rPr>
                <w:noProof/>
              </w:rPr>
              <w:t>Hat további szerződés (innovációs paktumok vagy mobilizációs projektek) megkötése konzorciumokkal, amelyek a következőket foglalják magukban:</w:t>
            </w:r>
          </w:p>
          <w:p w14:paraId="62A4DB6A" w14:textId="77777777" w:rsidR="00DC5EC6" w:rsidRDefault="003245A4">
            <w:pPr>
              <w:pStyle w:val="P68B1DB1-Bodytext1013"/>
              <w:spacing w:after="0" w:line="256" w:lineRule="auto"/>
              <w:rPr>
                <w:rFonts w:cstheme="minorHAnsi"/>
                <w:noProof/>
              </w:rPr>
            </w:pPr>
            <w:r>
              <w:rPr>
                <w:noProof/>
              </w:rPr>
              <w:t>• A konzorciumot alkotó jogalanyok azonosítása;</w:t>
            </w:r>
          </w:p>
          <w:p w14:paraId="69824E0B" w14:textId="77777777" w:rsidR="00DC5EC6" w:rsidRDefault="003245A4">
            <w:pPr>
              <w:pStyle w:val="P68B1DB1-Bodytext1013"/>
              <w:spacing w:after="0" w:line="256" w:lineRule="auto"/>
              <w:rPr>
                <w:rFonts w:cstheme="minorHAnsi"/>
                <w:noProof/>
              </w:rPr>
            </w:pPr>
            <w:r>
              <w:rPr>
                <w:noProof/>
              </w:rPr>
              <w:t>• Az üzleti terv/beruházás;</w:t>
            </w:r>
          </w:p>
          <w:p w14:paraId="46F8E259" w14:textId="77777777" w:rsidR="00DC5EC6" w:rsidRDefault="003245A4">
            <w:pPr>
              <w:pStyle w:val="P68B1DB1-Bodytext1013"/>
              <w:spacing w:after="0" w:line="256" w:lineRule="auto"/>
              <w:rPr>
                <w:rFonts w:cstheme="minorHAnsi"/>
                <w:noProof/>
              </w:rPr>
            </w:pPr>
            <w:r>
              <w:rPr>
                <w:noProof/>
              </w:rPr>
              <w:t>• A finanszírozás összege;</w:t>
            </w:r>
          </w:p>
          <w:p w14:paraId="55104ED1" w14:textId="77777777" w:rsidR="00DC5EC6" w:rsidRDefault="003245A4">
            <w:pPr>
              <w:pStyle w:val="P68B1DB1-Bodytext1013"/>
              <w:spacing w:after="0" w:line="256" w:lineRule="auto"/>
              <w:rPr>
                <w:rFonts w:cstheme="minorHAnsi"/>
                <w:noProof/>
              </w:rPr>
            </w:pPr>
            <w:r>
              <w:rPr>
                <w:noProof/>
              </w:rPr>
              <w:t>• A kedvezményezettre vonatkozó célkitűzések;</w:t>
            </w:r>
          </w:p>
          <w:p w14:paraId="6DAC83A3" w14:textId="77777777" w:rsidR="00DC5EC6" w:rsidRDefault="003245A4">
            <w:pPr>
              <w:pStyle w:val="P68B1DB1-Bodytext1013"/>
              <w:spacing w:after="0" w:line="256" w:lineRule="auto"/>
              <w:rPr>
                <w:rFonts w:cstheme="minorHAnsi"/>
                <w:noProof/>
              </w:rPr>
            </w:pPr>
            <w:r>
              <w:rPr>
                <w:noProof/>
              </w:rPr>
              <w:t xml:space="preserve">• A nyomon követés formája. </w:t>
            </w:r>
          </w:p>
          <w:p w14:paraId="5CFD5ACF" w14:textId="7A86A58C" w:rsidR="00DC5EC6" w:rsidRDefault="00DC5EC6">
            <w:pPr>
              <w:pStyle w:val="Bodytext10"/>
              <w:spacing w:after="0" w:line="256" w:lineRule="auto"/>
              <w:rPr>
                <w:rFonts w:asciiTheme="minorHAnsi" w:hAnsiTheme="minorHAnsi" w:cstheme="minorHAnsi"/>
                <w:noProof/>
                <w:sz w:val="16"/>
              </w:rPr>
            </w:pPr>
          </w:p>
          <w:p w14:paraId="0E42EAA5" w14:textId="7A444261" w:rsidR="00DC5EC6" w:rsidRDefault="003245A4">
            <w:pPr>
              <w:pStyle w:val="P68B1DB1-Bodytext1013"/>
              <w:spacing w:after="0" w:line="256" w:lineRule="auto"/>
              <w:rPr>
                <w:rFonts w:cstheme="minorHAnsi"/>
                <w:noProof/>
              </w:rPr>
            </w:pPr>
            <w:r>
              <w:rPr>
                <w:noProof/>
              </w:rPr>
              <w:t>A szerződéseknek összesen legalább 168 terméket, eljárást vagy szolgáltatást kell támogatniuk. A feladatmeghatározásnak olyan támogathatósági kritériumokat kell tartalmaznia, amelyek egy kizárási lista és a vonatkozó uniós és nemzeti környezetvédelmi jogszabályoknak való megfelelés követelménye révén biztosítják, hogy a kiválasztott projektek megfeleljenek a jelentős károkozás elkerülését célzó elvről szóló technikai iránymutatásnak (2021/C58/01).</w:t>
            </w:r>
          </w:p>
          <w:p w14:paraId="2CB8717F" w14:textId="38307B1B" w:rsidR="00DC5EC6" w:rsidRDefault="003245A4">
            <w:pPr>
              <w:pStyle w:val="P68B1DB1-Normal12"/>
              <w:spacing w:after="0" w:line="240" w:lineRule="auto"/>
              <w:jc w:val="both"/>
              <w:rPr>
                <w:rFonts w:cstheme="minorHAnsi"/>
                <w:noProof/>
              </w:rPr>
            </w:pPr>
            <w:r>
              <w:rPr>
                <w:noProof/>
              </w:rPr>
              <w:t>A szerződéseknek ki kell egészíteniük az RE-C05-i01.01 pontban végrehajtott szerződéseket.</w:t>
            </w:r>
          </w:p>
        </w:tc>
      </w:tr>
      <w:tr w:rsidR="003A02EC" w14:paraId="79996882" w14:textId="77777777">
        <w:trPr>
          <w:trHeight w:val="67"/>
        </w:trPr>
        <w:tc>
          <w:tcPr>
            <w:tcW w:w="1134" w:type="dxa"/>
            <w:shd w:val="clear" w:color="auto" w:fill="C4EFCE"/>
            <w:vAlign w:val="center"/>
          </w:tcPr>
          <w:p w14:paraId="1F809E62" w14:textId="68C8C255" w:rsidR="003A02EC" w:rsidRDefault="003A02EC" w:rsidP="003A02EC">
            <w:pPr>
              <w:pStyle w:val="P68B1DB1-Normal11"/>
              <w:spacing w:after="0" w:line="240" w:lineRule="auto"/>
              <w:jc w:val="center"/>
              <w:rPr>
                <w:rFonts w:cstheme="minorHAnsi"/>
                <w:noProof/>
              </w:rPr>
            </w:pPr>
            <w:r>
              <w:rPr>
                <w:noProof/>
              </w:rPr>
              <w:t>5.40</w:t>
            </w:r>
          </w:p>
        </w:tc>
        <w:tc>
          <w:tcPr>
            <w:tcW w:w="1165" w:type="dxa"/>
            <w:shd w:val="clear" w:color="auto" w:fill="C4EFCE"/>
            <w:vAlign w:val="center"/>
          </w:tcPr>
          <w:p w14:paraId="2448D13F" w14:textId="7FECC704" w:rsidR="003A02EC" w:rsidRDefault="003A02EC" w:rsidP="003A02EC">
            <w:pPr>
              <w:pStyle w:val="P68B1DB1-Normal12"/>
              <w:spacing w:after="0" w:line="240" w:lineRule="auto"/>
              <w:jc w:val="center"/>
              <w:rPr>
                <w:rFonts w:cstheme="minorHAnsi"/>
                <w:noProof/>
              </w:rPr>
            </w:pPr>
            <w:r>
              <w:rPr>
                <w:noProof/>
              </w:rPr>
              <w:t>Újra-C05-i09</w:t>
            </w:r>
          </w:p>
        </w:tc>
        <w:tc>
          <w:tcPr>
            <w:tcW w:w="976" w:type="dxa"/>
            <w:shd w:val="clear" w:color="auto" w:fill="C4EFCE"/>
            <w:vAlign w:val="center"/>
          </w:tcPr>
          <w:p w14:paraId="189027D8" w14:textId="2A50F1CB" w:rsidR="003A02EC" w:rsidRDefault="003A02EC" w:rsidP="003A02EC">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6D5547A8" w14:textId="2F88C75C" w:rsidR="003A02EC" w:rsidRDefault="003A02EC" w:rsidP="003A02EC">
            <w:pPr>
              <w:pStyle w:val="P68B1DB1-Normal12"/>
              <w:spacing w:after="0" w:line="240" w:lineRule="auto"/>
              <w:jc w:val="center"/>
              <w:rPr>
                <w:rFonts w:cstheme="minorHAnsi"/>
                <w:noProof/>
              </w:rPr>
            </w:pPr>
            <w:r>
              <w:rPr>
                <w:noProof/>
              </w:rPr>
              <w:t xml:space="preserve">168 termék, eljárás vagy szolgáltatás befejezése.  </w:t>
            </w:r>
          </w:p>
        </w:tc>
        <w:tc>
          <w:tcPr>
            <w:tcW w:w="2029" w:type="dxa"/>
            <w:shd w:val="clear" w:color="auto" w:fill="C4EFCE"/>
            <w:vAlign w:val="center"/>
          </w:tcPr>
          <w:p w14:paraId="7BAAEF17" w14:textId="54FC47FA" w:rsidR="003A02EC" w:rsidRDefault="003A02EC" w:rsidP="003A02EC">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67A33752" w14:textId="6D621BE2" w:rsidR="003A02EC" w:rsidRDefault="003A02EC" w:rsidP="003A02EC">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7B8E2944" w14:textId="7F3E3842" w:rsidR="003A02EC" w:rsidRDefault="003A02EC" w:rsidP="003A02EC">
            <w:pPr>
              <w:pStyle w:val="P68B1DB1-Normal12"/>
              <w:spacing w:after="0" w:line="240" w:lineRule="auto"/>
              <w:jc w:val="center"/>
              <w:rPr>
                <w:rFonts w:cstheme="minorHAnsi"/>
                <w:noProof/>
              </w:rPr>
            </w:pPr>
            <w:r>
              <w:rPr>
                <w:noProof/>
              </w:rPr>
              <w:t>60</w:t>
            </w:r>
          </w:p>
        </w:tc>
        <w:tc>
          <w:tcPr>
            <w:tcW w:w="626" w:type="dxa"/>
            <w:shd w:val="clear" w:color="auto" w:fill="C4EFCE"/>
            <w:vAlign w:val="center"/>
          </w:tcPr>
          <w:p w14:paraId="17D205CC" w14:textId="6F573DC8" w:rsidR="003A02EC" w:rsidRDefault="003A02EC" w:rsidP="003A02EC">
            <w:pPr>
              <w:pStyle w:val="P68B1DB1-Normal12"/>
              <w:spacing w:after="0" w:line="240" w:lineRule="auto"/>
              <w:jc w:val="center"/>
              <w:rPr>
                <w:rFonts w:cstheme="minorHAnsi"/>
                <w:noProof/>
              </w:rPr>
            </w:pPr>
            <w:r>
              <w:rPr>
                <w:noProof/>
              </w:rPr>
              <w:t xml:space="preserve"> 228</w:t>
            </w:r>
          </w:p>
        </w:tc>
        <w:tc>
          <w:tcPr>
            <w:tcW w:w="514" w:type="dxa"/>
            <w:shd w:val="clear" w:color="auto" w:fill="C4EFCE"/>
            <w:vAlign w:val="center"/>
          </w:tcPr>
          <w:p w14:paraId="6F3532C1" w14:textId="702A770B"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66E91989" w14:textId="59013342" w:rsidR="003A02EC" w:rsidRDefault="003A02EC" w:rsidP="003A02EC">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5634C65C" w14:textId="1CC82B3E" w:rsidR="003A02EC" w:rsidRDefault="003A02EC" w:rsidP="003A02EC">
            <w:pPr>
              <w:pStyle w:val="P68B1DB1-Normal12"/>
              <w:spacing w:after="0" w:line="240" w:lineRule="auto"/>
              <w:jc w:val="both"/>
              <w:rPr>
                <w:rFonts w:cstheme="minorHAnsi"/>
                <w:noProof/>
              </w:rPr>
            </w:pPr>
            <w:r>
              <w:rPr>
                <w:noProof/>
              </w:rPr>
              <w:t xml:space="preserve">168 termék, folyamat vagy szolgáltatás befejezése a releváns stratégiai területeken, amelyek a konzorciumokkal kötött szerződések (innovációs paktumok vagy mozgósító projektek) végrehajtásából erednek. </w:t>
            </w:r>
          </w:p>
          <w:p w14:paraId="17858DB0" w14:textId="3D72F028" w:rsidR="003A02EC" w:rsidRDefault="003A02EC" w:rsidP="003A02EC">
            <w:pPr>
              <w:pStyle w:val="P68B1DB1-Normal12"/>
              <w:spacing w:after="0" w:line="240" w:lineRule="auto"/>
              <w:jc w:val="both"/>
              <w:rPr>
                <w:rFonts w:cstheme="minorHAnsi"/>
                <w:noProof/>
              </w:rPr>
            </w:pPr>
            <w:r>
              <w:rPr>
                <w:noProof/>
              </w:rPr>
              <w:t>A PPS-nek ki kell egészítenie az RE-C05-i01.01-ben végrehajtott PPS-t.</w:t>
            </w:r>
          </w:p>
        </w:tc>
      </w:tr>
      <w:tr w:rsidR="00DC5EC6" w14:paraId="54F09D51" w14:textId="77777777">
        <w:trPr>
          <w:trHeight w:val="67"/>
        </w:trPr>
        <w:tc>
          <w:tcPr>
            <w:tcW w:w="1134" w:type="dxa"/>
            <w:shd w:val="clear" w:color="auto" w:fill="C4EFCE"/>
            <w:vAlign w:val="center"/>
          </w:tcPr>
          <w:p w14:paraId="4437149E" w14:textId="3BA835D1" w:rsidR="00DC5EC6" w:rsidRDefault="003245A4">
            <w:pPr>
              <w:pStyle w:val="P68B1DB1-Normal11"/>
              <w:spacing w:after="0" w:line="240" w:lineRule="auto"/>
              <w:jc w:val="center"/>
              <w:rPr>
                <w:rFonts w:cstheme="minorHAnsi"/>
                <w:noProof/>
              </w:rPr>
            </w:pPr>
            <w:r>
              <w:rPr>
                <w:noProof/>
              </w:rPr>
              <w:t>5.41</w:t>
            </w:r>
          </w:p>
        </w:tc>
        <w:tc>
          <w:tcPr>
            <w:tcW w:w="1165" w:type="dxa"/>
            <w:shd w:val="clear" w:color="auto" w:fill="C4EFCE"/>
            <w:vAlign w:val="center"/>
          </w:tcPr>
          <w:p w14:paraId="101EC2D9" w14:textId="6518B9EE" w:rsidR="00DC5EC6" w:rsidRDefault="003245A4">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0725C352" w14:textId="063CCE63" w:rsidR="00DC5EC6" w:rsidRDefault="003245A4">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4EC2D503" w14:textId="59A7F5B4" w:rsidR="00DC5EC6" w:rsidRDefault="003245A4">
            <w:pPr>
              <w:pStyle w:val="P68B1DB1-Normal12"/>
              <w:spacing w:after="0" w:line="240" w:lineRule="auto"/>
              <w:jc w:val="center"/>
              <w:rPr>
                <w:rFonts w:cstheme="minorHAns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c>
          <w:tcPr>
            <w:tcW w:w="2029" w:type="dxa"/>
            <w:shd w:val="clear" w:color="auto" w:fill="C4EFCE"/>
            <w:vAlign w:val="center"/>
          </w:tcPr>
          <w:p w14:paraId="2372C515" w14:textId="07E910F9" w:rsidR="00DC5EC6" w:rsidRDefault="003245A4">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04FF8D2D" w14:textId="133CE3BF" w:rsidR="00DC5EC6" w:rsidRDefault="003245A4">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AD7A2F4" w14:textId="21F9CE36" w:rsidR="00DC5EC6" w:rsidRDefault="003245A4">
            <w:pPr>
              <w:pStyle w:val="P68B1DB1-Normal12"/>
              <w:spacing w:after="0" w:line="240" w:lineRule="auto"/>
              <w:jc w:val="center"/>
              <w:rPr>
                <w:rFonts w:cstheme="minorHAnsi"/>
                <w:noProof/>
              </w:rPr>
            </w:pPr>
            <w:r>
              <w:rPr>
                <w:noProof/>
              </w:rPr>
              <w:t>4</w:t>
            </w:r>
          </w:p>
        </w:tc>
        <w:tc>
          <w:tcPr>
            <w:tcW w:w="626" w:type="dxa"/>
            <w:shd w:val="clear" w:color="auto" w:fill="C4EFCE"/>
            <w:vAlign w:val="center"/>
          </w:tcPr>
          <w:p w14:paraId="1D935FE8" w14:textId="05F0796F" w:rsidR="00DC5EC6" w:rsidRDefault="003245A4">
            <w:pPr>
              <w:pStyle w:val="P68B1DB1-Normal12"/>
              <w:spacing w:after="0" w:line="240" w:lineRule="auto"/>
              <w:jc w:val="center"/>
              <w:rPr>
                <w:rFonts w:cstheme="minorHAnsi"/>
                <w:noProof/>
              </w:rPr>
            </w:pPr>
            <w:r>
              <w:rPr>
                <w:noProof/>
              </w:rPr>
              <w:t>10</w:t>
            </w:r>
          </w:p>
        </w:tc>
        <w:tc>
          <w:tcPr>
            <w:tcW w:w="514" w:type="dxa"/>
            <w:shd w:val="clear" w:color="auto" w:fill="C4EFCE"/>
            <w:vAlign w:val="center"/>
          </w:tcPr>
          <w:p w14:paraId="39D30506" w14:textId="66A99329" w:rsidR="00DC5EC6" w:rsidRDefault="003A02EC">
            <w:pPr>
              <w:pStyle w:val="P68B1DB1-Normal12"/>
              <w:spacing w:after="0" w:line="240" w:lineRule="auto"/>
              <w:jc w:val="center"/>
              <w:rPr>
                <w:noProof/>
              </w:rPr>
            </w:pPr>
            <w:r>
              <w:rPr>
                <w:noProof/>
              </w:rPr>
              <w:t>2. NEGYEDÉV</w:t>
            </w:r>
          </w:p>
        </w:tc>
        <w:tc>
          <w:tcPr>
            <w:tcW w:w="747" w:type="dxa"/>
            <w:shd w:val="clear" w:color="auto" w:fill="C4EFCE"/>
            <w:vAlign w:val="center"/>
          </w:tcPr>
          <w:p w14:paraId="6F74846E" w14:textId="4FBFD7C9" w:rsidR="00DC5EC6" w:rsidRDefault="003245A4">
            <w:pPr>
              <w:pStyle w:val="P68B1DB1-Normal12"/>
              <w:spacing w:after="0" w:line="240" w:lineRule="auto"/>
              <w:jc w:val="center"/>
              <w:rPr>
                <w:rFonts w:cstheme="minorHAnsi"/>
                <w:noProof/>
              </w:rPr>
            </w:pPr>
            <w:r>
              <w:rPr>
                <w:noProof/>
              </w:rPr>
              <w:t>2023</w:t>
            </w:r>
          </w:p>
        </w:tc>
        <w:tc>
          <w:tcPr>
            <w:tcW w:w="3919" w:type="dxa"/>
            <w:shd w:val="clear" w:color="auto" w:fill="C4EFCE"/>
            <w:vAlign w:val="center"/>
          </w:tcPr>
          <w:p w14:paraId="0DC61D27" w14:textId="2F8F2DAB" w:rsidR="00DC5EC6" w:rsidRDefault="003245A4">
            <w:pPr>
              <w:pStyle w:val="P68B1DB1-Bodytext1013"/>
              <w:spacing w:after="0" w:line="256" w:lineRule="auto"/>
              <w:rPr>
                <w:rFonts w:eastAsiaTheme="minorEastAsia" w:cstheme="minorBidi"/>
                <w:noProof/>
              </w:rPr>
            </w:pPr>
            <w:r>
              <w:rPr>
                <w:noProof/>
              </w:rPr>
              <w:t xml:space="preserve"> Hat további szerződés (innovációs paktumok vagy mobilizációs projektek) megkötése konzorciumokkal, amelyek a következőket foglalják magukban:</w:t>
            </w:r>
          </w:p>
          <w:p w14:paraId="04592090" w14:textId="77777777" w:rsidR="00DC5EC6" w:rsidRDefault="003245A4">
            <w:pPr>
              <w:pStyle w:val="P68B1DB1-Bodytext1013"/>
              <w:spacing w:after="0" w:line="256" w:lineRule="auto"/>
              <w:rPr>
                <w:rFonts w:cstheme="minorHAnsi"/>
                <w:noProof/>
              </w:rPr>
            </w:pPr>
            <w:r>
              <w:rPr>
                <w:noProof/>
              </w:rPr>
              <w:t>• A konzorciumot alkotó jogalanyok azonosítása;</w:t>
            </w:r>
          </w:p>
          <w:p w14:paraId="6A42DB0C" w14:textId="77777777" w:rsidR="00DC5EC6" w:rsidRDefault="003245A4">
            <w:pPr>
              <w:pStyle w:val="P68B1DB1-Bodytext1013"/>
              <w:spacing w:after="0" w:line="256" w:lineRule="auto"/>
              <w:rPr>
                <w:rFonts w:cstheme="minorHAnsi"/>
                <w:noProof/>
              </w:rPr>
            </w:pPr>
            <w:r>
              <w:rPr>
                <w:noProof/>
              </w:rPr>
              <w:t>• Az üzleti terv/beruházás;</w:t>
            </w:r>
          </w:p>
          <w:p w14:paraId="21DA580B" w14:textId="77777777" w:rsidR="00DC5EC6" w:rsidRDefault="003245A4">
            <w:pPr>
              <w:pStyle w:val="P68B1DB1-Bodytext1013"/>
              <w:spacing w:after="0" w:line="256" w:lineRule="auto"/>
              <w:rPr>
                <w:rFonts w:cstheme="minorHAnsi"/>
                <w:noProof/>
              </w:rPr>
            </w:pPr>
            <w:r>
              <w:rPr>
                <w:noProof/>
              </w:rPr>
              <w:t>• A finanszírozás összege;</w:t>
            </w:r>
          </w:p>
          <w:p w14:paraId="50705B10" w14:textId="77777777" w:rsidR="00DC5EC6" w:rsidRDefault="003245A4">
            <w:pPr>
              <w:pStyle w:val="P68B1DB1-Bodytext1013"/>
              <w:spacing w:after="0" w:line="256" w:lineRule="auto"/>
              <w:rPr>
                <w:rFonts w:cstheme="minorHAnsi"/>
                <w:noProof/>
              </w:rPr>
            </w:pPr>
            <w:r>
              <w:rPr>
                <w:noProof/>
              </w:rPr>
              <w:t>• A kedvezményezettre vonatkozó célkitűzések;</w:t>
            </w:r>
          </w:p>
          <w:p w14:paraId="01625014" w14:textId="77777777" w:rsidR="00DC5EC6" w:rsidRDefault="003245A4">
            <w:pPr>
              <w:pStyle w:val="P68B1DB1-Bodytext1013"/>
              <w:spacing w:after="0" w:line="256" w:lineRule="auto"/>
              <w:rPr>
                <w:rFonts w:cstheme="minorHAnsi"/>
                <w:noProof/>
              </w:rPr>
            </w:pPr>
            <w:r>
              <w:rPr>
                <w:noProof/>
              </w:rPr>
              <w:t xml:space="preserve">• A nyomon követés formája. </w:t>
            </w:r>
          </w:p>
          <w:p w14:paraId="4B9F41BD" w14:textId="09DF7CAF" w:rsidR="00DC5EC6" w:rsidRDefault="00DC5EC6">
            <w:pPr>
              <w:pStyle w:val="Bodytext10"/>
              <w:spacing w:after="0" w:line="256" w:lineRule="auto"/>
              <w:rPr>
                <w:rFonts w:asciiTheme="minorHAnsi" w:hAnsiTheme="minorHAnsi" w:cstheme="minorBidi"/>
                <w:noProof/>
                <w:sz w:val="16"/>
              </w:rPr>
            </w:pPr>
          </w:p>
          <w:p w14:paraId="20E874EC" w14:textId="6019E06D" w:rsidR="00DC5EC6" w:rsidRDefault="003245A4">
            <w:pPr>
              <w:pStyle w:val="P68B1DB1-Bodytext1013"/>
              <w:spacing w:after="0" w:line="256" w:lineRule="auto"/>
              <w:rPr>
                <w:rFonts w:cstheme="minorHAnsi"/>
                <w:noProof/>
              </w:rPr>
            </w:pPr>
            <w:r>
              <w:rPr>
                <w:noProof/>
              </w:rPr>
              <w:t>A szerződéseknek összesen legalább 98 terméket, folyamatot vagy szolgáltatást kell támogatniuk, és igazodniuk kell a 022. beavatkozási területhez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 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w:t>
            </w:r>
          </w:p>
          <w:p w14:paraId="64095437" w14:textId="10DA3C38" w:rsidR="00DC5EC6" w:rsidRDefault="003245A4">
            <w:pPr>
              <w:pStyle w:val="P68B1DB1-Normal12"/>
              <w:spacing w:after="0" w:line="240" w:lineRule="auto"/>
              <w:jc w:val="both"/>
              <w:rPr>
                <w:rFonts w:cstheme="minorHAnsi"/>
                <w:noProof/>
              </w:rPr>
            </w:pPr>
            <w:r>
              <w:rPr>
                <w:noProof/>
              </w:rPr>
              <w:t>A szerződések kiegészítik az RE-C05-i01.02 pontban végrehajtott szerződéseket.</w:t>
            </w:r>
          </w:p>
        </w:tc>
      </w:tr>
      <w:tr w:rsidR="003A02EC" w14:paraId="2CFB1DE4" w14:textId="77777777">
        <w:trPr>
          <w:trHeight w:val="67"/>
        </w:trPr>
        <w:tc>
          <w:tcPr>
            <w:tcW w:w="1134" w:type="dxa"/>
            <w:shd w:val="clear" w:color="auto" w:fill="C4EFCE"/>
            <w:vAlign w:val="center"/>
          </w:tcPr>
          <w:p w14:paraId="0F626A07" w14:textId="1AAA4C66" w:rsidR="003A02EC" w:rsidRDefault="003A02EC" w:rsidP="003A02EC">
            <w:pPr>
              <w:pStyle w:val="P68B1DB1-Normal11"/>
              <w:spacing w:after="0" w:line="240" w:lineRule="auto"/>
              <w:jc w:val="center"/>
              <w:rPr>
                <w:rFonts w:cstheme="minorHAnsi"/>
                <w:noProof/>
              </w:rPr>
            </w:pPr>
            <w:r>
              <w:rPr>
                <w:noProof/>
              </w:rPr>
              <w:t>5.42</w:t>
            </w:r>
          </w:p>
        </w:tc>
        <w:tc>
          <w:tcPr>
            <w:tcW w:w="1165" w:type="dxa"/>
            <w:shd w:val="clear" w:color="auto" w:fill="C4EFCE"/>
            <w:vAlign w:val="center"/>
          </w:tcPr>
          <w:p w14:paraId="4D8A4205" w14:textId="197B1A16" w:rsidR="003A02EC" w:rsidRDefault="003A02EC" w:rsidP="003A02EC">
            <w:pPr>
              <w:pStyle w:val="P68B1DB1-Normal12"/>
              <w:spacing w:after="0" w:line="240" w:lineRule="auto"/>
              <w:jc w:val="center"/>
              <w:rPr>
                <w:rFonts w:cstheme="minorHAnsi"/>
                <w:noProof/>
              </w:rPr>
            </w:pPr>
            <w:r>
              <w:rPr>
                <w:noProof/>
              </w:rPr>
              <w:t>Re-C05-i10</w:t>
            </w:r>
          </w:p>
        </w:tc>
        <w:tc>
          <w:tcPr>
            <w:tcW w:w="976" w:type="dxa"/>
            <w:shd w:val="clear" w:color="auto" w:fill="C4EFCE"/>
            <w:vAlign w:val="center"/>
          </w:tcPr>
          <w:p w14:paraId="4C138B7D" w14:textId="446CCEF5" w:rsidR="003A02EC" w:rsidRDefault="003A02EC" w:rsidP="003A02EC">
            <w:pPr>
              <w:pStyle w:val="P68B1DB1-Normal12"/>
              <w:spacing w:after="0" w:line="240" w:lineRule="auto"/>
              <w:jc w:val="center"/>
              <w:rPr>
                <w:rFonts w:cstheme="minorHAnsi"/>
                <w:noProof/>
              </w:rPr>
            </w:pPr>
            <w:r>
              <w:rPr>
                <w:noProof/>
              </w:rPr>
              <w:t>T</w:t>
            </w:r>
          </w:p>
        </w:tc>
        <w:tc>
          <w:tcPr>
            <w:tcW w:w="1668" w:type="dxa"/>
            <w:shd w:val="clear" w:color="auto" w:fill="C4EFCE"/>
            <w:vAlign w:val="center"/>
          </w:tcPr>
          <w:p w14:paraId="24DB13CD" w14:textId="5E486B06" w:rsidR="003A02EC" w:rsidRDefault="003A02EC" w:rsidP="003A02EC">
            <w:pPr>
              <w:pStyle w:val="P68B1DB1-Normal12"/>
              <w:spacing w:after="0" w:line="240" w:lineRule="auto"/>
              <w:jc w:val="center"/>
              <w:rPr>
                <w:rFonts w:cstheme="minorHAnsi"/>
                <w:noProof/>
              </w:rPr>
            </w:pPr>
            <w:r>
              <w:rPr>
                <w:noProof/>
              </w:rPr>
              <w:t>Az alacsony szén-dioxid-kibocsátású gazdaság, az ellenálló képesség és az éghajlatváltozáshoz való alkalmazkodás szempontjából releváns termékek, folyamatok vagy szolgáltatások (PPS) befejezése.</w:t>
            </w:r>
          </w:p>
        </w:tc>
        <w:tc>
          <w:tcPr>
            <w:tcW w:w="2029" w:type="dxa"/>
            <w:shd w:val="clear" w:color="auto" w:fill="C4EFCE"/>
            <w:vAlign w:val="center"/>
          </w:tcPr>
          <w:p w14:paraId="03936DB4" w14:textId="5D309DC9" w:rsidR="003A02EC" w:rsidRDefault="003A02EC" w:rsidP="003A02EC">
            <w:pPr>
              <w:pStyle w:val="P68B1DB1-Normal12"/>
              <w:spacing w:after="0" w:line="240" w:lineRule="auto"/>
              <w:jc w:val="center"/>
              <w:rPr>
                <w:rFonts w:cstheme="minorHAnsi"/>
                <w:noProof/>
              </w:rPr>
            </w:pPr>
            <w:r>
              <w:rPr>
                <w:noProof/>
              </w:rPr>
              <w:t> </w:t>
            </w:r>
          </w:p>
        </w:tc>
        <w:tc>
          <w:tcPr>
            <w:tcW w:w="982" w:type="dxa"/>
            <w:shd w:val="clear" w:color="auto" w:fill="C4EFCE"/>
            <w:vAlign w:val="center"/>
          </w:tcPr>
          <w:p w14:paraId="49E437C8" w14:textId="2D221C76" w:rsidR="003A02EC" w:rsidRDefault="003A02EC" w:rsidP="003A02EC">
            <w:pPr>
              <w:pStyle w:val="P68B1DB1-Normal12"/>
              <w:spacing w:after="0" w:line="240" w:lineRule="auto"/>
              <w:jc w:val="center"/>
              <w:rPr>
                <w:rFonts w:cstheme="minorHAnsi"/>
                <w:noProof/>
              </w:rPr>
            </w:pPr>
            <w:r>
              <w:rPr>
                <w:noProof/>
              </w:rPr>
              <w:t>Szám</w:t>
            </w:r>
          </w:p>
        </w:tc>
        <w:tc>
          <w:tcPr>
            <w:tcW w:w="982" w:type="dxa"/>
            <w:shd w:val="clear" w:color="auto" w:fill="C4EFCE"/>
            <w:vAlign w:val="center"/>
          </w:tcPr>
          <w:p w14:paraId="533CBFA2" w14:textId="10AA98B0" w:rsidR="003A02EC" w:rsidRDefault="003A02EC" w:rsidP="003A02EC">
            <w:pPr>
              <w:pStyle w:val="P68B1DB1-Normal12"/>
              <w:spacing w:after="0" w:line="240" w:lineRule="auto"/>
              <w:jc w:val="center"/>
              <w:rPr>
                <w:rFonts w:cstheme="minorHAnsi"/>
                <w:noProof/>
              </w:rPr>
            </w:pPr>
            <w:r>
              <w:rPr>
                <w:noProof/>
              </w:rPr>
              <w:t>40</w:t>
            </w:r>
          </w:p>
        </w:tc>
        <w:tc>
          <w:tcPr>
            <w:tcW w:w="626" w:type="dxa"/>
            <w:shd w:val="clear" w:color="auto" w:fill="C4EFCE"/>
            <w:vAlign w:val="center"/>
          </w:tcPr>
          <w:p w14:paraId="5C908ABC" w14:textId="0CD01BA3" w:rsidR="003A02EC" w:rsidRDefault="003A02EC" w:rsidP="003A02EC">
            <w:pPr>
              <w:pStyle w:val="P68B1DB1-Normal12"/>
              <w:spacing w:after="0" w:line="240" w:lineRule="auto"/>
              <w:jc w:val="center"/>
              <w:rPr>
                <w:rFonts w:cstheme="minorHAnsi"/>
                <w:noProof/>
              </w:rPr>
            </w:pPr>
            <w:r>
              <w:rPr>
                <w:noProof/>
              </w:rPr>
              <w:t>138</w:t>
            </w:r>
          </w:p>
        </w:tc>
        <w:tc>
          <w:tcPr>
            <w:tcW w:w="514" w:type="dxa"/>
            <w:shd w:val="clear" w:color="auto" w:fill="C4EFCE"/>
            <w:vAlign w:val="center"/>
          </w:tcPr>
          <w:p w14:paraId="302722D1" w14:textId="37F0FE74" w:rsidR="003A02EC" w:rsidRDefault="003A02EC" w:rsidP="003A02EC">
            <w:pPr>
              <w:pStyle w:val="P68B1DB1-Normal12"/>
              <w:spacing w:after="0" w:line="240" w:lineRule="auto"/>
              <w:jc w:val="center"/>
              <w:rPr>
                <w:rFonts w:cstheme="minorHAnsi"/>
                <w:noProof/>
              </w:rPr>
            </w:pPr>
            <w:r>
              <w:rPr>
                <w:noProof/>
              </w:rPr>
              <w:t>4. NEGYEDÉV</w:t>
            </w:r>
          </w:p>
        </w:tc>
        <w:tc>
          <w:tcPr>
            <w:tcW w:w="747" w:type="dxa"/>
            <w:shd w:val="clear" w:color="auto" w:fill="C4EFCE"/>
            <w:vAlign w:val="center"/>
          </w:tcPr>
          <w:p w14:paraId="686F8191" w14:textId="1900D775" w:rsidR="003A02EC" w:rsidRDefault="003A02EC" w:rsidP="003A02EC">
            <w:pPr>
              <w:pStyle w:val="P68B1DB1-Normal12"/>
              <w:spacing w:after="0" w:line="240" w:lineRule="auto"/>
              <w:jc w:val="center"/>
              <w:rPr>
                <w:rFonts w:cstheme="minorHAnsi"/>
                <w:noProof/>
              </w:rPr>
            </w:pPr>
            <w:r>
              <w:rPr>
                <w:noProof/>
              </w:rPr>
              <w:t>2025</w:t>
            </w:r>
          </w:p>
        </w:tc>
        <w:tc>
          <w:tcPr>
            <w:tcW w:w="3919" w:type="dxa"/>
            <w:shd w:val="clear" w:color="auto" w:fill="C4EFCE"/>
            <w:vAlign w:val="center"/>
          </w:tcPr>
          <w:p w14:paraId="3637E13E" w14:textId="77777777" w:rsidR="003A02EC" w:rsidRDefault="003A02EC" w:rsidP="003A02EC">
            <w:pPr>
              <w:pStyle w:val="P68B1DB1-Normal12"/>
              <w:spacing w:after="0" w:line="240" w:lineRule="auto"/>
              <w:jc w:val="both"/>
              <w:rPr>
                <w:rFonts w:cstheme="minorHAnsi"/>
                <w:noProof/>
              </w:rPr>
            </w:pPr>
            <w:r>
              <w:rPr>
                <w:noProof/>
              </w:rPr>
              <w:t>98 termék, eljárás vagy szolgáltatás (PPS) befejezése a konzorciumokkal kötött szerződések (innovációs paktumok vagy mobilizáló projektek) végrehajtása révén, amelyeknek igazodniuk kell a 022. beavatkozási területhez (Kutatási és innovációs folyamatok, technológiaátadás és együttműködés a vállalatok között, különös tekintettel az alacsony szén-dioxid-kibocsátású gazdaságra, valamint az éghajlatváltozáshoz való ellenálló képességre és az éghajlatváltozáshoz való alkalmazkodásra).</w:t>
            </w:r>
          </w:p>
          <w:p w14:paraId="18CA891F" w14:textId="60AEF0E8" w:rsidR="003A02EC" w:rsidRDefault="003A02EC" w:rsidP="003A02EC">
            <w:pPr>
              <w:pStyle w:val="P68B1DB1-Normal12"/>
              <w:spacing w:after="0" w:line="240" w:lineRule="auto"/>
              <w:jc w:val="both"/>
              <w:rPr>
                <w:rFonts w:cstheme="minorHAnsi"/>
                <w:noProof/>
              </w:rPr>
            </w:pPr>
            <w:r>
              <w:rPr>
                <w:noProof/>
              </w:rPr>
              <w:t>A PPS kiegészíti az RE-C05-i01.02-ben végrehajtott PPS-t.</w:t>
            </w:r>
          </w:p>
        </w:tc>
      </w:tr>
    </w:tbl>
    <w:p w14:paraId="1934ED30" w14:textId="77777777" w:rsidR="00DC5EC6" w:rsidRDefault="00DC5EC6">
      <w:pPr>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02"/>
          <w:headerReference w:type="default" r:id="rId103"/>
          <w:footerReference w:type="even" r:id="rId104"/>
          <w:footerReference w:type="default" r:id="rId105"/>
          <w:headerReference w:type="first" r:id="rId106"/>
          <w:footerReference w:type="first" r:id="rId107"/>
          <w:pgSz w:w="16839" w:h="11907" w:orient="landscape"/>
          <w:pgMar w:top="1134" w:right="1134" w:bottom="1134" w:left="1134" w:header="567" w:footer="567" w:gutter="0"/>
          <w:cols w:space="720"/>
          <w:docGrid w:linePitch="360"/>
        </w:sectPr>
      </w:pPr>
    </w:p>
    <w:p w14:paraId="1E7C10B9" w14:textId="20E4EE7B"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 xml:space="preserve">E.3. A hitelhez kapcsolódó reformok és beruházások ismertetése </w:t>
      </w:r>
    </w:p>
    <w:p w14:paraId="189A4B39"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Reform RE-r10: A Banco Português de Fomento létrehozása és fejlesztése.</w:t>
      </w:r>
    </w:p>
    <w:p w14:paraId="72447E27"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hogy megkönnyítse a portugál cégek finanszírozáshoz jutását azáltal, hogy csökkenti az államilag támogatott vállalati pénzügyi termékek összetettségét, és lehetővé teszi a nemzeti stratégiai érdekű projekteket. E célból a </w:t>
      </w:r>
      <w:r>
        <w:rPr>
          <w:i/>
          <w:noProof/>
        </w:rPr>
        <w:t>Banco Português de Fomento</w:t>
      </w:r>
      <w:r>
        <w:rPr>
          <w:noProof/>
        </w:rPr>
        <w:t xml:space="preserve"> 2020. szeptember 7-én jött létre, és 2020 novemberében kezdte meg működését állami tulajdonú Nemzeti Fejlesztési Bankként. Alapvető és tartós küldetése mellett a bank kulcsfontosságú szervezet a gazdasági tevékenység Covid19-világjárvány utáni újraindításának folyamatában, különösen azáltal, hogy lehetővé teszi a portugál vállalkozások számára, hogy részesüljenek a helyreállításra irányuló nemzeti és európai stratégiai intézkedések előnyeiből. </w:t>
      </w:r>
    </w:p>
    <w:p w14:paraId="48A8A411"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a </w:t>
      </w:r>
      <w:r>
        <w:rPr>
          <w:i/>
          <w:noProof/>
        </w:rPr>
        <w:t>Banco Português de Fomento</w:t>
      </w:r>
      <w:r>
        <w:rPr>
          <w:noProof/>
        </w:rPr>
        <w:t xml:space="preserve"> törvényes létrehozását foglalja magában. </w:t>
      </w:r>
    </w:p>
    <w:p w14:paraId="08AAEA6F" w14:textId="77777777" w:rsidR="00DC5EC6" w:rsidRDefault="003245A4">
      <w:pPr>
        <w:pStyle w:val="P68B1DB1-Normal4"/>
        <w:spacing w:before="40" w:after="0" w:line="259" w:lineRule="auto"/>
        <w:jc w:val="both"/>
        <w:rPr>
          <w:rFonts w:eastAsiaTheme="minorEastAsia" w:cs="Times New Roman"/>
          <w:noProof/>
        </w:rPr>
      </w:pPr>
      <w:r>
        <w:rPr>
          <w:noProof/>
        </w:rPr>
        <w:t>A reform végrehajtása 2020. december 31-ig lezárult.</w:t>
      </w:r>
    </w:p>
    <w:p w14:paraId="1FF05807"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 xml:space="preserve">RE-r13 reform: A tőkepiacok fejlesztése és a nem pénzügyi vállalatok kapitalizációjának előmozdítása </w:t>
      </w:r>
    </w:p>
    <w:p w14:paraId="626DC4C1"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a portugál tőkepiac fellendítése és a társaságok tőkésítésének előmozdítása, különös tekintettel az értékpapír-befektetési társaságokra a gazdaság fejlesztése érdekében (SIMFE), a kollektív befektetési vállalkozásokra és az értékpapírtörvény felülvizsgálatára. </w:t>
      </w:r>
    </w:p>
    <w:p w14:paraId="28221381" w14:textId="77777777" w:rsidR="00DC5EC6" w:rsidRDefault="003245A4">
      <w:pPr>
        <w:pStyle w:val="P68B1DB1-Normal4"/>
        <w:spacing w:before="40" w:after="0" w:line="259" w:lineRule="auto"/>
        <w:jc w:val="both"/>
        <w:rPr>
          <w:rFonts w:eastAsiaTheme="minorEastAsia" w:cs="Times New Roman"/>
          <w:noProof/>
        </w:rPr>
      </w:pPr>
      <w:r>
        <w:rPr>
          <w:noProof/>
        </w:rPr>
        <w:t xml:space="preserve">Ez a reform a meglévő jogi keret felülvizsgálatából és olyan új jogszabályok elfogadásából áll, amelyek a kormány furista megközelítésének részét képezik, hogy kedvezőbb üzleti környezetet teremtsenek, és valódi ösztönzőket biztosítsanak a beruházásokhoz, a vállalkozások tőkésítéséhez és az ágazati konszolidációhoz. E reform végrehajtása a következő intézkedésekből áll: </w:t>
      </w:r>
    </w:p>
    <w:p w14:paraId="3E530B36"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tőkepiaci fejlődés; </w:t>
      </w:r>
    </w:p>
    <w:p w14:paraId="12E1FE2C"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az értékpapír-befektetési vállalkozások fellendítése a gazdaság fejlesztése érdekében (SIMFE-k); </w:t>
      </w:r>
    </w:p>
    <w:p w14:paraId="02E09283"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a szabályozás és az adminisztráció egyszerűsítése;</w:t>
      </w:r>
    </w:p>
    <w:p w14:paraId="7C616BBA"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a kollektív befektetési vállalkozásokra vonatkozó jogi keret felülvizsgálata; és </w:t>
      </w:r>
    </w:p>
    <w:p w14:paraId="406EAAFF" w14:textId="77777777" w:rsidR="00DC5EC6" w:rsidRDefault="003245A4">
      <w:pPr>
        <w:pStyle w:val="P68B1DB1-Normal4"/>
        <w:keepNext/>
        <w:numPr>
          <w:ilvl w:val="0"/>
          <w:numId w:val="41"/>
        </w:numPr>
        <w:spacing w:before="40" w:after="160" w:line="259" w:lineRule="auto"/>
        <w:contextualSpacing/>
        <w:jc w:val="both"/>
        <w:rPr>
          <w:rFonts w:eastAsiaTheme="minorEastAsia" w:cs="Times New Roman"/>
          <w:noProof/>
        </w:rPr>
      </w:pPr>
      <w:r>
        <w:rPr>
          <w:noProof/>
        </w:rPr>
        <w:t xml:space="preserve">kapitalizációs ösztönzők (a visszatartott és újrabefektetett jövedelem levonása). </w:t>
      </w:r>
    </w:p>
    <w:p w14:paraId="70A2BCBE" w14:textId="77777777" w:rsidR="00DC5EC6" w:rsidRDefault="003245A4">
      <w:pPr>
        <w:pStyle w:val="P68B1DB1-Normal4"/>
        <w:spacing w:before="40" w:after="0" w:line="259" w:lineRule="auto"/>
        <w:jc w:val="both"/>
        <w:rPr>
          <w:rFonts w:eastAsiaTheme="minorEastAsia"/>
          <w:noProof/>
        </w:rPr>
      </w:pPr>
      <w:r>
        <w:rPr>
          <w:noProof/>
        </w:rPr>
        <w:t xml:space="preserve">A reform végrehajtását 2023. december 31-ig be kell fejezni. </w:t>
      </w:r>
    </w:p>
    <w:p w14:paraId="2E2FC980"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 xml:space="preserve">RE-C05-i06 beruházás: Vállalatok tőkésítése és pénzügyi reziliencia/Banco Português de Fomento </w:t>
      </w:r>
    </w:p>
    <w:p w14:paraId="7A51EC5E" w14:textId="23C16BB1" w:rsidR="00DC5EC6" w:rsidRDefault="003245A4">
      <w:pPr>
        <w:pStyle w:val="P68B1DB1-Normal4"/>
        <w:spacing w:before="40" w:after="0" w:line="259" w:lineRule="auto"/>
        <w:jc w:val="both"/>
        <w:rPr>
          <w:rFonts w:eastAsiaTheme="minorEastAsia" w:cs="Times New Roman"/>
          <w:noProof/>
        </w:rPr>
      </w:pPr>
      <w:r>
        <w:rPr>
          <w:noProof/>
        </w:rPr>
        <w:t xml:space="preserve">Az intézkedés célja a vállalkozások alultőkésítésével kapcsolatos strukturális probléma kezelése. A beruházás 250 000 000 EUR tőkepuffert biztosít az InvestEU végrehajtó partnerévé válni kívánó </w:t>
      </w:r>
      <w:r>
        <w:rPr>
          <w:i/>
          <w:noProof/>
        </w:rPr>
        <w:t>Banco Português de Fomento</w:t>
      </w:r>
      <w:r>
        <w:rPr>
          <w:noProof/>
        </w:rPr>
        <w:t xml:space="preserve"> számára. Ezenkívül létre kell hozni egy különleges célú gazdasági egységet, amely ezt követően 1 300 000 000 EUR-t fektet be életképes portugál vállalkozásokba sajáttőke és kvázi-sajáttőke formájában. </w:t>
      </w:r>
    </w:p>
    <w:p w14:paraId="33E5CD2F" w14:textId="77777777" w:rsidR="00DC5EC6" w:rsidRDefault="003245A4">
      <w:pPr>
        <w:pStyle w:val="P68B1DB1-Normal4"/>
        <w:spacing w:before="40" w:after="0" w:line="259" w:lineRule="auto"/>
        <w:jc w:val="both"/>
        <w:rPr>
          <w:rFonts w:eastAsiaTheme="minorEastAsia" w:cs="Times New Roman"/>
          <w:noProof/>
        </w:rPr>
      </w:pPr>
      <w:r>
        <w:rPr>
          <w:noProof/>
        </w:rPr>
        <w:t xml:space="preserve">Portugália kötelezettséget vállalt arra, hogy az 1 300 000 000 EUR összegű eszközhöz kapcsolódó, a Banco Português de </w:t>
      </w:r>
      <w:r>
        <w:rPr>
          <w:i/>
          <w:noProof/>
        </w:rPr>
        <w:t>Fomento mint a különleges célú gazdasági egység irányító</w:t>
      </w:r>
      <w:r>
        <w:rPr>
          <w:noProof/>
        </w:rPr>
        <w:t xml:space="preserve"> szerve által elfogadandó beruházáspolitikai dokumentum részletezi a támogatott vállalatok kiválasztási/jogosultsági kritériumait, biztosítva a Helyreállítási és Rezilienciaépítési Eszköz éghajlat-politikai és környezetvédelmi követelményeinek tiszteletben tartását, beleértve a támogatott eszközökre/tevékenységekre és/vagy vállalatokra vonatkozó DNSH technikai iránymutatásnak (2021/C58/01) való megfelelést, valamint meghatározza a befektetési célokat és a célzott hozamokat. A támogatott vállalatok DNSH technikai iránymutatásának (2021/C58/01) való megfelelés érdekében a beruházási politikának elő kell írnia a következőket: </w:t>
      </w:r>
    </w:p>
    <w:p w14:paraId="11FD4172"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fenntarthatósági vizsgálat alkalmazása, </w:t>
      </w:r>
    </w:p>
    <w:p w14:paraId="3BC45CD3"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az alábbi elemeket tartalmazó kizárási lista:</w:t>
      </w:r>
    </w:p>
    <w:p w14:paraId="7729DD25"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Fosszilis tüzelőanyagokhoz kapcsolódó tevékenységek, beleértve a továbbfelhasználást is</w:t>
      </w:r>
      <w:r w:rsidRPr="003A02EC">
        <w:rPr>
          <w:noProof/>
          <w:vertAlign w:val="superscript"/>
        </w:rPr>
        <w:footnoteReference w:id="35"/>
      </w:r>
      <w:r>
        <w:rPr>
          <w:noProof/>
        </w:rPr>
        <w:t xml:space="preserve">; </w:t>
      </w:r>
    </w:p>
    <w:p w14:paraId="0C777086"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Az uniós kibocsátáskereskedelmi rendszer (ETS) keretében végzett tevékenységek, amelyek a vonatkozó referenciaértékeknél nem alacsonyabb várható üvegházhatásúgáz-kibocsátást érnek el</w:t>
      </w:r>
      <w:r w:rsidRPr="003A02EC">
        <w:rPr>
          <w:noProof/>
          <w:vertAlign w:val="superscript"/>
        </w:rPr>
        <w:footnoteReference w:id="36"/>
      </w:r>
      <w:r>
        <w:rPr>
          <w:noProof/>
        </w:rPr>
        <w:t xml:space="preserve">; </w:t>
      </w:r>
    </w:p>
    <w:p w14:paraId="59A41967"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Hulladéklerakókkal, hulladékégetőkkel</w:t>
      </w:r>
      <w:r w:rsidRPr="003A02EC">
        <w:rPr>
          <w:noProof/>
          <w:vertAlign w:val="superscript"/>
        </w:rPr>
        <w:footnoteReference w:id="37"/>
      </w:r>
      <w:r>
        <w:rPr>
          <w:noProof/>
        </w:rPr>
        <w:t xml:space="preserve"> és mechanikai-biológiai szennyvíztisztító telepekkel kapcsolatos tevékenységek</w:t>
      </w:r>
      <w:r w:rsidRPr="003A02EC">
        <w:rPr>
          <w:noProof/>
          <w:vertAlign w:val="superscript"/>
        </w:rPr>
        <w:footnoteReference w:id="38"/>
      </w:r>
      <w:r>
        <w:rPr>
          <w:noProof/>
        </w:rPr>
        <w:t xml:space="preserve">; </w:t>
      </w:r>
    </w:p>
    <w:p w14:paraId="3EE29B47"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Olyan tevékenységek, amelyek esetében a hulladék hosszú távú ártalmatlanítása hosszú távon károsíthatja a környezetet, például a nukleáris hulladékot; és </w:t>
      </w:r>
    </w:p>
    <w:p w14:paraId="166BCF7B" w14:textId="77777777" w:rsidR="00DC5EC6" w:rsidRDefault="003245A4">
      <w:pPr>
        <w:pStyle w:val="P68B1DB1-Normal4"/>
        <w:keepNext/>
        <w:numPr>
          <w:ilvl w:val="0"/>
          <w:numId w:val="65"/>
        </w:numPr>
        <w:spacing w:before="40" w:after="160" w:line="259" w:lineRule="auto"/>
        <w:contextualSpacing/>
        <w:jc w:val="both"/>
        <w:rPr>
          <w:rFonts w:eastAsiaTheme="minorEastAsia" w:cs="Times New Roman"/>
          <w:noProof/>
        </w:rPr>
      </w:pPr>
      <w:r>
        <w:rPr>
          <w:noProof/>
        </w:rPr>
        <w:t xml:space="preserve">A fenti eszközökre és tevékenységekre irányuló K+F+I. </w:t>
      </w:r>
    </w:p>
    <w:p w14:paraId="41036F9C"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 xml:space="preserve">kötelező jogszabályi megfelelési ellenőrzések a </w:t>
      </w:r>
      <w:r>
        <w:rPr>
          <w:i/>
          <w:noProof/>
        </w:rPr>
        <w:t>Banco Português de Fomento</w:t>
      </w:r>
      <w:r>
        <w:rPr>
          <w:noProof/>
        </w:rPr>
        <w:t xml:space="preserve"> és/vagy kiválasztott pénzügyi közvetítői révén a fenntarthatósági vizsgálat alól mentesített ügyletek esetében; és </w:t>
      </w:r>
    </w:p>
    <w:p w14:paraId="3BDD89EA" w14:textId="77777777" w:rsidR="00DC5EC6" w:rsidRDefault="003245A4">
      <w:pPr>
        <w:pStyle w:val="P68B1DB1-Normal4"/>
        <w:keepNext/>
        <w:numPr>
          <w:ilvl w:val="0"/>
          <w:numId w:val="58"/>
        </w:numPr>
        <w:spacing w:before="40" w:after="160" w:line="259" w:lineRule="auto"/>
        <w:contextualSpacing/>
        <w:jc w:val="both"/>
        <w:rPr>
          <w:rFonts w:eastAsiaTheme="minorEastAsia" w:cs="Times New Roman"/>
          <w:noProof/>
        </w:rPr>
      </w:pPr>
      <w:r>
        <w:rPr>
          <w:noProof/>
        </w:rPr>
        <w:t>a tőketámogatás azon kedvezményezettjei, amelyek bevételeinek legalább 50%-a a kizárási listán felsorolt tevékenységekből származik a zöld átállásra vonatkozó tervek elfogadása és közzététele céljából.</w:t>
      </w:r>
    </w:p>
    <w:p w14:paraId="3D00B278"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végrehajtását 2025. december 31-ig be kell fejezni. </w:t>
      </w:r>
    </w:p>
    <w:p w14:paraId="29F83CA1" w14:textId="5D9194AF" w:rsidR="00DC5EC6" w:rsidRDefault="003245A4">
      <w:pPr>
        <w:pStyle w:val="P68B1DB1-Normal5"/>
        <w:spacing w:before="240" w:after="0" w:line="259" w:lineRule="auto"/>
        <w:ind w:left="851"/>
        <w:jc w:val="both"/>
        <w:outlineLvl w:val="3"/>
        <w:rPr>
          <w:rFonts w:eastAsiaTheme="minorEastAsia" w:cs="Times New Roman"/>
          <w:noProof/>
        </w:rPr>
      </w:pPr>
      <w:bookmarkStart w:id="14" w:name="_Toc137472450"/>
      <w:r>
        <w:rPr>
          <w:noProof/>
        </w:rPr>
        <w:t>RE-C05-i11 beruházás – növekmény: Az üzleti innovációra vonatkozó menetrendek/szövetségek mozgósítása</w:t>
      </w:r>
      <w:bookmarkEnd w:id="14"/>
      <w:r>
        <w:rPr>
          <w:noProof/>
        </w:rPr>
        <w:t xml:space="preserve"> (hitelek)</w:t>
      </w:r>
    </w:p>
    <w:p w14:paraId="1A18BEC2" w14:textId="77777777" w:rsidR="00DC5EC6" w:rsidRDefault="003245A4">
      <w:pPr>
        <w:pStyle w:val="P68B1DB1-Normal4"/>
        <w:spacing w:after="0"/>
        <w:jc w:val="both"/>
        <w:rPr>
          <w:rFonts w:cs="Times New Roman"/>
          <w:noProof/>
        </w:rPr>
      </w:pPr>
      <w:r>
        <w:rPr>
          <w:noProof/>
        </w:rPr>
        <w:t xml:space="preserve">E beruházás célja az RE-C05–i01.01 beruházás növelése az 5. komponens keretében. Az intézkedés bővített részének növelnie kell az üzleti innováció mobilizálására vonatkozó menetrendekben/szövetségekben szereplő termékek, folyamatok vagy szolgáltatások számát. </w:t>
      </w:r>
    </w:p>
    <w:p w14:paraId="6E30F4B5" w14:textId="68C2F408" w:rsidR="00DC5EC6" w:rsidRDefault="003245A4">
      <w:pPr>
        <w:pStyle w:val="P68B1DB1-Normal4"/>
        <w:spacing w:after="0"/>
        <w:jc w:val="both"/>
        <w:rPr>
          <w:rFonts w:cs="Times New Roman"/>
          <w:noProof/>
        </w:rPr>
      </w:pPr>
      <w:r>
        <w:rPr>
          <w:noProof/>
        </w:rPr>
        <w:t>Az e beruházás keretében végrehajtott termékek, eljárások vagy szolgáltatások közül legalább 366-nak összhangban kell lennie a Helyreállítási és Rezilienciaépítési Eszközről szóló rendelet mellékletének 021. beavatkozási területével.</w:t>
      </w:r>
    </w:p>
    <w:p w14:paraId="6728AAA1" w14:textId="77777777" w:rsidR="00DC5EC6" w:rsidRDefault="003245A4">
      <w:pPr>
        <w:pStyle w:val="P68B1DB1-Normal4"/>
        <w:spacing w:after="0"/>
        <w:jc w:val="both"/>
        <w:rPr>
          <w:rFonts w:eastAsiaTheme="minorEastAsia" w:cs="Times New Roman"/>
          <w:noProof/>
        </w:rPr>
      </w:pPr>
      <w:r>
        <w:rPr>
          <w:noProof/>
        </w:rPr>
        <w:t>A beruházás végrehajtását 2025. december 31-ig be kell fejezni.</w:t>
      </w:r>
    </w:p>
    <w:p w14:paraId="6840A33A" w14:textId="77777777" w:rsidR="00DC5EC6" w:rsidRDefault="00DC5EC6">
      <w:pPr>
        <w:spacing w:after="0"/>
        <w:jc w:val="both"/>
        <w:rPr>
          <w:rFonts w:ascii="Times New Roman" w:eastAsiaTheme="minorEastAsia" w:hAnsi="Times New Roman" w:cs="Times New Roman"/>
          <w:noProof/>
          <w:sz w:val="24"/>
        </w:rPr>
      </w:pPr>
    </w:p>
    <w:p w14:paraId="1E26CB77" w14:textId="3501F04A" w:rsidR="00DC5EC6" w:rsidRDefault="003245A4">
      <w:pPr>
        <w:pStyle w:val="P68B1DB1-Heading214"/>
        <w:rPr>
          <w:noProof/>
        </w:rPr>
      </w:pPr>
      <w:bookmarkStart w:id="15" w:name="_Toc137472486"/>
      <w:r>
        <w:rPr>
          <w:noProof/>
        </w:rPr>
        <w:t>RP-C05-i12– növekmény: Zöld menetrendek/szövetségek az üzleti innovációért (hitelek</w:t>
      </w:r>
      <w:bookmarkEnd w:id="15"/>
      <w:r>
        <w:rPr>
          <w:noProof/>
        </w:rPr>
        <w:t>)</w:t>
      </w:r>
    </w:p>
    <w:p w14:paraId="51585A10" w14:textId="788869BD" w:rsidR="00DC5EC6" w:rsidRDefault="003245A4">
      <w:pPr>
        <w:pStyle w:val="P68B1DB1-Normal4"/>
        <w:spacing w:after="0"/>
        <w:jc w:val="both"/>
        <w:rPr>
          <w:rFonts w:cs="Times New Roman"/>
          <w:noProof/>
        </w:rPr>
      </w:pPr>
      <w:r>
        <w:rPr>
          <w:noProof/>
        </w:rPr>
        <w:t>E beruházás célja az RE-C05-i01.02 beruházás növelése az 5. elem keretében. Az intézkedés fokozásával növelni kell a zöld menetrendekben szereplő termékek, folyamatok vagy szolgáltatások számát.</w:t>
      </w:r>
    </w:p>
    <w:p w14:paraId="5ECB84FA" w14:textId="2CE97D40" w:rsidR="00DC5EC6" w:rsidRDefault="003245A4">
      <w:pPr>
        <w:pStyle w:val="P68B1DB1-Normal4"/>
        <w:spacing w:after="0"/>
        <w:jc w:val="both"/>
        <w:rPr>
          <w:rFonts w:eastAsiaTheme="minorEastAsia" w:cs="Times New Roman"/>
          <w:noProof/>
        </w:rPr>
      </w:pPr>
      <w:r>
        <w:rPr>
          <w:noProof/>
        </w:rPr>
        <w:t xml:space="preserve">A beruházás végrehajtását 2025. december 31-ig be kell fejezni. </w:t>
      </w:r>
    </w:p>
    <w:p w14:paraId="4B8C6875"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08"/>
          <w:headerReference w:type="default" r:id="rId109"/>
          <w:footerReference w:type="even" r:id="rId110"/>
          <w:footerReference w:type="default" r:id="rId111"/>
          <w:headerReference w:type="first" r:id="rId112"/>
          <w:footerReference w:type="first" r:id="rId113"/>
          <w:pgSz w:w="11907" w:h="16839"/>
          <w:pgMar w:top="1134" w:right="1134" w:bottom="1134" w:left="1134" w:header="567" w:footer="567" w:gutter="0"/>
          <w:cols w:space="720"/>
          <w:docGrid w:linePitch="360"/>
        </w:sectPr>
      </w:pPr>
    </w:p>
    <w:p w14:paraId="6490240C" w14:textId="77777777" w:rsidR="00DC5EC6" w:rsidRDefault="003245A4">
      <w:pPr>
        <w:keepNext/>
        <w:spacing w:before="40" w:after="0" w:line="259" w:lineRule="auto"/>
        <w:ind w:left="130" w:firstLine="720"/>
        <w:jc w:val="both"/>
        <w:outlineLvl w:val="2"/>
        <w:rPr>
          <w:rFonts w:ascii="Times New Roman" w:eastAsiaTheme="minorEastAsia" w:hAnsi="Times New Roman" w:cs="Times New Roman"/>
          <w:b/>
          <w:noProof/>
          <w:sz w:val="24"/>
          <w:u w:val="single"/>
        </w:rPr>
      </w:pPr>
      <w:r>
        <w:rPr>
          <w:rFonts w:ascii="Times New Roman" w:hAnsi="Times New Roman"/>
          <w:b/>
          <w:noProof/>
          <w:sz w:val="24"/>
          <w:u w:val="single"/>
        </w:rPr>
        <w:t xml:space="preserve">E.4. </w:t>
      </w:r>
      <w:r>
        <w:rPr>
          <w:noProof/>
        </w:rPr>
        <w:tab/>
      </w:r>
      <w:r>
        <w:rPr>
          <w:rFonts w:ascii="Times New Roman" w:hAnsi="Times New Roman"/>
          <w:b/>
          <w:noProof/>
          <w:sz w:val="24"/>
          <w:u w:val="single"/>
        </w:rPr>
        <w:t>Hitel – a végrehajtáshoz és a nyomon követéshez kapcsolódó mérföldkövek, célok, mutatók és ütemterv</w:t>
      </w:r>
    </w:p>
    <w:p w14:paraId="08C3CE82" w14:textId="77777777" w:rsidR="00DC5EC6" w:rsidRDefault="00DC5EC6">
      <w:pPr>
        <w:keepNext/>
        <w:spacing w:before="40" w:after="0" w:line="259" w:lineRule="auto"/>
        <w:jc w:val="both"/>
        <w:rPr>
          <w:rFonts w:ascii="Times New Roman" w:hAnsi="Times New Roman" w:cs="Times New Roman"/>
          <w:noProof/>
          <w:sz w:val="24"/>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1246"/>
        <w:gridCol w:w="1108"/>
        <w:gridCol w:w="1659"/>
        <w:gridCol w:w="1245"/>
        <w:gridCol w:w="972"/>
        <w:gridCol w:w="971"/>
        <w:gridCol w:w="695"/>
        <w:gridCol w:w="557"/>
        <w:gridCol w:w="694"/>
        <w:gridCol w:w="4908"/>
      </w:tblGrid>
      <w:tr w:rsidR="00DC5EC6" w14:paraId="235CFC6B" w14:textId="77777777">
        <w:trPr>
          <w:trHeight w:val="300"/>
          <w:tblHeader/>
        </w:trPr>
        <w:tc>
          <w:tcPr>
            <w:tcW w:w="1113" w:type="dxa"/>
            <w:vMerge w:val="restart"/>
            <w:shd w:val="clear" w:color="auto" w:fill="BDD6EE"/>
            <w:vAlign w:val="center"/>
            <w:hideMark/>
          </w:tcPr>
          <w:p w14:paraId="5AD60527"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46" w:type="dxa"/>
            <w:vMerge w:val="restart"/>
            <w:shd w:val="clear" w:color="auto" w:fill="BDD6EE"/>
            <w:noWrap/>
            <w:vAlign w:val="center"/>
            <w:hideMark/>
          </w:tcPr>
          <w:p w14:paraId="5F907E49"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08" w:type="dxa"/>
            <w:vMerge w:val="restart"/>
            <w:shd w:val="clear" w:color="auto" w:fill="BDD6EE"/>
            <w:noWrap/>
            <w:vAlign w:val="center"/>
            <w:hideMark/>
          </w:tcPr>
          <w:p w14:paraId="0F0CD791" w14:textId="77777777" w:rsidR="00DC5EC6" w:rsidRDefault="003245A4">
            <w:pPr>
              <w:pStyle w:val="P68B1DB1-Normal6"/>
              <w:spacing w:after="0" w:line="240" w:lineRule="auto"/>
              <w:jc w:val="center"/>
              <w:rPr>
                <w:rFonts w:eastAsia="Times New Roman" w:cs="Times New Roman"/>
                <w:noProof/>
              </w:rPr>
            </w:pPr>
            <w:r>
              <w:rPr>
                <w:noProof/>
              </w:rPr>
              <w:t>Mérföldkő/cél</w:t>
            </w:r>
          </w:p>
          <w:p w14:paraId="45499D8C" w14:textId="7AB69549" w:rsidR="00DC5EC6" w:rsidRDefault="003245A4">
            <w:pPr>
              <w:pStyle w:val="P68B1DB1-Normal9"/>
              <w:spacing w:after="0" w:line="240" w:lineRule="auto"/>
              <w:rPr>
                <w:rFonts w:ascii="Times New Roman" w:eastAsia="Times New Roman" w:hAnsi="Times New Roman" w:cs="Times New Roman"/>
                <w:b/>
                <w:noProof/>
                <w:sz w:val="18"/>
              </w:rPr>
            </w:pPr>
            <w:r>
              <w:rPr>
                <w:noProof/>
              </w:rPr>
              <w:t> </w:t>
            </w:r>
          </w:p>
        </w:tc>
        <w:tc>
          <w:tcPr>
            <w:tcW w:w="1659" w:type="dxa"/>
            <w:vMerge w:val="restart"/>
            <w:shd w:val="clear" w:color="auto" w:fill="BDD6EE"/>
            <w:noWrap/>
            <w:vAlign w:val="center"/>
            <w:hideMark/>
          </w:tcPr>
          <w:p w14:paraId="342DD455"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45" w:type="dxa"/>
            <w:vMerge w:val="restart"/>
            <w:shd w:val="clear" w:color="auto" w:fill="BDD6EE"/>
            <w:noWrap/>
            <w:vAlign w:val="center"/>
            <w:hideMark/>
          </w:tcPr>
          <w:p w14:paraId="5D379DDD"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38" w:type="dxa"/>
            <w:gridSpan w:val="3"/>
            <w:shd w:val="clear" w:color="auto" w:fill="BDD6EE"/>
            <w:noWrap/>
            <w:vAlign w:val="center"/>
            <w:hideMark/>
          </w:tcPr>
          <w:p w14:paraId="39B01116"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51" w:type="dxa"/>
            <w:gridSpan w:val="2"/>
            <w:shd w:val="clear" w:color="auto" w:fill="BDD6EE"/>
            <w:noWrap/>
            <w:vAlign w:val="center"/>
            <w:hideMark/>
          </w:tcPr>
          <w:p w14:paraId="328C3EC0"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908" w:type="dxa"/>
            <w:vMerge w:val="restart"/>
            <w:shd w:val="clear" w:color="auto" w:fill="BDD6EE"/>
            <w:noWrap/>
            <w:vAlign w:val="center"/>
            <w:hideMark/>
          </w:tcPr>
          <w:p w14:paraId="495029B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7B89938" w14:textId="77777777">
        <w:trPr>
          <w:trHeight w:val="600"/>
          <w:tblHeader/>
        </w:trPr>
        <w:tc>
          <w:tcPr>
            <w:tcW w:w="1113" w:type="dxa"/>
            <w:vMerge/>
            <w:vAlign w:val="center"/>
            <w:hideMark/>
          </w:tcPr>
          <w:p w14:paraId="414C4B6B" w14:textId="77777777" w:rsidR="00DC5EC6" w:rsidRDefault="00DC5EC6">
            <w:pPr>
              <w:spacing w:after="0" w:line="240" w:lineRule="auto"/>
              <w:rPr>
                <w:rFonts w:ascii="Times New Roman" w:eastAsia="Times New Roman" w:hAnsi="Times New Roman" w:cs="Times New Roman"/>
                <w:b/>
                <w:noProof/>
                <w:sz w:val="18"/>
              </w:rPr>
            </w:pPr>
          </w:p>
        </w:tc>
        <w:tc>
          <w:tcPr>
            <w:tcW w:w="1246" w:type="dxa"/>
            <w:vMerge/>
            <w:vAlign w:val="center"/>
            <w:hideMark/>
          </w:tcPr>
          <w:p w14:paraId="26F62AB4" w14:textId="77777777" w:rsidR="00DC5EC6" w:rsidRDefault="00DC5EC6">
            <w:pPr>
              <w:spacing w:after="0" w:line="240" w:lineRule="auto"/>
              <w:rPr>
                <w:rFonts w:ascii="Times New Roman" w:eastAsia="Times New Roman" w:hAnsi="Times New Roman" w:cs="Times New Roman"/>
                <w:b/>
                <w:noProof/>
                <w:sz w:val="18"/>
              </w:rPr>
            </w:pPr>
          </w:p>
        </w:tc>
        <w:tc>
          <w:tcPr>
            <w:tcW w:w="1108" w:type="dxa"/>
            <w:vMerge/>
            <w:noWrap/>
            <w:vAlign w:val="center"/>
            <w:hideMark/>
          </w:tcPr>
          <w:p w14:paraId="4CD10545" w14:textId="36059408" w:rsidR="00DC5EC6" w:rsidRDefault="00DC5EC6">
            <w:pPr>
              <w:spacing w:after="0" w:line="240" w:lineRule="auto"/>
              <w:rPr>
                <w:rFonts w:ascii="Times New Roman" w:eastAsia="Times New Roman" w:hAnsi="Times New Roman" w:cs="Times New Roman"/>
                <w:b/>
                <w:noProof/>
                <w:sz w:val="18"/>
              </w:rPr>
            </w:pPr>
          </w:p>
        </w:tc>
        <w:tc>
          <w:tcPr>
            <w:tcW w:w="1659" w:type="dxa"/>
            <w:vMerge/>
            <w:vAlign w:val="center"/>
            <w:hideMark/>
          </w:tcPr>
          <w:p w14:paraId="09C405A8" w14:textId="77777777" w:rsidR="00DC5EC6" w:rsidRDefault="00DC5EC6">
            <w:pPr>
              <w:spacing w:after="0" w:line="240" w:lineRule="auto"/>
              <w:rPr>
                <w:rFonts w:ascii="Times New Roman" w:eastAsia="Times New Roman" w:hAnsi="Times New Roman" w:cs="Times New Roman"/>
                <w:b/>
                <w:noProof/>
                <w:sz w:val="18"/>
              </w:rPr>
            </w:pPr>
          </w:p>
        </w:tc>
        <w:tc>
          <w:tcPr>
            <w:tcW w:w="1245" w:type="dxa"/>
            <w:vMerge/>
            <w:vAlign w:val="center"/>
            <w:hideMark/>
          </w:tcPr>
          <w:p w14:paraId="4019AC7D" w14:textId="77777777" w:rsidR="00DC5EC6" w:rsidRDefault="00DC5EC6">
            <w:pPr>
              <w:spacing w:after="0" w:line="240" w:lineRule="auto"/>
              <w:rPr>
                <w:rFonts w:ascii="Times New Roman" w:eastAsia="Times New Roman" w:hAnsi="Times New Roman" w:cs="Times New Roman"/>
                <w:b/>
                <w:noProof/>
                <w:sz w:val="18"/>
              </w:rPr>
            </w:pPr>
          </w:p>
        </w:tc>
        <w:tc>
          <w:tcPr>
            <w:tcW w:w="972" w:type="dxa"/>
            <w:tcBorders>
              <w:bottom w:val="single" w:sz="4" w:space="0" w:color="auto"/>
            </w:tcBorders>
            <w:shd w:val="clear" w:color="auto" w:fill="BDD6EE"/>
            <w:noWrap/>
            <w:vAlign w:val="center"/>
            <w:hideMark/>
          </w:tcPr>
          <w:p w14:paraId="33FB0290"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71" w:type="dxa"/>
            <w:tcBorders>
              <w:bottom w:val="single" w:sz="4" w:space="0" w:color="auto"/>
            </w:tcBorders>
            <w:shd w:val="clear" w:color="auto" w:fill="BDD6EE"/>
            <w:noWrap/>
            <w:vAlign w:val="center"/>
            <w:hideMark/>
          </w:tcPr>
          <w:p w14:paraId="3F9E2F45"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95" w:type="dxa"/>
            <w:tcBorders>
              <w:bottom w:val="single" w:sz="4" w:space="0" w:color="auto"/>
            </w:tcBorders>
            <w:shd w:val="clear" w:color="auto" w:fill="BDD6EE"/>
            <w:noWrap/>
            <w:vAlign w:val="center"/>
            <w:hideMark/>
          </w:tcPr>
          <w:p w14:paraId="3288458E" w14:textId="77777777" w:rsidR="00DC5EC6" w:rsidRDefault="003245A4">
            <w:pPr>
              <w:pStyle w:val="P68B1DB1-Normal6"/>
              <w:spacing w:after="0" w:line="240" w:lineRule="auto"/>
              <w:jc w:val="center"/>
              <w:rPr>
                <w:rFonts w:eastAsia="Times New Roman" w:cs="Times New Roman"/>
                <w:noProof/>
              </w:rPr>
            </w:pPr>
            <w:r>
              <w:rPr>
                <w:noProof/>
              </w:rPr>
              <w:t>Cél</w:t>
            </w:r>
          </w:p>
        </w:tc>
        <w:tc>
          <w:tcPr>
            <w:tcW w:w="557" w:type="dxa"/>
            <w:tcBorders>
              <w:bottom w:val="single" w:sz="4" w:space="0" w:color="auto"/>
            </w:tcBorders>
            <w:shd w:val="clear" w:color="auto" w:fill="BDD6EE"/>
            <w:noWrap/>
            <w:vAlign w:val="center"/>
            <w:hideMark/>
          </w:tcPr>
          <w:p w14:paraId="30E12A1C" w14:textId="03CC91C1" w:rsidR="00DC5EC6" w:rsidRDefault="003A02EC">
            <w:pPr>
              <w:pStyle w:val="P68B1DB1-Normal6"/>
              <w:spacing w:after="0" w:line="240" w:lineRule="auto"/>
              <w:jc w:val="center"/>
              <w:rPr>
                <w:rFonts w:eastAsia="Times New Roman" w:cs="Times New Roman"/>
                <w:noProof/>
              </w:rPr>
            </w:pPr>
            <w:r>
              <w:rPr>
                <w:noProof/>
              </w:rPr>
              <w:t>Negyedév</w:t>
            </w:r>
          </w:p>
        </w:tc>
        <w:tc>
          <w:tcPr>
            <w:tcW w:w="694" w:type="dxa"/>
            <w:tcBorders>
              <w:bottom w:val="single" w:sz="4" w:space="0" w:color="auto"/>
            </w:tcBorders>
            <w:shd w:val="clear" w:color="auto" w:fill="BDD6EE"/>
            <w:noWrap/>
            <w:vAlign w:val="center"/>
            <w:hideMark/>
          </w:tcPr>
          <w:p w14:paraId="49193FA0" w14:textId="5A004505" w:rsidR="00DC5EC6" w:rsidRDefault="003245A4">
            <w:pPr>
              <w:pStyle w:val="P68B1DB1-Normal6"/>
              <w:spacing w:after="0" w:line="240" w:lineRule="auto"/>
              <w:jc w:val="center"/>
              <w:rPr>
                <w:rFonts w:eastAsia="Times New Roman" w:cs="Times New Roman"/>
                <w:noProof/>
              </w:rPr>
            </w:pPr>
            <w:r>
              <w:rPr>
                <w:noProof/>
              </w:rPr>
              <w:t>Év</w:t>
            </w:r>
          </w:p>
        </w:tc>
        <w:tc>
          <w:tcPr>
            <w:tcW w:w="4908" w:type="dxa"/>
            <w:vMerge/>
            <w:vAlign w:val="center"/>
            <w:hideMark/>
          </w:tcPr>
          <w:p w14:paraId="68AAB397" w14:textId="77777777" w:rsidR="00DC5EC6" w:rsidRDefault="00DC5EC6">
            <w:pPr>
              <w:spacing w:after="0" w:line="240" w:lineRule="auto"/>
              <w:rPr>
                <w:rFonts w:ascii="Times New Roman" w:eastAsia="Times New Roman" w:hAnsi="Times New Roman" w:cs="Times New Roman"/>
                <w:b/>
                <w:noProof/>
                <w:sz w:val="18"/>
              </w:rPr>
            </w:pPr>
          </w:p>
        </w:tc>
      </w:tr>
      <w:tr w:rsidR="002C6E52" w14:paraId="62E78A68" w14:textId="77777777">
        <w:trPr>
          <w:trHeight w:val="509"/>
        </w:trPr>
        <w:tc>
          <w:tcPr>
            <w:tcW w:w="1113" w:type="dxa"/>
            <w:shd w:val="clear" w:color="auto" w:fill="C4EFCE"/>
            <w:vAlign w:val="center"/>
            <w:hideMark/>
          </w:tcPr>
          <w:p w14:paraId="1CD6A056" w14:textId="77777777" w:rsidR="002C6E52" w:rsidRDefault="002C6E52" w:rsidP="002C6E52">
            <w:pPr>
              <w:pStyle w:val="P68B1DB1-Normal7"/>
              <w:spacing w:after="0" w:line="240" w:lineRule="auto"/>
              <w:jc w:val="center"/>
              <w:rPr>
                <w:rFonts w:eastAsia="Times New Roman" w:cs="Calibri"/>
                <w:noProof/>
              </w:rPr>
            </w:pPr>
            <w:r>
              <w:rPr>
                <w:noProof/>
              </w:rPr>
              <w:t>5.23</w:t>
            </w:r>
          </w:p>
        </w:tc>
        <w:tc>
          <w:tcPr>
            <w:tcW w:w="1246" w:type="dxa"/>
            <w:shd w:val="clear" w:color="auto" w:fill="C4EFCE"/>
            <w:vAlign w:val="center"/>
            <w:hideMark/>
          </w:tcPr>
          <w:p w14:paraId="70D1D549" w14:textId="77777777" w:rsidR="002C6E52" w:rsidRDefault="002C6E52" w:rsidP="002C6E52">
            <w:pPr>
              <w:pStyle w:val="P68B1DB1-Normal8"/>
              <w:spacing w:after="0" w:line="240" w:lineRule="auto"/>
              <w:jc w:val="center"/>
              <w:rPr>
                <w:rFonts w:eastAsia="Times New Roman" w:cs="Calibri"/>
                <w:noProof/>
              </w:rPr>
            </w:pPr>
            <w:r>
              <w:rPr>
                <w:noProof/>
              </w:rPr>
              <w:t>Re-C05-r10</w:t>
            </w:r>
          </w:p>
        </w:tc>
        <w:tc>
          <w:tcPr>
            <w:tcW w:w="1108" w:type="dxa"/>
            <w:shd w:val="clear" w:color="auto" w:fill="C4EFCE"/>
            <w:vAlign w:val="center"/>
            <w:hideMark/>
          </w:tcPr>
          <w:p w14:paraId="3CF04DC0" w14:textId="77777777" w:rsidR="002C6E52" w:rsidRDefault="002C6E52" w:rsidP="002C6E52">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69E39EE1" w14:textId="77777777" w:rsidR="002C6E52" w:rsidRDefault="002C6E52" w:rsidP="002C6E52">
            <w:pPr>
              <w:pStyle w:val="P68B1DB1-Normal8"/>
              <w:spacing w:after="0" w:line="240" w:lineRule="auto"/>
              <w:jc w:val="center"/>
              <w:rPr>
                <w:rFonts w:eastAsia="Times New Roman" w:cs="Calibri"/>
                <w:noProof/>
              </w:rPr>
            </w:pPr>
            <w:r>
              <w:rPr>
                <w:noProof/>
              </w:rPr>
              <w:t xml:space="preserve">A </w:t>
            </w:r>
            <w:r>
              <w:rPr>
                <w:i/>
                <w:noProof/>
              </w:rPr>
              <w:t>Banco Português de Fomento</w:t>
            </w:r>
            <w:r>
              <w:rPr>
                <w:noProof/>
              </w:rPr>
              <w:t xml:space="preserve"> (BPF) tevékenységét és alapszabályát meghatározó rendelet hatálybalépése</w:t>
            </w:r>
          </w:p>
        </w:tc>
        <w:tc>
          <w:tcPr>
            <w:tcW w:w="1245" w:type="dxa"/>
            <w:shd w:val="clear" w:color="auto" w:fill="C4EFCE"/>
            <w:vAlign w:val="center"/>
            <w:hideMark/>
          </w:tcPr>
          <w:p w14:paraId="5C531FAA" w14:textId="77777777" w:rsidR="002C6E52" w:rsidRDefault="002C6E52" w:rsidP="002C6E52">
            <w:pPr>
              <w:pStyle w:val="P68B1DB1-Normal8"/>
              <w:spacing w:after="0" w:line="240" w:lineRule="auto"/>
              <w:jc w:val="center"/>
              <w:rPr>
                <w:rFonts w:eastAsia="Times New Roman" w:cs="Calibri"/>
                <w:noProof/>
              </w:rPr>
            </w:pPr>
            <w:r>
              <w:rPr>
                <w:noProof/>
              </w:rPr>
              <w:t>A BPF tevékenységét és alapszabályát meghatározó 63/2020. sz. törvényerejű rendelet hatálybalépése</w:t>
            </w:r>
          </w:p>
        </w:tc>
        <w:tc>
          <w:tcPr>
            <w:tcW w:w="972" w:type="dxa"/>
            <w:shd w:val="clear" w:color="auto" w:fill="C4EFCE"/>
            <w:vAlign w:val="center"/>
            <w:hideMark/>
          </w:tcPr>
          <w:p w14:paraId="7BF2953F"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547F95"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58AF4DF8"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584F10F0" w14:textId="09A7D351"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6C49ABF7" w14:textId="77777777" w:rsidR="002C6E52" w:rsidRDefault="002C6E52" w:rsidP="002C6E52">
            <w:pPr>
              <w:pStyle w:val="P68B1DB1-Normal8"/>
              <w:spacing w:after="0" w:line="240" w:lineRule="auto"/>
              <w:jc w:val="center"/>
              <w:rPr>
                <w:rFonts w:eastAsia="Times New Roman" w:cs="Calibri"/>
                <w:noProof/>
              </w:rPr>
            </w:pPr>
            <w:r>
              <w:rPr>
                <w:noProof/>
              </w:rPr>
              <w:t>2020</w:t>
            </w:r>
          </w:p>
        </w:tc>
        <w:tc>
          <w:tcPr>
            <w:tcW w:w="4908" w:type="dxa"/>
            <w:shd w:val="clear" w:color="auto" w:fill="C4EFCE"/>
            <w:vAlign w:val="center"/>
            <w:hideMark/>
          </w:tcPr>
          <w:p w14:paraId="61570855" w14:textId="77777777" w:rsidR="002C6E52" w:rsidRDefault="002C6E52" w:rsidP="002C6E52">
            <w:pPr>
              <w:pStyle w:val="P68B1DB1-Normal8"/>
              <w:spacing w:after="0" w:line="240" w:lineRule="auto"/>
              <w:jc w:val="both"/>
              <w:rPr>
                <w:rFonts w:eastAsia="Times New Roman" w:cs="Calibri"/>
                <w:noProof/>
              </w:rPr>
            </w:pPr>
            <w:r>
              <w:rPr>
                <w:noProof/>
              </w:rPr>
              <w:t>A Portugál Köztársaság kormánya általi közzététel és a BPF tevékenységét és működését szabályozó, valamint alapszabályát jóváhagyó 63/2020. sz. törvényerejű rendelet hatálybalépése.</w:t>
            </w:r>
          </w:p>
        </w:tc>
      </w:tr>
      <w:tr w:rsidR="00DC5EC6" w14:paraId="661774E0" w14:textId="77777777">
        <w:trPr>
          <w:trHeight w:val="1220"/>
        </w:trPr>
        <w:tc>
          <w:tcPr>
            <w:tcW w:w="1113" w:type="dxa"/>
            <w:shd w:val="clear" w:color="auto" w:fill="C4EFCE"/>
            <w:vAlign w:val="center"/>
            <w:hideMark/>
          </w:tcPr>
          <w:p w14:paraId="66190338" w14:textId="77777777" w:rsidR="00DC5EC6" w:rsidRDefault="003245A4">
            <w:pPr>
              <w:pStyle w:val="P68B1DB1-Normal7"/>
              <w:spacing w:after="0" w:line="240" w:lineRule="auto"/>
              <w:jc w:val="center"/>
              <w:rPr>
                <w:rFonts w:eastAsia="Times New Roman" w:cs="Calibri"/>
                <w:noProof/>
              </w:rPr>
            </w:pPr>
            <w:r>
              <w:rPr>
                <w:noProof/>
              </w:rPr>
              <w:t>5.24</w:t>
            </w:r>
          </w:p>
        </w:tc>
        <w:tc>
          <w:tcPr>
            <w:tcW w:w="1246" w:type="dxa"/>
            <w:shd w:val="clear" w:color="auto" w:fill="C4EFCE"/>
            <w:vAlign w:val="center"/>
            <w:hideMark/>
          </w:tcPr>
          <w:p w14:paraId="689D69C9" w14:textId="77777777" w:rsidR="00DC5EC6" w:rsidRDefault="003245A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9F03A2E"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FF4E1B6" w14:textId="77777777" w:rsidR="00DC5EC6" w:rsidRDefault="003245A4">
            <w:pPr>
              <w:pStyle w:val="P68B1DB1-Normal8"/>
              <w:spacing w:after="0" w:line="240" w:lineRule="auto"/>
              <w:jc w:val="center"/>
              <w:rPr>
                <w:rFonts w:eastAsia="Times New Roman" w:cs="Calibri"/>
                <w:noProof/>
              </w:rPr>
            </w:pPr>
            <w:r>
              <w:rPr>
                <w:noProof/>
              </w:rPr>
              <w:t xml:space="preserve"> A kollektív befektetési vállalkozásokra vonatkozó jogi keret felülvizsgálatának hatálybalépése </w:t>
            </w:r>
          </w:p>
        </w:tc>
        <w:tc>
          <w:tcPr>
            <w:tcW w:w="1245" w:type="dxa"/>
            <w:shd w:val="clear" w:color="auto" w:fill="C4EFCE"/>
            <w:vAlign w:val="center"/>
            <w:hideMark/>
          </w:tcPr>
          <w:p w14:paraId="4083C547" w14:textId="77777777" w:rsidR="00DC5EC6" w:rsidRDefault="003245A4">
            <w:pPr>
              <w:pStyle w:val="P68B1DB1-Normal8"/>
              <w:spacing w:after="0" w:line="240" w:lineRule="auto"/>
              <w:jc w:val="center"/>
              <w:rPr>
                <w:rFonts w:eastAsia="Times New Roman" w:cs="Calibri"/>
                <w:noProof/>
              </w:rPr>
            </w:pPr>
            <w:r>
              <w:rPr>
                <w:noProof/>
              </w:rPr>
              <w:t xml:space="preserve">A kollektív befektetési vállalkozásokra vonatkozó jogi keret felülvizsgálatának hatálybalépése </w:t>
            </w:r>
          </w:p>
        </w:tc>
        <w:tc>
          <w:tcPr>
            <w:tcW w:w="972" w:type="dxa"/>
            <w:shd w:val="clear" w:color="auto" w:fill="C4EFCE"/>
            <w:vAlign w:val="center"/>
            <w:hideMark/>
          </w:tcPr>
          <w:p w14:paraId="1A341D8C"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5C5E34C9"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51BF450"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3C786D1E" w14:textId="1DD119C8"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72FED962"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5E67B5D" w14:textId="77777777" w:rsidR="00DC5EC6" w:rsidRDefault="003245A4">
            <w:pPr>
              <w:pStyle w:val="P68B1DB1-Normal8"/>
              <w:spacing w:after="0" w:line="240" w:lineRule="auto"/>
              <w:jc w:val="both"/>
              <w:rPr>
                <w:rFonts w:eastAsia="Times New Roman" w:cs="Calibri"/>
                <w:noProof/>
              </w:rPr>
            </w:pPr>
            <w:r>
              <w:rPr>
                <w:noProof/>
              </w:rPr>
              <w:t>A törvény hatálybalépése a törvénynek a köztársasági Nemzetgyűlés általi elfogadását követően. Felülvizsgálja a kollektív befektetési vállalkozásokra vonatkozó jogi keretet a szabályozás és az adminisztráció egyszerűsítése érdekében.</w:t>
            </w:r>
          </w:p>
        </w:tc>
      </w:tr>
      <w:tr w:rsidR="00DC5EC6" w14:paraId="7FAB8FF7" w14:textId="77777777">
        <w:trPr>
          <w:trHeight w:val="1060"/>
        </w:trPr>
        <w:tc>
          <w:tcPr>
            <w:tcW w:w="1113" w:type="dxa"/>
            <w:shd w:val="clear" w:color="auto" w:fill="C4EFCE"/>
            <w:vAlign w:val="center"/>
            <w:hideMark/>
          </w:tcPr>
          <w:p w14:paraId="2CEBAA44" w14:textId="77777777" w:rsidR="00DC5EC6" w:rsidRDefault="003245A4">
            <w:pPr>
              <w:pStyle w:val="P68B1DB1-Normal7"/>
              <w:spacing w:after="0" w:line="240" w:lineRule="auto"/>
              <w:jc w:val="center"/>
              <w:rPr>
                <w:rFonts w:eastAsia="Times New Roman" w:cs="Calibri"/>
                <w:noProof/>
              </w:rPr>
            </w:pPr>
            <w:r>
              <w:rPr>
                <w:noProof/>
              </w:rPr>
              <w:t>5.25</w:t>
            </w:r>
          </w:p>
        </w:tc>
        <w:tc>
          <w:tcPr>
            <w:tcW w:w="1246" w:type="dxa"/>
            <w:shd w:val="clear" w:color="auto" w:fill="C4EFCE"/>
            <w:vAlign w:val="center"/>
            <w:hideMark/>
          </w:tcPr>
          <w:p w14:paraId="67EFB3F7" w14:textId="77777777" w:rsidR="00DC5EC6" w:rsidRDefault="003245A4">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1D7EC96"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039C18E1" w14:textId="77777777" w:rsidR="00DC5EC6" w:rsidRDefault="003245A4">
            <w:pPr>
              <w:pStyle w:val="P68B1DB1-Normal8"/>
              <w:spacing w:after="0" w:line="240" w:lineRule="auto"/>
              <w:jc w:val="center"/>
              <w:rPr>
                <w:rFonts w:eastAsia="Times New Roman" w:cs="Calibri"/>
                <w:noProof/>
              </w:rPr>
            </w:pPr>
            <w:r>
              <w:rPr>
                <w:noProof/>
              </w:rPr>
              <w:t>Az értékpapírtörvény felülvizsgálatának hatálybalépése</w:t>
            </w:r>
          </w:p>
        </w:tc>
        <w:tc>
          <w:tcPr>
            <w:tcW w:w="1245" w:type="dxa"/>
            <w:shd w:val="clear" w:color="auto" w:fill="C4EFCE"/>
            <w:vAlign w:val="center"/>
            <w:hideMark/>
          </w:tcPr>
          <w:p w14:paraId="16730FE3" w14:textId="77777777" w:rsidR="00DC5EC6" w:rsidRDefault="003245A4">
            <w:pPr>
              <w:pStyle w:val="P68B1DB1-Normal8"/>
              <w:spacing w:after="0" w:line="240" w:lineRule="auto"/>
              <w:jc w:val="center"/>
              <w:rPr>
                <w:rFonts w:eastAsia="Times New Roman" w:cs="Calibri"/>
                <w:noProof/>
              </w:rPr>
            </w:pPr>
            <w:r>
              <w:rPr>
                <w:noProof/>
              </w:rPr>
              <w:t xml:space="preserve">Az értékpapírtörvény felülvizsgálatának hatálybalépése </w:t>
            </w:r>
          </w:p>
        </w:tc>
        <w:tc>
          <w:tcPr>
            <w:tcW w:w="972" w:type="dxa"/>
            <w:shd w:val="clear" w:color="auto" w:fill="C4EFCE"/>
            <w:vAlign w:val="center"/>
            <w:hideMark/>
          </w:tcPr>
          <w:p w14:paraId="57352804"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D4D1645"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15C0F5D"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3C62266" w14:textId="128BF346"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23228510"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7E578C3A" w14:textId="77777777" w:rsidR="00DC5EC6" w:rsidRDefault="003245A4">
            <w:pPr>
              <w:pStyle w:val="P68B1DB1-Normal8"/>
              <w:spacing w:after="0" w:line="240" w:lineRule="auto"/>
              <w:jc w:val="both"/>
              <w:rPr>
                <w:rFonts w:eastAsia="Times New Roman" w:cs="Calibri"/>
                <w:noProof/>
              </w:rPr>
            </w:pPr>
            <w:r>
              <w:rPr>
                <w:noProof/>
              </w:rPr>
              <w:t>A törvény hatálybalépése a törvénynek a köztársasági Nemzetgyűlés általi elfogadását követően. Az értékpapír-törvény felülvizsgálatának célja a szabályozás és az adminisztráció egyszerűsítése annak érdekében, hogy a portugál tőkepiac versenyképességének növelésére irányuló célkitűzés tekintetében összehangolja a nemzeti keretet az uniós joggal.</w:t>
            </w:r>
          </w:p>
        </w:tc>
      </w:tr>
      <w:tr w:rsidR="002C6E52" w14:paraId="71EC5849" w14:textId="77777777">
        <w:trPr>
          <w:trHeight w:val="67"/>
        </w:trPr>
        <w:tc>
          <w:tcPr>
            <w:tcW w:w="1113" w:type="dxa"/>
            <w:shd w:val="clear" w:color="auto" w:fill="C4EFCE"/>
            <w:vAlign w:val="center"/>
            <w:hideMark/>
          </w:tcPr>
          <w:p w14:paraId="73BF0385" w14:textId="77777777" w:rsidR="002C6E52" w:rsidRDefault="002C6E52" w:rsidP="002C6E52">
            <w:pPr>
              <w:pStyle w:val="P68B1DB1-Normal7"/>
              <w:spacing w:after="0" w:line="240" w:lineRule="auto"/>
              <w:jc w:val="center"/>
              <w:rPr>
                <w:rFonts w:eastAsia="Times New Roman" w:cs="Calibri"/>
                <w:noProof/>
              </w:rPr>
            </w:pPr>
            <w:r>
              <w:rPr>
                <w:noProof/>
              </w:rPr>
              <w:t>5.26</w:t>
            </w:r>
          </w:p>
        </w:tc>
        <w:tc>
          <w:tcPr>
            <w:tcW w:w="1246" w:type="dxa"/>
            <w:shd w:val="clear" w:color="auto" w:fill="C4EFCE"/>
            <w:vAlign w:val="center"/>
            <w:hideMark/>
          </w:tcPr>
          <w:p w14:paraId="01F6EAD9" w14:textId="77777777" w:rsidR="002C6E52" w:rsidRDefault="002C6E52" w:rsidP="002C6E52">
            <w:pPr>
              <w:pStyle w:val="P68B1DB1-Normal8"/>
              <w:spacing w:after="0" w:line="240" w:lineRule="auto"/>
              <w:jc w:val="center"/>
              <w:rPr>
                <w:rFonts w:eastAsia="Times New Roman" w:cs="Calibri"/>
                <w:noProof/>
              </w:rPr>
            </w:pPr>
            <w:r>
              <w:rPr>
                <w:noProof/>
              </w:rPr>
              <w:t>Re-C05-r13</w:t>
            </w:r>
          </w:p>
        </w:tc>
        <w:tc>
          <w:tcPr>
            <w:tcW w:w="1108" w:type="dxa"/>
            <w:shd w:val="clear" w:color="auto" w:fill="C4EFCE"/>
            <w:vAlign w:val="center"/>
            <w:hideMark/>
          </w:tcPr>
          <w:p w14:paraId="789C3F1A" w14:textId="77777777" w:rsidR="002C6E52" w:rsidRDefault="002C6E52" w:rsidP="002C6E52">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1D2DB219" w14:textId="77777777" w:rsidR="002C6E52" w:rsidRDefault="002C6E52" w:rsidP="002C6E52">
            <w:pPr>
              <w:pStyle w:val="P68B1DB1-Normal8"/>
              <w:spacing w:after="0" w:line="240" w:lineRule="auto"/>
              <w:jc w:val="center"/>
              <w:rPr>
                <w:rFonts w:eastAsia="Times New Roman" w:cs="Calibri"/>
                <w:noProof/>
              </w:rPr>
            </w:pPr>
            <w:r>
              <w:rPr>
                <w:noProof/>
              </w:rPr>
              <w:t xml:space="preserve">Tőkepiaci fejlődés – a jogszabályok hatálybalépése </w:t>
            </w:r>
          </w:p>
        </w:tc>
        <w:tc>
          <w:tcPr>
            <w:tcW w:w="1245" w:type="dxa"/>
            <w:shd w:val="clear" w:color="auto" w:fill="C4EFCE"/>
            <w:vAlign w:val="center"/>
            <w:hideMark/>
          </w:tcPr>
          <w:p w14:paraId="7D1637FA" w14:textId="77777777" w:rsidR="002C6E52" w:rsidRDefault="002C6E52" w:rsidP="002C6E52">
            <w:pPr>
              <w:pStyle w:val="P68B1DB1-Normal8"/>
              <w:spacing w:after="0" w:line="240" w:lineRule="auto"/>
              <w:jc w:val="center"/>
              <w:rPr>
                <w:rFonts w:eastAsia="Times New Roman" w:cs="Calibri"/>
                <w:noProof/>
              </w:rPr>
            </w:pPr>
            <w:r>
              <w:rPr>
                <w:noProof/>
              </w:rPr>
              <w:t>A tőkepiaci fejlesztésre vonatkozó jogszabályok hatálybalépése</w:t>
            </w:r>
          </w:p>
        </w:tc>
        <w:tc>
          <w:tcPr>
            <w:tcW w:w="972" w:type="dxa"/>
            <w:shd w:val="clear" w:color="auto" w:fill="C4EFCE"/>
            <w:vAlign w:val="center"/>
            <w:hideMark/>
          </w:tcPr>
          <w:p w14:paraId="586E7C49"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1A2F023"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2E32C9C"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6033117F" w14:textId="7D8E310F"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22331127" w14:textId="77777777" w:rsidR="002C6E52" w:rsidRDefault="002C6E52" w:rsidP="002C6E52">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hideMark/>
          </w:tcPr>
          <w:p w14:paraId="1C25D1BF" w14:textId="77777777" w:rsidR="002C6E52" w:rsidRDefault="002C6E52" w:rsidP="002C6E52">
            <w:pPr>
              <w:pStyle w:val="P68B1DB1-Normal8"/>
              <w:spacing w:after="0" w:line="240" w:lineRule="auto"/>
              <w:jc w:val="both"/>
              <w:rPr>
                <w:rFonts w:eastAsia="Times New Roman" w:cs="Calibri"/>
                <w:noProof/>
              </w:rPr>
            </w:pPr>
            <w:r>
              <w:rPr>
                <w:noProof/>
              </w:rPr>
              <w:t>A piaci szereplők hozzájárulásait követően hatályba lépett a tőkepiaci fejlődésre vonatkozó jogszabályok. A (gazdasági és digitális átállásért felelős minisztérium és pénzügyi államtitkár által létrehozott) tőkepiaci integrációs munkacsoport munkaszabadságának megőrzése mellett a jogszabály célja többek között a következők ösztönzése: i. a tőkéhez való hozzáférés a tőkepiacokon keresztül, ii. az üzleti növekedést elősegítő környezet megteremtése, iii. adósságfinanszírozás a piacon, iv. a befektetők részvétele.</w:t>
            </w:r>
          </w:p>
        </w:tc>
      </w:tr>
      <w:tr w:rsidR="00DC5EC6" w14:paraId="2E453268" w14:textId="77777777">
        <w:trPr>
          <w:trHeight w:val="1984"/>
        </w:trPr>
        <w:tc>
          <w:tcPr>
            <w:tcW w:w="1113" w:type="dxa"/>
            <w:shd w:val="clear" w:color="auto" w:fill="C4EFCE"/>
            <w:vAlign w:val="center"/>
            <w:hideMark/>
          </w:tcPr>
          <w:p w14:paraId="1303E8CD" w14:textId="77777777" w:rsidR="00DC5EC6" w:rsidRDefault="003245A4">
            <w:pPr>
              <w:pStyle w:val="P68B1DB1-Normal7"/>
              <w:spacing w:after="0" w:line="240" w:lineRule="auto"/>
              <w:jc w:val="center"/>
              <w:rPr>
                <w:rFonts w:eastAsia="Times New Roman" w:cs="Calibri"/>
                <w:noProof/>
              </w:rPr>
            </w:pPr>
            <w:r>
              <w:rPr>
                <w:noProof/>
              </w:rPr>
              <w:t>5.27</w:t>
            </w:r>
          </w:p>
        </w:tc>
        <w:tc>
          <w:tcPr>
            <w:tcW w:w="1246" w:type="dxa"/>
            <w:shd w:val="clear" w:color="auto" w:fill="C4EFCE"/>
            <w:vAlign w:val="center"/>
            <w:hideMark/>
          </w:tcPr>
          <w:p w14:paraId="1806B2C1"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4044504"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42D89F6B" w14:textId="77777777" w:rsidR="00DC5EC6" w:rsidRDefault="003245A4">
            <w:pPr>
              <w:pStyle w:val="P68B1DB1-Normal8"/>
              <w:spacing w:after="0" w:line="240" w:lineRule="auto"/>
              <w:jc w:val="center"/>
              <w:rPr>
                <w:rFonts w:eastAsia="Times New Roman" w:cs="Calibri"/>
                <w:noProof/>
              </w:rPr>
            </w:pPr>
            <w:r>
              <w:rPr>
                <w:noProof/>
              </w:rPr>
              <w:t xml:space="preserve">A BPF tőkésítési intézkedését szabályozó törvényerejű rendelet hatálybalépése </w:t>
            </w:r>
          </w:p>
        </w:tc>
        <w:tc>
          <w:tcPr>
            <w:tcW w:w="1245" w:type="dxa"/>
            <w:shd w:val="clear" w:color="auto" w:fill="C4EFCE"/>
            <w:vAlign w:val="center"/>
            <w:hideMark/>
          </w:tcPr>
          <w:p w14:paraId="0B68941B" w14:textId="77777777" w:rsidR="00DC5EC6" w:rsidRDefault="003245A4">
            <w:pPr>
              <w:pStyle w:val="P68B1DB1-Normal8"/>
              <w:spacing w:after="0" w:line="240" w:lineRule="auto"/>
              <w:jc w:val="center"/>
              <w:rPr>
                <w:rFonts w:eastAsia="Times New Roman" w:cs="Calibri"/>
                <w:noProof/>
              </w:rPr>
            </w:pPr>
            <w:r>
              <w:rPr>
                <w:noProof/>
              </w:rPr>
              <w:t>A BPF tőkésítési intézkedését szabályozó törvényerejű rendelet hatálybalépése</w:t>
            </w:r>
          </w:p>
        </w:tc>
        <w:tc>
          <w:tcPr>
            <w:tcW w:w="972" w:type="dxa"/>
            <w:shd w:val="clear" w:color="auto" w:fill="C4EFCE"/>
            <w:vAlign w:val="center"/>
            <w:hideMark/>
          </w:tcPr>
          <w:p w14:paraId="4606872E"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241F8011" w14:textId="77777777" w:rsidR="00DC5EC6" w:rsidRDefault="003245A4">
            <w:pPr>
              <w:pStyle w:val="P68B1DB1-Normal8"/>
              <w:spacing w:after="0" w:line="240" w:lineRule="auto"/>
              <w:jc w:val="center"/>
              <w:rPr>
                <w:rFonts w:eastAsia="Times New Roman" w:cs="Calibri"/>
                <w:noProof/>
              </w:rPr>
            </w:pPr>
            <w:r>
              <w:rPr>
                <w:noProof/>
              </w:rPr>
              <w:t> </w:t>
            </w:r>
          </w:p>
          <w:p w14:paraId="568C3E8E" w14:textId="77777777" w:rsidR="00DC5EC6" w:rsidRDefault="00DC5EC6">
            <w:pPr>
              <w:rPr>
                <w:rFonts w:ascii="Calibri" w:eastAsia="Times New Roman" w:hAnsi="Calibri" w:cs="Calibri"/>
                <w:noProof/>
                <w:sz w:val="16"/>
              </w:rPr>
            </w:pPr>
          </w:p>
          <w:p w14:paraId="4A2BB129" w14:textId="77777777" w:rsidR="00DC5EC6" w:rsidRDefault="00DC5EC6">
            <w:pPr>
              <w:rPr>
                <w:rFonts w:ascii="Calibri" w:eastAsia="Times New Roman" w:hAnsi="Calibri" w:cs="Calibri"/>
                <w:noProof/>
                <w:sz w:val="16"/>
              </w:rPr>
            </w:pPr>
          </w:p>
          <w:p w14:paraId="528CDCA3" w14:textId="77777777" w:rsidR="00DC5EC6" w:rsidRDefault="00DC5EC6">
            <w:pPr>
              <w:rPr>
                <w:rFonts w:ascii="Calibri" w:eastAsia="Times New Roman" w:hAnsi="Calibri" w:cs="Calibri"/>
                <w:noProof/>
                <w:sz w:val="16"/>
              </w:rPr>
            </w:pPr>
          </w:p>
          <w:p w14:paraId="73EBE8F6" w14:textId="77777777" w:rsidR="00DC5EC6" w:rsidRDefault="00DC5EC6">
            <w:pPr>
              <w:rPr>
                <w:rFonts w:ascii="Calibri" w:eastAsia="Times New Roman" w:hAnsi="Calibri" w:cs="Calibri"/>
                <w:noProof/>
                <w:sz w:val="16"/>
              </w:rPr>
            </w:pPr>
          </w:p>
          <w:p w14:paraId="037CD278" w14:textId="00F93827" w:rsidR="00DC5EC6" w:rsidRDefault="00DC5EC6">
            <w:pPr>
              <w:rPr>
                <w:rFonts w:ascii="Calibri" w:eastAsia="Times New Roman" w:hAnsi="Calibri" w:cs="Calibri"/>
                <w:noProof/>
                <w:sz w:val="16"/>
              </w:rPr>
            </w:pPr>
          </w:p>
        </w:tc>
        <w:tc>
          <w:tcPr>
            <w:tcW w:w="695" w:type="dxa"/>
            <w:shd w:val="clear" w:color="auto" w:fill="C4EFCE"/>
            <w:vAlign w:val="center"/>
            <w:hideMark/>
          </w:tcPr>
          <w:p w14:paraId="66A30881"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78A1E93" w14:textId="247C4226"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28C39B7C" w14:textId="77777777" w:rsidR="00DC5EC6" w:rsidRDefault="003245A4">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7330B2B8" w14:textId="77777777" w:rsidR="00DC5EC6" w:rsidRDefault="003245A4">
            <w:pPr>
              <w:pStyle w:val="P68B1DB1-Normal8"/>
              <w:spacing w:after="0" w:line="240" w:lineRule="auto"/>
              <w:jc w:val="both"/>
              <w:rPr>
                <w:rFonts w:eastAsia="Times New Roman" w:cs="Calibri"/>
                <w:noProof/>
              </w:rPr>
            </w:pPr>
            <w:r>
              <w:rPr>
                <w:noProof/>
              </w:rPr>
              <w:t xml:space="preserve">A tőkésítési intézkedést szabályozó, többek között a kedvezményezett vállalkozások jogosultsági feltételeit és kiválasztását meghatározó befektetési politika kialakításának szükségességét megállapító törvényerejű rendelet hatálybalépése  </w:t>
            </w:r>
          </w:p>
        </w:tc>
      </w:tr>
      <w:tr w:rsidR="00DC5EC6" w14:paraId="13FEB03E" w14:textId="77777777">
        <w:trPr>
          <w:trHeight w:val="1470"/>
        </w:trPr>
        <w:tc>
          <w:tcPr>
            <w:tcW w:w="1113" w:type="dxa"/>
            <w:shd w:val="clear" w:color="auto" w:fill="C4EFCE"/>
            <w:vAlign w:val="center"/>
            <w:hideMark/>
          </w:tcPr>
          <w:p w14:paraId="2FAB9979" w14:textId="77777777" w:rsidR="00DC5EC6" w:rsidRDefault="003245A4">
            <w:pPr>
              <w:pStyle w:val="P68B1DB1-Normal7"/>
              <w:spacing w:after="0" w:line="240" w:lineRule="auto"/>
              <w:jc w:val="center"/>
              <w:rPr>
                <w:rFonts w:eastAsia="Times New Roman" w:cs="Calibri"/>
                <w:noProof/>
              </w:rPr>
            </w:pPr>
            <w:r>
              <w:rPr>
                <w:noProof/>
              </w:rPr>
              <w:t>5.28</w:t>
            </w:r>
          </w:p>
        </w:tc>
        <w:tc>
          <w:tcPr>
            <w:tcW w:w="1246" w:type="dxa"/>
            <w:shd w:val="clear" w:color="auto" w:fill="C4EFCE"/>
            <w:vAlign w:val="center"/>
            <w:hideMark/>
          </w:tcPr>
          <w:p w14:paraId="652B7AB1"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00EB9EF"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FFFD34C" w14:textId="77777777" w:rsidR="00DC5EC6" w:rsidRDefault="003245A4">
            <w:pPr>
              <w:pStyle w:val="P68B1DB1-Normal8"/>
              <w:spacing w:after="0" w:line="240" w:lineRule="auto"/>
              <w:jc w:val="center"/>
              <w:rPr>
                <w:rFonts w:eastAsia="Times New Roman" w:cs="Calibri"/>
                <w:noProof/>
              </w:rPr>
            </w:pPr>
            <w:r>
              <w:rPr>
                <w:noProof/>
              </w:rPr>
              <w:t> </w:t>
            </w:r>
          </w:p>
          <w:p w14:paraId="745A03C4" w14:textId="77777777" w:rsidR="00DC5EC6" w:rsidRDefault="003245A4">
            <w:pPr>
              <w:pStyle w:val="P68B1DB1-Normal8"/>
              <w:spacing w:after="0" w:line="240" w:lineRule="auto"/>
              <w:jc w:val="center"/>
              <w:rPr>
                <w:rFonts w:eastAsia="Times New Roman" w:cs="Calibri"/>
                <w:noProof/>
              </w:rPr>
            </w:pPr>
            <w:r>
              <w:rPr>
                <w:noProof/>
              </w:rPr>
              <w:t>A befektetési politika fejlesztése (tőkésítés) és a járműkezelő általi elfogadás</w:t>
            </w:r>
          </w:p>
        </w:tc>
        <w:tc>
          <w:tcPr>
            <w:tcW w:w="1245" w:type="dxa"/>
            <w:shd w:val="clear" w:color="auto" w:fill="C4EFCE"/>
            <w:vAlign w:val="center"/>
            <w:hideMark/>
          </w:tcPr>
          <w:p w14:paraId="3C4F6B64" w14:textId="77777777" w:rsidR="00DC5EC6" w:rsidRDefault="003245A4">
            <w:pPr>
              <w:pStyle w:val="P68B1DB1-Normal8"/>
              <w:spacing w:after="0" w:line="240" w:lineRule="auto"/>
              <w:jc w:val="center"/>
              <w:rPr>
                <w:rFonts w:eastAsia="Times New Roman" w:cs="Calibri"/>
                <w:noProof/>
              </w:rPr>
            </w:pPr>
            <w:r>
              <w:rPr>
                <w:noProof/>
              </w:rPr>
              <w:t>A BPF által kidolgozott és a végrehajtott pénzügyi eszközökből származó részesedések kezelésére létrehozott eszköz által elfogadott befektetési politika (tőkésítés)</w:t>
            </w:r>
          </w:p>
        </w:tc>
        <w:tc>
          <w:tcPr>
            <w:tcW w:w="972" w:type="dxa"/>
            <w:shd w:val="clear" w:color="auto" w:fill="C4EFCE"/>
            <w:vAlign w:val="center"/>
            <w:hideMark/>
          </w:tcPr>
          <w:p w14:paraId="4DD7B877"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67CC7E9A"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2B21BDD4"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487C265D" w14:textId="013AB085" w:rsidR="00DC5EC6" w:rsidRDefault="002C6E52">
            <w:pPr>
              <w:pStyle w:val="P68B1DB1-Normal8"/>
              <w:spacing w:after="0" w:line="240" w:lineRule="auto"/>
              <w:jc w:val="center"/>
              <w:rPr>
                <w:rFonts w:eastAsia="Times New Roman" w:cs="Calibri"/>
                <w:noProof/>
              </w:rPr>
            </w:pPr>
            <w:r>
              <w:rPr>
                <w:noProof/>
              </w:rPr>
              <w:t>3. NEGYEDÉV</w:t>
            </w:r>
          </w:p>
        </w:tc>
        <w:tc>
          <w:tcPr>
            <w:tcW w:w="694" w:type="dxa"/>
            <w:shd w:val="clear" w:color="auto" w:fill="C4EFCE"/>
            <w:vAlign w:val="center"/>
            <w:hideMark/>
          </w:tcPr>
          <w:p w14:paraId="5DD8880A" w14:textId="77777777" w:rsidR="00DC5EC6" w:rsidRDefault="003245A4">
            <w:pPr>
              <w:pStyle w:val="P68B1DB1-Normal8"/>
              <w:spacing w:after="0" w:line="240" w:lineRule="auto"/>
              <w:jc w:val="center"/>
              <w:rPr>
                <w:rFonts w:eastAsia="Times New Roman" w:cs="Calibri"/>
                <w:noProof/>
              </w:rPr>
            </w:pPr>
            <w:r>
              <w:rPr>
                <w:noProof/>
              </w:rPr>
              <w:t>2021</w:t>
            </w:r>
          </w:p>
        </w:tc>
        <w:tc>
          <w:tcPr>
            <w:tcW w:w="4908" w:type="dxa"/>
            <w:shd w:val="clear" w:color="auto" w:fill="C4EFCE"/>
            <w:vAlign w:val="center"/>
            <w:hideMark/>
          </w:tcPr>
          <w:p w14:paraId="41B0778D" w14:textId="77777777" w:rsidR="00DC5EC6" w:rsidRDefault="003245A4">
            <w:pPr>
              <w:pStyle w:val="P68B1DB1-Normal8"/>
              <w:spacing w:after="0" w:line="240" w:lineRule="auto"/>
              <w:jc w:val="both"/>
              <w:rPr>
                <w:rFonts w:eastAsia="Times New Roman" w:cs="Calibri"/>
                <w:noProof/>
              </w:rPr>
            </w:pPr>
            <w:r>
              <w:rPr>
                <w:noProof/>
              </w:rPr>
              <w:t xml:space="preserve">A befektetési politika fejlesztése (tőkésítés) és a járműkezelő általi elfogadás. A beruházási politikát a BPF-nek kell kidolgoznia és elfogadnia a kedvezményezettként kiválasztott vállalatok támogatása céljából végrehajtott pénzügyi eszközökből származó részesedések kezelésére létrehozott eszköz irányító szerveként, és abban részletesen ismertetni kell a támogatott vállalatok kiválasztási/támogathatósági kritériumait, biztosítva a Helyreállítási és Rezilienciaépítési Eszköz éghajlat-politikai és környezetvédelmi követelményeinek tiszteletben tartását, beleértve a támogatott eszközökre/tevékenységekre és/vagy vállalatokra vonatkozó DNSH technikai iránymutatásnak (2021/C58/01) való megfelelést, valamint meghatározza a beruházási célokat és a célzott megtérüléseket. </w:t>
            </w:r>
          </w:p>
          <w:p w14:paraId="361DDA87" w14:textId="77777777" w:rsidR="00DC5EC6" w:rsidRDefault="003245A4">
            <w:pPr>
              <w:pStyle w:val="P68B1DB1-Normal8"/>
              <w:spacing w:after="0" w:line="240" w:lineRule="auto"/>
              <w:jc w:val="both"/>
              <w:rPr>
                <w:rFonts w:eastAsia="Times New Roman" w:cs="Calibri"/>
                <w:noProof/>
              </w:rPr>
            </w:pPr>
            <w:r>
              <w:rPr>
                <w:noProof/>
              </w:rPr>
              <w:t xml:space="preserve">A támogatott vállalatok DNSH technikai iránymutatásának (2021/C58/01) való megfelelés érdekében a beruházási politikának elő kell írnia a következőket: </w:t>
            </w:r>
          </w:p>
          <w:p w14:paraId="576E7270" w14:textId="77777777" w:rsidR="00DC5EC6" w:rsidRDefault="003245A4">
            <w:pPr>
              <w:pStyle w:val="P68B1DB1-Normal8"/>
              <w:spacing w:after="0" w:line="240" w:lineRule="auto"/>
              <w:jc w:val="both"/>
              <w:rPr>
                <w:rFonts w:eastAsia="Times New Roman" w:cs="Calibri"/>
                <w:noProof/>
              </w:rPr>
            </w:pPr>
            <w:r>
              <w:rPr>
                <w:noProof/>
              </w:rPr>
              <w:t>fenntarthatósági vizsgálat alkalmazása</w:t>
            </w:r>
          </w:p>
          <w:p w14:paraId="35D2078D" w14:textId="77777777" w:rsidR="00DC5EC6" w:rsidRDefault="003245A4">
            <w:pPr>
              <w:pStyle w:val="P68B1DB1-Normal8"/>
              <w:spacing w:after="0" w:line="240" w:lineRule="auto"/>
              <w:jc w:val="both"/>
              <w:rPr>
                <w:rFonts w:eastAsia="Times New Roman" w:cs="Calibri"/>
                <w:noProof/>
              </w:rPr>
            </w:pPr>
            <w:r>
              <w:rPr>
                <w:noProof/>
              </w:rPr>
              <w:t xml:space="preserve">kizárási lista, amely az alábbi elemeket tartalmazza: </w:t>
            </w:r>
          </w:p>
          <w:p w14:paraId="4A97B8D7" w14:textId="77777777" w:rsidR="00DC5EC6" w:rsidRDefault="003245A4">
            <w:pPr>
              <w:pStyle w:val="P68B1DB1-Normal8"/>
              <w:spacing w:after="0" w:line="240" w:lineRule="auto"/>
              <w:jc w:val="both"/>
              <w:rPr>
                <w:rFonts w:eastAsia="Times New Roman" w:cs="Calibri"/>
                <w:noProof/>
              </w:rPr>
            </w:pPr>
            <w:r>
              <w:rPr>
                <w:noProof/>
              </w:rPr>
              <w:t>A fosszilis tüzelőanyagokhoz kapcsolódó beruházások (beleértve a downstream felhasználást is), kivéve a DNSH-iránymutatás III. mellékletében meghatározott feltételeknek megfelelő földgázalapú hő- és villamosenergia-termelést</w:t>
            </w:r>
          </w:p>
          <w:p w14:paraId="10F5B1AB" w14:textId="77777777" w:rsidR="00DC5EC6" w:rsidRDefault="003245A4">
            <w:pPr>
              <w:pStyle w:val="P68B1DB1-Normal8"/>
              <w:spacing w:after="0" w:line="240" w:lineRule="auto"/>
              <w:jc w:val="both"/>
              <w:rPr>
                <w:rFonts w:eastAsia="Times New Roman" w:cs="Calibri"/>
                <w:noProof/>
              </w:rPr>
            </w:pPr>
            <w:r>
              <w:rPr>
                <w:noProof/>
              </w:rPr>
              <w:t>A kibocsátáskereskedelmi rendszer hatálya alá tartozó olyan tevékenységek, amelyek CO2-egyenértékben kifejezett kibocsátása nem alacsonyabb, mint az ingyenes kiosztásra megállapított vonatkozó referenciaértékek.</w:t>
            </w:r>
          </w:p>
          <w:p w14:paraId="540A7716" w14:textId="3DF3C20F" w:rsidR="00DC5EC6" w:rsidRDefault="003245A4">
            <w:pPr>
              <w:pStyle w:val="P68B1DB1-Normal8"/>
              <w:spacing w:after="0" w:line="240" w:lineRule="auto"/>
              <w:jc w:val="both"/>
              <w:rPr>
                <w:rFonts w:eastAsia="Times New Roman" w:cs="Calibri"/>
                <w:noProof/>
              </w:rPr>
            </w:pPr>
            <w:r>
              <w:rPr>
                <w:noProof/>
              </w:rPr>
              <w:t>A hulladék hulladéklerakókban történő ártalmatlanítására szolgáló létesítményekbe, a mechanikai-biológiai tisztító üzemekbe és a hulladékkezelő égetőművekbe történő beruházások. A kizárási lista nem vonatkozik a kizárólag nem újrafeldolgozható veszélyes hulladékok kezelésére szolgáló üzemekre; meglévő üzemekre, ahol a beruházás célja az energiahatékonyság növelése, a füstgázok tárolása vagy felhasználása vagy hulladékégetésből származó anyagok visszanyerése, feltéve, hogy az ilyen beruházások nem eredményezik az üzem hulladékfeldolgozási kapacitásának növekedését vagy az üzem élettartamának meghosszabbítását.</w:t>
            </w:r>
          </w:p>
          <w:p w14:paraId="2D69FDF2" w14:textId="77777777" w:rsidR="00DC5EC6" w:rsidRDefault="003245A4">
            <w:pPr>
              <w:pStyle w:val="P68B1DB1-Normal8"/>
              <w:spacing w:after="0" w:line="240" w:lineRule="auto"/>
              <w:jc w:val="both"/>
              <w:rPr>
                <w:rFonts w:eastAsia="Times New Roman" w:cs="Calibri"/>
                <w:noProof/>
              </w:rPr>
            </w:pPr>
            <w:r>
              <w:rPr>
                <w:noProof/>
              </w:rPr>
              <w:t>Olyan tevékenységek, ahol a hulladék hosszú távú ártalmatlanítása hosszú távon károsíthatja a környezetet (pl. nukleáris hulladék).</w:t>
            </w:r>
          </w:p>
          <w:p w14:paraId="23225360" w14:textId="77777777" w:rsidR="00DC5EC6" w:rsidRDefault="003245A4">
            <w:pPr>
              <w:pStyle w:val="P68B1DB1-Normal8"/>
              <w:spacing w:after="0" w:line="240" w:lineRule="auto"/>
              <w:jc w:val="both"/>
              <w:rPr>
                <w:rFonts w:eastAsia="Times New Roman" w:cs="Calibri"/>
                <w:noProof/>
              </w:rPr>
            </w:pPr>
            <w:r>
              <w:rPr>
                <w:noProof/>
              </w:rPr>
              <w:t>A fenti eszközökre és tevékenységekre irányuló K+F+I.</w:t>
            </w:r>
          </w:p>
          <w:p w14:paraId="7D9E0256" w14:textId="77777777" w:rsidR="00DC5EC6" w:rsidRDefault="003245A4">
            <w:pPr>
              <w:pStyle w:val="P68B1DB1-Normal8"/>
              <w:spacing w:after="0" w:line="240" w:lineRule="auto"/>
              <w:jc w:val="both"/>
              <w:rPr>
                <w:rFonts w:eastAsia="Times New Roman" w:cs="Calibri"/>
                <w:noProof/>
              </w:rPr>
            </w:pPr>
            <w:r>
              <w:rPr>
                <w:noProof/>
              </w:rPr>
              <w:t>kötelező jogszabályi megfelelési ellenőrzések a BPF-en és/vagy annak kiválasztott pénzügyi közvetítőin keresztül a fenntarthatósági vizsgálat alól mentesített ügyletek esetében</w:t>
            </w:r>
          </w:p>
          <w:p w14:paraId="56E7C1B2" w14:textId="3ECBA876" w:rsidR="00DC5EC6" w:rsidRDefault="003245A4">
            <w:pPr>
              <w:pStyle w:val="P68B1DB1-Normal8"/>
              <w:spacing w:after="0" w:line="240" w:lineRule="auto"/>
              <w:jc w:val="both"/>
              <w:rPr>
                <w:rFonts w:eastAsia="Times New Roman" w:cs="Calibri"/>
                <w:noProof/>
              </w:rPr>
            </w:pPr>
            <w:r>
              <w:rPr>
                <w:noProof/>
              </w:rPr>
              <w:t>a tőketámogatás azon kedvezményezettjei, amelyek bevételeinek legalább 50%-a a kizárási listán felsorolt tevékenységekből származik a zöld átállásra vonatkozó tervek elfogadása és közzététele céljából</w:t>
            </w:r>
          </w:p>
        </w:tc>
      </w:tr>
      <w:tr w:rsidR="002C6E52" w14:paraId="58DAC7D8" w14:textId="77777777">
        <w:trPr>
          <w:trHeight w:val="1470"/>
        </w:trPr>
        <w:tc>
          <w:tcPr>
            <w:tcW w:w="1113" w:type="dxa"/>
            <w:shd w:val="clear" w:color="auto" w:fill="C4EFCE"/>
            <w:vAlign w:val="center"/>
          </w:tcPr>
          <w:p w14:paraId="7AAF1C31" w14:textId="2324AB83" w:rsidR="002C6E52" w:rsidRDefault="002C6E52" w:rsidP="002C6E52">
            <w:pPr>
              <w:pStyle w:val="P68B1DB1-Normal7"/>
              <w:spacing w:after="0" w:line="240" w:lineRule="auto"/>
              <w:jc w:val="center"/>
              <w:rPr>
                <w:rFonts w:eastAsia="Times New Roman" w:cs="Calibri"/>
                <w:noProof/>
              </w:rPr>
            </w:pPr>
            <w:r>
              <w:rPr>
                <w:noProof/>
              </w:rPr>
              <w:t>5.43</w:t>
            </w:r>
          </w:p>
        </w:tc>
        <w:tc>
          <w:tcPr>
            <w:tcW w:w="1246" w:type="dxa"/>
            <w:shd w:val="clear" w:color="auto" w:fill="C4EFCE"/>
            <w:vAlign w:val="center"/>
          </w:tcPr>
          <w:p w14:paraId="2AD97864" w14:textId="565E1FAF" w:rsidR="002C6E52" w:rsidRDefault="002C6E52" w:rsidP="002C6E52">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tcPr>
          <w:p w14:paraId="73EC6014" w14:textId="73F26BD7" w:rsidR="002C6E52" w:rsidRDefault="002C6E52" w:rsidP="002C6E52">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tcPr>
          <w:p w14:paraId="4E2ED19B" w14:textId="06E68B56" w:rsidR="002C6E52" w:rsidRDefault="002C6E52" w:rsidP="002C6E52">
            <w:pPr>
              <w:pStyle w:val="P68B1DB1-Normal9"/>
              <w:spacing w:after="0" w:line="240" w:lineRule="auto"/>
              <w:jc w:val="center"/>
              <w:rPr>
                <w:rFonts w:eastAsia="Times New Roman" w:cs="Calibri"/>
                <w:noProof/>
                <w:sz w:val="16"/>
              </w:rPr>
            </w:pPr>
            <w:r>
              <w:rPr>
                <w:noProof/>
                <w:sz w:val="18"/>
              </w:rPr>
              <w:t>D Az összesen 650 000 000 EUR értékű tőkésítési eszközzel történő mentesítés portugál nem pénzügyi vállalatok számára sajáttőke- és kvázisajáttőke-támogatásban, befektetési politikájával összhangban</w:t>
            </w:r>
          </w:p>
        </w:tc>
        <w:tc>
          <w:tcPr>
            <w:tcW w:w="1245" w:type="dxa"/>
            <w:shd w:val="clear" w:color="auto" w:fill="C4EFCE"/>
            <w:vAlign w:val="center"/>
          </w:tcPr>
          <w:p w14:paraId="752C0856" w14:textId="06A6F4D5" w:rsidR="002C6E52" w:rsidRDefault="002C6E52" w:rsidP="002C6E52">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tcPr>
          <w:p w14:paraId="3548D410" w14:textId="4E0B55A9" w:rsidR="002C6E52" w:rsidRDefault="002C6E52" w:rsidP="002C6E52">
            <w:pPr>
              <w:pStyle w:val="P68B1DB1-Normal8"/>
              <w:spacing w:after="0" w:line="240" w:lineRule="auto"/>
              <w:jc w:val="center"/>
              <w:rPr>
                <w:rFonts w:eastAsia="Times New Roman" w:cs="Calibri"/>
                <w:noProof/>
              </w:rPr>
            </w:pPr>
            <w:r>
              <w:rPr>
                <w:noProof/>
              </w:rPr>
              <w:t xml:space="preserve">EUR </w:t>
            </w:r>
          </w:p>
        </w:tc>
        <w:tc>
          <w:tcPr>
            <w:tcW w:w="971" w:type="dxa"/>
            <w:shd w:val="clear" w:color="auto" w:fill="C4EFCE"/>
            <w:vAlign w:val="center"/>
          </w:tcPr>
          <w:p w14:paraId="45FC375D" w14:textId="23E21CC6" w:rsidR="002C6E52" w:rsidRDefault="002C6E52" w:rsidP="002C6E52">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tcPr>
          <w:p w14:paraId="77E4C48C" w14:textId="34768C61" w:rsidR="002C6E52" w:rsidRDefault="002C6E52" w:rsidP="002C6E52">
            <w:pPr>
              <w:pStyle w:val="P68B1DB1-Normal8"/>
              <w:spacing w:after="0" w:line="240" w:lineRule="auto"/>
              <w:jc w:val="center"/>
              <w:rPr>
                <w:rFonts w:eastAsia="Times New Roman" w:cs="Calibri"/>
                <w:noProof/>
              </w:rPr>
            </w:pPr>
            <w:r>
              <w:rPr>
                <w:noProof/>
              </w:rPr>
              <w:t>650 000 000</w:t>
            </w:r>
          </w:p>
        </w:tc>
        <w:tc>
          <w:tcPr>
            <w:tcW w:w="557" w:type="dxa"/>
            <w:shd w:val="clear" w:color="auto" w:fill="C4EFCE"/>
            <w:vAlign w:val="center"/>
          </w:tcPr>
          <w:p w14:paraId="1E551FEE" w14:textId="7D828B2D"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tcPr>
          <w:p w14:paraId="42B6A4AF" w14:textId="2FFF2A1C" w:rsidR="002C6E52" w:rsidRDefault="002C6E52" w:rsidP="002C6E52">
            <w:pPr>
              <w:pStyle w:val="P68B1DB1-Normal8"/>
              <w:spacing w:after="0" w:line="240" w:lineRule="auto"/>
              <w:jc w:val="center"/>
              <w:rPr>
                <w:rFonts w:eastAsia="Times New Roman" w:cs="Calibri"/>
                <w:noProof/>
              </w:rPr>
            </w:pPr>
            <w:r>
              <w:rPr>
                <w:noProof/>
              </w:rPr>
              <w:t>2023</w:t>
            </w:r>
          </w:p>
        </w:tc>
        <w:tc>
          <w:tcPr>
            <w:tcW w:w="4908" w:type="dxa"/>
            <w:shd w:val="clear" w:color="auto" w:fill="C4EFCE"/>
            <w:vAlign w:val="center"/>
          </w:tcPr>
          <w:p w14:paraId="73D8A264" w14:textId="5E5DE666" w:rsidR="002C6E52" w:rsidRDefault="002C6E52" w:rsidP="002C6E52">
            <w:pPr>
              <w:pStyle w:val="P68B1DB1-Normal8"/>
              <w:spacing w:after="0" w:line="240" w:lineRule="auto"/>
              <w:jc w:val="both"/>
              <w:rPr>
                <w:rFonts w:eastAsia="Times New Roman" w:cs="Calibri"/>
                <w:noProof/>
              </w:rPr>
            </w:pPr>
            <w:r>
              <w:rPr>
                <w:noProof/>
              </w:rPr>
              <w:t xml:space="preserve">A BPF által kidolgozott, korábban meghatározott befektetési politikával összhangban összesen 650 000 000 EUR összegű tőke- és kvázisajáttőke-támogatás nyújtása portugál nem pénzügyi vállalatok részére, beleértve a nem pénzügyi vállalatoknak közvetlen befektetésként kifizetett összegeket és a pénzügyi közvetítőknek közvetett befektetésként allokált összegeket. </w:t>
            </w:r>
          </w:p>
        </w:tc>
      </w:tr>
      <w:tr w:rsidR="002C6E52" w14:paraId="5D9E6171" w14:textId="77777777">
        <w:trPr>
          <w:trHeight w:val="1960"/>
        </w:trPr>
        <w:tc>
          <w:tcPr>
            <w:tcW w:w="1113" w:type="dxa"/>
            <w:shd w:val="clear" w:color="auto" w:fill="C4EFCE"/>
            <w:vAlign w:val="center"/>
            <w:hideMark/>
          </w:tcPr>
          <w:p w14:paraId="4495AE84" w14:textId="77777777" w:rsidR="002C6E52" w:rsidRDefault="002C6E52" w:rsidP="002C6E52">
            <w:pPr>
              <w:pStyle w:val="P68B1DB1-Normal7"/>
              <w:spacing w:after="0" w:line="240" w:lineRule="auto"/>
              <w:jc w:val="center"/>
              <w:rPr>
                <w:rFonts w:eastAsia="Times New Roman" w:cs="Calibri"/>
                <w:noProof/>
              </w:rPr>
            </w:pPr>
            <w:r>
              <w:rPr>
                <w:noProof/>
              </w:rPr>
              <w:t>5.29</w:t>
            </w:r>
          </w:p>
        </w:tc>
        <w:tc>
          <w:tcPr>
            <w:tcW w:w="1246" w:type="dxa"/>
            <w:shd w:val="clear" w:color="auto" w:fill="C4EFCE"/>
            <w:vAlign w:val="center"/>
            <w:hideMark/>
          </w:tcPr>
          <w:p w14:paraId="3D54CD9A" w14:textId="77777777" w:rsidR="002C6E52" w:rsidRDefault="002C6E52" w:rsidP="002C6E52">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79606A01" w14:textId="77777777" w:rsidR="002C6E52" w:rsidRDefault="002C6E52" w:rsidP="002C6E52">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02CF9922" w14:textId="4B68928A" w:rsidR="002C6E52" w:rsidRDefault="002C6E52" w:rsidP="002C6E52">
            <w:pPr>
              <w:pStyle w:val="P68B1DB1-Normal9"/>
              <w:spacing w:after="0" w:line="240" w:lineRule="auto"/>
              <w:jc w:val="center"/>
              <w:rPr>
                <w:rFonts w:eastAsia="Times New Roman" w:cs="Calibri"/>
                <w:noProof/>
                <w:sz w:val="18"/>
              </w:rPr>
            </w:pPr>
            <w:r>
              <w:rPr>
                <w:noProof/>
                <w:sz w:val="18"/>
              </w:rPr>
              <w:t>D Az összesen 1 300 000 000 EUR értékű tőkésítési eszközzel történő mentesítés portugál nem pénzügyi vállalatok számára sajáttőke- és kvázisajáttőke-támogatásban, befektetési politikájával összhangban</w:t>
            </w:r>
          </w:p>
        </w:tc>
        <w:tc>
          <w:tcPr>
            <w:tcW w:w="1245" w:type="dxa"/>
            <w:shd w:val="clear" w:color="auto" w:fill="C4EFCE"/>
            <w:vAlign w:val="center"/>
            <w:hideMark/>
          </w:tcPr>
          <w:p w14:paraId="71326F10"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36DB9E1E" w14:textId="77777777" w:rsidR="002C6E52" w:rsidRDefault="002C6E52" w:rsidP="002C6E52">
            <w:pPr>
              <w:pStyle w:val="P68B1DB1-Normal8"/>
              <w:spacing w:after="0" w:line="240" w:lineRule="auto"/>
              <w:jc w:val="center"/>
              <w:rPr>
                <w:rFonts w:eastAsia="Times New Roman" w:cs="Calibri"/>
                <w:noProof/>
              </w:rPr>
            </w:pPr>
            <w:r>
              <w:rPr>
                <w:noProof/>
              </w:rPr>
              <w:t xml:space="preserve">EUR </w:t>
            </w:r>
          </w:p>
        </w:tc>
        <w:tc>
          <w:tcPr>
            <w:tcW w:w="971" w:type="dxa"/>
            <w:shd w:val="clear" w:color="auto" w:fill="C4EFCE"/>
            <w:vAlign w:val="center"/>
            <w:hideMark/>
          </w:tcPr>
          <w:p w14:paraId="224DC5A2" w14:textId="05CA90DA" w:rsidR="002C6E52" w:rsidRDefault="002C6E52" w:rsidP="002C6E52">
            <w:pPr>
              <w:pStyle w:val="P68B1DB1-Normal8"/>
              <w:spacing w:after="0" w:line="240" w:lineRule="auto"/>
              <w:jc w:val="center"/>
              <w:rPr>
                <w:rFonts w:eastAsia="Times New Roman" w:cs="Calibri"/>
                <w:noProof/>
              </w:rPr>
            </w:pPr>
            <w:r>
              <w:rPr>
                <w:noProof/>
              </w:rPr>
              <w:t>650 000 000</w:t>
            </w:r>
          </w:p>
        </w:tc>
        <w:tc>
          <w:tcPr>
            <w:tcW w:w="695" w:type="dxa"/>
            <w:shd w:val="clear" w:color="auto" w:fill="C4EFCE"/>
            <w:vAlign w:val="center"/>
            <w:hideMark/>
          </w:tcPr>
          <w:p w14:paraId="1CA39E70" w14:textId="25FFDE82" w:rsidR="002C6E52" w:rsidRDefault="002C6E52" w:rsidP="002C6E52">
            <w:pPr>
              <w:pStyle w:val="P68B1DB1-Normal8"/>
              <w:spacing w:after="0" w:line="240" w:lineRule="auto"/>
              <w:jc w:val="center"/>
              <w:rPr>
                <w:rFonts w:eastAsia="Times New Roman" w:cs="Calibri"/>
                <w:noProof/>
              </w:rPr>
            </w:pPr>
            <w:r>
              <w:rPr>
                <w:noProof/>
              </w:rPr>
              <w:t>1 300 000 000</w:t>
            </w:r>
          </w:p>
        </w:tc>
        <w:tc>
          <w:tcPr>
            <w:tcW w:w="557" w:type="dxa"/>
            <w:shd w:val="clear" w:color="auto" w:fill="C4EFCE"/>
            <w:vAlign w:val="center"/>
            <w:hideMark/>
          </w:tcPr>
          <w:p w14:paraId="4C01E635" w14:textId="679C4B44"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7FE96FF1" w14:textId="4723B112" w:rsidR="002C6E52" w:rsidRDefault="002C6E52" w:rsidP="002C6E52">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397877F2" w14:textId="3F4CCA05" w:rsidR="002C6E52" w:rsidRDefault="002C6E52" w:rsidP="002C6E52">
            <w:pPr>
              <w:pStyle w:val="P68B1DB1-Normal8"/>
              <w:spacing w:after="0" w:line="240" w:lineRule="auto"/>
              <w:jc w:val="both"/>
              <w:rPr>
                <w:rFonts w:eastAsia="Times New Roman" w:cs="Calibri"/>
                <w:noProof/>
              </w:rPr>
            </w:pPr>
            <w:r>
              <w:rPr>
                <w:noProof/>
              </w:rPr>
              <w:t>A BPF által kidolgozott és a végrehajtott pénzügyi eszközökből származó részesedések kezelésére létrehozott eszköz által elfogadott, korábban meghatározott befektetési politikával összhangban összesen 1 300 000 000 EUR (beleértve az 5.43 célkitűzés 650 000 000 EUR-t is) nyújtása portugál nem pénzügyi vállalatoknak sajáttőke- és kvázisajáttőke-támogatásban. Indikatív jelleggel a becslések szerint a terv befejezése várhatóan 1300 vállalkozást támogat majd.</w:t>
            </w:r>
          </w:p>
        </w:tc>
      </w:tr>
      <w:tr w:rsidR="00DC5EC6" w14:paraId="549D7570" w14:textId="77777777">
        <w:trPr>
          <w:trHeight w:val="1817"/>
        </w:trPr>
        <w:tc>
          <w:tcPr>
            <w:tcW w:w="1113" w:type="dxa"/>
            <w:shd w:val="clear" w:color="auto" w:fill="C4EFCE"/>
            <w:vAlign w:val="center"/>
            <w:hideMark/>
          </w:tcPr>
          <w:p w14:paraId="200D26C9" w14:textId="77777777" w:rsidR="00DC5EC6" w:rsidRDefault="003245A4">
            <w:pPr>
              <w:pStyle w:val="P68B1DB1-Normal7"/>
              <w:spacing w:after="0" w:line="240" w:lineRule="auto"/>
              <w:jc w:val="center"/>
              <w:rPr>
                <w:rFonts w:eastAsia="Times New Roman" w:cs="Calibri"/>
                <w:noProof/>
              </w:rPr>
            </w:pPr>
            <w:r>
              <w:rPr>
                <w:noProof/>
              </w:rPr>
              <w:t>5.30</w:t>
            </w:r>
          </w:p>
        </w:tc>
        <w:tc>
          <w:tcPr>
            <w:tcW w:w="1246" w:type="dxa"/>
            <w:shd w:val="clear" w:color="auto" w:fill="C4EFCE"/>
            <w:vAlign w:val="center"/>
            <w:hideMark/>
          </w:tcPr>
          <w:p w14:paraId="3395B4BA"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114316E5"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74A62CD3" w14:textId="77777777" w:rsidR="00DC5EC6" w:rsidRDefault="003245A4">
            <w:pPr>
              <w:pStyle w:val="P68B1DB1-Normal8"/>
              <w:spacing w:after="0" w:line="240" w:lineRule="auto"/>
              <w:jc w:val="center"/>
              <w:rPr>
                <w:rFonts w:eastAsia="Times New Roman" w:cs="Calibri"/>
                <w:noProof/>
              </w:rPr>
            </w:pPr>
            <w:r>
              <w:rPr>
                <w:noProof/>
              </w:rPr>
              <w:t>Az Európai Bizottság értesítése a BPF pilléralapú értékelésének sikeres teljesítéséről</w:t>
            </w:r>
          </w:p>
        </w:tc>
        <w:tc>
          <w:tcPr>
            <w:tcW w:w="1245" w:type="dxa"/>
            <w:shd w:val="clear" w:color="auto" w:fill="C4EFCE"/>
            <w:vAlign w:val="center"/>
            <w:hideMark/>
          </w:tcPr>
          <w:p w14:paraId="31EB5F65" w14:textId="77777777" w:rsidR="00DC5EC6" w:rsidRDefault="003245A4">
            <w:pPr>
              <w:pStyle w:val="P68B1DB1-Normal8"/>
              <w:spacing w:after="0" w:line="240" w:lineRule="auto"/>
              <w:jc w:val="center"/>
              <w:rPr>
                <w:rFonts w:eastAsia="Times New Roman" w:cs="Calibri"/>
                <w:noProof/>
              </w:rPr>
            </w:pPr>
            <w:r>
              <w:rPr>
                <w:noProof/>
              </w:rPr>
              <w:t>Az Európai Bizottság értesítése a BPF pilléralapú értékelésének sikeres teljesítéséről</w:t>
            </w:r>
          </w:p>
        </w:tc>
        <w:tc>
          <w:tcPr>
            <w:tcW w:w="972" w:type="dxa"/>
            <w:shd w:val="clear" w:color="auto" w:fill="C4EFCE"/>
            <w:vAlign w:val="center"/>
            <w:hideMark/>
          </w:tcPr>
          <w:p w14:paraId="2DB76E39"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710C53F3"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00FD89EB"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19A09A92" w14:textId="13DF016D" w:rsidR="00DC5EC6" w:rsidRDefault="002C6E52">
            <w:pPr>
              <w:pStyle w:val="P68B1DB1-Normal8"/>
              <w:spacing w:after="0" w:line="240" w:lineRule="auto"/>
              <w:jc w:val="center"/>
              <w:rPr>
                <w:rFonts w:eastAsia="Times New Roman" w:cs="Calibri"/>
                <w:noProof/>
              </w:rPr>
            </w:pPr>
            <w:r>
              <w:rPr>
                <w:noProof/>
              </w:rPr>
              <w:t>1.NEGYEDÉV</w:t>
            </w:r>
          </w:p>
        </w:tc>
        <w:tc>
          <w:tcPr>
            <w:tcW w:w="694" w:type="dxa"/>
            <w:shd w:val="clear" w:color="auto" w:fill="C4EFCE"/>
            <w:vAlign w:val="center"/>
            <w:hideMark/>
          </w:tcPr>
          <w:p w14:paraId="41568E3C"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309B65CF" w14:textId="1D35D77D" w:rsidR="00DC5EC6" w:rsidRDefault="003245A4">
            <w:pPr>
              <w:pStyle w:val="P68B1DB1-Normal8"/>
              <w:spacing w:after="0" w:line="240" w:lineRule="auto"/>
              <w:jc w:val="both"/>
              <w:rPr>
                <w:rFonts w:eastAsia="Times New Roman" w:cs="Calibri"/>
                <w:noProof/>
              </w:rPr>
            </w:pPr>
            <w:r>
              <w:rPr>
                <w:noProof/>
              </w:rPr>
              <w:t>Az Európai Bizottság értesítése a BPF pilléralapú értékelésének sikeres teljesítéséről</w:t>
            </w:r>
          </w:p>
        </w:tc>
      </w:tr>
      <w:tr w:rsidR="00DC5EC6" w14:paraId="56A32DB7" w14:textId="77777777">
        <w:trPr>
          <w:trHeight w:val="290"/>
        </w:trPr>
        <w:tc>
          <w:tcPr>
            <w:tcW w:w="1113" w:type="dxa"/>
            <w:shd w:val="clear" w:color="auto" w:fill="C4EFCE"/>
            <w:vAlign w:val="center"/>
            <w:hideMark/>
          </w:tcPr>
          <w:p w14:paraId="70D94B9B" w14:textId="77777777" w:rsidR="00DC5EC6" w:rsidRDefault="003245A4">
            <w:pPr>
              <w:pStyle w:val="P68B1DB1-Normal7"/>
              <w:spacing w:after="0" w:line="240" w:lineRule="auto"/>
              <w:jc w:val="center"/>
              <w:rPr>
                <w:rFonts w:eastAsia="Times New Roman" w:cs="Calibri"/>
                <w:noProof/>
              </w:rPr>
            </w:pPr>
            <w:r>
              <w:rPr>
                <w:noProof/>
              </w:rPr>
              <w:t>5.31</w:t>
            </w:r>
          </w:p>
        </w:tc>
        <w:tc>
          <w:tcPr>
            <w:tcW w:w="1246" w:type="dxa"/>
            <w:shd w:val="clear" w:color="auto" w:fill="C4EFCE"/>
            <w:vAlign w:val="center"/>
            <w:hideMark/>
          </w:tcPr>
          <w:p w14:paraId="5B366953" w14:textId="77777777" w:rsidR="00DC5EC6" w:rsidRDefault="003245A4">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51738445" w14:textId="77777777" w:rsidR="00DC5EC6" w:rsidRDefault="003245A4">
            <w:pPr>
              <w:pStyle w:val="P68B1DB1-Normal8"/>
              <w:spacing w:after="0" w:line="240" w:lineRule="auto"/>
              <w:jc w:val="center"/>
              <w:rPr>
                <w:rFonts w:eastAsia="Times New Roman" w:cs="Calibri"/>
                <w:noProof/>
              </w:rPr>
            </w:pPr>
            <w:r>
              <w:rPr>
                <w:noProof/>
              </w:rPr>
              <w:t>M</w:t>
            </w:r>
          </w:p>
        </w:tc>
        <w:tc>
          <w:tcPr>
            <w:tcW w:w="1659" w:type="dxa"/>
            <w:shd w:val="clear" w:color="auto" w:fill="C4EFCE"/>
            <w:vAlign w:val="center"/>
            <w:hideMark/>
          </w:tcPr>
          <w:p w14:paraId="57A63337" w14:textId="4B6CFB1F" w:rsidR="00DC5EC6" w:rsidRDefault="003245A4">
            <w:pPr>
              <w:pStyle w:val="P68B1DB1-Normal8"/>
              <w:spacing w:after="0" w:line="240" w:lineRule="auto"/>
              <w:jc w:val="center"/>
              <w:rPr>
                <w:rFonts w:eastAsia="Times New Roman" w:cs="Calibri"/>
                <w:noProof/>
              </w:rPr>
            </w:pPr>
            <w:r>
              <w:rPr>
                <w:noProof/>
              </w:rPr>
              <w:t> 250 000 000 EUR összegű tőketranszfer a portugál kormány részéről a BPF részére és a BPF befektetési politikájának elfogadása</w:t>
            </w:r>
          </w:p>
        </w:tc>
        <w:tc>
          <w:tcPr>
            <w:tcW w:w="1245" w:type="dxa"/>
            <w:shd w:val="clear" w:color="auto" w:fill="C4EFCE"/>
            <w:vAlign w:val="center"/>
            <w:hideMark/>
          </w:tcPr>
          <w:p w14:paraId="1E07B141" w14:textId="77777777" w:rsidR="00DC5EC6" w:rsidRDefault="003245A4">
            <w:pPr>
              <w:pStyle w:val="P68B1DB1-Normal8"/>
              <w:spacing w:after="0" w:line="240" w:lineRule="auto"/>
              <w:jc w:val="center"/>
              <w:rPr>
                <w:rFonts w:eastAsia="Times New Roman" w:cs="Calibri"/>
                <w:noProof/>
              </w:rPr>
            </w:pPr>
            <w:r>
              <w:rPr>
                <w:noProof/>
              </w:rPr>
              <w:t>Tőkeemelés és beruházási politika kidolgozása a BPF számára az InvestEU végrehajtása érdekében, támogathatósági kritériumok meghatározása a Helyreállítási és Rezilienciaépítési Eszköz célkitűzéseinek elérése érdekében</w:t>
            </w:r>
          </w:p>
        </w:tc>
        <w:tc>
          <w:tcPr>
            <w:tcW w:w="972" w:type="dxa"/>
            <w:shd w:val="clear" w:color="auto" w:fill="C4EFCE"/>
            <w:vAlign w:val="center"/>
            <w:hideMark/>
          </w:tcPr>
          <w:p w14:paraId="2827D026"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vAlign w:val="center"/>
            <w:hideMark/>
          </w:tcPr>
          <w:p w14:paraId="1A690ADD" w14:textId="77777777" w:rsidR="00DC5EC6" w:rsidRDefault="003245A4">
            <w:pPr>
              <w:pStyle w:val="P68B1DB1-Normal8"/>
              <w:spacing w:after="0" w:line="240" w:lineRule="auto"/>
              <w:jc w:val="center"/>
              <w:rPr>
                <w:rFonts w:eastAsia="Times New Roman" w:cs="Calibri"/>
                <w:noProof/>
              </w:rPr>
            </w:pPr>
            <w:r>
              <w:rPr>
                <w:noProof/>
              </w:rPr>
              <w:t> </w:t>
            </w:r>
          </w:p>
        </w:tc>
        <w:tc>
          <w:tcPr>
            <w:tcW w:w="695" w:type="dxa"/>
            <w:shd w:val="clear" w:color="auto" w:fill="C4EFCE"/>
            <w:vAlign w:val="center"/>
            <w:hideMark/>
          </w:tcPr>
          <w:p w14:paraId="4AD27795" w14:textId="77777777" w:rsidR="00DC5EC6" w:rsidRDefault="003245A4">
            <w:pPr>
              <w:pStyle w:val="P68B1DB1-Normal8"/>
              <w:spacing w:after="0" w:line="240" w:lineRule="auto"/>
              <w:jc w:val="center"/>
              <w:rPr>
                <w:rFonts w:eastAsia="Times New Roman" w:cs="Calibri"/>
                <w:noProof/>
              </w:rPr>
            </w:pPr>
            <w:r>
              <w:rPr>
                <w:noProof/>
              </w:rPr>
              <w:t> </w:t>
            </w:r>
          </w:p>
        </w:tc>
        <w:tc>
          <w:tcPr>
            <w:tcW w:w="557" w:type="dxa"/>
            <w:shd w:val="clear" w:color="auto" w:fill="C4EFCE"/>
            <w:vAlign w:val="center"/>
            <w:hideMark/>
          </w:tcPr>
          <w:p w14:paraId="07426AEB" w14:textId="41E06BE7" w:rsidR="00DC5EC6" w:rsidRDefault="002C6E52">
            <w:pPr>
              <w:pStyle w:val="P68B1DB1-Normal8"/>
              <w:spacing w:after="0" w:line="240" w:lineRule="auto"/>
              <w:jc w:val="center"/>
              <w:rPr>
                <w:rFonts w:eastAsia="Times New Roman" w:cs="Calibri"/>
                <w:noProof/>
              </w:rPr>
            </w:pPr>
            <w:r>
              <w:rPr>
                <w:noProof/>
              </w:rPr>
              <w:t>1.NEGYEDÉV</w:t>
            </w:r>
          </w:p>
        </w:tc>
        <w:tc>
          <w:tcPr>
            <w:tcW w:w="694" w:type="dxa"/>
            <w:shd w:val="clear" w:color="auto" w:fill="C4EFCE"/>
            <w:vAlign w:val="center"/>
            <w:hideMark/>
          </w:tcPr>
          <w:p w14:paraId="1A0C8068" w14:textId="77777777" w:rsidR="00DC5EC6" w:rsidRDefault="003245A4">
            <w:pPr>
              <w:pStyle w:val="P68B1DB1-Normal8"/>
              <w:spacing w:after="0" w:line="240" w:lineRule="auto"/>
              <w:jc w:val="center"/>
              <w:rPr>
                <w:rFonts w:eastAsia="Times New Roman" w:cs="Calibri"/>
                <w:noProof/>
              </w:rPr>
            </w:pPr>
            <w:r>
              <w:rPr>
                <w:noProof/>
              </w:rPr>
              <w:t>2022</w:t>
            </w:r>
          </w:p>
        </w:tc>
        <w:tc>
          <w:tcPr>
            <w:tcW w:w="4908" w:type="dxa"/>
            <w:shd w:val="clear" w:color="auto" w:fill="C4EFCE"/>
            <w:vAlign w:val="center"/>
            <w:hideMark/>
          </w:tcPr>
          <w:p w14:paraId="6CA6D0BF" w14:textId="7FA936EF" w:rsidR="00DC5EC6" w:rsidRDefault="003245A4">
            <w:pPr>
              <w:pStyle w:val="P68B1DB1-Normal8"/>
              <w:spacing w:after="0" w:line="240" w:lineRule="auto"/>
              <w:jc w:val="both"/>
              <w:rPr>
                <w:rFonts w:eastAsia="Times New Roman" w:cs="Calibri"/>
                <w:noProof/>
              </w:rPr>
            </w:pPr>
            <w:r>
              <w:rPr>
                <w:noProof/>
              </w:rPr>
              <w:t>250 000 000 EUR összegű tőketranszfer a portugál kormány részéről a BPF részére, valamint a BPF beruházási politikájának elfogadása az InvestEU végrehajtása érdekében, a Helyreállítási és Rezilienciaépítési Eszköz célkitűzéseivel – többek között a DNSH-elvvel – összhangban álló támogathatósági kritériumok meghatározásával, az „InvestEU garanciamegállapodás” aláírásával összefüggésben.</w:t>
            </w:r>
          </w:p>
        </w:tc>
      </w:tr>
      <w:tr w:rsidR="002C6E52" w14:paraId="79CBF608" w14:textId="77777777">
        <w:trPr>
          <w:trHeight w:val="687"/>
        </w:trPr>
        <w:tc>
          <w:tcPr>
            <w:tcW w:w="1113" w:type="dxa"/>
            <w:shd w:val="clear" w:color="auto" w:fill="C4EFCE"/>
            <w:vAlign w:val="center"/>
            <w:hideMark/>
          </w:tcPr>
          <w:p w14:paraId="62505207" w14:textId="4798763F" w:rsidR="002C6E52" w:rsidRDefault="002C6E52" w:rsidP="002C6E52">
            <w:pPr>
              <w:pStyle w:val="P68B1DB1-Normal7"/>
              <w:spacing w:after="0" w:line="240" w:lineRule="auto"/>
              <w:jc w:val="center"/>
              <w:rPr>
                <w:rFonts w:eastAsia="Times New Roman" w:cs="Calibri"/>
                <w:noProof/>
              </w:rPr>
            </w:pPr>
            <w:r>
              <w:rPr>
                <w:noProof/>
              </w:rPr>
              <w:t>5.32</w:t>
            </w:r>
          </w:p>
        </w:tc>
        <w:tc>
          <w:tcPr>
            <w:tcW w:w="1246" w:type="dxa"/>
            <w:shd w:val="clear" w:color="auto" w:fill="C4EFCE"/>
            <w:vAlign w:val="center"/>
            <w:hideMark/>
          </w:tcPr>
          <w:p w14:paraId="3E67B2B5" w14:textId="77777777" w:rsidR="002C6E52" w:rsidRDefault="002C6E52" w:rsidP="002C6E52">
            <w:pPr>
              <w:pStyle w:val="P68B1DB1-Normal8"/>
              <w:spacing w:after="0" w:line="240" w:lineRule="auto"/>
              <w:jc w:val="center"/>
              <w:rPr>
                <w:rFonts w:eastAsia="Times New Roman" w:cs="Calibri"/>
                <w:noProof/>
              </w:rPr>
            </w:pPr>
            <w:r>
              <w:rPr>
                <w:noProof/>
              </w:rPr>
              <w:t>Re-C05-i06</w:t>
            </w:r>
          </w:p>
        </w:tc>
        <w:tc>
          <w:tcPr>
            <w:tcW w:w="1108" w:type="dxa"/>
            <w:shd w:val="clear" w:color="auto" w:fill="C4EFCE"/>
            <w:vAlign w:val="center"/>
            <w:hideMark/>
          </w:tcPr>
          <w:p w14:paraId="2B3F8D44" w14:textId="77777777" w:rsidR="002C6E52" w:rsidRDefault="002C6E52" w:rsidP="002C6E52">
            <w:pPr>
              <w:pStyle w:val="P68B1DB1-Normal8"/>
              <w:spacing w:after="0" w:line="240" w:lineRule="auto"/>
              <w:jc w:val="center"/>
              <w:rPr>
                <w:rFonts w:eastAsia="Times New Roman" w:cs="Calibri"/>
                <w:noProof/>
              </w:rPr>
            </w:pPr>
            <w:r>
              <w:rPr>
                <w:noProof/>
              </w:rPr>
              <w:t>T</w:t>
            </w:r>
          </w:p>
        </w:tc>
        <w:tc>
          <w:tcPr>
            <w:tcW w:w="1659" w:type="dxa"/>
            <w:shd w:val="clear" w:color="auto" w:fill="C4EFCE"/>
            <w:vAlign w:val="center"/>
            <w:hideMark/>
          </w:tcPr>
          <w:p w14:paraId="401B366E" w14:textId="77777777" w:rsidR="002C6E52" w:rsidRDefault="002C6E52" w:rsidP="002C6E52">
            <w:pPr>
              <w:pStyle w:val="P68B1DB1-Normal8"/>
              <w:spacing w:after="0" w:line="240" w:lineRule="auto"/>
              <w:jc w:val="center"/>
              <w:rPr>
                <w:rFonts w:eastAsia="Times New Roman" w:cs="Calibri"/>
                <w:noProof/>
              </w:rPr>
            </w:pPr>
            <w:r>
              <w:rPr>
                <w:noProof/>
              </w:rPr>
              <w:t>A tőkeemelés által nyújtott garanciák 100%-át aláírták. </w:t>
            </w:r>
          </w:p>
        </w:tc>
        <w:tc>
          <w:tcPr>
            <w:tcW w:w="1245" w:type="dxa"/>
            <w:shd w:val="clear" w:color="auto" w:fill="C4EFCE"/>
            <w:vAlign w:val="center"/>
            <w:hideMark/>
          </w:tcPr>
          <w:p w14:paraId="6F03F3CC" w14:textId="77777777" w:rsidR="002C6E52" w:rsidRDefault="002C6E52" w:rsidP="002C6E52">
            <w:pPr>
              <w:pStyle w:val="P68B1DB1-Normal8"/>
              <w:spacing w:after="0" w:line="240" w:lineRule="auto"/>
              <w:jc w:val="center"/>
              <w:rPr>
                <w:rFonts w:eastAsia="Times New Roman" w:cs="Calibri"/>
                <w:noProof/>
              </w:rPr>
            </w:pPr>
            <w:r>
              <w:rPr>
                <w:noProof/>
              </w:rPr>
              <w:t> </w:t>
            </w:r>
          </w:p>
        </w:tc>
        <w:tc>
          <w:tcPr>
            <w:tcW w:w="972" w:type="dxa"/>
            <w:shd w:val="clear" w:color="auto" w:fill="C4EFCE"/>
            <w:vAlign w:val="center"/>
            <w:hideMark/>
          </w:tcPr>
          <w:p w14:paraId="05ACD126" w14:textId="77777777" w:rsidR="002C6E52" w:rsidRDefault="002C6E52" w:rsidP="002C6E52">
            <w:pPr>
              <w:pStyle w:val="P68B1DB1-Normal8"/>
              <w:spacing w:after="0" w:line="240" w:lineRule="auto"/>
              <w:jc w:val="center"/>
              <w:rPr>
                <w:rFonts w:eastAsia="Times New Roman" w:cs="Calibri"/>
                <w:noProof/>
              </w:rPr>
            </w:pPr>
            <w:r>
              <w:rPr>
                <w:noProof/>
              </w:rPr>
              <w:t>%</w:t>
            </w:r>
          </w:p>
        </w:tc>
        <w:tc>
          <w:tcPr>
            <w:tcW w:w="971" w:type="dxa"/>
            <w:shd w:val="clear" w:color="auto" w:fill="C4EFCE"/>
            <w:vAlign w:val="center"/>
            <w:hideMark/>
          </w:tcPr>
          <w:p w14:paraId="51E051FB" w14:textId="77777777" w:rsidR="002C6E52" w:rsidRDefault="002C6E52" w:rsidP="002C6E52">
            <w:pPr>
              <w:pStyle w:val="P68B1DB1-Normal8"/>
              <w:spacing w:after="0" w:line="240" w:lineRule="auto"/>
              <w:jc w:val="center"/>
              <w:rPr>
                <w:rFonts w:eastAsia="Times New Roman" w:cs="Calibri"/>
                <w:noProof/>
              </w:rPr>
            </w:pPr>
            <w:r>
              <w:rPr>
                <w:noProof/>
              </w:rPr>
              <w:t>0</w:t>
            </w:r>
          </w:p>
        </w:tc>
        <w:tc>
          <w:tcPr>
            <w:tcW w:w="695" w:type="dxa"/>
            <w:shd w:val="clear" w:color="auto" w:fill="C4EFCE"/>
            <w:vAlign w:val="center"/>
            <w:hideMark/>
          </w:tcPr>
          <w:p w14:paraId="25B5E659" w14:textId="77777777" w:rsidR="002C6E52" w:rsidRDefault="002C6E52" w:rsidP="002C6E52">
            <w:pPr>
              <w:pStyle w:val="P68B1DB1-Normal8"/>
              <w:spacing w:after="0" w:line="240" w:lineRule="auto"/>
              <w:jc w:val="center"/>
              <w:rPr>
                <w:rFonts w:eastAsia="Times New Roman" w:cs="Calibri"/>
                <w:noProof/>
              </w:rPr>
            </w:pPr>
            <w:r>
              <w:rPr>
                <w:noProof/>
              </w:rPr>
              <w:t>100</w:t>
            </w:r>
          </w:p>
        </w:tc>
        <w:tc>
          <w:tcPr>
            <w:tcW w:w="557" w:type="dxa"/>
            <w:shd w:val="clear" w:color="auto" w:fill="C4EFCE"/>
            <w:vAlign w:val="center"/>
            <w:hideMark/>
          </w:tcPr>
          <w:p w14:paraId="4E52A7D8" w14:textId="5AB69C6D" w:rsidR="002C6E52" w:rsidRDefault="002C6E52" w:rsidP="002C6E52">
            <w:pPr>
              <w:pStyle w:val="P68B1DB1-Normal8"/>
              <w:spacing w:after="0" w:line="240" w:lineRule="auto"/>
              <w:jc w:val="center"/>
              <w:rPr>
                <w:rFonts w:eastAsia="Times New Roman" w:cs="Calibri"/>
                <w:noProof/>
              </w:rPr>
            </w:pPr>
            <w:r>
              <w:rPr>
                <w:noProof/>
              </w:rPr>
              <w:t>4. NEGYEDÉV</w:t>
            </w:r>
          </w:p>
        </w:tc>
        <w:tc>
          <w:tcPr>
            <w:tcW w:w="694" w:type="dxa"/>
            <w:shd w:val="clear" w:color="auto" w:fill="C4EFCE"/>
            <w:vAlign w:val="center"/>
            <w:hideMark/>
          </w:tcPr>
          <w:p w14:paraId="53FDD632" w14:textId="77777777" w:rsidR="002C6E52" w:rsidRDefault="002C6E52" w:rsidP="002C6E52">
            <w:pPr>
              <w:pStyle w:val="P68B1DB1-Normal8"/>
              <w:spacing w:after="0" w:line="240" w:lineRule="auto"/>
              <w:jc w:val="center"/>
              <w:rPr>
                <w:rFonts w:eastAsia="Times New Roman" w:cs="Calibri"/>
                <w:noProof/>
              </w:rPr>
            </w:pPr>
            <w:r>
              <w:rPr>
                <w:noProof/>
              </w:rPr>
              <w:t>2025</w:t>
            </w:r>
          </w:p>
        </w:tc>
        <w:tc>
          <w:tcPr>
            <w:tcW w:w="4908" w:type="dxa"/>
            <w:shd w:val="clear" w:color="auto" w:fill="C4EFCE"/>
            <w:vAlign w:val="center"/>
            <w:hideMark/>
          </w:tcPr>
          <w:p w14:paraId="4C0F1601" w14:textId="21F43E55" w:rsidR="002C6E52" w:rsidRDefault="002C6E52" w:rsidP="002C6E52">
            <w:pPr>
              <w:pStyle w:val="P68B1DB1-Normal8"/>
              <w:spacing w:after="0" w:line="240" w:lineRule="auto"/>
              <w:jc w:val="both"/>
              <w:rPr>
                <w:rFonts w:eastAsia="Times New Roman" w:cs="Calibri"/>
                <w:noProof/>
              </w:rPr>
            </w:pPr>
            <w:r>
              <w:rPr>
                <w:noProof/>
              </w:rPr>
              <w:t>A tőkeemelés által nyújtott garanciák 100%-át aláírták.</w:t>
            </w:r>
          </w:p>
        </w:tc>
      </w:tr>
      <w:tr w:rsidR="00DC5EC6" w14:paraId="05356182" w14:textId="77777777">
        <w:trPr>
          <w:trHeight w:val="687"/>
        </w:trPr>
        <w:tc>
          <w:tcPr>
            <w:tcW w:w="1113" w:type="dxa"/>
            <w:shd w:val="clear" w:color="auto" w:fill="C4EFCE"/>
            <w:vAlign w:val="center"/>
          </w:tcPr>
          <w:p w14:paraId="3090E32F" w14:textId="6FE74260" w:rsidR="00DC5EC6" w:rsidRDefault="003245A4">
            <w:pPr>
              <w:pStyle w:val="P68B1DB1-Normal11"/>
              <w:spacing w:after="0" w:line="240" w:lineRule="auto"/>
              <w:jc w:val="center"/>
              <w:rPr>
                <w:rFonts w:eastAsia="Times New Roman" w:cstheme="minorHAnsi"/>
                <w:noProof/>
              </w:rPr>
            </w:pPr>
            <w:r>
              <w:rPr>
                <w:noProof/>
              </w:rPr>
              <w:t>5.44</w:t>
            </w:r>
          </w:p>
        </w:tc>
        <w:tc>
          <w:tcPr>
            <w:tcW w:w="1246" w:type="dxa"/>
            <w:shd w:val="clear" w:color="auto" w:fill="C4EFCE"/>
            <w:vAlign w:val="center"/>
          </w:tcPr>
          <w:p w14:paraId="41683FBE" w14:textId="030829FE" w:rsidR="00DC5EC6" w:rsidRDefault="003245A4">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5762224E" w14:textId="108F9BEC" w:rsidR="00DC5EC6" w:rsidRDefault="003245A4">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6ACAF2B5" w14:textId="51C13B47" w:rsidR="00DC5EC6" w:rsidRDefault="003245A4">
            <w:pPr>
              <w:pStyle w:val="P68B1DB1-Normal12"/>
              <w:spacing w:after="0" w:line="240" w:lineRule="auto"/>
              <w:jc w:val="center"/>
              <w:rPr>
                <w:rFonts w:eastAsia="Times New Roman" w:cstheme="minorHAnsi"/>
                <w:noProof/>
              </w:rPr>
            </w:pPr>
            <w:r>
              <w:rPr>
                <w:noProof/>
              </w:rPr>
              <w:t xml:space="preserve"> Szerződések megkötése új termékek, eljárások vagy szolgáltatások kifejlesztésére a releváns stratégiai területeken (innovációs menetrendek).</w:t>
            </w:r>
          </w:p>
        </w:tc>
        <w:tc>
          <w:tcPr>
            <w:tcW w:w="1245" w:type="dxa"/>
            <w:shd w:val="clear" w:color="auto" w:fill="C4EFCE"/>
            <w:vAlign w:val="center"/>
          </w:tcPr>
          <w:p w14:paraId="06CE0AEF" w14:textId="1878EFC3" w:rsidR="00DC5EC6" w:rsidRDefault="00DC5EC6">
            <w:pPr>
              <w:spacing w:after="0" w:line="240" w:lineRule="auto"/>
              <w:jc w:val="center"/>
              <w:rPr>
                <w:rFonts w:eastAsia="Times New Roman" w:cstheme="minorHAnsi"/>
                <w:noProof/>
                <w:sz w:val="16"/>
              </w:rPr>
            </w:pPr>
          </w:p>
        </w:tc>
        <w:tc>
          <w:tcPr>
            <w:tcW w:w="972" w:type="dxa"/>
            <w:shd w:val="clear" w:color="auto" w:fill="C4EFCE"/>
            <w:vAlign w:val="center"/>
          </w:tcPr>
          <w:p w14:paraId="29862BFF" w14:textId="4B1AB547" w:rsidR="00DC5EC6" w:rsidRDefault="003245A4">
            <w:pPr>
              <w:pStyle w:val="P68B1DB1-Normal12"/>
              <w:spacing w:after="0" w:line="240" w:lineRule="auto"/>
              <w:jc w:val="center"/>
              <w:rPr>
                <w:rFonts w:eastAsia="Times New Roman" w:cstheme="minorHAnsi"/>
                <w:noProof/>
              </w:rPr>
            </w:pPr>
            <w:r>
              <w:rPr>
                <w:noProof/>
              </w:rPr>
              <w:t>Szám</w:t>
            </w:r>
          </w:p>
        </w:tc>
        <w:tc>
          <w:tcPr>
            <w:tcW w:w="971" w:type="dxa"/>
            <w:shd w:val="clear" w:color="auto" w:fill="C4EFCE"/>
            <w:vAlign w:val="center"/>
          </w:tcPr>
          <w:p w14:paraId="1B529FD1" w14:textId="362CE58C" w:rsidR="00DC5EC6" w:rsidRDefault="003245A4">
            <w:pPr>
              <w:pStyle w:val="P68B1DB1-Normal12"/>
              <w:spacing w:after="0" w:line="240" w:lineRule="auto"/>
              <w:jc w:val="center"/>
              <w:rPr>
                <w:rFonts w:eastAsia="Times New Roman" w:cstheme="minorHAnsi"/>
                <w:noProof/>
              </w:rPr>
            </w:pPr>
            <w:r>
              <w:rPr>
                <w:noProof/>
              </w:rPr>
              <w:t>12</w:t>
            </w:r>
          </w:p>
        </w:tc>
        <w:tc>
          <w:tcPr>
            <w:tcW w:w="695" w:type="dxa"/>
            <w:shd w:val="clear" w:color="auto" w:fill="C4EFCE"/>
            <w:vAlign w:val="center"/>
          </w:tcPr>
          <w:p w14:paraId="4BC9E805" w14:textId="18636895" w:rsidR="00DC5EC6" w:rsidRDefault="003245A4">
            <w:pPr>
              <w:pStyle w:val="P68B1DB1-Normal12"/>
              <w:spacing w:after="0" w:line="240" w:lineRule="auto"/>
              <w:jc w:val="center"/>
              <w:rPr>
                <w:rFonts w:eastAsia="Times New Roman" w:cstheme="minorHAnsi"/>
                <w:noProof/>
              </w:rPr>
            </w:pPr>
            <w:r>
              <w:rPr>
                <w:noProof/>
              </w:rPr>
              <w:t>28</w:t>
            </w:r>
          </w:p>
        </w:tc>
        <w:tc>
          <w:tcPr>
            <w:tcW w:w="557" w:type="dxa"/>
            <w:shd w:val="clear" w:color="auto" w:fill="C4EFCE"/>
            <w:vAlign w:val="center"/>
          </w:tcPr>
          <w:p w14:paraId="1BD6F284" w14:textId="00C35765" w:rsidR="00DC5EC6" w:rsidRDefault="002C6E52">
            <w:pPr>
              <w:pStyle w:val="P68B1DB1-Normal12"/>
              <w:spacing w:after="0" w:line="240" w:lineRule="auto"/>
              <w:jc w:val="center"/>
              <w:rPr>
                <w:rFonts w:eastAsia="Times New Roman"/>
                <w:noProof/>
              </w:rPr>
            </w:pPr>
            <w:r>
              <w:rPr>
                <w:noProof/>
              </w:rPr>
              <w:t>2. NEGYEDÉV</w:t>
            </w:r>
          </w:p>
        </w:tc>
        <w:tc>
          <w:tcPr>
            <w:tcW w:w="694" w:type="dxa"/>
            <w:shd w:val="clear" w:color="auto" w:fill="C4EFCE"/>
            <w:vAlign w:val="center"/>
          </w:tcPr>
          <w:p w14:paraId="20227E9B" w14:textId="71A93C0E" w:rsidR="00DC5EC6" w:rsidRDefault="003245A4">
            <w:pPr>
              <w:pStyle w:val="P68B1DB1-Normal12"/>
              <w:spacing w:after="0" w:line="240" w:lineRule="auto"/>
              <w:jc w:val="center"/>
              <w:rPr>
                <w:rFonts w:eastAsia="Times New Roman" w:cstheme="minorHAnsi"/>
                <w:noProof/>
              </w:rPr>
            </w:pPr>
            <w:r>
              <w:rPr>
                <w:noProof/>
              </w:rPr>
              <w:t>2023</w:t>
            </w:r>
          </w:p>
        </w:tc>
        <w:tc>
          <w:tcPr>
            <w:tcW w:w="4908" w:type="dxa"/>
            <w:shd w:val="clear" w:color="auto" w:fill="C4EFCE"/>
            <w:vAlign w:val="center"/>
          </w:tcPr>
          <w:p w14:paraId="0471D376" w14:textId="7728B231" w:rsidR="00DC5EC6" w:rsidRDefault="003245A4">
            <w:pPr>
              <w:pStyle w:val="P68B1DB1-Bodytext1013"/>
              <w:spacing w:after="0"/>
              <w:jc w:val="both"/>
              <w:rPr>
                <w:rFonts w:cstheme="minorHAnsi"/>
                <w:noProof/>
              </w:rPr>
            </w:pPr>
            <w:r>
              <w:rPr>
                <w:noProof/>
              </w:rPr>
              <w:t>16 további szerződés (innovációs paktumok vagy mobilizációs projektek) megkötése konzorciumokkal, amelyek a következőket foglalják magukban:</w:t>
            </w:r>
          </w:p>
          <w:p w14:paraId="1DC9F869" w14:textId="77777777" w:rsidR="00DC5EC6" w:rsidRDefault="003245A4">
            <w:pPr>
              <w:pStyle w:val="P68B1DB1-Bodytext1013"/>
              <w:spacing w:after="0"/>
              <w:jc w:val="both"/>
              <w:rPr>
                <w:rFonts w:cstheme="minorHAnsi"/>
                <w:noProof/>
              </w:rPr>
            </w:pPr>
            <w:r>
              <w:rPr>
                <w:noProof/>
              </w:rPr>
              <w:t>• A konzorciumot alkotó jogalanyok azonosítása;</w:t>
            </w:r>
          </w:p>
          <w:p w14:paraId="684BA3DE" w14:textId="77777777" w:rsidR="00DC5EC6" w:rsidRDefault="003245A4">
            <w:pPr>
              <w:pStyle w:val="P68B1DB1-Bodytext1013"/>
              <w:spacing w:after="0"/>
              <w:jc w:val="both"/>
              <w:rPr>
                <w:rFonts w:cstheme="minorHAnsi"/>
                <w:noProof/>
              </w:rPr>
            </w:pPr>
            <w:r>
              <w:rPr>
                <w:noProof/>
              </w:rPr>
              <w:t>• Az üzleti terv/beruházás;</w:t>
            </w:r>
          </w:p>
          <w:p w14:paraId="38DA5FAE" w14:textId="77777777" w:rsidR="00DC5EC6" w:rsidRDefault="003245A4">
            <w:pPr>
              <w:pStyle w:val="P68B1DB1-Bodytext1013"/>
              <w:spacing w:after="0"/>
              <w:jc w:val="both"/>
              <w:rPr>
                <w:rFonts w:cstheme="minorHAnsi"/>
                <w:noProof/>
              </w:rPr>
            </w:pPr>
            <w:r>
              <w:rPr>
                <w:noProof/>
              </w:rPr>
              <w:t>• a finanszírozás összege;</w:t>
            </w:r>
          </w:p>
          <w:p w14:paraId="2C955C7F" w14:textId="77777777" w:rsidR="00DC5EC6" w:rsidRDefault="003245A4">
            <w:pPr>
              <w:pStyle w:val="P68B1DB1-Bodytext1013"/>
              <w:spacing w:after="0"/>
              <w:jc w:val="both"/>
              <w:rPr>
                <w:rFonts w:cstheme="minorHAnsi"/>
                <w:noProof/>
              </w:rPr>
            </w:pPr>
            <w:r>
              <w:rPr>
                <w:noProof/>
              </w:rPr>
              <w:t>• A kedvezményezettre vonatkozó célkitűzések;</w:t>
            </w:r>
          </w:p>
          <w:p w14:paraId="790A3625" w14:textId="77777777" w:rsidR="00DC5EC6" w:rsidRDefault="003245A4">
            <w:pPr>
              <w:pStyle w:val="P68B1DB1-Bodytext1013"/>
              <w:spacing w:after="0"/>
              <w:jc w:val="both"/>
              <w:rPr>
                <w:rFonts w:cstheme="minorHAnsi"/>
                <w:noProof/>
              </w:rPr>
            </w:pPr>
            <w:r>
              <w:rPr>
                <w:noProof/>
              </w:rPr>
              <w:t xml:space="preserve">• A nyomon követés formája. </w:t>
            </w:r>
          </w:p>
          <w:p w14:paraId="17CC2A9F" w14:textId="76A7D5F0" w:rsidR="00DC5EC6" w:rsidRDefault="003245A4">
            <w:pPr>
              <w:pStyle w:val="P68B1DB1-Bodytext1013"/>
              <w:spacing w:after="0"/>
              <w:jc w:val="both"/>
              <w:rPr>
                <w:rFonts w:cstheme="minorHAnsi"/>
                <w:noProof/>
              </w:rPr>
            </w:pPr>
            <w:r>
              <w:rPr>
                <w:noProof/>
              </w:rPr>
              <w:t>A szerződéseknek összesen legalább 446 terméket, folyamatot vagy szolgáltatást kell támogatniuk. 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w:t>
            </w:r>
          </w:p>
          <w:p w14:paraId="0E8BCEEF" w14:textId="6D75360C" w:rsidR="00DC5EC6" w:rsidRDefault="003245A4">
            <w:pPr>
              <w:pStyle w:val="P68B1DB1-Bodytext1013"/>
              <w:spacing w:after="0"/>
              <w:jc w:val="both"/>
              <w:rPr>
                <w:rFonts w:cstheme="minorHAnsi"/>
                <w:noProof/>
              </w:rPr>
            </w:pPr>
            <w:r>
              <w:rPr>
                <w:noProof/>
              </w:rPr>
              <w:t>A szerződések kiegészítik az RE-C05-i01.01 és az RE-C05-i09. pontban végrehajtott szerződéseket.</w:t>
            </w:r>
          </w:p>
          <w:p w14:paraId="665FD32D" w14:textId="15DAACE9" w:rsidR="00DC5EC6" w:rsidRDefault="003245A4">
            <w:pPr>
              <w:pStyle w:val="P68B1DB1-Normal12"/>
              <w:spacing w:after="0" w:line="240" w:lineRule="auto"/>
              <w:jc w:val="both"/>
              <w:rPr>
                <w:rFonts w:eastAsia="Times New Roman" w:cstheme="minorHAnsi"/>
                <w:noProof/>
              </w:rPr>
            </w:pPr>
            <w:r>
              <w:rPr>
                <w:noProof/>
              </w:rPr>
              <w:t>A PPS-ből legalább 366-nak igazodnia kell a 021. beavatkozási területhez (Technológiatranszfer és együttműködés vállalkozások, kutatóközpontok és oktatási ágazat között).</w:t>
            </w:r>
          </w:p>
        </w:tc>
      </w:tr>
      <w:tr w:rsidR="002C6E52" w14:paraId="400ED1E3" w14:textId="77777777">
        <w:trPr>
          <w:trHeight w:val="687"/>
        </w:trPr>
        <w:tc>
          <w:tcPr>
            <w:tcW w:w="1113" w:type="dxa"/>
            <w:shd w:val="clear" w:color="auto" w:fill="C4EFCE"/>
            <w:vAlign w:val="center"/>
          </w:tcPr>
          <w:p w14:paraId="44700B14" w14:textId="1C6F6D95" w:rsidR="002C6E52" w:rsidRDefault="002C6E52" w:rsidP="002C6E52">
            <w:pPr>
              <w:pStyle w:val="P68B1DB1-Normal11"/>
              <w:spacing w:after="0" w:line="240" w:lineRule="auto"/>
              <w:jc w:val="center"/>
              <w:rPr>
                <w:rFonts w:eastAsia="Times New Roman" w:cstheme="minorHAnsi"/>
                <w:noProof/>
              </w:rPr>
            </w:pPr>
            <w:r>
              <w:rPr>
                <w:noProof/>
              </w:rPr>
              <w:t>5.45</w:t>
            </w:r>
          </w:p>
        </w:tc>
        <w:tc>
          <w:tcPr>
            <w:tcW w:w="1246" w:type="dxa"/>
            <w:shd w:val="clear" w:color="auto" w:fill="C4EFCE"/>
            <w:vAlign w:val="center"/>
          </w:tcPr>
          <w:p w14:paraId="1965DF86" w14:textId="22F6F593" w:rsidR="002C6E52" w:rsidRDefault="002C6E52" w:rsidP="002C6E52">
            <w:pPr>
              <w:pStyle w:val="P68B1DB1-Normal12"/>
              <w:spacing w:after="0" w:line="240" w:lineRule="auto"/>
              <w:jc w:val="center"/>
              <w:rPr>
                <w:rFonts w:eastAsia="Times New Roman" w:cstheme="minorHAnsi"/>
                <w:noProof/>
              </w:rPr>
            </w:pPr>
            <w:r>
              <w:rPr>
                <w:noProof/>
              </w:rPr>
              <w:t>Re-C05-i11</w:t>
            </w:r>
          </w:p>
        </w:tc>
        <w:tc>
          <w:tcPr>
            <w:tcW w:w="1108" w:type="dxa"/>
            <w:shd w:val="clear" w:color="auto" w:fill="C4EFCE"/>
            <w:vAlign w:val="center"/>
          </w:tcPr>
          <w:p w14:paraId="743CE8AD" w14:textId="093BC448" w:rsidR="002C6E52" w:rsidRDefault="002C6E52" w:rsidP="002C6E52">
            <w:pPr>
              <w:pStyle w:val="P68B1DB1-Normal12"/>
              <w:spacing w:after="0" w:line="240" w:lineRule="auto"/>
              <w:jc w:val="center"/>
              <w:rPr>
                <w:rFonts w:eastAsia="Times New Roman" w:cstheme="minorHAnsi"/>
                <w:noProof/>
              </w:rPr>
            </w:pPr>
            <w:r>
              <w:rPr>
                <w:noProof/>
              </w:rPr>
              <w:t>T</w:t>
            </w:r>
          </w:p>
        </w:tc>
        <w:tc>
          <w:tcPr>
            <w:tcW w:w="1659" w:type="dxa"/>
            <w:shd w:val="clear" w:color="auto" w:fill="C4EFCE"/>
            <w:vAlign w:val="center"/>
          </w:tcPr>
          <w:p w14:paraId="5FB71C3F" w14:textId="67C84415" w:rsidR="002C6E52" w:rsidRDefault="002C6E52" w:rsidP="002C6E52">
            <w:pPr>
              <w:pStyle w:val="P68B1DB1-Normal12"/>
              <w:spacing w:after="0" w:line="240" w:lineRule="auto"/>
              <w:jc w:val="center"/>
              <w:rPr>
                <w:rFonts w:eastAsia="Times New Roman" w:cstheme="minorHAnsi"/>
                <w:noProof/>
              </w:rPr>
            </w:pPr>
            <w:r>
              <w:rPr>
                <w:noProof/>
              </w:rPr>
              <w:t xml:space="preserve">446 termék, eljárás vagy szolgáltatás befejezése.  </w:t>
            </w:r>
          </w:p>
        </w:tc>
        <w:tc>
          <w:tcPr>
            <w:tcW w:w="1245" w:type="dxa"/>
            <w:shd w:val="clear" w:color="auto" w:fill="C4EFCE"/>
            <w:vAlign w:val="center"/>
          </w:tcPr>
          <w:p w14:paraId="0EC39034" w14:textId="02271F16" w:rsidR="002C6E52" w:rsidRDefault="002C6E52" w:rsidP="002C6E52">
            <w:pPr>
              <w:spacing w:after="0" w:line="240" w:lineRule="auto"/>
              <w:jc w:val="center"/>
              <w:rPr>
                <w:rFonts w:eastAsia="Times New Roman" w:cstheme="minorHAnsi"/>
                <w:noProof/>
                <w:sz w:val="16"/>
              </w:rPr>
            </w:pPr>
          </w:p>
        </w:tc>
        <w:tc>
          <w:tcPr>
            <w:tcW w:w="972" w:type="dxa"/>
            <w:shd w:val="clear" w:color="auto" w:fill="C4EFCE"/>
            <w:vAlign w:val="center"/>
          </w:tcPr>
          <w:p w14:paraId="7F7FE345" w14:textId="61337074" w:rsidR="002C6E52" w:rsidRDefault="002C6E52" w:rsidP="002C6E52">
            <w:pPr>
              <w:pStyle w:val="P68B1DB1-Normal12"/>
              <w:spacing w:after="0" w:line="240" w:lineRule="auto"/>
              <w:jc w:val="center"/>
              <w:rPr>
                <w:rFonts w:eastAsia="Times New Roman" w:cstheme="minorHAnsi"/>
                <w:noProof/>
              </w:rPr>
            </w:pPr>
            <w:r>
              <w:rPr>
                <w:noProof/>
              </w:rPr>
              <w:t>Szám</w:t>
            </w:r>
          </w:p>
        </w:tc>
        <w:tc>
          <w:tcPr>
            <w:tcW w:w="971" w:type="dxa"/>
            <w:shd w:val="clear" w:color="auto" w:fill="C4EFCE"/>
            <w:vAlign w:val="center"/>
          </w:tcPr>
          <w:p w14:paraId="683EB9BC" w14:textId="43DAD693" w:rsidR="002C6E52" w:rsidRDefault="002C6E52" w:rsidP="002C6E52">
            <w:pPr>
              <w:pStyle w:val="P68B1DB1-Normal12"/>
              <w:spacing w:after="0" w:line="240" w:lineRule="auto"/>
              <w:jc w:val="center"/>
              <w:rPr>
                <w:rFonts w:eastAsia="Times New Roman" w:cstheme="minorHAnsi"/>
                <w:noProof/>
              </w:rPr>
            </w:pPr>
            <w:r>
              <w:rPr>
                <w:noProof/>
              </w:rPr>
              <w:t>228</w:t>
            </w:r>
          </w:p>
        </w:tc>
        <w:tc>
          <w:tcPr>
            <w:tcW w:w="695" w:type="dxa"/>
            <w:shd w:val="clear" w:color="auto" w:fill="C4EFCE"/>
            <w:vAlign w:val="center"/>
          </w:tcPr>
          <w:p w14:paraId="49686240" w14:textId="4EF220DE" w:rsidR="002C6E52" w:rsidRDefault="002C6E52" w:rsidP="002C6E52">
            <w:pPr>
              <w:pStyle w:val="P68B1DB1-Normal12"/>
              <w:spacing w:after="0" w:line="240" w:lineRule="auto"/>
              <w:jc w:val="center"/>
              <w:rPr>
                <w:rFonts w:eastAsia="Times New Roman" w:cstheme="minorHAnsi"/>
                <w:noProof/>
              </w:rPr>
            </w:pPr>
            <w:r>
              <w:rPr>
                <w:noProof/>
              </w:rPr>
              <w:t>674</w:t>
            </w:r>
          </w:p>
        </w:tc>
        <w:tc>
          <w:tcPr>
            <w:tcW w:w="557" w:type="dxa"/>
            <w:shd w:val="clear" w:color="auto" w:fill="C4EFCE"/>
            <w:vAlign w:val="center"/>
          </w:tcPr>
          <w:p w14:paraId="448DFBE1" w14:textId="4519CEBE" w:rsidR="002C6E52" w:rsidRDefault="002C6E52" w:rsidP="002C6E52">
            <w:pPr>
              <w:pStyle w:val="P68B1DB1-Normal12"/>
              <w:spacing w:after="0" w:line="240" w:lineRule="auto"/>
              <w:jc w:val="center"/>
              <w:rPr>
                <w:rFonts w:eastAsia="Times New Roman" w:cstheme="minorHAnsi"/>
                <w:noProof/>
              </w:rPr>
            </w:pPr>
            <w:r>
              <w:rPr>
                <w:noProof/>
              </w:rPr>
              <w:t>4. NEGYEDÉV</w:t>
            </w:r>
          </w:p>
        </w:tc>
        <w:tc>
          <w:tcPr>
            <w:tcW w:w="694" w:type="dxa"/>
            <w:shd w:val="clear" w:color="auto" w:fill="C4EFCE"/>
            <w:vAlign w:val="center"/>
          </w:tcPr>
          <w:p w14:paraId="1604BD49" w14:textId="0EBDE02B" w:rsidR="002C6E52" w:rsidRDefault="002C6E52" w:rsidP="002C6E52">
            <w:pPr>
              <w:pStyle w:val="P68B1DB1-Normal12"/>
              <w:spacing w:after="0" w:line="240" w:lineRule="auto"/>
              <w:jc w:val="center"/>
              <w:rPr>
                <w:rFonts w:eastAsia="Times New Roman" w:cstheme="minorHAnsi"/>
                <w:noProof/>
              </w:rPr>
            </w:pPr>
            <w:r>
              <w:rPr>
                <w:noProof/>
              </w:rPr>
              <w:t>2025</w:t>
            </w:r>
          </w:p>
        </w:tc>
        <w:tc>
          <w:tcPr>
            <w:tcW w:w="4908" w:type="dxa"/>
            <w:shd w:val="clear" w:color="auto" w:fill="C4EFCE"/>
            <w:vAlign w:val="center"/>
          </w:tcPr>
          <w:p w14:paraId="5A087616" w14:textId="5F4C7337" w:rsidR="002C6E52" w:rsidRDefault="002C6E52" w:rsidP="002C6E52">
            <w:pPr>
              <w:pStyle w:val="P68B1DB1-Normal12"/>
              <w:spacing w:after="0" w:line="240" w:lineRule="auto"/>
              <w:jc w:val="both"/>
              <w:rPr>
                <w:noProof/>
              </w:rPr>
            </w:pPr>
            <w:r>
              <w:rPr>
                <w:noProof/>
              </w:rPr>
              <w:t xml:space="preserve">446 termék, eljárás vagy szolgáltatás befejezése a releváns stratégiai területeken, a konzorciumokkal kötött szerződések (innovációs paktumok vagy mobilizációs projektek) végrehajtása révén. </w:t>
            </w:r>
          </w:p>
          <w:p w14:paraId="5870609D" w14:textId="5F4C7337" w:rsidR="002C6E52" w:rsidRDefault="002C6E52" w:rsidP="002C6E52">
            <w:pPr>
              <w:pStyle w:val="P68B1DB1-Bodytext1013"/>
              <w:spacing w:after="0"/>
              <w:jc w:val="both"/>
              <w:rPr>
                <w:rFonts w:cstheme="minorBidi"/>
                <w:noProof/>
              </w:rPr>
            </w:pPr>
            <w:r>
              <w:rPr>
                <w:noProof/>
              </w:rPr>
              <w:t>A PPS-nek ki kell egészítenie az RE-C05-i01.01 és RE-C05-i09 pontokban végrehajtott PPS-t.</w:t>
            </w:r>
          </w:p>
          <w:p w14:paraId="4EDE4521" w14:textId="4E974DF6" w:rsidR="002C6E52" w:rsidRDefault="002C6E52" w:rsidP="002C6E52">
            <w:pPr>
              <w:pStyle w:val="P68B1DB1-Bodytext1013"/>
              <w:spacing w:after="0"/>
              <w:jc w:val="both"/>
              <w:rPr>
                <w:rFonts w:cstheme="minorBidi"/>
                <w:noProof/>
              </w:rPr>
            </w:pPr>
            <w:r>
              <w:rPr>
                <w:noProof/>
              </w:rPr>
              <w:t>A PPS-ből legalább 366-nak igazodnia kell a 021 beavatkozási területhez.</w:t>
            </w:r>
          </w:p>
        </w:tc>
      </w:tr>
      <w:tr w:rsidR="00DC5EC6" w14:paraId="1381D009" w14:textId="77777777">
        <w:trPr>
          <w:trHeight w:val="687"/>
        </w:trPr>
        <w:tc>
          <w:tcPr>
            <w:tcW w:w="1113" w:type="dxa"/>
            <w:shd w:val="clear" w:color="auto" w:fill="C4EFCE"/>
            <w:vAlign w:val="center"/>
          </w:tcPr>
          <w:p w14:paraId="0CB16054" w14:textId="510C0E6F" w:rsidR="00DC5EC6" w:rsidRDefault="003245A4">
            <w:pPr>
              <w:pStyle w:val="P68B1DB1-Normal11"/>
              <w:spacing w:after="0" w:line="240" w:lineRule="auto"/>
              <w:jc w:val="center"/>
              <w:rPr>
                <w:rFonts w:cstheme="minorHAnsi"/>
                <w:noProof/>
              </w:rPr>
            </w:pPr>
            <w:r>
              <w:rPr>
                <w:noProof/>
              </w:rPr>
              <w:t>5.46</w:t>
            </w:r>
          </w:p>
        </w:tc>
        <w:tc>
          <w:tcPr>
            <w:tcW w:w="1246" w:type="dxa"/>
            <w:shd w:val="clear" w:color="auto" w:fill="C4EFCE"/>
            <w:vAlign w:val="center"/>
          </w:tcPr>
          <w:p w14:paraId="0BC93575" w14:textId="3FBAAA80" w:rsidR="00DC5EC6" w:rsidRDefault="003245A4">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41149329" w14:textId="1C872CA1" w:rsidR="00DC5EC6" w:rsidRDefault="003245A4">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4D5E5493" w14:textId="40D04039" w:rsidR="00DC5EC6" w:rsidRDefault="003245A4">
            <w:pPr>
              <w:pStyle w:val="P68B1DB1-Normal12"/>
              <w:spacing w:after="0" w:line="240" w:lineRule="auto"/>
              <w:jc w:val="center"/>
              <w:rPr>
                <w:rFonts w:cstheme="minorHAns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c>
          <w:tcPr>
            <w:tcW w:w="1245" w:type="dxa"/>
            <w:shd w:val="clear" w:color="auto" w:fill="C4EFCE"/>
            <w:vAlign w:val="center"/>
          </w:tcPr>
          <w:p w14:paraId="36DF6C96" w14:textId="790B5427" w:rsidR="00DC5EC6" w:rsidRDefault="003245A4">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34558086" w14:textId="42A84CA3" w:rsidR="00DC5EC6" w:rsidRDefault="003245A4">
            <w:pPr>
              <w:pStyle w:val="P68B1DB1-Normal12"/>
              <w:spacing w:after="0" w:line="240" w:lineRule="auto"/>
              <w:jc w:val="center"/>
              <w:rPr>
                <w:rFonts w:cstheme="minorHAnsi"/>
                <w:noProof/>
              </w:rPr>
            </w:pPr>
            <w:r>
              <w:rPr>
                <w:noProof/>
              </w:rPr>
              <w:t>Szám</w:t>
            </w:r>
          </w:p>
        </w:tc>
        <w:tc>
          <w:tcPr>
            <w:tcW w:w="971" w:type="dxa"/>
            <w:shd w:val="clear" w:color="auto" w:fill="C4EFCE"/>
            <w:vAlign w:val="center"/>
          </w:tcPr>
          <w:p w14:paraId="4F3059D7" w14:textId="4D90D56B" w:rsidR="00DC5EC6" w:rsidRDefault="003245A4">
            <w:pPr>
              <w:pStyle w:val="P68B1DB1-Normal12"/>
              <w:spacing w:after="0" w:line="240" w:lineRule="auto"/>
              <w:jc w:val="center"/>
              <w:rPr>
                <w:rFonts w:cstheme="minorHAnsi"/>
                <w:noProof/>
              </w:rPr>
            </w:pPr>
            <w:r>
              <w:rPr>
                <w:noProof/>
              </w:rPr>
              <w:t>10</w:t>
            </w:r>
          </w:p>
        </w:tc>
        <w:tc>
          <w:tcPr>
            <w:tcW w:w="695" w:type="dxa"/>
            <w:shd w:val="clear" w:color="auto" w:fill="C4EFCE"/>
            <w:vAlign w:val="center"/>
          </w:tcPr>
          <w:p w14:paraId="0CF359B0" w14:textId="59145B12" w:rsidR="00DC5EC6" w:rsidRDefault="003245A4">
            <w:pPr>
              <w:pStyle w:val="P68B1DB1-Normal12"/>
              <w:spacing w:after="0" w:line="240" w:lineRule="auto"/>
              <w:jc w:val="center"/>
              <w:rPr>
                <w:rFonts w:cstheme="minorHAnsi"/>
                <w:noProof/>
              </w:rPr>
            </w:pPr>
            <w:r>
              <w:rPr>
                <w:noProof/>
              </w:rPr>
              <w:t>20</w:t>
            </w:r>
          </w:p>
        </w:tc>
        <w:tc>
          <w:tcPr>
            <w:tcW w:w="557" w:type="dxa"/>
            <w:shd w:val="clear" w:color="auto" w:fill="C4EFCE"/>
            <w:vAlign w:val="center"/>
          </w:tcPr>
          <w:p w14:paraId="6EC45A79" w14:textId="5AF37678" w:rsidR="00DC5EC6" w:rsidRDefault="002C6E52">
            <w:pPr>
              <w:pStyle w:val="P68B1DB1-Normal12"/>
              <w:spacing w:after="0" w:line="240" w:lineRule="auto"/>
              <w:jc w:val="center"/>
              <w:rPr>
                <w:noProof/>
              </w:rPr>
            </w:pPr>
            <w:r>
              <w:rPr>
                <w:noProof/>
              </w:rPr>
              <w:t>3. NEGYEDÉV</w:t>
            </w:r>
          </w:p>
        </w:tc>
        <w:tc>
          <w:tcPr>
            <w:tcW w:w="694" w:type="dxa"/>
            <w:shd w:val="clear" w:color="auto" w:fill="C4EFCE"/>
            <w:vAlign w:val="center"/>
          </w:tcPr>
          <w:p w14:paraId="7DCFD43B" w14:textId="7189AC27" w:rsidR="00DC5EC6" w:rsidRDefault="003245A4">
            <w:pPr>
              <w:pStyle w:val="P68B1DB1-Normal12"/>
              <w:spacing w:after="0" w:line="240" w:lineRule="auto"/>
              <w:jc w:val="center"/>
              <w:rPr>
                <w:rFonts w:cstheme="minorHAnsi"/>
                <w:noProof/>
              </w:rPr>
            </w:pPr>
            <w:r>
              <w:rPr>
                <w:noProof/>
              </w:rPr>
              <w:t>2023</w:t>
            </w:r>
          </w:p>
        </w:tc>
        <w:tc>
          <w:tcPr>
            <w:tcW w:w="4908" w:type="dxa"/>
            <w:shd w:val="clear" w:color="auto" w:fill="C4EFCE"/>
            <w:vAlign w:val="center"/>
          </w:tcPr>
          <w:p w14:paraId="499E39FF" w14:textId="08A34CB6" w:rsidR="00DC5EC6" w:rsidRDefault="003245A4">
            <w:pPr>
              <w:pStyle w:val="P68B1DB1-Bodytext1013"/>
              <w:spacing w:after="0"/>
              <w:rPr>
                <w:rFonts w:cstheme="minorHAnsi"/>
                <w:noProof/>
              </w:rPr>
            </w:pPr>
            <w:r>
              <w:rPr>
                <w:noProof/>
              </w:rPr>
              <w:t>Tíz további szerződés (innovációs paktumok vagy mobilizációs projektek) megkötése konzorciumokkal, amelyek a következőket foglalják magukban:</w:t>
            </w:r>
          </w:p>
          <w:p w14:paraId="5623BFC8" w14:textId="77777777" w:rsidR="00DC5EC6" w:rsidRDefault="003245A4">
            <w:pPr>
              <w:pStyle w:val="P68B1DB1-Bodytext1013"/>
              <w:spacing w:after="0"/>
              <w:rPr>
                <w:rFonts w:cstheme="minorHAnsi"/>
                <w:noProof/>
              </w:rPr>
            </w:pPr>
            <w:r>
              <w:rPr>
                <w:noProof/>
              </w:rPr>
              <w:t>• A konzorciumot alkotó jogalanyok azonosítása;</w:t>
            </w:r>
          </w:p>
          <w:p w14:paraId="348134D2" w14:textId="77777777" w:rsidR="00DC5EC6" w:rsidRDefault="003245A4">
            <w:pPr>
              <w:pStyle w:val="P68B1DB1-Bodytext1013"/>
              <w:spacing w:after="0"/>
              <w:rPr>
                <w:rFonts w:cstheme="minorHAnsi"/>
                <w:noProof/>
              </w:rPr>
            </w:pPr>
            <w:r>
              <w:rPr>
                <w:noProof/>
              </w:rPr>
              <w:t>• Az üzleti terv/beruházás;</w:t>
            </w:r>
          </w:p>
          <w:p w14:paraId="5BD43BF9" w14:textId="77777777" w:rsidR="00DC5EC6" w:rsidRDefault="003245A4">
            <w:pPr>
              <w:pStyle w:val="P68B1DB1-Bodytext1013"/>
              <w:spacing w:after="0"/>
              <w:rPr>
                <w:rFonts w:cstheme="minorHAnsi"/>
                <w:noProof/>
              </w:rPr>
            </w:pPr>
            <w:r>
              <w:rPr>
                <w:noProof/>
              </w:rPr>
              <w:t>• A finanszírozás összege;</w:t>
            </w:r>
          </w:p>
          <w:p w14:paraId="780D9792" w14:textId="77777777" w:rsidR="00DC5EC6" w:rsidRDefault="003245A4">
            <w:pPr>
              <w:pStyle w:val="P68B1DB1-Bodytext1013"/>
              <w:spacing w:after="0"/>
              <w:rPr>
                <w:rFonts w:cstheme="minorHAnsi"/>
                <w:noProof/>
              </w:rPr>
            </w:pPr>
            <w:r>
              <w:rPr>
                <w:noProof/>
              </w:rPr>
              <w:t>• A kedvezményezettre vonatkozó célkitűzések;</w:t>
            </w:r>
          </w:p>
          <w:p w14:paraId="3C7CAD42" w14:textId="77777777" w:rsidR="00DC5EC6" w:rsidRDefault="003245A4">
            <w:pPr>
              <w:pStyle w:val="P68B1DB1-Bodytext1013"/>
              <w:spacing w:after="0"/>
              <w:rPr>
                <w:rFonts w:cstheme="minorHAnsi"/>
                <w:noProof/>
              </w:rPr>
            </w:pPr>
            <w:r>
              <w:rPr>
                <w:noProof/>
              </w:rPr>
              <w:t xml:space="preserve">• A nyomon követés formája. </w:t>
            </w:r>
          </w:p>
          <w:p w14:paraId="160F8223" w14:textId="6794DDB5" w:rsidR="00DC5EC6" w:rsidRDefault="003245A4">
            <w:pPr>
              <w:pStyle w:val="P68B1DB1-Bodytext1013"/>
              <w:spacing w:after="0"/>
              <w:rPr>
                <w:rFonts w:cstheme="minorHAnsi"/>
                <w:noProof/>
              </w:rPr>
            </w:pPr>
            <w:r>
              <w:rPr>
                <w:noProof/>
              </w:rPr>
              <w:t xml:space="preserve">A szerződéseknek összesen legalább 147 terméket, folyamatot vagy szolgáltatást kell támogatniuk, és igazodniuk kell a 022. beavatkozási területhez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 </w:t>
            </w:r>
          </w:p>
          <w:p w14:paraId="6C00454A" w14:textId="77777777" w:rsidR="00DC5EC6" w:rsidRDefault="003245A4">
            <w:pPr>
              <w:pStyle w:val="P68B1DB1-Bodytext1013"/>
              <w:spacing w:after="0"/>
              <w:rPr>
                <w:rFonts w:cstheme="minorHAnsi"/>
                <w:noProof/>
              </w:rPr>
            </w:pPr>
            <w:r>
              <w:rPr>
                <w:noProof/>
              </w:rPr>
              <w:t>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w:t>
            </w:r>
          </w:p>
          <w:p w14:paraId="290DDA70" w14:textId="5F629E0E" w:rsidR="00DC5EC6" w:rsidRDefault="003245A4">
            <w:pPr>
              <w:pStyle w:val="P68B1DB1-Normal12"/>
              <w:spacing w:after="0" w:line="240" w:lineRule="auto"/>
              <w:jc w:val="both"/>
              <w:rPr>
                <w:rFonts w:cstheme="minorHAnsi"/>
                <w:noProof/>
              </w:rPr>
            </w:pPr>
            <w:r>
              <w:rPr>
                <w:noProof/>
              </w:rPr>
              <w:t>A szerződések kiegészítik az RE-C05-i01.02 és az RE-C05-i10. pontban végrehajtott szerződéseket.</w:t>
            </w:r>
          </w:p>
        </w:tc>
      </w:tr>
      <w:tr w:rsidR="002C6E52" w14:paraId="7431C32C" w14:textId="77777777">
        <w:trPr>
          <w:trHeight w:val="274"/>
        </w:trPr>
        <w:tc>
          <w:tcPr>
            <w:tcW w:w="1113" w:type="dxa"/>
            <w:shd w:val="clear" w:color="auto" w:fill="C4EFCE"/>
            <w:vAlign w:val="center"/>
          </w:tcPr>
          <w:p w14:paraId="32CF2A49" w14:textId="78E07266" w:rsidR="002C6E52" w:rsidRDefault="002C6E52" w:rsidP="002C6E52">
            <w:pPr>
              <w:pStyle w:val="P68B1DB1-Normal11"/>
              <w:spacing w:after="0" w:line="240" w:lineRule="auto"/>
              <w:jc w:val="center"/>
              <w:rPr>
                <w:rFonts w:cstheme="minorHAnsi"/>
                <w:noProof/>
              </w:rPr>
            </w:pPr>
            <w:r>
              <w:rPr>
                <w:noProof/>
              </w:rPr>
              <w:t>5.47</w:t>
            </w:r>
          </w:p>
        </w:tc>
        <w:tc>
          <w:tcPr>
            <w:tcW w:w="1246" w:type="dxa"/>
            <w:shd w:val="clear" w:color="auto" w:fill="C4EFCE"/>
            <w:vAlign w:val="center"/>
          </w:tcPr>
          <w:p w14:paraId="509613B3" w14:textId="1F733358" w:rsidR="002C6E52" w:rsidRDefault="002C6E52" w:rsidP="002C6E52">
            <w:pPr>
              <w:pStyle w:val="P68B1DB1-Normal12"/>
              <w:spacing w:after="0" w:line="240" w:lineRule="auto"/>
              <w:jc w:val="center"/>
              <w:rPr>
                <w:rFonts w:cstheme="minorHAnsi"/>
                <w:noProof/>
              </w:rPr>
            </w:pPr>
            <w:r>
              <w:rPr>
                <w:noProof/>
              </w:rPr>
              <w:t>Re-C05–i12</w:t>
            </w:r>
          </w:p>
        </w:tc>
        <w:tc>
          <w:tcPr>
            <w:tcW w:w="1108" w:type="dxa"/>
            <w:shd w:val="clear" w:color="auto" w:fill="C4EFCE"/>
            <w:vAlign w:val="center"/>
          </w:tcPr>
          <w:p w14:paraId="287EAA6C" w14:textId="37007893" w:rsidR="002C6E52" w:rsidRDefault="002C6E52" w:rsidP="002C6E52">
            <w:pPr>
              <w:pStyle w:val="P68B1DB1-Normal12"/>
              <w:spacing w:after="0" w:line="240" w:lineRule="auto"/>
              <w:jc w:val="center"/>
              <w:rPr>
                <w:rFonts w:cstheme="minorHAnsi"/>
                <w:noProof/>
              </w:rPr>
            </w:pPr>
            <w:r>
              <w:rPr>
                <w:noProof/>
              </w:rPr>
              <w:t>T</w:t>
            </w:r>
          </w:p>
        </w:tc>
        <w:tc>
          <w:tcPr>
            <w:tcW w:w="1659" w:type="dxa"/>
            <w:shd w:val="clear" w:color="auto" w:fill="C4EFCE"/>
            <w:vAlign w:val="center"/>
          </w:tcPr>
          <w:p w14:paraId="1E5CB665" w14:textId="105B9A4D" w:rsidR="002C6E52" w:rsidRDefault="002C6E52" w:rsidP="002C6E52">
            <w:pPr>
              <w:pStyle w:val="P68B1DB1-Normal12"/>
              <w:spacing w:after="0" w:line="240" w:lineRule="auto"/>
              <w:jc w:val="center"/>
              <w:rPr>
                <w:rFonts w:cstheme="minorHAnsi"/>
                <w:noProof/>
              </w:rPr>
            </w:pPr>
            <w:r>
              <w:rPr>
                <w:noProof/>
              </w:rPr>
              <w:t>Az alacsony szén-dioxid-kibocsátású gazdaság, az ellenálló képesség és az éghajlatváltozáshoz való alkalmazkodás szempontjából releváns termékek, folyamatok vagy szolgáltatások.</w:t>
            </w:r>
          </w:p>
        </w:tc>
        <w:tc>
          <w:tcPr>
            <w:tcW w:w="1245" w:type="dxa"/>
            <w:shd w:val="clear" w:color="auto" w:fill="C4EFCE"/>
            <w:vAlign w:val="center"/>
          </w:tcPr>
          <w:p w14:paraId="65CE0D44" w14:textId="2FFC40CA" w:rsidR="002C6E52" w:rsidRDefault="002C6E52" w:rsidP="002C6E52">
            <w:pPr>
              <w:pStyle w:val="P68B1DB1-Normal12"/>
              <w:spacing w:after="0" w:line="240" w:lineRule="auto"/>
              <w:jc w:val="center"/>
              <w:rPr>
                <w:rFonts w:eastAsia="Times New Roman" w:cstheme="minorHAnsi"/>
                <w:noProof/>
              </w:rPr>
            </w:pPr>
            <w:r>
              <w:rPr>
                <w:noProof/>
              </w:rPr>
              <w:t> </w:t>
            </w:r>
          </w:p>
        </w:tc>
        <w:tc>
          <w:tcPr>
            <w:tcW w:w="972" w:type="dxa"/>
            <w:shd w:val="clear" w:color="auto" w:fill="C4EFCE"/>
            <w:vAlign w:val="center"/>
          </w:tcPr>
          <w:p w14:paraId="2CDFDBF8" w14:textId="7B4E4CC9" w:rsidR="002C6E52" w:rsidRDefault="002C6E52" w:rsidP="002C6E52">
            <w:pPr>
              <w:pStyle w:val="P68B1DB1-Normal12"/>
              <w:spacing w:after="0" w:line="240" w:lineRule="auto"/>
              <w:jc w:val="center"/>
              <w:rPr>
                <w:rFonts w:cstheme="minorHAnsi"/>
                <w:noProof/>
              </w:rPr>
            </w:pPr>
            <w:r>
              <w:rPr>
                <w:noProof/>
              </w:rPr>
              <w:t>Szám</w:t>
            </w:r>
          </w:p>
        </w:tc>
        <w:tc>
          <w:tcPr>
            <w:tcW w:w="971" w:type="dxa"/>
            <w:shd w:val="clear" w:color="auto" w:fill="C4EFCE"/>
            <w:vAlign w:val="center"/>
          </w:tcPr>
          <w:p w14:paraId="23069303" w14:textId="0D9C234C" w:rsidR="002C6E52" w:rsidRDefault="002C6E52" w:rsidP="002C6E52">
            <w:pPr>
              <w:pStyle w:val="P68B1DB1-Normal12"/>
              <w:spacing w:after="0" w:line="240" w:lineRule="auto"/>
              <w:jc w:val="center"/>
              <w:rPr>
                <w:rFonts w:cstheme="minorHAnsi"/>
                <w:noProof/>
              </w:rPr>
            </w:pPr>
            <w:r>
              <w:rPr>
                <w:noProof/>
              </w:rPr>
              <w:t>138</w:t>
            </w:r>
          </w:p>
        </w:tc>
        <w:tc>
          <w:tcPr>
            <w:tcW w:w="695" w:type="dxa"/>
            <w:shd w:val="clear" w:color="auto" w:fill="C4EFCE"/>
            <w:vAlign w:val="center"/>
          </w:tcPr>
          <w:p w14:paraId="4E428C5E" w14:textId="639B2AE1" w:rsidR="002C6E52" w:rsidRDefault="002C6E52" w:rsidP="002C6E52">
            <w:pPr>
              <w:pStyle w:val="P68B1DB1-Normal12"/>
              <w:spacing w:after="0" w:line="240" w:lineRule="auto"/>
              <w:jc w:val="center"/>
              <w:rPr>
                <w:rFonts w:cstheme="minorHAnsi"/>
                <w:noProof/>
              </w:rPr>
            </w:pPr>
            <w:r>
              <w:rPr>
                <w:noProof/>
              </w:rPr>
              <w:t>285</w:t>
            </w:r>
          </w:p>
        </w:tc>
        <w:tc>
          <w:tcPr>
            <w:tcW w:w="557" w:type="dxa"/>
            <w:shd w:val="clear" w:color="auto" w:fill="C4EFCE"/>
            <w:vAlign w:val="center"/>
          </w:tcPr>
          <w:p w14:paraId="6A0FC76A" w14:textId="76926E31" w:rsidR="002C6E52" w:rsidRDefault="002C6E52" w:rsidP="002C6E52">
            <w:pPr>
              <w:pStyle w:val="P68B1DB1-Normal12"/>
              <w:spacing w:after="0" w:line="240" w:lineRule="auto"/>
              <w:jc w:val="center"/>
              <w:rPr>
                <w:rFonts w:cstheme="minorHAnsi"/>
                <w:noProof/>
              </w:rPr>
            </w:pPr>
            <w:r>
              <w:rPr>
                <w:noProof/>
              </w:rPr>
              <w:t>4. NEGYEDÉV</w:t>
            </w:r>
          </w:p>
        </w:tc>
        <w:tc>
          <w:tcPr>
            <w:tcW w:w="694" w:type="dxa"/>
            <w:shd w:val="clear" w:color="auto" w:fill="C4EFCE"/>
            <w:vAlign w:val="center"/>
          </w:tcPr>
          <w:p w14:paraId="7A622278" w14:textId="0287DEB1" w:rsidR="002C6E52" w:rsidRDefault="002C6E52" w:rsidP="002C6E52">
            <w:pPr>
              <w:pStyle w:val="P68B1DB1-Normal12"/>
              <w:spacing w:after="0" w:line="240" w:lineRule="auto"/>
              <w:jc w:val="center"/>
              <w:rPr>
                <w:rFonts w:cstheme="minorHAnsi"/>
                <w:noProof/>
              </w:rPr>
            </w:pPr>
            <w:r>
              <w:rPr>
                <w:noProof/>
              </w:rPr>
              <w:t>2025</w:t>
            </w:r>
          </w:p>
        </w:tc>
        <w:tc>
          <w:tcPr>
            <w:tcW w:w="4908" w:type="dxa"/>
            <w:shd w:val="clear" w:color="auto" w:fill="C4EFCE"/>
            <w:vAlign w:val="center"/>
          </w:tcPr>
          <w:p w14:paraId="1F263104" w14:textId="3DB158C4" w:rsidR="002C6E52" w:rsidRDefault="002C6E52" w:rsidP="002C6E52">
            <w:pPr>
              <w:pStyle w:val="P68B1DB1-Normal12"/>
              <w:spacing w:after="0" w:line="240" w:lineRule="auto"/>
              <w:jc w:val="both"/>
              <w:rPr>
                <w:noProof/>
              </w:rPr>
            </w:pPr>
            <w:r>
              <w:rPr>
                <w:noProof/>
              </w:rPr>
              <w:t>147 termék, eljárás vagy szolgáltatás (PPS) befejezése a konzorciumokkal kötött szerződések (innovációs paktumok vagy mozgósító projektek) végrehajtása révén, összhangban a 022. beavatkozási területtel (Kutatási és innovációs folyamatok, technológiaátadás és együttműködés a vállalatok között, különös tekintettel az alacsony szén-dioxid-kibocsátású gazdaságra, valamint az éghajlatváltozáshoz való alkalmazkodásra és az éghajlatváltozáshoz való alkalmazkodásra).</w:t>
            </w:r>
          </w:p>
          <w:p w14:paraId="21D14431" w14:textId="0F5CE763" w:rsidR="002C6E52" w:rsidRDefault="002C6E52" w:rsidP="002C6E52">
            <w:pPr>
              <w:pStyle w:val="P68B1DB1-Normal12"/>
              <w:spacing w:after="0" w:line="240" w:lineRule="auto"/>
              <w:jc w:val="both"/>
              <w:rPr>
                <w:noProof/>
              </w:rPr>
            </w:pPr>
            <w:r>
              <w:rPr>
                <w:noProof/>
              </w:rPr>
              <w:t>A PPS-nek ki kell egészítenie az RE-C05–i01.02 és RE-C05–i10 pontokban végrehajtott PPS-t.</w:t>
            </w:r>
          </w:p>
        </w:tc>
      </w:tr>
    </w:tbl>
    <w:p w14:paraId="58F116A2" w14:textId="5535E252"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14"/>
          <w:headerReference w:type="default" r:id="rId115"/>
          <w:footerReference w:type="even" r:id="rId116"/>
          <w:footerReference w:type="default" r:id="rId117"/>
          <w:headerReference w:type="first" r:id="rId118"/>
          <w:footerReference w:type="first" r:id="rId119"/>
          <w:pgSz w:w="16839" w:h="11907" w:orient="landscape"/>
          <w:pgMar w:top="1134" w:right="1134" w:bottom="1134" w:left="1134" w:header="567" w:footer="567" w:gutter="0"/>
          <w:cols w:space="720"/>
          <w:docGrid w:linePitch="360"/>
        </w:sectPr>
      </w:pPr>
    </w:p>
    <w:p w14:paraId="33FE1FD1" w14:textId="2028762D"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F. 6. </w:t>
      </w:r>
      <w:r w:rsidR="00342815">
        <w:rPr>
          <w:noProof/>
        </w:rPr>
        <w:t>KOMPONENS</w:t>
      </w:r>
      <w:r>
        <w:rPr>
          <w:noProof/>
        </w:rPr>
        <w:t>: Képesítések és készségek</w:t>
      </w:r>
    </w:p>
    <w:p w14:paraId="37175C0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Portugáliában a 25–64 év közötti népesség 44,5%-a rendelkezett alacsony iskolai végzettséggel 2020-ban, ami jóval meghaladja a 25,0%-os uniós átlagot. Emellett nagyon magas a népesség azon hányada, aki alapvető digitális készségekkel rendelkezik, vagy soha nem használta az internetet. Hasonlóképpen, a munkaerő-piaci szegmentáció és a nemek közötti egyenlőtlenségek a bér- és karrierlehetőségek terén továbbra is magasak az uniós normák szerint. </w:t>
      </w:r>
    </w:p>
    <w:p w14:paraId="1632873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a viszonylag alacsony iskolai végzettségi és képzettségi szinttel, az egész életen át tartó tanulásban való részvétellel, a munkaerőpiaci szegmentációval, a szigorúan szabályozott szakmák területén az adminisztratív akadályok felszámolásával, a munka jövőjével, a nemek közötti egyenlőséggel és az esélyegyenlőséggel kapcsolatos kihívásokra való felkészüléssel kapcsolatos számos kihívással foglalkozik. </w:t>
      </w:r>
    </w:p>
    <w:p w14:paraId="2B79D01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célkitűzései széles körűek, magukban foglalják a készségfejlesztést és a továbbképzést, az üzleti környezet szűk keresztmetszeteit, a munkaerőpiac szegmentációját, a nemek közötti egyensúlyt és az esélyegyenlőséget. Ami a termelési potenciált illeti, ez a komponens olyan intézkedésekre összpontosít, amelyek célja az alacsony képzettségi szintek emelése és az egész életen át tartó tanulásban való részvétel javítása az oktatási és szakképzési rendszerek reformja révén, az egyetemek/állami kutatási szervezetek és cégek közötti tudástranszfer előmozdítása, valamint a szigorúan szabályozott szakmákra vonatkozó korlátozások csökkentése, valamint az üzleti szolgáltatások nyújtása terén a versenyképesség fokozása. A komponens olyan intézkedéseket is bemutat, amelyek a szociális jogok európai pillérének különböző elveivel foglalkoznak, mint például a munkaügyi kapcsolatok és az atipikus munkaszerződéssel rendelkező munkavállalók hozzáférési jogai, az állandó minőségi munkahelyekkel rendelkező munkanélküliek befogadását elősegítő pénzügyi támogatás, valamint az egyenlő díjazás irányítási rendszerére vonatkozó portugál norma kidolgozása. </w:t>
      </w:r>
    </w:p>
    <w:p w14:paraId="7B3132B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összhangban van az olyan főbb uniós szakpolitikai kezdeményezésekkel, mint az európai készségfejlesztési program és a kompetenciafejlesztési pályákról szóló tanácsi ajánlás. Új lehetőségek felnőttek számára” (2016/C 484/01 tanácsi ajánlás), „A fenntartható versenyképességet, társadalmi méltányosságot és rezilienciát célzó szakképzésről” szóló tanácsi ajánlás (2020/C 417/01 tanácsi ajánlás), valamint a megerősített ifjúsági garancia, az európai oktatási térség és az Európai Kutatási Térség kezdeményezései. </w:t>
      </w:r>
    </w:p>
    <w:p w14:paraId="29744677" w14:textId="77777777" w:rsidR="00DC5EC6" w:rsidRDefault="003245A4">
      <w:pPr>
        <w:pStyle w:val="P68B1DB1-Normal4"/>
        <w:keepNext/>
        <w:spacing w:before="40" w:after="0" w:line="259" w:lineRule="auto"/>
        <w:jc w:val="both"/>
        <w:rPr>
          <w:rFonts w:eastAsiaTheme="minorEastAsia" w:cs="Times New Roman"/>
          <w:noProof/>
        </w:rPr>
      </w:pPr>
      <w:r>
        <w:rPr>
          <w:noProof/>
        </w:rPr>
        <w:t>A komponens foglalkozik az országspecifikus ajánlásokkal, hogy minden szükséges intézkedést megtegyen a világjárvány hatékony kezelése, a gazdaság működőképességének fenntartása és a későbbi helyreállítás támogatása érdekében (2020. évi 1. országspecifikus ajánlás); fogadjon el intézkedéseket a munkaerőpiac szegmentációjának kezelésére (2019. évi 2. országspecifikus ajánlás); a lakosság készségszintjének javítása, különös tekintettel a digitális jártasságra, többek között azáltal, hogy a felnőttkori tanulás jobban megfelel a munkaerőpiaci igényeknek (2019. évi 2. országspecifikus ajánlás); a felsőfokú végzettséggel rendelkezők számának növelése, különösen a tudomány és az információtechnológia területén (2019. évi 2. országspecifikus ajánlás); a digitális technológiák használatának támogatása a minőségi oktatáshoz és képzéshez való egyenlő hozzáférés biztosítása érdekében (2020. évi 2. országspecifikus ajánlás); a vállalkozások versenyképességének növelése (2020. évi 2. országspecifikus ajánlás); összpontosítson a kutatásra és innovációra irányuló, beruházással kapcsolatos gazdaságpolitikára (2019. évi 3. országspecifikus ajánlás); valamint a magas szinten szabályozott szakmákra vonatkozó korlátozások csökkentésére irányuló ütemterv kidolgozása (2019. évi 4. országspecifikus ajánlás).</w:t>
      </w:r>
    </w:p>
    <w:p w14:paraId="6CC019E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20AF52A5" w14:textId="17B25CD3" w:rsidR="00DC5EC6" w:rsidRDefault="00DC5EC6">
      <w:pPr>
        <w:keepNext/>
        <w:spacing w:before="40" w:after="0" w:line="259" w:lineRule="auto"/>
        <w:jc w:val="both"/>
        <w:rPr>
          <w:rFonts w:ascii="Times New Roman" w:eastAsiaTheme="minorEastAsia" w:hAnsi="Times New Roman" w:cs="Times New Roman"/>
          <w:noProof/>
          <w:sz w:val="24"/>
        </w:rPr>
      </w:pPr>
    </w:p>
    <w:p w14:paraId="309FC685" w14:textId="7C8FBB2C" w:rsidR="00DC5EC6" w:rsidRDefault="00DC5EC6">
      <w:pPr>
        <w:keepNext/>
        <w:spacing w:before="40" w:after="0" w:line="259" w:lineRule="auto"/>
        <w:jc w:val="both"/>
        <w:rPr>
          <w:rFonts w:ascii="Times New Roman" w:eastAsiaTheme="minorEastAsia" w:hAnsi="Times New Roman" w:cs="Times New Roman"/>
          <w:noProof/>
          <w:sz w:val="24"/>
        </w:rPr>
      </w:pPr>
    </w:p>
    <w:p w14:paraId="310C858A" w14:textId="486BD107" w:rsidR="00DC5EC6" w:rsidRDefault="00DC5EC6">
      <w:pPr>
        <w:keepNext/>
        <w:spacing w:before="40" w:after="0" w:line="259" w:lineRule="auto"/>
        <w:jc w:val="both"/>
        <w:rPr>
          <w:rFonts w:ascii="Times New Roman" w:eastAsiaTheme="minorEastAsia" w:hAnsi="Times New Roman" w:cs="Times New Roman"/>
          <w:noProof/>
          <w:sz w:val="24"/>
        </w:rPr>
      </w:pPr>
    </w:p>
    <w:p w14:paraId="6B3EE7D6"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1024A9A" w14:textId="77777777" w:rsidR="00DC5EC6" w:rsidRDefault="003245A4">
      <w:pPr>
        <w:pStyle w:val="P68B1DB1-Normal3"/>
        <w:spacing w:before="40" w:after="0" w:line="259" w:lineRule="auto"/>
        <w:ind w:left="130" w:firstLine="720"/>
        <w:jc w:val="both"/>
        <w:outlineLvl w:val="2"/>
        <w:rPr>
          <w:rFonts w:eastAsiaTheme="minorEastAsia" w:cs="Times New Roman"/>
          <w:i/>
          <w:noProof/>
        </w:rPr>
      </w:pPr>
      <w:r>
        <w:rPr>
          <w:noProof/>
        </w:rPr>
        <w:t>F.1. Vissza nem térítendő pénzügyi támogatás – a reformok és beruházások ismertetése</w:t>
      </w:r>
    </w:p>
    <w:p w14:paraId="4FF4B46F"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RE-r14 reform: A szakképzés reformja</w:t>
      </w:r>
    </w:p>
    <w:p w14:paraId="79BAF2E5" w14:textId="77777777" w:rsidR="00DC5EC6" w:rsidRDefault="003245A4">
      <w:pPr>
        <w:pStyle w:val="P68B1DB1-Normal4"/>
        <w:spacing w:before="40" w:after="0" w:line="259" w:lineRule="auto"/>
        <w:jc w:val="both"/>
        <w:rPr>
          <w:rFonts w:eastAsiaTheme="minorEastAsia" w:cs="Times New Roman"/>
          <w:noProof/>
        </w:rPr>
      </w:pPr>
      <w:r>
        <w:rPr>
          <w:noProof/>
        </w:rPr>
        <w:t xml:space="preserve">E reform célja az oktatási és szakképzési rendszerek modernizálása annak érdekében, hogy javuljon az alacsony iskolai végzettség és képzettség, valamint az alapvető és digitális készségekkel nem rendelkező munkavállalók magas száma, a készségkínálat hozzáigazítása a jelenlegi és jövőbeli munkaerő-piaci igényekhez, valamint az oktatási, képzési és egész életen át tartó tanulási lehetőségek szélesítése. </w:t>
      </w:r>
    </w:p>
    <w:p w14:paraId="14052811"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a következőkre irányuló intézkedésekből áll: </w:t>
      </w:r>
    </w:p>
    <w:p w14:paraId="24DEC4CE"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erősítse meg az oktatási és szakképzési politikák átfogó szakpolitikai koordinációját;</w:t>
      </w:r>
    </w:p>
    <w:p w14:paraId="1130E842"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korszerűsítse a Nemzeti Képesítési Katalógus (CNQ) által szabályozott szakképzési kínálatot a képesítések rendszerén alapuló előrejelzési rendszer, a CNQ frissítését támogató előretekintő diagnózis és a képesítési ágazati tanácsok ésszerűsítése alapján;</w:t>
      </w:r>
    </w:p>
    <w:p w14:paraId="1C4AE227"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a munkaerő-piaci igények figyelembevétele és új készségek/szakmák megjelenése; </w:t>
      </w:r>
    </w:p>
    <w:p w14:paraId="51098704" w14:textId="6BB416EA"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 xml:space="preserve">javítsa az alacsony képzettségű népesség kilátásait a felnőttkori írástudásra összpontosító képzési kínálat kialakítása révén (a C06–i03: Felnőttek ösztönzése); </w:t>
      </w:r>
    </w:p>
    <w:p w14:paraId="1EF91E24" w14:textId="77777777" w:rsidR="00DC5EC6" w:rsidRDefault="003245A4">
      <w:pPr>
        <w:pStyle w:val="P68B1DB1-Normal4"/>
        <w:keepNext/>
        <w:numPr>
          <w:ilvl w:val="0"/>
          <w:numId w:val="43"/>
        </w:numPr>
        <w:spacing w:before="40" w:after="160" w:line="259" w:lineRule="auto"/>
        <w:contextualSpacing/>
        <w:jc w:val="both"/>
        <w:rPr>
          <w:rFonts w:eastAsiaTheme="minorEastAsia" w:cs="Times New Roman"/>
          <w:noProof/>
        </w:rPr>
      </w:pPr>
      <w:r>
        <w:rPr>
          <w:noProof/>
        </w:rPr>
        <w:t>a helyi fejlődés és a területi kohézió előmozdítása, valamint a társadalmi-gazdasági egyenlőtlenségek csökkentése a szakképzési hálózat újraelosztása révén.</w:t>
      </w:r>
    </w:p>
    <w:p w14:paraId="758D803D"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végrehajtását 2025. december 31-ig be kell fejezni. </w:t>
      </w:r>
    </w:p>
    <w:p w14:paraId="507D918E"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RE-r15 reform: A felsőoktatás, a közigazgatás és a vállalkozások közötti együttműködés reformja</w:t>
      </w:r>
    </w:p>
    <w:p w14:paraId="7C45D5EA" w14:textId="77777777" w:rsidR="00DC5EC6" w:rsidRDefault="003245A4">
      <w:pPr>
        <w:pStyle w:val="P68B1DB1-Normal4"/>
        <w:spacing w:before="40" w:after="0" w:line="259" w:lineRule="auto"/>
        <w:jc w:val="both"/>
        <w:rPr>
          <w:rFonts w:eastAsiaTheme="minorEastAsia" w:cs="Times New Roman"/>
          <w:noProof/>
        </w:rPr>
      </w:pPr>
      <w:r>
        <w:rPr>
          <w:noProof/>
        </w:rPr>
        <w:t xml:space="preserve">E reform célja, hogy ösztönözze a köz- és magánszféra közötti együttműködési megállapodásokat az oktatási és képzési programokban a munkaerőpiac igényeinek és a kettős átállásnak való megfelelés érdekében, beleértve a szakmai hatókörű posztgraduális kurzusok (szakmai mesterképzések) kidolgozását, kizárólag a korábbi szakmai tapasztalattal rendelkező diákok számára, valamint rövid időtartamú felsőfokú képzés (ún. felsőfokú szakmai szakképzés) kínálatát. </w:t>
      </w:r>
    </w:p>
    <w:p w14:paraId="1E2C7057" w14:textId="77777777" w:rsidR="00DC5EC6" w:rsidRDefault="003245A4">
      <w:pPr>
        <w:pStyle w:val="P68B1DB1-Normal4"/>
        <w:spacing w:before="40" w:after="0" w:line="259" w:lineRule="auto"/>
        <w:jc w:val="both"/>
        <w:rPr>
          <w:rFonts w:eastAsiaTheme="minorEastAsia" w:cs="Times New Roman"/>
          <w:noProof/>
        </w:rPr>
      </w:pPr>
      <w:r>
        <w:rPr>
          <w:noProof/>
        </w:rPr>
        <w:t>A reform a következőkből áll:</w:t>
      </w:r>
    </w:p>
    <w:p w14:paraId="29DE76AC" w14:textId="77777777" w:rsidR="00DC5EC6" w:rsidRDefault="003245A4">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a duális középfokú végzettséggel és a művészeti szaktanfolyamokkal rendelkezők számára a felsőoktatásba való felvétel céljából speciális versenyvizsgákat létrehozó jogalkotási aktus;</w:t>
      </w:r>
    </w:p>
    <w:p w14:paraId="567B7FBF" w14:textId="77777777" w:rsidR="00DC5EC6" w:rsidRDefault="003245A4">
      <w:pPr>
        <w:pStyle w:val="P68B1DB1-Normal4"/>
        <w:numPr>
          <w:ilvl w:val="0"/>
          <w:numId w:val="44"/>
        </w:numPr>
        <w:spacing w:before="40" w:after="160" w:line="259" w:lineRule="auto"/>
        <w:ind w:left="714" w:hanging="357"/>
        <w:contextualSpacing/>
        <w:jc w:val="both"/>
        <w:rPr>
          <w:rFonts w:eastAsiaTheme="minorEastAsia" w:cs="Times New Roman"/>
          <w:noProof/>
        </w:rPr>
      </w:pPr>
      <w:r>
        <w:rPr>
          <w:noProof/>
        </w:rPr>
        <w:t>a felsőoktatási intézmények, valamint a közigazgatás és a vállalkozások közötti együttműködést szabályozó jogi és intézményi keret felülvizsgálata, beleértve az alábbiakra irányuló lépéseket:</w:t>
      </w:r>
    </w:p>
    <w:p w14:paraId="5AE0A55E" w14:textId="77777777" w:rsidR="00DC5EC6" w:rsidRDefault="003245A4">
      <w:pPr>
        <w:pStyle w:val="P68B1DB1-Normal4"/>
        <w:numPr>
          <w:ilvl w:val="1"/>
          <w:numId w:val="44"/>
        </w:numPr>
        <w:spacing w:before="40" w:after="160" w:line="259" w:lineRule="auto"/>
        <w:contextualSpacing/>
        <w:jc w:val="both"/>
        <w:rPr>
          <w:rFonts w:eastAsiaTheme="minorEastAsia" w:cs="Times New Roman"/>
          <w:noProof/>
        </w:rPr>
      </w:pPr>
      <w:r>
        <w:rPr>
          <w:noProof/>
        </w:rPr>
        <w:t>a felsőoktatási intézmények és a vállalkozások közötti intézményközi együttműködés előmozdítása, valamint a felnőtt hallgatók vonzása és a lefedettség kiterjesztése a szárazföldi területekre;</w:t>
      </w:r>
    </w:p>
    <w:p w14:paraId="7734DEF6" w14:textId="77777777" w:rsidR="00DC5EC6" w:rsidRDefault="003245A4">
      <w:pPr>
        <w:pStyle w:val="P68B1DB1-Normal4"/>
        <w:numPr>
          <w:ilvl w:val="1"/>
          <w:numId w:val="44"/>
        </w:numPr>
        <w:spacing w:before="40" w:after="160" w:line="259" w:lineRule="auto"/>
        <w:contextualSpacing/>
        <w:jc w:val="both"/>
        <w:rPr>
          <w:rFonts w:eastAsiaTheme="minorEastAsia" w:cs="Times New Roman"/>
          <w:noProof/>
        </w:rPr>
      </w:pPr>
      <w:r>
        <w:rPr>
          <w:noProof/>
        </w:rPr>
        <w:t>olyan együttműködési partnerségek, amelyek ösztönzik a felsőoktatási tanfolyamok széles körű kínálatát, beleértve a rövid képzéseket, az alapképzéseket, a mesterképzéseket és a doktori fokozatokat;</w:t>
      </w:r>
    </w:p>
    <w:p w14:paraId="425A7F13" w14:textId="77777777" w:rsidR="00DC5EC6" w:rsidRDefault="003245A4">
      <w:pPr>
        <w:pStyle w:val="P68B1DB1-Normal4"/>
        <w:numPr>
          <w:ilvl w:val="1"/>
          <w:numId w:val="44"/>
        </w:numPr>
        <w:spacing w:before="40" w:after="160" w:line="259" w:lineRule="auto"/>
        <w:contextualSpacing/>
        <w:jc w:val="both"/>
        <w:rPr>
          <w:rFonts w:eastAsiaTheme="minorEastAsia" w:cs="Times New Roman"/>
          <w:noProof/>
        </w:rPr>
      </w:pPr>
      <w:r>
        <w:rPr>
          <w:noProof/>
        </w:rPr>
        <w:t>a köz- és magánszervezetekkel szoros együttműködésben a politechnikus felsőoktatási intézmények által irányított, rövid távú, magas szintű szakmai képzések kínálatának növelése;</w:t>
      </w:r>
    </w:p>
    <w:p w14:paraId="24C9D18C"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a felsőoktatás támogatási bázisának további bővítése a szakmai és művészeti területekről származó középiskolai hallgatók felsőoktatási intézményekhez való hozzáférésének megkönnyítése révén;</w:t>
      </w:r>
    </w:p>
    <w:p w14:paraId="6D78B2EF"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erősítse meg a digitális területeken folytatott felsőoktatási tanfolyamokra való beiratkozást, különösen a Portugália Digital InCoDe2030 programján keresztül, szoros együttműködésben a köz- és magánszervezetekkel;</w:t>
      </w:r>
    </w:p>
    <w:p w14:paraId="4A757B2D"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ösztönözzék a moduláris képzést, amely a köz- és magánszervezetekkel szoros együttműködésben elősegíti a folyamatos tanulást és a „mikrotanúsítványokkal/mikrorodiplomákkal” rendelkező új készségek elsajátítását;</w:t>
      </w:r>
    </w:p>
    <w:p w14:paraId="18034D09" w14:textId="77777777" w:rsidR="00DC5EC6" w:rsidRDefault="003245A4">
      <w:pPr>
        <w:pStyle w:val="P68B1DB1-Normal4"/>
        <w:keepNext/>
        <w:numPr>
          <w:ilvl w:val="1"/>
          <w:numId w:val="44"/>
        </w:numPr>
        <w:spacing w:before="40" w:after="160" w:line="259" w:lineRule="auto"/>
        <w:contextualSpacing/>
        <w:jc w:val="both"/>
        <w:rPr>
          <w:rFonts w:eastAsiaTheme="minorEastAsia" w:cs="Times New Roman"/>
          <w:noProof/>
        </w:rPr>
      </w:pPr>
      <w:r>
        <w:rPr>
          <w:noProof/>
        </w:rPr>
        <w:t>a felsőoktatási intézmények és laboratóriumok, valamint a technológiai interfészközpontok közötti együttműködés kiterjesztése;</w:t>
      </w:r>
    </w:p>
    <w:p w14:paraId="51AF0405" w14:textId="77777777" w:rsidR="00DC5EC6" w:rsidRDefault="003245A4">
      <w:pPr>
        <w:pStyle w:val="P68B1DB1-Normal4"/>
        <w:keepNext/>
        <w:numPr>
          <w:ilvl w:val="1"/>
          <w:numId w:val="42"/>
        </w:numPr>
        <w:spacing w:before="40" w:after="160" w:line="259" w:lineRule="auto"/>
        <w:contextualSpacing/>
        <w:jc w:val="both"/>
        <w:rPr>
          <w:rFonts w:eastAsiaTheme="minorEastAsia" w:cs="Times New Roman"/>
          <w:noProof/>
        </w:rPr>
      </w:pPr>
      <w:r>
        <w:rPr>
          <w:noProof/>
        </w:rPr>
        <w:t>a jogi státusz módosítása azon feltételek pontosítása érdekében, amelyek mellett egy külső szakértő a felsőoktatási intézményekben oktatási vagy vezetői feladatokat láthat el, a tudományos és az üzleti világ közötti mobilitás előmozdítása érdekében; és</w:t>
      </w:r>
    </w:p>
    <w:p w14:paraId="423A2509" w14:textId="77777777" w:rsidR="00DC5EC6" w:rsidRDefault="003245A4">
      <w:pPr>
        <w:pStyle w:val="P68B1DB1-Normal4"/>
        <w:keepNext/>
        <w:numPr>
          <w:ilvl w:val="1"/>
          <w:numId w:val="42"/>
        </w:numPr>
        <w:spacing w:before="40" w:after="160" w:line="259" w:lineRule="auto"/>
        <w:contextualSpacing/>
        <w:jc w:val="both"/>
        <w:rPr>
          <w:rFonts w:eastAsiaTheme="minorEastAsia" w:cs="Times New Roman"/>
          <w:noProof/>
        </w:rPr>
      </w:pPr>
      <w:r>
        <w:rPr>
          <w:noProof/>
        </w:rPr>
        <w:t>a felsőoktatási intézmények és a vállalkozások közötti megosztott irányítással rendelkező konzorciumok jogi keretének megerősítése.</w:t>
      </w:r>
    </w:p>
    <w:p w14:paraId="4BAB8F5A"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június 30-ig be kell fejezni.</w:t>
      </w:r>
    </w:p>
    <w:p w14:paraId="0FA75BAC"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RE-r16 reform: A szigorúan szabályozott szakmákra vonatkozó korlátozások csökkentése</w:t>
      </w:r>
    </w:p>
    <w:p w14:paraId="22747F26" w14:textId="77777777" w:rsidR="00DC5EC6" w:rsidRDefault="003245A4">
      <w:pPr>
        <w:pStyle w:val="P68B1DB1-Normal4"/>
        <w:spacing w:before="40" w:after="0" w:line="259" w:lineRule="auto"/>
        <w:jc w:val="both"/>
        <w:rPr>
          <w:rFonts w:eastAsiaTheme="minorEastAsia" w:cs="Times New Roman"/>
          <w:noProof/>
        </w:rPr>
      </w:pPr>
      <w:r>
        <w:rPr>
          <w:noProof/>
        </w:rPr>
        <w:t xml:space="preserve">E reform célja a szigorúan szabályozott szakmákra vonatkozó korlátozások csökkentése, elsősorban a verseny előmozdítása az üzleti szolgáltatások nyújtása terén. </w:t>
      </w:r>
    </w:p>
    <w:p w14:paraId="6A3E87FA" w14:textId="77777777" w:rsidR="00DC5EC6" w:rsidRDefault="003245A4">
      <w:pPr>
        <w:pStyle w:val="P68B1DB1-Normal4"/>
        <w:spacing w:before="40" w:after="0" w:line="259" w:lineRule="auto"/>
        <w:jc w:val="both"/>
        <w:rPr>
          <w:rFonts w:eastAsiaTheme="minorEastAsia" w:cs="Times New Roman"/>
          <w:noProof/>
        </w:rPr>
      </w:pPr>
      <w:r>
        <w:rPr>
          <w:noProof/>
        </w:rPr>
        <w:t xml:space="preserve">2018-ban az OECD a portugál versenyhatósággal (AdC) együttműködve értékelést végzett néhány önszabályozó szakmára, például ügyvédekre, ügyvédekre, mérnökökre, építészekre, könyvvizsgálókra, könyvelőkre, közgazdászokra, gyógyszerészekre és táplálkozási szakemberekre vonatkozóan. Az elvégzett értékelés alapján összeállították az ajánlások listáját. E reformmal Portugália figyelembe veszi az OECD és az AdC ajánlásait. </w:t>
      </w:r>
    </w:p>
    <w:p w14:paraId="7BF38458" w14:textId="5F5B573E" w:rsidR="00DC5EC6" w:rsidRDefault="003245A4">
      <w:pPr>
        <w:pStyle w:val="P68B1DB1-Normal4"/>
        <w:spacing w:before="40" w:after="0" w:line="259" w:lineRule="auto"/>
        <w:jc w:val="both"/>
        <w:rPr>
          <w:rFonts w:eastAsiaTheme="minorEastAsia" w:cs="Times New Roman"/>
          <w:noProof/>
        </w:rPr>
      </w:pPr>
      <w:r>
        <w:rPr>
          <w:noProof/>
        </w:rPr>
        <w:t xml:space="preserve">A reform legalább: a szakmai szervezetek szabályozási és képviseleti funkcióinak elkülönítése; a fenntartott tevékenységek listájának szűkítése (a fenntartott tevékenységekhez való hozzáférés a szükségesség és arányosság elvének megfelelően csak alkotmányos érdekek védelme érdekében korlátozható); az üzleti szolgáltató cégek tulajdonlására és irányítására vonatkozó korlátozások megszüntetése, feltéve, hogy a vezetők tiszteletben tartják az „összeférhetetlenség” megelőzésére vonatkozó jogi szabályozást; és iv. lehetővé teszik a multidiszciplináris üzleti szolgáltató cégeket. </w:t>
      </w:r>
    </w:p>
    <w:p w14:paraId="48290DD8" w14:textId="77777777" w:rsidR="00DC5EC6" w:rsidRDefault="003245A4">
      <w:pPr>
        <w:pStyle w:val="P68B1DB1-Normal4"/>
        <w:spacing w:before="40" w:after="0" w:line="259" w:lineRule="auto"/>
        <w:jc w:val="both"/>
        <w:rPr>
          <w:rFonts w:eastAsiaTheme="minorEastAsia" w:cs="Times New Roman"/>
          <w:noProof/>
        </w:rPr>
      </w:pPr>
      <w:r>
        <w:rPr>
          <w:noProof/>
        </w:rPr>
        <w:t xml:space="preserve">A tanácsadó bizottságot meg kell bízni azzal is, hogy készítsen jelentést a szabályozott szakmákról szóló új törvény hatékonyságáról. </w:t>
      </w:r>
    </w:p>
    <w:p w14:paraId="6A04E445"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2022. december 31-ig be kell fejezni.</w:t>
      </w:r>
    </w:p>
    <w:p w14:paraId="58B60BD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RE-r17 reform: A tisztességes munka előmozdítására irányuló program</w:t>
      </w:r>
    </w:p>
    <w:p w14:paraId="5AF25DED" w14:textId="77777777" w:rsidR="00DC5EC6" w:rsidRDefault="003245A4">
      <w:pPr>
        <w:pStyle w:val="P68B1DB1-Normal4"/>
        <w:spacing w:before="40" w:after="0" w:line="259" w:lineRule="auto"/>
        <w:jc w:val="both"/>
        <w:rPr>
          <w:rFonts w:eastAsiaTheme="minorEastAsia" w:cs="Times New Roman"/>
          <w:noProof/>
        </w:rPr>
      </w:pPr>
      <w:r>
        <w:rPr>
          <w:noProof/>
        </w:rPr>
        <w:t>E reform célja, hogy az elmúlt években elfogadott intézkedésekre (például a munkaerőpiac szegmentációjának kezelésére és a kollektív tárgyalások előmozdítására) építve védje a munkavállalói jogokat.</w:t>
      </w:r>
    </w:p>
    <w:p w14:paraId="1EF0875A" w14:textId="7D73539B" w:rsidR="00DC5EC6" w:rsidRDefault="003245A4">
      <w:pPr>
        <w:pStyle w:val="P68B1DB1-Normal4"/>
        <w:spacing w:before="40" w:after="0" w:line="259" w:lineRule="auto"/>
        <w:jc w:val="both"/>
        <w:rPr>
          <w:rFonts w:eastAsiaTheme="minorEastAsia" w:cs="Times New Roman"/>
          <w:noProof/>
        </w:rPr>
      </w:pPr>
      <w:r>
        <w:rPr>
          <w:noProof/>
        </w:rPr>
        <w:t xml:space="preserve">Miután a kormány előterjesztette a munka jövőjéről szóló zöld könyvet, ez a reform a platformalapú munkavégzés szabályozására irányuló jogalkotási aktust foglal magában az atipikus munkaügyi kapcsolatok által teremtett új kihívások kezelése érdekében, a szociális jogok európai pillérének elveivel összhangban. Erősíti a munkaügyi kapcsolatok minőségét, és javítja a jogokhoz és a szociális védelemhez való hozzáférést. </w:t>
      </w:r>
    </w:p>
    <w:p w14:paraId="0255E56D"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2023. március 31-ig be kell fejezni.</w:t>
      </w:r>
    </w:p>
    <w:p w14:paraId="344F2E1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RE-r18 reform: A nők és férfiak közötti egyenlőtlenség elleni küzdelem</w:t>
      </w:r>
    </w:p>
    <w:p w14:paraId="5CA7D144" w14:textId="77777777" w:rsidR="00DC5EC6" w:rsidRDefault="003245A4">
      <w:pPr>
        <w:pStyle w:val="P68B1DB1-Normal4"/>
        <w:spacing w:before="40" w:after="0" w:line="259" w:lineRule="auto"/>
        <w:jc w:val="both"/>
        <w:rPr>
          <w:rFonts w:eastAsiaTheme="minorEastAsia" w:cs="Times New Roman"/>
          <w:noProof/>
        </w:rPr>
      </w:pPr>
      <w:r>
        <w:rPr>
          <w:noProof/>
        </w:rPr>
        <w:t>E reform célja az egyenlőség előmozdítása a nemek közötti bérezés és az egyenlő karrierlehetőségek terén, valamint a nemi sztereotípiák és a szegregáció elleni küzdelem a szakmai karrierek megválasztásában. Nagymértékben épít a meglévő jogszabályokra, nevezetesen az egyenlő díjazásra (60/2018. sz. törvény) és a vezetőtestületekben való kiegyensúlyozott képviseletre (62/2017. és 26/2019. sz. törvény).</w:t>
      </w:r>
    </w:p>
    <w:p w14:paraId="6089F955" w14:textId="6C5F614E" w:rsidR="00DC5EC6" w:rsidRDefault="003245A4">
      <w:pPr>
        <w:pStyle w:val="P68B1DB1-Normal4"/>
        <w:spacing w:before="40" w:after="0" w:line="259" w:lineRule="auto"/>
        <w:jc w:val="both"/>
        <w:rPr>
          <w:rFonts w:eastAsiaTheme="minorEastAsia" w:cs="Times New Roman"/>
          <w:noProof/>
        </w:rPr>
      </w:pPr>
      <w:r>
        <w:rPr>
          <w:noProof/>
        </w:rPr>
        <w:t xml:space="preserve">Az egyenlő díjazásról szóló jogszabály mechanizmusokat hozott létre az egyenlő vagy egyenlő értékű munkáért járó egyenlő díjazás elvének végrehajtására, és arra kényszerítette a vállalatokat, hogy átlátható javadalmazási politikával rendelkezzenek. 2021-től kezdődően a foglalkoztatási és szociális biztonsági minisztérium egy osztálya készített egy jelentést a nemek közötti bérkülönbségekről minden egyes, több mint 50 munkavállalót foglalkoztató vállalat esetében, amely a nemek közötti bérkülönbségekre terjed ki. </w:t>
      </w:r>
    </w:p>
    <w:p w14:paraId="2D14154A" w14:textId="2BB01CB6" w:rsidR="00DC5EC6" w:rsidRDefault="003245A4">
      <w:pPr>
        <w:pStyle w:val="P68B1DB1-Normal4"/>
        <w:spacing w:before="40" w:after="0" w:line="259" w:lineRule="auto"/>
        <w:jc w:val="both"/>
        <w:rPr>
          <w:rFonts w:eastAsiaTheme="minorEastAsia" w:cs="Times New Roman"/>
          <w:noProof/>
        </w:rPr>
      </w:pPr>
      <w:r>
        <w:rPr>
          <w:noProof/>
        </w:rPr>
        <w:t xml:space="preserve">2025-től kezdődően azok a vállalatok, amelyek több mint 50 munkavállalót foglalkoztatnak, és amelyekben jelentős különbségek vannak a nemek közötti bérszintben ugyanazon állások tekintetében, kötelesek cselekvési tervet benyújtani a Munkaügyi Felügyeleti Igazgatóságnak, hogy a cselekvési terv végrehajtása révén orvosolják ezeket az egyenlőtlenségeket. </w:t>
      </w:r>
    </w:p>
    <w:p w14:paraId="76818DD3" w14:textId="77777777" w:rsidR="00DC5EC6" w:rsidRDefault="003245A4">
      <w:pPr>
        <w:pStyle w:val="P68B1DB1-Normal4"/>
        <w:spacing w:before="40" w:after="0" w:line="259" w:lineRule="auto"/>
        <w:jc w:val="both"/>
        <w:rPr>
          <w:rFonts w:eastAsiaTheme="minorEastAsia" w:cs="Times New Roman"/>
          <w:noProof/>
        </w:rPr>
      </w:pPr>
      <w:r>
        <w:rPr>
          <w:noProof/>
        </w:rPr>
        <w:t>A reform az izlandi ÍST 85. normán alapuló önkéntes rendszert is magában foglal: 2012 az egyenlő díjazásra vonatkozó politikákat ténylegesen végrehajtó cégek nyilvános elismerése. Az igazolás célja annak megerősítése, hogy a bérekkel kapcsolatos döntések teljes mértékben releváns megfontolásokon alapulnak.</w:t>
      </w:r>
    </w:p>
    <w:p w14:paraId="632ABE9A"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2024. december 31-ig be kell fejezni.</w:t>
      </w:r>
    </w:p>
    <w:p w14:paraId="79DF09F6" w14:textId="3D240655"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RE-C06-i01 beruházás: A szakképzési intézmények korszerűsítése</w:t>
      </w:r>
    </w:p>
    <w:p w14:paraId="7C8E1168" w14:textId="2C3A9FEC" w:rsidR="00DC5EC6" w:rsidRDefault="003245A4">
      <w:pPr>
        <w:pStyle w:val="P68B1DB1-Normal4"/>
        <w:jc w:val="both"/>
        <w:rPr>
          <w:rFonts w:eastAsiaTheme="minorEastAsia" w:cs="Times New Roman"/>
          <w:noProof/>
        </w:rPr>
      </w:pPr>
      <w:r>
        <w:rPr>
          <w:noProof/>
        </w:rPr>
        <w:t xml:space="preserve">E beruházás célkitűzései közé tartozik a szakközépiskolákban, szakmai kurzusokkal és szakiskolákkal, valamint a szakképzést kínáló magán- és szövetkezeti oktatási intézményekben működő szakosított technológiai központok létesítése és korszerűsítése. A célkitűzések közé tartozik továbbá az állami foglalkoztatási szolgálat (IEFP) szakmai képzési központjai hálózatának és az Országos Turisztikai Hatóság (Turismo de Portugal) iskolahálózatának bővítése és korszerűsítése, valamint annak érdekében, hogy a képzés jobban igazodjon a piachoz, és igazodjon a környezeti, digitális, demográfiai és ipari átalakuláshoz. </w:t>
      </w:r>
    </w:p>
    <w:p w14:paraId="713ECA79" w14:textId="77777777" w:rsidR="00DC5EC6" w:rsidRDefault="003245A4">
      <w:pPr>
        <w:pStyle w:val="P68B1DB1-Normal4"/>
        <w:spacing w:before="40" w:after="0" w:line="259" w:lineRule="auto"/>
        <w:jc w:val="both"/>
        <w:rPr>
          <w:rFonts w:eastAsiaTheme="minorEastAsia" w:cs="Times New Roman"/>
          <w:noProof/>
        </w:rPr>
      </w:pPr>
      <w:r>
        <w:rPr>
          <w:noProof/>
        </w:rPr>
        <w:t xml:space="preserve">Ez a beruházás a következőkből áll: </w:t>
      </w:r>
    </w:p>
    <w:p w14:paraId="65A279D3" w14:textId="59E91174" w:rsidR="00DC5EC6" w:rsidRDefault="003245A4">
      <w:pPr>
        <w:pStyle w:val="P68B1DB1-Normal4"/>
        <w:numPr>
          <w:ilvl w:val="0"/>
          <w:numId w:val="43"/>
        </w:numPr>
        <w:spacing w:before="40" w:after="160" w:line="259" w:lineRule="auto"/>
        <w:ind w:left="714" w:hanging="357"/>
        <w:jc w:val="both"/>
        <w:rPr>
          <w:rFonts w:eastAsiaTheme="minorEastAsia" w:cs="Times New Roman"/>
          <w:noProof/>
        </w:rPr>
      </w:pPr>
      <w:r>
        <w:rPr>
          <w:noProof/>
        </w:rPr>
        <w:t>365 szakosodott technológiai központ létesítése és korszerűsítése középiskolákban, amelyek közül 115 (ipari központok), 30 (megújulóenergia-központok), 195 (számítógépes tudományos központok) és 25 (digitális és multimédiás központok). A szakosított technológiai központokat a közhálózati iskolák vezetői vagy magánszervezetek irányítják. Ez a beruházás magában foglalja a meglévő létesítmények és infrastruktúra korszerűsítését és helyreállítását, valamint technológiai oktatási erőforrások (berendezések) beszerzését, valamint az állami foglalkoztatási szolgálat (IEFP) szakképzési központjai hálózatának bővítését és korszerűsítését, akár közvetlenül, akár koncessziók révén, valamint a portugáliai Nemzeti Turisztikai Hatóság (Turismo de Portugal) iskolahálózatának bővítését és korszerűsítését. Az IEFP szakképzési központok hálózata berendezéseinek korszerűsítésére irányuló terv a következő típusú berendezések beszerzését foglalja magában: megújuló energia; az ipar digitalizálása; repüléstechnika; a kereskedelem digitalizálása; és v. „szárazföldi” szimulátorok. Ez a részberuházás várhatóan 22000 képzési hely korszerűsítését teszi lehetővé.</w:t>
      </w:r>
    </w:p>
    <w:p w14:paraId="5288888F" w14:textId="77777777" w:rsidR="00DC5EC6" w:rsidRDefault="003245A4">
      <w:pPr>
        <w:pStyle w:val="P68B1DB1-Normal4"/>
        <w:spacing w:before="120" w:after="0" w:line="259" w:lineRule="auto"/>
        <w:jc w:val="both"/>
        <w:rPr>
          <w:rFonts w:eastAsiaTheme="minorEastAsia" w:cs="Times New Roman"/>
          <w:noProof/>
        </w:rPr>
      </w:pPr>
      <w:r>
        <w:rPr>
          <w:noProof/>
        </w:rPr>
        <w:t>A beruházás végrehajtását 2025. december 31-ig be kell fejezni.</w:t>
      </w:r>
    </w:p>
    <w:p w14:paraId="5AEBBD6D" w14:textId="0B50F649"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RE-C06-i02 beruházás: A fenntartható foglalkoztatásra vonatkozó kötelezettségvállalás</w:t>
      </w:r>
    </w:p>
    <w:p w14:paraId="20CED285" w14:textId="5D4F76FD" w:rsidR="00DC5EC6" w:rsidRDefault="003245A4">
      <w:pPr>
        <w:pStyle w:val="P68B1DB1-Normal4"/>
        <w:spacing w:before="40" w:after="0" w:line="259" w:lineRule="auto"/>
        <w:jc w:val="both"/>
        <w:rPr>
          <w:rFonts w:eastAsiaTheme="minorEastAsia" w:cs="Times New Roman"/>
          <w:noProof/>
        </w:rPr>
      </w:pPr>
      <w:r>
        <w:rPr>
          <w:noProof/>
        </w:rPr>
        <w:t>E beruházás célja állandó és minőségi munkaszerződések létrehozása a fenntartható foglalkoztatásra vonatkozó kötelezettségvállalási program keretében, valamint a munkaerőpiac szegmentációjának csökkentése valamennyi csoportban, beleértve a fiatalokat is.</w:t>
      </w:r>
    </w:p>
    <w:p w14:paraId="396EFC94" w14:textId="3882AB7D" w:rsidR="00DC5EC6" w:rsidRDefault="003245A4">
      <w:pPr>
        <w:pStyle w:val="P68B1DB1-Normal4"/>
        <w:spacing w:before="40" w:after="0" w:line="259" w:lineRule="auto"/>
        <w:jc w:val="both"/>
        <w:rPr>
          <w:rFonts w:eastAsiaTheme="minorEastAsia" w:cs="Times New Roman"/>
          <w:noProof/>
        </w:rPr>
      </w:pPr>
      <w:r>
        <w:rPr>
          <w:noProof/>
        </w:rPr>
        <w:t xml:space="preserve">A munkába való visszatérés felgyorsítása érdekében a munkáltatók ideiglenes támogatást kapnak azért, hogy határozatlan idejű, megfelelő bért fizető szerződéseket kínálnak. A munkáltató legalább 5 266 EUR-t kap (a különböző szociális biztonsági ellátások kiszámításához referenciaként szolgáló szociális támogatási index 12szorosa) minden egyes létrehozott munkahely után. Ez az összeg a munkaerőpiac alakulásától és szükségleteitől függően növelhető, beleértve a különböző célközönségeket, különösen a fiatalokat, a fenntartható foglalkoztatásra vonatkozó kötelezettségvállalásban (a módosított 38/2022. sz. kormányrendelet) meghatározottak szerint. Az emelések a fent említett kormányrendelet szerint kumulatívak. . Ezenkívül a pénzügyi támogatást ki lehetne egészíteni az e szakmában alulreprezentált nemhez tartozó személy felvételéhez. A kiegészítések kumulatívak. Emellett a munkáltatók egy év (14 hónap) alatt a társadalombiztosítási járulékuk 50%-ának megfelelő támogatásban részesülnek. Ez az intézkedés várhatóan 30000 állandó munkahely létrehozását fogja támogatni. Az intézkedés várhatóan egy évig tart, de további kettővel meghosszabbítható. Tekintettel arra, hogy biztosítani kell a magánszektor részvételét a rendszerben, a program végrehajtása a gazdasági fellendülés időpontjában kezdődik. </w:t>
      </w:r>
    </w:p>
    <w:p w14:paraId="71DC7F72" w14:textId="07F99994" w:rsidR="00DC5EC6" w:rsidRDefault="003245A4">
      <w:pPr>
        <w:pStyle w:val="P68B1DB1-Normal4"/>
        <w:spacing w:before="40" w:after="0" w:line="259" w:lineRule="auto"/>
        <w:jc w:val="both"/>
        <w:rPr>
          <w:rFonts w:eastAsiaTheme="minorEastAsia" w:cs="Times New Roman"/>
          <w:noProof/>
        </w:rPr>
      </w:pPr>
      <w:r>
        <w:rPr>
          <w:noProof/>
        </w:rPr>
        <w:t>A beruházás végrehajtását 2024. december 31-ig be kell fejezni.</w:t>
      </w:r>
    </w:p>
    <w:p w14:paraId="331235C5"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RE-C06-i03 beruházás: Felnőtt ösztönzés</w:t>
      </w:r>
    </w:p>
    <w:p w14:paraId="5CA59C0F" w14:textId="0D857AF7" w:rsidR="00DC5EC6" w:rsidRDefault="003245A4">
      <w:pPr>
        <w:pStyle w:val="P68B1DB1-Normal4"/>
        <w:spacing w:before="40" w:after="0" w:line="259" w:lineRule="auto"/>
        <w:jc w:val="both"/>
        <w:rPr>
          <w:rFonts w:eastAsiaTheme="minorEastAsia" w:cs="Times New Roman"/>
          <w:noProof/>
        </w:rPr>
      </w:pPr>
      <w:r>
        <w:rPr>
          <w:noProof/>
        </w:rPr>
        <w:t xml:space="preserve">E beruházás célja egy többszörös megközelítés alkalmazása a 18 éves vagy annál idősebb felnőtt népesség képzettségének növelése érdekében, amely a következőket foglalja magában: a felnőttkori tanulás előmozdítása a felnőttkori műveltségre vonatkozó nemzeti terv bővítése révén az alapvető írás-olvasási, számolási és digitális készségek javítása érdekében; a felnőttek részvételi és befejezettségi arányának növelése a kompetenciák elismerésére, érvényesítésére és tanúsítására irányuló folyamatokban (RVCC); és iii. a felnőtteknek szóló felsőoktatási ajánlatok, például rövid távú képzések kidolgozása. </w:t>
      </w:r>
    </w:p>
    <w:p w14:paraId="5860CEF4" w14:textId="3F0B0075"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következőkből áll: </w:t>
      </w:r>
    </w:p>
    <w:p w14:paraId="14F048E0" w14:textId="77777777" w:rsidR="00DC5EC6" w:rsidRDefault="003245A4">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a </w:t>
      </w:r>
      <w:r>
        <w:rPr>
          <w:i/>
          <w:noProof/>
        </w:rPr>
        <w:t>Qualifica</w:t>
      </w:r>
      <w:r>
        <w:rPr>
          <w:noProof/>
        </w:rPr>
        <w:t xml:space="preserve"> program keretében a felnőttkori műveltségre vonatkozó nemzeti terv kibővítése 225 helyi projekt végrehajtásával, amelyek B1/B2/B3 szintet eredményeznek. Ezt az intézkedést a Nemzeti Képesítési és Szakképzési Ügynökség (ANQEP) irányítja. Minden projekt képes 100 üres álláshelyet nyitni, így a résztvevők száma összesen mintegy 22500 főt tesz ki. A pedagógiai berendezések és fogyóeszközök beszerzése és a képzési személyzet fizetése mellett ez a részberuházás szükség esetén támogatást nyújt a résztvevőknek, munkáltatóiknak és közösségi közvetítőknek;</w:t>
      </w:r>
    </w:p>
    <w:p w14:paraId="612871DF" w14:textId="0B0AB797" w:rsidR="00DC5EC6" w:rsidRDefault="003245A4">
      <w:pPr>
        <w:pStyle w:val="P68B1DB1-Normal4"/>
        <w:keepNext/>
        <w:numPr>
          <w:ilvl w:val="0"/>
          <w:numId w:val="45"/>
        </w:numPr>
        <w:spacing w:before="40" w:after="160" w:line="259" w:lineRule="auto"/>
        <w:contextualSpacing/>
        <w:jc w:val="both"/>
        <w:rPr>
          <w:rFonts w:eastAsiaTheme="minorEastAsia" w:cs="Times New Roman"/>
          <w:noProof/>
        </w:rPr>
      </w:pPr>
      <w:r>
        <w:rPr>
          <w:noProof/>
        </w:rPr>
        <w:t xml:space="preserve">a </w:t>
      </w:r>
      <w:r>
        <w:rPr>
          <w:i/>
          <w:noProof/>
        </w:rPr>
        <w:t>Qualifica</w:t>
      </w:r>
      <w:r>
        <w:rPr>
          <w:noProof/>
        </w:rPr>
        <w:t xml:space="preserve"> program keretében az acelerador qualific a </w:t>
      </w:r>
      <w:r>
        <w:rPr>
          <w:i/>
          <w:noProof/>
        </w:rPr>
        <w:t>új</w:t>
      </w:r>
      <w:r>
        <w:rPr>
          <w:noProof/>
        </w:rPr>
        <w:t>intézkedés, amely pénzügyi támogatást nyújt a felnőtteknek az RVCC-folyamataik során. Ezt az intézkedést a Nemzeti Képesítési és Szakképzési Ügynökség (ANQEP) irányítja. Minden részt vevő felnőtt legfeljebb 1,25-ös pénzügyi támogatásban részesül az IAS-nél. Az RVCC-folyamatok résztvevőinek összlétszáma a becslések szerint 100000 fő;</w:t>
      </w:r>
    </w:p>
    <w:p w14:paraId="67A55033" w14:textId="77777777" w:rsidR="00DC5EC6" w:rsidRDefault="003245A4">
      <w:pPr>
        <w:pStyle w:val="P68B1DB1-Normal4"/>
        <w:keepNext/>
        <w:numPr>
          <w:ilvl w:val="0"/>
          <w:numId w:val="45"/>
        </w:numPr>
        <w:spacing w:before="40" w:after="160" w:line="259" w:lineRule="auto"/>
        <w:contextualSpacing/>
        <w:jc w:val="both"/>
        <w:rPr>
          <w:rFonts w:eastAsiaTheme="minorEastAsia" w:cs="Times New Roman"/>
          <w:noProof/>
        </w:rPr>
      </w:pPr>
      <w:r>
        <w:rPr>
          <w:noProof/>
        </w:rPr>
        <w:t>a felsőoktatási intézmények, cégek és más érdekelt felek közötti együttműködési hálózatok előmozdítása új posztgraduális iskolák/programok/szövetségek támogatása révén, oktatási, kutatási és innovációs tevékenységeket magukban foglaló közös együttműködési programok, valamint az egész életen át tartó tanulás (átképzés és továbbképzés) előmozdítását célzó, rövid időtartamú felsőoktatási tanfolyamok kidolgozására irányuló kezdeményezések révén. A beruházás a 2021–2025-ös időszakban összesen 23000 diák részvételével megvalósuló integrált programok végrehajtásához nyújtott vissza nem térítendő támogatásokból áll, amelyek magukban foglalják a telepítési és felszerelési költségeket, a hallgatók támogatását és a felsőoktatási intézmények által a tanfolyamok biztosításával kapcsolatban felmerült kiadásokat. A konzorciumokat nyílt versenyvizsgával kell kiválasztani.</w:t>
      </w:r>
    </w:p>
    <w:p w14:paraId="4C02ACB6"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1DA8A972" w14:textId="293B4D84"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RE-C06–i04 beruházás: Ifjúsági impulzus – STEAM</w:t>
      </w:r>
    </w:p>
    <w:p w14:paraId="6A794065" w14:textId="77777777" w:rsidR="00DC5EC6" w:rsidRDefault="003245A4">
      <w:pPr>
        <w:pStyle w:val="P68B1DB1-Normal4"/>
        <w:spacing w:before="40" w:after="0" w:line="259" w:lineRule="auto"/>
        <w:jc w:val="both"/>
        <w:rPr>
          <w:rFonts w:eastAsiaTheme="minorEastAsia" w:cs="Times New Roman"/>
          <w:noProof/>
        </w:rPr>
      </w:pPr>
      <w:r>
        <w:rPr>
          <w:noProof/>
        </w:rPr>
        <w:t xml:space="preserve">E beruházás célja: </w:t>
      </w:r>
    </w:p>
    <w:p w14:paraId="48A8558E" w14:textId="77777777" w:rsidR="00DC5EC6" w:rsidRDefault="003245A4">
      <w:pPr>
        <w:pStyle w:val="P68B1DB1-Normal4"/>
        <w:keepNext/>
        <w:numPr>
          <w:ilvl w:val="0"/>
          <w:numId w:val="46"/>
        </w:numPr>
        <w:spacing w:before="40" w:after="160" w:line="259" w:lineRule="auto"/>
        <w:contextualSpacing/>
        <w:jc w:val="both"/>
        <w:rPr>
          <w:rFonts w:eastAsiaTheme="minorEastAsia" w:cs="Times New Roman"/>
          <w:noProof/>
        </w:rPr>
      </w:pPr>
      <w:r>
        <w:rPr>
          <w:noProof/>
        </w:rPr>
        <w:t>a természettudományok, a technológia, a műszaki tudományok, a művészetek és a matematika (STEAM) tanfolyamokra, többek között az információtechnológiai tanfolyamokra való beiratkozás arányának növelése; és</w:t>
      </w:r>
    </w:p>
    <w:p w14:paraId="7CE713E1" w14:textId="77777777" w:rsidR="00DC5EC6" w:rsidRDefault="003245A4">
      <w:pPr>
        <w:pStyle w:val="P68B1DB1-Normal4"/>
        <w:keepNext/>
        <w:numPr>
          <w:ilvl w:val="0"/>
          <w:numId w:val="46"/>
        </w:numPr>
        <w:spacing w:before="40" w:after="160" w:line="259" w:lineRule="auto"/>
        <w:contextualSpacing/>
        <w:jc w:val="both"/>
        <w:rPr>
          <w:rFonts w:eastAsiaTheme="minorEastAsia" w:cs="Times New Roman"/>
          <w:noProof/>
        </w:rPr>
      </w:pPr>
      <w:r>
        <w:rPr>
          <w:noProof/>
        </w:rPr>
        <w:t>megfelelő létesítmények biztosítása a nem felsőfokú iskolákban a természettudományos oktatás számára a tudományhoz kapcsolódó témák iránti érdeklődés növelése érdekében.</w:t>
      </w:r>
    </w:p>
    <w:p w14:paraId="42904022" w14:textId="6ABF32E6" w:rsidR="00DC5EC6" w:rsidRDefault="003245A4">
      <w:pPr>
        <w:pStyle w:val="P68B1DB1-Normal4"/>
        <w:spacing w:before="40" w:after="0" w:line="259" w:lineRule="auto"/>
        <w:jc w:val="both"/>
        <w:rPr>
          <w:rFonts w:eastAsiaTheme="minorEastAsia" w:cs="Times New Roman"/>
          <w:noProof/>
        </w:rPr>
      </w:pPr>
      <w:r>
        <w:rPr>
          <w:noProof/>
        </w:rPr>
        <w:t>Ez az intézkedés a felsőoktatási intézményekre (mind az egyetemekre, mind a politechnikára) irányul. A források elosztása nyílt versenyvizsgán történik. Ez a beruházás a felsőoktatási intézmények programjainak a köz- és/vagy magánszférabeli munkáltatókkal és más érdekelt felekkel, köztük a középiskolákkal partnerségben történő végrehajtásából áll. Ezek iskolák/programok/szövetségek formáját ölthetik olyan oktatási, kutatási és innovációs tevékenységeket és kezdeményezéseket magukban foglaló közös együttműködési programok formájában, amelyek célja a felsőoktatás alapfokozásának javítása és a STEAM-diplomások számának növelése, alapképzési és egyéb felsőfokú alapképzések (pl. felsőfokú szakmai képzések a politechnikák esetében). A programok magukban foglalják a létesítmények korszerűsítését és bővítését a hallgatók számának növekedése, a hallgatók ösztönzése és a felsőoktatási intézmények által a tanfolyamok biztosításával kapcsolatban felmerülő egyéb kiadások figyelembevétele érdekében.</w:t>
      </w:r>
    </w:p>
    <w:p w14:paraId="1D9CCCC0" w14:textId="4B6ACEC1" w:rsidR="00DC5EC6" w:rsidRDefault="003245A4">
      <w:pPr>
        <w:pStyle w:val="P68B1DB1-Normal4"/>
        <w:keepNext/>
        <w:spacing w:before="40" w:after="0" w:line="259" w:lineRule="auto"/>
        <w:jc w:val="both"/>
        <w:rPr>
          <w:rFonts w:eastAsiaTheme="minorEastAsia" w:cs="Times New Roman"/>
          <w:noProof/>
        </w:rPr>
      </w:pPr>
      <w:r>
        <w:rPr>
          <w:noProof/>
        </w:rPr>
        <w:t>A beruházásoknak a STEAM-területeken is javítaniuk kell a készségeket a „Ciência Viva” klubok, az iskolai klubok hálózatának bővítése révén (az általános iskolákról a középiskolákra), elsősorban a STEAM-területekre, a digitális tartalmakra és anyagokra összpontosítva; az iskolák és a civil társadalom, az egyetemek és a kutatóközpontok közötti partnerségek előmozdítása, valamint szemináriumok és műhelytalálkozók szervezése. Várhatóan legalább 650 projektet támogat.</w:t>
      </w:r>
    </w:p>
    <w:p w14:paraId="3B7F9040" w14:textId="77777777" w:rsidR="00DC5EC6" w:rsidRDefault="003245A4">
      <w:pPr>
        <w:pStyle w:val="P68B1DB1-Normal4"/>
        <w:keepNext/>
        <w:spacing w:before="40" w:after="0" w:line="259" w:lineRule="auto"/>
        <w:contextualSpacing/>
        <w:jc w:val="both"/>
        <w:rPr>
          <w:rFonts w:eastAsiaTheme="minorEastAsia" w:cs="Times New Roman"/>
          <w:noProof/>
        </w:rPr>
      </w:pPr>
      <w:r>
        <w:rPr>
          <w:noProof/>
        </w:rPr>
        <w:t>A beruházás végrehajtását 2025. december 31-ig be kell fejezni.</w:t>
      </w:r>
    </w:p>
    <w:p w14:paraId="27CDA957"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RE-C06-i05-RAA beruházás: Felnőttképzés és egész életen át tartó tanulás (ARA)</w:t>
      </w:r>
    </w:p>
    <w:p w14:paraId="17E62A07" w14:textId="604971D4" w:rsidR="00DC5EC6" w:rsidRDefault="003245A4">
      <w:pPr>
        <w:pStyle w:val="P68B1DB1-Normal4"/>
        <w:spacing w:before="40" w:after="0" w:line="259" w:lineRule="auto"/>
        <w:jc w:val="both"/>
        <w:rPr>
          <w:rFonts w:eastAsiaTheme="minorEastAsia" w:cs="Times New Roman"/>
          <w:noProof/>
        </w:rPr>
      </w:pPr>
      <w:r>
        <w:rPr>
          <w:noProof/>
        </w:rPr>
        <w:t>E beruházás célja az Azori-szigetek autonóm régióban Portugália egészéhez és az Európai Unióhoz képest alacsony képzettségi szinttel kapcsolatos súlyos probléma kezelése. Az alacsony képzettségi szintek jelentős szűk keresztmetszetet jelentenek az új vállalkozások megjelenése és diverzifikálása, valamint a fenntartható fejlődés szempontjából, mivel a gazdasági válság idején alacsony termelékenységgel és bérekkel, valamint az ellenálló képesség hiányával párosulnak. Az Azori-szigetek autonóm régió sajátos oktatási és képzési igényeinek kielégítését célzó beruházások kiegészítik az ESZA+ keretében a 2021–2027-es időszakra vonatkozó többéves pénzügyi keretre vonatkozóan tárgyalás alatt álló vonatkozó operatív programban tükröződő intézkedéseket.</w:t>
      </w:r>
    </w:p>
    <w:p w14:paraId="73E70397"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a következőkből áll: </w:t>
      </w:r>
    </w:p>
    <w:p w14:paraId="0081A8C7" w14:textId="6B92010D" w:rsidR="00DC5EC6" w:rsidRDefault="003245A4">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a felsőfokú és felsőfokú oktatásban részt vevő felnőttek számának növekedése; és </w:t>
      </w:r>
    </w:p>
    <w:p w14:paraId="09348395" w14:textId="44E78BE7" w:rsidR="00DC5EC6" w:rsidRDefault="003245A4">
      <w:pPr>
        <w:pStyle w:val="P68B1DB1-Normal4"/>
        <w:keepNext/>
        <w:numPr>
          <w:ilvl w:val="0"/>
          <w:numId w:val="47"/>
        </w:numPr>
        <w:spacing w:before="40" w:after="160" w:line="259" w:lineRule="auto"/>
        <w:contextualSpacing/>
        <w:jc w:val="both"/>
        <w:rPr>
          <w:rFonts w:eastAsiaTheme="minorEastAsia" w:cs="Times New Roman"/>
          <w:noProof/>
        </w:rPr>
      </w:pPr>
      <w:r>
        <w:rPr>
          <w:noProof/>
        </w:rPr>
        <w:t xml:space="preserve">16 szakiskola és egy állami képzési intézmény modernizálása a technológiai fejlődéssel összhangban lévő </w:t>
      </w:r>
      <w:r w:rsidRPr="002C6E52">
        <w:rPr>
          <w:noProof/>
          <w:shd w:val="clear" w:color="auto" w:fill="E6E6E6"/>
        </w:rPr>
        <w:t>struktúrákat</w:t>
      </w:r>
      <w:r w:rsidR="002C6E52">
        <w:rPr>
          <w:noProof/>
          <w:shd w:val="clear" w:color="auto" w:fill="E6E6E6"/>
        </w:rPr>
        <w:t xml:space="preserve"> </w:t>
      </w:r>
      <w:r>
        <w:rPr>
          <w:noProof/>
        </w:rPr>
        <w:t xml:space="preserve">és berendezéseket a műhelyek, laboratóriumok és számítástechnikai helyiségek felújítása érdekében, lehetővé téve ezáltal a munkaerő-piaci kereslethez való igazodást és a gyakornokok számának további növelését. </w:t>
      </w:r>
    </w:p>
    <w:p w14:paraId="3EA8A1D4"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73AE8E57" w14:textId="266C243F" w:rsidR="00DC5EC6" w:rsidRDefault="003245A4">
      <w:pPr>
        <w:pStyle w:val="P68B1DB1-Normal5"/>
        <w:keepNext/>
        <w:spacing w:before="240" w:after="0" w:line="259" w:lineRule="auto"/>
        <w:ind w:left="851"/>
        <w:jc w:val="both"/>
        <w:outlineLvl w:val="3"/>
        <w:rPr>
          <w:rFonts w:eastAsiaTheme="minorEastAsia" w:cs="Times New Roman"/>
          <w:noProof/>
        </w:rPr>
      </w:pPr>
      <w:bookmarkStart w:id="16" w:name="_Toc137472452"/>
      <w:r>
        <w:rPr>
          <w:noProof/>
        </w:rPr>
        <w:t>RE-C06-i06 beruházás: Tudományos kapacitások</w:t>
      </w:r>
      <w:bookmarkEnd w:id="16"/>
    </w:p>
    <w:p w14:paraId="37AD389E" w14:textId="3AE8A3DE" w:rsidR="00DC5EC6" w:rsidRDefault="003245A4">
      <w:pPr>
        <w:pStyle w:val="P68B1DB1-Normal4"/>
        <w:spacing w:after="0" w:line="259" w:lineRule="auto"/>
        <w:jc w:val="both"/>
        <w:rPr>
          <w:rFonts w:eastAsia="Symbol" w:cs="Times New Roman"/>
          <w:noProof/>
        </w:rPr>
      </w:pPr>
      <w:r>
        <w:rPr>
          <w:noProof/>
        </w:rPr>
        <w:t>E beruházás célja a felsőoktatási intézmények innovációs és vállalkozói ökoszisztémájának fejlesztése az alapkutatás támogatása, a tudástranszfer és a nemzetközivé válás előmozdítása, a kutatók bizonytalanságának csökkentése, valamint a vállalkozások és a társadalom közötti kapcsolat megerősítése révén.</w:t>
      </w:r>
    </w:p>
    <w:p w14:paraId="75DA99F1" w14:textId="77777777" w:rsidR="00DC5EC6" w:rsidRDefault="003245A4">
      <w:pPr>
        <w:pStyle w:val="P68B1DB1-Normal4"/>
        <w:spacing w:after="0" w:line="259" w:lineRule="auto"/>
        <w:jc w:val="both"/>
        <w:rPr>
          <w:rFonts w:cs="Times New Roman"/>
          <w:noProof/>
        </w:rPr>
      </w:pPr>
      <w:r>
        <w:rPr>
          <w:noProof/>
        </w:rPr>
        <w:t>A beruházás a következő alintézkedésekből áll:</w:t>
      </w:r>
    </w:p>
    <w:p w14:paraId="5E50B945" w14:textId="77777777" w:rsidR="00DC5EC6" w:rsidRDefault="003245A4">
      <w:pPr>
        <w:pStyle w:val="ListParagraph"/>
        <w:keepNext w:val="0"/>
        <w:numPr>
          <w:ilvl w:val="0"/>
          <w:numId w:val="74"/>
        </w:numPr>
        <w:spacing w:after="120" w:line="259" w:lineRule="auto"/>
        <w:rPr>
          <w:noProof/>
        </w:rPr>
      </w:pPr>
      <w:r>
        <w:rPr>
          <w:noProof/>
        </w:rPr>
        <w:t xml:space="preserve">Tehetségszerzési és -megőrzési programok (EKT-Portugália és FCT-Tenure): </w:t>
      </w:r>
    </w:p>
    <w:p w14:paraId="59E07CAF" w14:textId="08745C36" w:rsidR="00DC5EC6" w:rsidRDefault="003245A4">
      <w:pPr>
        <w:pStyle w:val="ListParagraph"/>
        <w:keepNext w:val="0"/>
        <w:numPr>
          <w:ilvl w:val="1"/>
          <w:numId w:val="74"/>
        </w:numPr>
        <w:spacing w:before="120" w:after="120" w:line="259" w:lineRule="auto"/>
        <w:rPr>
          <w:noProof/>
        </w:rPr>
      </w:pPr>
      <w:r>
        <w:rPr>
          <w:noProof/>
        </w:rPr>
        <w:t xml:space="preserve">FCT-Tenure: ez a program támogatja 230 PhD-kutató felvételét a versenyvizsgákon kiválasztott állandó pozíciókba. </w:t>
      </w:r>
    </w:p>
    <w:p w14:paraId="141C1FA4" w14:textId="77777777" w:rsidR="00DC5EC6" w:rsidRDefault="003245A4">
      <w:pPr>
        <w:pStyle w:val="ListParagraph"/>
        <w:keepNext w:val="0"/>
        <w:numPr>
          <w:ilvl w:val="1"/>
          <w:numId w:val="74"/>
        </w:numPr>
        <w:spacing w:before="120" w:after="120" w:line="259" w:lineRule="auto"/>
        <w:rPr>
          <w:noProof/>
        </w:rPr>
      </w:pPr>
      <w:r>
        <w:rPr>
          <w:noProof/>
        </w:rPr>
        <w:t xml:space="preserve">EKT-Portugália: ez a program azokat a kutatókat támogatja, akiknek projektjei európai vagy nemzeti szintű finanszírozásra ajánlottak. A program támogatja azokat a kutatókat is, akiknek az EKT pályázatait finanszírozásra ajánlották, vagy átkerültek az értékelés második szakaszába, de végül nem részesültek finanszírozásban. </w:t>
      </w:r>
    </w:p>
    <w:p w14:paraId="15F696CB" w14:textId="77777777" w:rsidR="00DC5EC6" w:rsidRDefault="003245A4">
      <w:pPr>
        <w:pStyle w:val="ListParagraph"/>
        <w:keepNext w:val="0"/>
        <w:numPr>
          <w:ilvl w:val="0"/>
          <w:numId w:val="74"/>
        </w:numPr>
        <w:spacing w:before="120" w:after="120" w:line="259" w:lineRule="auto"/>
        <w:rPr>
          <w:noProof/>
        </w:rPr>
      </w:pPr>
      <w:r>
        <w:rPr>
          <w:noProof/>
        </w:rPr>
        <w:t xml:space="preserve">A nemzetközi tudományos, technológiai és innovációs partnerségek finanszírozásának növelése: </w:t>
      </w:r>
    </w:p>
    <w:p w14:paraId="19879948" w14:textId="5E0AE6F1" w:rsidR="00DC5EC6" w:rsidRDefault="003245A4">
      <w:pPr>
        <w:pStyle w:val="ListParagraph"/>
        <w:keepNext w:val="0"/>
        <w:numPr>
          <w:ilvl w:val="1"/>
          <w:numId w:val="74"/>
        </w:numPr>
        <w:spacing w:before="120" w:after="120" w:line="259" w:lineRule="auto"/>
        <w:rPr>
          <w:noProof/>
        </w:rPr>
      </w:pPr>
      <w:r>
        <w:rPr>
          <w:noProof/>
        </w:rPr>
        <w:t xml:space="preserve">Portugália európai kutatási és innovációs keretprogramban való részvételének előmozdítása az európai szinten kiválasztott, nemzeti részvétellel megvalósuló projektek finanszírozásának támogatásával; </w:t>
      </w:r>
    </w:p>
    <w:p w14:paraId="02102059" w14:textId="7DD9AFD1" w:rsidR="00DC5EC6" w:rsidRDefault="003245A4">
      <w:pPr>
        <w:pStyle w:val="ListParagraph"/>
        <w:keepNext w:val="0"/>
        <w:numPr>
          <w:ilvl w:val="1"/>
          <w:numId w:val="74"/>
        </w:numPr>
        <w:spacing w:before="120" w:after="120" w:line="259" w:lineRule="auto"/>
        <w:rPr>
          <w:noProof/>
        </w:rPr>
      </w:pPr>
      <w:r>
        <w:rPr>
          <w:noProof/>
        </w:rPr>
        <w:t>100 nemzeti kutató nemzetközi mobilitásának lehetővé tétele.</w:t>
      </w:r>
    </w:p>
    <w:p w14:paraId="3FB5AADB" w14:textId="17C1F357" w:rsidR="00DC5EC6" w:rsidRDefault="003245A4">
      <w:pPr>
        <w:pStyle w:val="P68B1DB1-Normal4"/>
        <w:spacing w:after="0" w:line="259" w:lineRule="auto"/>
        <w:jc w:val="both"/>
        <w:rPr>
          <w:rFonts w:cs="Times New Roman"/>
          <w:noProof/>
        </w:rPr>
      </w:pPr>
      <w:r>
        <w:rPr>
          <w:noProof/>
        </w:rPr>
        <w:t>A szennyező szempontokra (szén, lignit, olaj/ásványolaj, földgáz, fosszilis alapú hidrogén, égetés, hulladéklerakóban való elhelyezés, belső égésű motorral felszerelt járművek/hajók) irányuló K+F+I tevékenységek csak akkor támogathatók, ha alacsony hatású alternatívát fejlesztenek ki (vagy az eredményüket alkalmazzák).</w:t>
      </w:r>
    </w:p>
    <w:p w14:paraId="3E1F94E0" w14:textId="77777777" w:rsidR="00DC5EC6" w:rsidRDefault="003245A4">
      <w:pPr>
        <w:pStyle w:val="P68B1DB1-Normal4"/>
        <w:spacing w:line="259" w:lineRule="auto"/>
        <w:jc w:val="both"/>
        <w:rPr>
          <w:rFonts w:cs="Times New Roman"/>
          <w:noProof/>
        </w:rPr>
      </w:pPr>
      <w:r>
        <w:rPr>
          <w:noProof/>
        </w:rPr>
        <w:t xml:space="preserve">A beruházás végrehajtását 2026. március 31-ig be kell fejezni. </w:t>
      </w:r>
    </w:p>
    <w:p w14:paraId="1AD47C87" w14:textId="1DB744CE" w:rsidR="00DC5EC6" w:rsidRDefault="003245A4">
      <w:pPr>
        <w:pStyle w:val="P68B1DB1-Heading214"/>
        <w:rPr>
          <w:noProof/>
        </w:rPr>
      </w:pPr>
      <w:bookmarkStart w:id="17" w:name="_Toc137472453"/>
      <w:r>
        <w:rPr>
          <w:noProof/>
        </w:rPr>
        <w:t>RE-C06–i07 beruházás: Több digitális impulzus</w:t>
      </w:r>
      <w:bookmarkEnd w:id="17"/>
    </w:p>
    <w:p w14:paraId="64BA1797" w14:textId="341EDAAE" w:rsidR="00DC5EC6" w:rsidRDefault="003245A4">
      <w:pPr>
        <w:pStyle w:val="P68B1DB1-Normal4"/>
        <w:spacing w:after="0" w:line="259" w:lineRule="auto"/>
        <w:jc w:val="both"/>
        <w:rPr>
          <w:rFonts w:cs="Times New Roman"/>
          <w:noProof/>
        </w:rPr>
      </w:pPr>
      <w:r>
        <w:rPr>
          <w:noProof/>
        </w:rPr>
        <w:t xml:space="preserve">Az intézkedés célja, hogy növelje az agrártudományok vonzerejét a jövő generációi számára, támogassa az orvostudományokat a digitális és technológiai fejlődésben, valamint hogy a digitális készségek terén a képzési kapacitást a nem a STEAM (tudományok, technológia, műszaki tudományok, művészetek, matematika) területén is kiterjessze; a pedagógiai innováció és modernizáció előmozdítása, és ezáltal a tudományos siker ösztönzése. </w:t>
      </w:r>
    </w:p>
    <w:p w14:paraId="5227DFCF" w14:textId="77777777" w:rsidR="00DC5EC6" w:rsidRDefault="003245A4">
      <w:pPr>
        <w:pStyle w:val="P68B1DB1-Normal4"/>
        <w:spacing w:after="0" w:line="259" w:lineRule="auto"/>
        <w:jc w:val="both"/>
        <w:rPr>
          <w:rFonts w:cs="Times New Roman"/>
          <w:noProof/>
        </w:rPr>
      </w:pPr>
      <w:r>
        <w:rPr>
          <w:noProof/>
        </w:rPr>
        <w:t>A beruházás a következő alintézkedésekből áll:</w:t>
      </w:r>
    </w:p>
    <w:p w14:paraId="5EC1EDE0" w14:textId="77777777" w:rsidR="00DC5EC6" w:rsidRDefault="003245A4">
      <w:pPr>
        <w:pStyle w:val="ListParagraph"/>
        <w:keepNext w:val="0"/>
        <w:numPr>
          <w:ilvl w:val="0"/>
          <w:numId w:val="74"/>
        </w:numPr>
        <w:spacing w:after="0" w:line="259" w:lineRule="auto"/>
        <w:rPr>
          <w:noProof/>
        </w:rPr>
      </w:pPr>
      <w:r>
        <w:rPr>
          <w:noProof/>
        </w:rPr>
        <w:t xml:space="preserve">Az agrártudományok technológiai és digitális korszerűsítése; az alintézkedés: </w:t>
      </w:r>
    </w:p>
    <w:p w14:paraId="50CF96DF" w14:textId="65473118" w:rsidR="00DC5EC6" w:rsidRDefault="003245A4">
      <w:pPr>
        <w:pStyle w:val="ListParagraph"/>
        <w:keepNext w:val="0"/>
        <w:numPr>
          <w:ilvl w:val="1"/>
          <w:numId w:val="74"/>
        </w:numPr>
        <w:spacing w:before="120" w:after="0" w:line="259" w:lineRule="auto"/>
        <w:rPr>
          <w:noProof/>
        </w:rPr>
      </w:pPr>
      <w:r>
        <w:rPr>
          <w:noProof/>
        </w:rPr>
        <w:t xml:space="preserve">Az agrártudományok 20 diplomás programjának (alapképzés, mesterképzés vagy mindkettő) reformja a digitális és technológiai komponens, a nemzetközivé válás és az intézményközi együttműködés megerősítése révén; </w:t>
      </w:r>
    </w:p>
    <w:p w14:paraId="46DBC373" w14:textId="2152DB4A" w:rsidR="00DC5EC6" w:rsidRDefault="003245A4">
      <w:pPr>
        <w:pStyle w:val="ListParagraph"/>
        <w:keepNext w:val="0"/>
        <w:numPr>
          <w:ilvl w:val="1"/>
          <w:numId w:val="74"/>
        </w:numPr>
        <w:spacing w:before="120" w:after="0" w:line="259" w:lineRule="auto"/>
        <w:rPr>
          <w:noProof/>
        </w:rPr>
      </w:pPr>
      <w:r>
        <w:rPr>
          <w:noProof/>
        </w:rPr>
        <w:t xml:space="preserve">Mezőgazdasági iskolák megnyitása a középfokú oktatásban részt vevő leendő diákok előtt </w:t>
      </w:r>
    </w:p>
    <w:p w14:paraId="77E5F5D4" w14:textId="7CCB32EC" w:rsidR="00DC5EC6" w:rsidRDefault="003245A4">
      <w:pPr>
        <w:pStyle w:val="ListParagraph"/>
        <w:keepNext w:val="0"/>
        <w:numPr>
          <w:ilvl w:val="1"/>
          <w:numId w:val="74"/>
        </w:numPr>
        <w:spacing w:before="120" w:after="0" w:line="259" w:lineRule="auto"/>
        <w:rPr>
          <w:noProof/>
        </w:rPr>
      </w:pPr>
      <w:r>
        <w:rPr>
          <w:noProof/>
        </w:rPr>
        <w:t xml:space="preserve">Az ágazatban már dolgozó szakemberek átképzésének támogatása a mikrotanúsítványok rövid felsőoktatási szakképzésének és szakmai mesterképzésének előmozdítása révén. </w:t>
      </w:r>
    </w:p>
    <w:p w14:paraId="4C14CB2A" w14:textId="77777777" w:rsidR="00DC5EC6" w:rsidRDefault="003245A4">
      <w:pPr>
        <w:pStyle w:val="ListParagraph"/>
        <w:keepNext w:val="0"/>
        <w:numPr>
          <w:ilvl w:val="0"/>
          <w:numId w:val="74"/>
        </w:numPr>
        <w:spacing w:before="120" w:after="0" w:line="259" w:lineRule="auto"/>
        <w:rPr>
          <w:noProof/>
        </w:rPr>
      </w:pPr>
      <w:r>
        <w:rPr>
          <w:noProof/>
        </w:rPr>
        <w:t xml:space="preserve">Az orvostudomány korszerűsítése: az alintézkedés támogatja a diákokat, valamint az ágazatban dolgozó szakembereket célzó, digitális környezetben történő képzést és orvosi szimulációt. </w:t>
      </w:r>
    </w:p>
    <w:p w14:paraId="54C2DB8E" w14:textId="4E548691" w:rsidR="00DC5EC6" w:rsidRDefault="003245A4">
      <w:pPr>
        <w:pStyle w:val="ListParagraph"/>
        <w:keepNext w:val="0"/>
        <w:numPr>
          <w:ilvl w:val="0"/>
          <w:numId w:val="74"/>
        </w:numPr>
        <w:spacing w:before="120" w:after="0" w:line="259" w:lineRule="auto"/>
        <w:rPr>
          <w:noProof/>
        </w:rPr>
      </w:pPr>
      <w:r>
        <w:rPr>
          <w:noProof/>
        </w:rPr>
        <w:t xml:space="preserve">A digitális készségek megerősítése: az alintézkedés támogatja a fiatalok és a felnőttek digitális készségeinek megerősítését a STEAM-on kívüli területeken. </w:t>
      </w:r>
    </w:p>
    <w:p w14:paraId="526DB37F" w14:textId="29D44143" w:rsidR="00DC5EC6" w:rsidRDefault="003245A4">
      <w:pPr>
        <w:pStyle w:val="ListParagraph"/>
        <w:keepNext w:val="0"/>
        <w:numPr>
          <w:ilvl w:val="0"/>
          <w:numId w:val="74"/>
        </w:numPr>
        <w:spacing w:before="120" w:after="0" w:line="259" w:lineRule="auto"/>
        <w:rPr>
          <w:noProof/>
        </w:rPr>
      </w:pPr>
      <w:r>
        <w:rPr>
          <w:noProof/>
        </w:rPr>
        <w:t>Innováció és pedagógiai modernizáció a felsőoktatásban, az alintézkedés:</w:t>
      </w:r>
    </w:p>
    <w:p w14:paraId="558BF1F7" w14:textId="3E15E716" w:rsidR="00DC5EC6" w:rsidRDefault="003245A4">
      <w:pPr>
        <w:pStyle w:val="ListParagraph"/>
        <w:keepNext w:val="0"/>
        <w:numPr>
          <w:ilvl w:val="1"/>
          <w:numId w:val="74"/>
        </w:numPr>
        <w:spacing w:before="120" w:after="0" w:line="259" w:lineRule="auto"/>
        <w:rPr>
          <w:noProof/>
        </w:rPr>
      </w:pPr>
      <w:r>
        <w:rPr>
          <w:noProof/>
        </w:rPr>
        <w:t xml:space="preserve"> erős digitális komponenssel rendelkező pedagógiai innovációs </w:t>
      </w:r>
      <w:bookmarkStart w:id="18" w:name="_Hlk143777429"/>
      <w:r>
        <w:rPr>
          <w:noProof/>
        </w:rPr>
        <w:t>kiválósági központok létrehozása, a nem technológiai témákra (társadalomtudományok, bölcsészettudományok és művészetek) összpontosítva</w:t>
      </w:r>
      <w:bookmarkEnd w:id="18"/>
      <w:r>
        <w:rPr>
          <w:noProof/>
        </w:rPr>
        <w:t>;</w:t>
      </w:r>
    </w:p>
    <w:p w14:paraId="74CE80F8" w14:textId="4912FB98" w:rsidR="00DC5EC6" w:rsidRDefault="003245A4">
      <w:pPr>
        <w:pStyle w:val="ListParagraph"/>
        <w:keepNext w:val="0"/>
        <w:numPr>
          <w:ilvl w:val="1"/>
          <w:numId w:val="74"/>
        </w:numPr>
        <w:spacing w:before="120" w:after="0" w:line="259" w:lineRule="auto"/>
        <w:rPr>
          <w:noProof/>
        </w:rPr>
      </w:pPr>
      <w:bookmarkStart w:id="19" w:name="_Hlk143777454"/>
      <w:r>
        <w:rPr>
          <w:noProof/>
        </w:rPr>
        <w:t>A felsőoktatási lemorzsolódás arányának csökkentését célzó finanszírozási programok megerősítése</w:t>
      </w:r>
      <w:bookmarkEnd w:id="19"/>
      <w:r>
        <w:rPr>
          <w:noProof/>
        </w:rPr>
        <w:t>.</w:t>
      </w:r>
    </w:p>
    <w:p w14:paraId="3136AE0B" w14:textId="77777777" w:rsidR="00DC5EC6" w:rsidRDefault="003245A4">
      <w:pPr>
        <w:pStyle w:val="P68B1DB1-Normal4"/>
        <w:spacing w:line="259" w:lineRule="auto"/>
        <w:jc w:val="both"/>
        <w:rPr>
          <w:rFonts w:cs="Times New Roman"/>
          <w:noProof/>
        </w:rPr>
      </w:pPr>
      <w:r>
        <w:rPr>
          <w:noProof/>
        </w:rPr>
        <w:t xml:space="preserve">A beruházás végrehajtását 2026. június 30-ig be kell fejezni. </w:t>
      </w:r>
    </w:p>
    <w:p w14:paraId="6E920860" w14:textId="1AD743FE" w:rsidR="00DC5EC6" w:rsidRDefault="003245A4">
      <w:pPr>
        <w:pStyle w:val="P68B1DB1-Heading214"/>
        <w:rPr>
          <w:noProof/>
        </w:rPr>
      </w:pPr>
      <w:bookmarkStart w:id="20" w:name="_Toc137472454"/>
      <w:r>
        <w:rPr>
          <w:noProof/>
        </w:rPr>
        <w:t>RE-C06-i08-RAM beruházás: A CITMA épület bővítése</w:t>
      </w:r>
      <w:bookmarkEnd w:id="20"/>
    </w:p>
    <w:p w14:paraId="73584109" w14:textId="1A6D9427" w:rsidR="00DC5EC6" w:rsidRDefault="003245A4">
      <w:pPr>
        <w:pStyle w:val="P68B1DB1-Normal4"/>
        <w:spacing w:after="0" w:line="259" w:lineRule="auto"/>
        <w:jc w:val="both"/>
        <w:rPr>
          <w:rFonts w:cs="Times New Roman"/>
          <w:noProof/>
        </w:rPr>
      </w:pPr>
      <w:r>
        <w:rPr>
          <w:noProof/>
        </w:rPr>
        <w:t>Az intézkedés célja annak biztosítása, hogy a Madeirai Tudományos és Technológiai Központ (CITMA) épülete elég nagy legyen ahhoz, hogy kielégítse a Madeirai Egyetem (Uma) jelenlegi és jövőbeli igényeit, és optimalizálja az Uma pedagógiai és kutatási tevékenységeit, különös tekintettel a politechnológiai oktatás infrastruktúrájára. Ennek célja, hogy szorosabb kapcsolatokat teremtsen a tudományos közösség és a vállalkozások között, lehetővé téve a tapasztalatok és az erőforrások megosztását.</w:t>
      </w:r>
    </w:p>
    <w:p w14:paraId="1BC3E158" w14:textId="54DD82ED" w:rsidR="00DC5EC6" w:rsidRDefault="003245A4">
      <w:pPr>
        <w:pStyle w:val="P68B1DB1-Normal4"/>
        <w:spacing w:after="0" w:line="259" w:lineRule="auto"/>
        <w:jc w:val="both"/>
        <w:rPr>
          <w:rFonts w:cs="Times New Roman"/>
          <w:noProof/>
        </w:rPr>
      </w:pPr>
      <w:r>
        <w:rPr>
          <w:noProof/>
        </w:rPr>
        <w:t>A beruházás a jelenlegi épület három emeletének bővítéséből és a földszint bővítéséből áll. Az épületet a csökkent mozgásképességű személyek igényeihez kell igazítani. Az épület egyes területeinek méretüket tekintve állíthatónak kell lenniük.</w:t>
      </w:r>
    </w:p>
    <w:p w14:paraId="44A8B62C" w14:textId="4FCC316F" w:rsidR="00DC5EC6" w:rsidRDefault="003245A4">
      <w:pPr>
        <w:pStyle w:val="P68B1DB1-Normal4"/>
        <w:spacing w:line="259" w:lineRule="auto"/>
        <w:jc w:val="both"/>
        <w:rPr>
          <w:rFonts w:cs="Times New Roman"/>
          <w:noProof/>
        </w:rPr>
      </w:pPr>
      <w:r>
        <w:rPr>
          <w:noProof/>
        </w:rPr>
        <w:t xml:space="preserve">A beruházás végrehajtását 2026. június 30-ig be kell fejezni. </w:t>
      </w:r>
    </w:p>
    <w:p w14:paraId="665517EB" w14:textId="77777777" w:rsidR="00DC5EC6" w:rsidRDefault="00DC5EC6">
      <w:pPr>
        <w:spacing w:before="40" w:after="0" w:line="259" w:lineRule="auto"/>
        <w:jc w:val="both"/>
        <w:rPr>
          <w:rFonts w:ascii="Times New Roman" w:eastAsiaTheme="minorEastAsia" w:hAnsi="Times New Roman" w:cs="Times New Roman"/>
          <w:noProof/>
          <w:sz w:val="24"/>
        </w:rPr>
      </w:pPr>
    </w:p>
    <w:p w14:paraId="6983890E" w14:textId="77777777" w:rsidR="00DC5EC6" w:rsidRDefault="00DC5EC6">
      <w:pPr>
        <w:spacing w:before="40" w:after="0" w:line="259" w:lineRule="auto"/>
        <w:jc w:val="both"/>
        <w:rPr>
          <w:rFonts w:ascii="Times New Roman" w:eastAsiaTheme="minorEastAsia" w:hAnsi="Times New Roman" w:cs="Times New Roman"/>
          <w:noProof/>
          <w:sz w:val="24"/>
        </w:rPr>
      </w:pPr>
    </w:p>
    <w:p w14:paraId="78B6531F"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20"/>
          <w:headerReference w:type="default" r:id="rId121"/>
          <w:footerReference w:type="even" r:id="rId122"/>
          <w:footerReference w:type="default" r:id="rId123"/>
          <w:headerReference w:type="first" r:id="rId124"/>
          <w:footerReference w:type="first" r:id="rId125"/>
          <w:pgSz w:w="11907" w:h="16839"/>
          <w:pgMar w:top="1134" w:right="1134" w:bottom="1134" w:left="1134" w:header="567" w:footer="567" w:gutter="0"/>
          <w:cols w:space="720"/>
          <w:docGrid w:linePitch="360"/>
        </w:sectPr>
      </w:pPr>
    </w:p>
    <w:p w14:paraId="059FBF21" w14:textId="77777777" w:rsidR="00DC5EC6" w:rsidRDefault="003245A4">
      <w:pPr>
        <w:pStyle w:val="P68B1DB1-Normal3"/>
        <w:keepNext/>
        <w:spacing w:before="40" w:after="120" w:line="259" w:lineRule="auto"/>
        <w:ind w:left="130" w:firstLine="720"/>
        <w:jc w:val="both"/>
        <w:outlineLvl w:val="2"/>
        <w:rPr>
          <w:rFonts w:eastAsiaTheme="minorEastAsia" w:cs="Times New Roman"/>
          <w:noProof/>
        </w:rPr>
      </w:pPr>
      <w:r>
        <w:rPr>
          <w:noProof/>
        </w:rPr>
        <w:t>F.2. Vissza nem térítendő pénzügyi támogatás – a végrehajtáshoz és a nyomon követéshez kapcsolódó mérföldkövek, célok, mutatók és ütemterv</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DC5EC6" w14:paraId="2F27C62F" w14:textId="77777777">
        <w:trPr>
          <w:trHeight w:val="910"/>
          <w:tblHeader/>
        </w:trPr>
        <w:tc>
          <w:tcPr>
            <w:tcW w:w="1135" w:type="dxa"/>
            <w:vMerge w:val="restart"/>
            <w:shd w:val="clear" w:color="auto" w:fill="BDD6EE"/>
            <w:vAlign w:val="center"/>
            <w:hideMark/>
          </w:tcPr>
          <w:p w14:paraId="6D1630A3"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0754D7B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5CE4AD72" w14:textId="5C42A0AE"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4BDED511"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3EA0C12C"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835" w:type="dxa"/>
            <w:gridSpan w:val="3"/>
            <w:shd w:val="clear" w:color="auto" w:fill="BDD6EE"/>
            <w:vAlign w:val="center"/>
            <w:hideMark/>
          </w:tcPr>
          <w:p w14:paraId="381F803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2B867F8B"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shd w:val="clear" w:color="auto" w:fill="BDD6EE"/>
            <w:noWrap/>
            <w:vAlign w:val="center"/>
            <w:hideMark/>
          </w:tcPr>
          <w:p w14:paraId="61D7CEDC"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86265A2" w14:textId="77777777">
        <w:trPr>
          <w:trHeight w:val="470"/>
          <w:tblHeader/>
        </w:trPr>
        <w:tc>
          <w:tcPr>
            <w:tcW w:w="1135" w:type="dxa"/>
            <w:vMerge/>
            <w:vAlign w:val="center"/>
            <w:hideMark/>
          </w:tcPr>
          <w:p w14:paraId="23EAC102"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FFB2B9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61C40CBB" w14:textId="05DF786C"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392949DC"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003544B"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1AC56CC8"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22EAFC9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50" w:type="dxa"/>
            <w:shd w:val="clear" w:color="auto" w:fill="BDD6EE"/>
            <w:vAlign w:val="center"/>
            <w:hideMark/>
          </w:tcPr>
          <w:p w14:paraId="2BE8FC8B"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242D2DDD" w14:textId="4C5DB19E" w:rsidR="00DC5EC6" w:rsidRDefault="002C6E52">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74452C72" w14:textId="4173D8F5"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vAlign w:val="center"/>
            <w:hideMark/>
          </w:tcPr>
          <w:p w14:paraId="1CC6F99B" w14:textId="77777777" w:rsidR="00DC5EC6" w:rsidRDefault="00DC5EC6">
            <w:pPr>
              <w:spacing w:after="0" w:line="240" w:lineRule="auto"/>
              <w:rPr>
                <w:rFonts w:ascii="Times New Roman" w:eastAsia="Times New Roman" w:hAnsi="Times New Roman" w:cs="Times New Roman"/>
                <w:b/>
                <w:noProof/>
                <w:sz w:val="18"/>
              </w:rPr>
            </w:pPr>
          </w:p>
        </w:tc>
      </w:tr>
      <w:tr w:rsidR="00DC5EC6" w14:paraId="79EA62E7" w14:textId="77777777">
        <w:trPr>
          <w:trHeight w:val="640"/>
        </w:trPr>
        <w:tc>
          <w:tcPr>
            <w:tcW w:w="1135" w:type="dxa"/>
            <w:shd w:val="clear" w:color="auto" w:fill="C5EFCE"/>
            <w:vAlign w:val="center"/>
            <w:hideMark/>
          </w:tcPr>
          <w:p w14:paraId="11E1C5C8" w14:textId="77777777" w:rsidR="00DC5EC6" w:rsidRDefault="003245A4">
            <w:pPr>
              <w:pStyle w:val="P68B1DB1-Normal7"/>
              <w:spacing w:after="0" w:line="240" w:lineRule="auto"/>
              <w:jc w:val="center"/>
              <w:rPr>
                <w:rFonts w:eastAsia="Times New Roman" w:cs="Calibri"/>
                <w:noProof/>
              </w:rPr>
            </w:pPr>
            <w:r>
              <w:rPr>
                <w:noProof/>
              </w:rPr>
              <w:t>6.1</w:t>
            </w:r>
          </w:p>
        </w:tc>
        <w:tc>
          <w:tcPr>
            <w:tcW w:w="1276" w:type="dxa"/>
            <w:shd w:val="clear" w:color="auto" w:fill="C4EFCE"/>
            <w:noWrap/>
            <w:vAlign w:val="center"/>
            <w:hideMark/>
          </w:tcPr>
          <w:p w14:paraId="1D6D398A" w14:textId="77777777" w:rsidR="00DC5EC6" w:rsidRDefault="003245A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0245193C"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E5CBD2" w14:textId="77777777" w:rsidR="00DC5EC6" w:rsidRDefault="003245A4">
            <w:pPr>
              <w:pStyle w:val="P68B1DB1-Normal8"/>
              <w:spacing w:after="0" w:line="240" w:lineRule="auto"/>
              <w:jc w:val="center"/>
              <w:rPr>
                <w:rFonts w:eastAsia="Times New Roman" w:cs="Calibri"/>
                <w:noProof/>
              </w:rPr>
            </w:pPr>
            <w:r>
              <w:rPr>
                <w:noProof/>
              </w:rPr>
              <w:t>Felújított vagy épített szakosodott technológiai központok</w:t>
            </w:r>
          </w:p>
        </w:tc>
        <w:tc>
          <w:tcPr>
            <w:tcW w:w="1275" w:type="dxa"/>
            <w:shd w:val="clear" w:color="auto" w:fill="C4EFCE"/>
            <w:noWrap/>
            <w:vAlign w:val="center"/>
            <w:hideMark/>
          </w:tcPr>
          <w:p w14:paraId="1DC8F389"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1339AB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3C47244"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2609596" w14:textId="77777777" w:rsidR="00DC5EC6" w:rsidRDefault="003245A4">
            <w:pPr>
              <w:pStyle w:val="P68B1DB1-Normal8"/>
              <w:spacing w:after="0" w:line="240" w:lineRule="auto"/>
              <w:jc w:val="center"/>
              <w:rPr>
                <w:rFonts w:eastAsia="Times New Roman" w:cs="Calibri"/>
                <w:noProof/>
              </w:rPr>
            </w:pPr>
            <w:r>
              <w:rPr>
                <w:noProof/>
              </w:rPr>
              <w:t>310</w:t>
            </w:r>
          </w:p>
        </w:tc>
        <w:tc>
          <w:tcPr>
            <w:tcW w:w="567" w:type="dxa"/>
            <w:shd w:val="clear" w:color="auto" w:fill="C4EFCE"/>
            <w:noWrap/>
            <w:vAlign w:val="center"/>
            <w:hideMark/>
          </w:tcPr>
          <w:p w14:paraId="5E577122" w14:textId="13FD7357" w:rsidR="00DC5EC6" w:rsidRDefault="00FC5CD5">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5B9C16CB"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E2343BD" w14:textId="77777777" w:rsidR="00DC5EC6" w:rsidRDefault="003245A4">
            <w:pPr>
              <w:pStyle w:val="P68B1DB1-Normal8"/>
              <w:spacing w:after="0" w:line="240" w:lineRule="auto"/>
              <w:jc w:val="both"/>
              <w:rPr>
                <w:rFonts w:eastAsia="Times New Roman" w:cs="Calibri"/>
                <w:noProof/>
              </w:rPr>
            </w:pPr>
            <w:r>
              <w:rPr>
                <w:noProof/>
              </w:rPr>
              <w:t xml:space="preserve">A középiskolai szakmai tanfolyamokra felújított vagy épített szakosodott technológiai központok száma, beleértve a berendezéseket, a technológiai infrastruktúrát, valamint a terek és műhelyek esetleges átminősítését az új tanfolyamokhoz való alkalmazkodás érdekében. </w:t>
            </w:r>
          </w:p>
        </w:tc>
      </w:tr>
      <w:tr w:rsidR="00DC5EC6" w14:paraId="31C598A2" w14:textId="77777777">
        <w:trPr>
          <w:trHeight w:val="640"/>
        </w:trPr>
        <w:tc>
          <w:tcPr>
            <w:tcW w:w="1135" w:type="dxa"/>
            <w:shd w:val="clear" w:color="auto" w:fill="C5EFCE"/>
            <w:vAlign w:val="center"/>
            <w:hideMark/>
          </w:tcPr>
          <w:p w14:paraId="2FE12F6E" w14:textId="77777777" w:rsidR="00DC5EC6" w:rsidRDefault="003245A4">
            <w:pPr>
              <w:pStyle w:val="P68B1DB1-Normal7"/>
              <w:spacing w:after="0" w:line="240" w:lineRule="auto"/>
              <w:jc w:val="center"/>
              <w:rPr>
                <w:rFonts w:eastAsia="Times New Roman" w:cs="Calibri"/>
                <w:noProof/>
              </w:rPr>
            </w:pPr>
            <w:r>
              <w:rPr>
                <w:noProof/>
              </w:rPr>
              <w:t>6.2</w:t>
            </w:r>
          </w:p>
        </w:tc>
        <w:tc>
          <w:tcPr>
            <w:tcW w:w="1276" w:type="dxa"/>
            <w:shd w:val="clear" w:color="auto" w:fill="C4EFCE"/>
            <w:noWrap/>
            <w:vAlign w:val="center"/>
            <w:hideMark/>
          </w:tcPr>
          <w:p w14:paraId="6CE55E02" w14:textId="77777777" w:rsidR="00DC5EC6" w:rsidRDefault="003245A4">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65464C5"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EAA9EB9" w14:textId="77777777" w:rsidR="00DC5EC6" w:rsidRDefault="003245A4">
            <w:pPr>
              <w:pStyle w:val="P68B1DB1-Normal8"/>
              <w:spacing w:after="0" w:line="240" w:lineRule="auto"/>
              <w:jc w:val="center"/>
              <w:rPr>
                <w:rFonts w:eastAsia="Times New Roman" w:cs="Calibri"/>
                <w:noProof/>
              </w:rPr>
            </w:pPr>
            <w:r>
              <w:rPr>
                <w:noProof/>
              </w:rPr>
              <w:t>Felújított vagy épített szakosodott technológiai központok</w:t>
            </w:r>
          </w:p>
        </w:tc>
        <w:tc>
          <w:tcPr>
            <w:tcW w:w="1275" w:type="dxa"/>
            <w:shd w:val="clear" w:color="auto" w:fill="C4EFCE"/>
            <w:noWrap/>
            <w:vAlign w:val="center"/>
            <w:hideMark/>
          </w:tcPr>
          <w:p w14:paraId="52981225"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D07B5"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C1D84AB" w14:textId="77777777" w:rsidR="00DC5EC6" w:rsidRDefault="003245A4">
            <w:pPr>
              <w:pStyle w:val="P68B1DB1-Normal8"/>
              <w:spacing w:after="0" w:line="240" w:lineRule="auto"/>
              <w:jc w:val="center"/>
              <w:rPr>
                <w:rFonts w:eastAsia="Times New Roman" w:cs="Calibri"/>
                <w:noProof/>
              </w:rPr>
            </w:pPr>
            <w:r>
              <w:rPr>
                <w:noProof/>
              </w:rPr>
              <w:t>310</w:t>
            </w:r>
          </w:p>
        </w:tc>
        <w:tc>
          <w:tcPr>
            <w:tcW w:w="850" w:type="dxa"/>
            <w:shd w:val="clear" w:color="auto" w:fill="C4EFCE"/>
            <w:noWrap/>
            <w:vAlign w:val="center"/>
            <w:hideMark/>
          </w:tcPr>
          <w:p w14:paraId="53776CC3" w14:textId="77777777" w:rsidR="00DC5EC6" w:rsidRDefault="003245A4">
            <w:pPr>
              <w:pStyle w:val="P68B1DB1-Normal8"/>
              <w:spacing w:after="0" w:line="240" w:lineRule="auto"/>
              <w:jc w:val="center"/>
              <w:rPr>
                <w:rFonts w:eastAsia="Times New Roman" w:cs="Calibri"/>
                <w:noProof/>
              </w:rPr>
            </w:pPr>
            <w:r>
              <w:rPr>
                <w:noProof/>
              </w:rPr>
              <w:t>365</w:t>
            </w:r>
          </w:p>
        </w:tc>
        <w:tc>
          <w:tcPr>
            <w:tcW w:w="567" w:type="dxa"/>
            <w:shd w:val="clear" w:color="auto" w:fill="C4EFCE"/>
            <w:noWrap/>
            <w:vAlign w:val="center"/>
            <w:hideMark/>
          </w:tcPr>
          <w:p w14:paraId="27944A1C" w14:textId="5F67E7B4" w:rsidR="00DC5EC6" w:rsidRDefault="00FC5CD5">
            <w:pPr>
              <w:pStyle w:val="P68B1DB1-Normal8"/>
              <w:spacing w:after="0" w:line="240" w:lineRule="auto"/>
              <w:jc w:val="center"/>
              <w:rPr>
                <w:rFonts w:eastAsia="Times New Roman" w:cs="Calibri"/>
                <w:noProof/>
              </w:rPr>
            </w:pPr>
            <w:r>
              <w:rPr>
                <w:noProof/>
              </w:rPr>
              <w:t xml:space="preserve">4. </w:t>
            </w:r>
            <w:r w:rsidR="003245A4">
              <w:rPr>
                <w:noProof/>
              </w:rPr>
              <w:t>NEGYEDÉV</w:t>
            </w:r>
          </w:p>
        </w:tc>
        <w:tc>
          <w:tcPr>
            <w:tcW w:w="708" w:type="dxa"/>
            <w:shd w:val="clear" w:color="auto" w:fill="C4EFCE"/>
            <w:noWrap/>
            <w:vAlign w:val="center"/>
            <w:hideMark/>
          </w:tcPr>
          <w:p w14:paraId="7EEBE2C5"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A678E29" w14:textId="77777777" w:rsidR="00DC5EC6" w:rsidRDefault="003245A4">
            <w:pPr>
              <w:pStyle w:val="P68B1DB1-Normal8"/>
              <w:spacing w:after="0" w:line="240" w:lineRule="auto"/>
              <w:jc w:val="both"/>
              <w:rPr>
                <w:rFonts w:eastAsia="Times New Roman" w:cs="Calibri"/>
                <w:noProof/>
              </w:rPr>
            </w:pPr>
            <w:r>
              <w:rPr>
                <w:noProof/>
              </w:rPr>
              <w:t>A középiskolai szakképzésre felújított vagy épített szakosodott technológiai központok száma, beleértve a finanszírozási berendezéseket, a technológiai infrastruktúrát, valamint a terek és műhelyek esetleges átminősítését az új tanfolyamokhoz való alkalmazkodás érdekében</w:t>
            </w:r>
          </w:p>
        </w:tc>
      </w:tr>
      <w:tr w:rsidR="00FC5CD5" w14:paraId="3E90A23F" w14:textId="77777777">
        <w:trPr>
          <w:trHeight w:val="1270"/>
        </w:trPr>
        <w:tc>
          <w:tcPr>
            <w:tcW w:w="1135" w:type="dxa"/>
            <w:shd w:val="clear" w:color="auto" w:fill="C5EFCE"/>
            <w:vAlign w:val="center"/>
            <w:hideMark/>
          </w:tcPr>
          <w:p w14:paraId="047D3B3F" w14:textId="77777777" w:rsidR="00FC5CD5" w:rsidRDefault="00FC5CD5" w:rsidP="00FC5CD5">
            <w:pPr>
              <w:pStyle w:val="P68B1DB1-Normal7"/>
              <w:spacing w:after="0" w:line="240" w:lineRule="auto"/>
              <w:jc w:val="center"/>
              <w:rPr>
                <w:rFonts w:eastAsia="Times New Roman" w:cs="Calibri"/>
                <w:noProof/>
              </w:rPr>
            </w:pPr>
            <w:r>
              <w:rPr>
                <w:noProof/>
              </w:rPr>
              <w:t>6.3</w:t>
            </w:r>
          </w:p>
        </w:tc>
        <w:tc>
          <w:tcPr>
            <w:tcW w:w="1276" w:type="dxa"/>
            <w:shd w:val="clear" w:color="auto" w:fill="C4EFCE"/>
            <w:noWrap/>
            <w:vAlign w:val="center"/>
            <w:hideMark/>
          </w:tcPr>
          <w:p w14:paraId="5356A2CC" w14:textId="77777777" w:rsidR="00FC5CD5" w:rsidRDefault="00FC5CD5" w:rsidP="00FC5CD5">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3DB04DD1"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FA61F5F" w14:textId="77777777" w:rsidR="00FC5CD5" w:rsidRDefault="00FC5CD5" w:rsidP="00FC5CD5">
            <w:pPr>
              <w:pStyle w:val="P68B1DB1-Normal8"/>
              <w:spacing w:after="0" w:line="240" w:lineRule="auto"/>
              <w:jc w:val="center"/>
              <w:rPr>
                <w:rFonts w:eastAsia="Times New Roman" w:cs="Calibri"/>
                <w:noProof/>
              </w:rPr>
            </w:pPr>
            <w:r>
              <w:rPr>
                <w:noProof/>
              </w:rPr>
              <w:t xml:space="preserve">Korszerűsített oktatóállomások </w:t>
            </w:r>
          </w:p>
        </w:tc>
        <w:tc>
          <w:tcPr>
            <w:tcW w:w="1275" w:type="dxa"/>
            <w:shd w:val="clear" w:color="auto" w:fill="C4EFCE"/>
            <w:noWrap/>
            <w:vAlign w:val="center"/>
            <w:hideMark/>
          </w:tcPr>
          <w:p w14:paraId="130E4E31"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6DA56A3"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213A84D5"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5D069C25" w14:textId="373C2310" w:rsidR="00FC5CD5" w:rsidRDefault="00FC5CD5" w:rsidP="00FC5CD5">
            <w:pPr>
              <w:pStyle w:val="P68B1DB1-Normal8"/>
              <w:spacing w:after="0" w:line="240" w:lineRule="auto"/>
              <w:jc w:val="center"/>
              <w:rPr>
                <w:rFonts w:eastAsia="Times New Roman" w:cs="Calibri"/>
                <w:noProof/>
              </w:rPr>
            </w:pPr>
            <w:r>
              <w:rPr>
                <w:noProof/>
              </w:rPr>
              <w:t>11 500</w:t>
            </w:r>
          </w:p>
        </w:tc>
        <w:tc>
          <w:tcPr>
            <w:tcW w:w="567" w:type="dxa"/>
            <w:shd w:val="clear" w:color="auto" w:fill="C4EFCE"/>
            <w:noWrap/>
            <w:vAlign w:val="center"/>
            <w:hideMark/>
          </w:tcPr>
          <w:p w14:paraId="61A11D31" w14:textId="0954D786"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CE9D443" w14:textId="77777777" w:rsidR="00FC5CD5" w:rsidRDefault="00FC5CD5" w:rsidP="00FC5CD5">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31810B06" w14:textId="42B3EDCA" w:rsidR="00FC5CD5" w:rsidRDefault="00FC5CD5" w:rsidP="00FC5CD5">
            <w:pPr>
              <w:pStyle w:val="P68B1DB1-Normal8"/>
              <w:spacing w:after="0" w:line="240" w:lineRule="auto"/>
              <w:jc w:val="both"/>
              <w:rPr>
                <w:rFonts w:eastAsia="Times New Roman" w:cs="Calibri"/>
                <w:noProof/>
              </w:rPr>
            </w:pPr>
            <w:r>
              <w:rPr>
                <w:noProof/>
              </w:rPr>
              <w:t>Az állami foglalkoztatási szolgálat (IEFP) hálózata és az Országos Turisztikai Hatóság (Turismo de Portugal) iskoláinak hálózata (akár közvetlenül, akár koncesszió útján) felújított vagy épített szakképzési állomások száma. Magában foglalja az új épületek felújítását és építését, valamint különböző típusú berendezések képzési célú beszerzését.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FC5CD5" w14:paraId="4AB7F922" w14:textId="77777777">
        <w:trPr>
          <w:trHeight w:val="1270"/>
        </w:trPr>
        <w:tc>
          <w:tcPr>
            <w:tcW w:w="1135" w:type="dxa"/>
            <w:shd w:val="clear" w:color="auto" w:fill="C5EFCE"/>
            <w:vAlign w:val="center"/>
            <w:hideMark/>
          </w:tcPr>
          <w:p w14:paraId="4DAD2626" w14:textId="77777777" w:rsidR="00FC5CD5" w:rsidRDefault="00FC5CD5" w:rsidP="00FC5CD5">
            <w:pPr>
              <w:pStyle w:val="P68B1DB1-Normal7"/>
              <w:spacing w:after="0" w:line="240" w:lineRule="auto"/>
              <w:jc w:val="center"/>
              <w:rPr>
                <w:rFonts w:eastAsia="Times New Roman" w:cs="Calibri"/>
                <w:noProof/>
              </w:rPr>
            </w:pPr>
            <w:r>
              <w:rPr>
                <w:noProof/>
              </w:rPr>
              <w:t>6.4</w:t>
            </w:r>
          </w:p>
        </w:tc>
        <w:tc>
          <w:tcPr>
            <w:tcW w:w="1276" w:type="dxa"/>
            <w:shd w:val="clear" w:color="auto" w:fill="C4EFCE"/>
            <w:noWrap/>
            <w:vAlign w:val="center"/>
            <w:hideMark/>
          </w:tcPr>
          <w:p w14:paraId="069D62CA" w14:textId="77777777" w:rsidR="00FC5CD5" w:rsidRDefault="00FC5CD5" w:rsidP="00FC5CD5">
            <w:pPr>
              <w:pStyle w:val="P68B1DB1-Normal8"/>
              <w:spacing w:after="0" w:line="240" w:lineRule="auto"/>
              <w:jc w:val="center"/>
              <w:rPr>
                <w:rFonts w:eastAsia="Times New Roman" w:cs="Calibri"/>
                <w:noProof/>
              </w:rPr>
            </w:pPr>
            <w:r>
              <w:rPr>
                <w:noProof/>
              </w:rPr>
              <w:t>Re-C06-i01</w:t>
            </w:r>
          </w:p>
        </w:tc>
        <w:tc>
          <w:tcPr>
            <w:tcW w:w="1134" w:type="dxa"/>
            <w:shd w:val="clear" w:color="auto" w:fill="C4EFCE"/>
            <w:noWrap/>
            <w:vAlign w:val="center"/>
            <w:hideMark/>
          </w:tcPr>
          <w:p w14:paraId="5EE390D5"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B383716" w14:textId="77777777" w:rsidR="00FC5CD5" w:rsidRDefault="00FC5CD5" w:rsidP="00FC5CD5">
            <w:pPr>
              <w:pStyle w:val="P68B1DB1-Normal8"/>
              <w:spacing w:after="0" w:line="240" w:lineRule="auto"/>
              <w:jc w:val="center"/>
              <w:rPr>
                <w:rFonts w:eastAsia="Times New Roman" w:cs="Calibri"/>
                <w:noProof/>
              </w:rPr>
            </w:pPr>
            <w:r>
              <w:rPr>
                <w:noProof/>
              </w:rPr>
              <w:t xml:space="preserve">Korszerűsített oktatóállomások </w:t>
            </w:r>
          </w:p>
        </w:tc>
        <w:tc>
          <w:tcPr>
            <w:tcW w:w="1275" w:type="dxa"/>
            <w:shd w:val="clear" w:color="auto" w:fill="C4EFCE"/>
            <w:noWrap/>
            <w:vAlign w:val="center"/>
            <w:hideMark/>
          </w:tcPr>
          <w:p w14:paraId="16A61C90"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DA2846B"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EBF0158" w14:textId="6B2FB681" w:rsidR="00FC5CD5" w:rsidRDefault="00FC5CD5" w:rsidP="00FC5CD5">
            <w:pPr>
              <w:pStyle w:val="P68B1DB1-Normal8"/>
              <w:spacing w:after="0" w:line="240" w:lineRule="auto"/>
              <w:jc w:val="center"/>
              <w:rPr>
                <w:rFonts w:eastAsia="Times New Roman" w:cs="Calibri"/>
                <w:noProof/>
              </w:rPr>
            </w:pPr>
            <w:r>
              <w:rPr>
                <w:noProof/>
              </w:rPr>
              <w:t>11 500</w:t>
            </w:r>
          </w:p>
        </w:tc>
        <w:tc>
          <w:tcPr>
            <w:tcW w:w="850" w:type="dxa"/>
            <w:shd w:val="clear" w:color="auto" w:fill="C4EFCE"/>
            <w:noWrap/>
            <w:vAlign w:val="center"/>
            <w:hideMark/>
          </w:tcPr>
          <w:p w14:paraId="60A36C33" w14:textId="77777777" w:rsidR="00FC5CD5" w:rsidRDefault="00FC5CD5" w:rsidP="00FC5CD5">
            <w:pPr>
              <w:pStyle w:val="P68B1DB1-Normal8"/>
              <w:spacing w:after="0" w:line="240" w:lineRule="auto"/>
              <w:jc w:val="center"/>
              <w:rPr>
                <w:rFonts w:eastAsia="Times New Roman" w:cs="Calibri"/>
                <w:noProof/>
              </w:rPr>
            </w:pPr>
            <w:r>
              <w:rPr>
                <w:noProof/>
              </w:rPr>
              <w:t>22 000</w:t>
            </w:r>
          </w:p>
        </w:tc>
        <w:tc>
          <w:tcPr>
            <w:tcW w:w="567" w:type="dxa"/>
            <w:shd w:val="clear" w:color="auto" w:fill="C4EFCE"/>
            <w:noWrap/>
            <w:vAlign w:val="center"/>
            <w:hideMark/>
          </w:tcPr>
          <w:p w14:paraId="787ADB8E" w14:textId="776A9340"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C45E088"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C38451" w14:textId="3C4E7288" w:rsidR="00FC5CD5" w:rsidRDefault="00FC5CD5" w:rsidP="00FC5CD5">
            <w:pPr>
              <w:pStyle w:val="P68B1DB1-Normal8"/>
              <w:spacing w:after="0" w:line="240" w:lineRule="auto"/>
              <w:jc w:val="both"/>
              <w:rPr>
                <w:rFonts w:eastAsia="Times New Roman" w:cs="Calibri"/>
                <w:noProof/>
              </w:rPr>
            </w:pPr>
            <w:r>
              <w:rPr>
                <w:noProof/>
              </w:rPr>
              <w:t>Az állami foglalkoztatási szolgálat (IEFP) hálózatának és a Nemzeti Turisztikai Hatóság (Turismo de Portugal) iskoláinak hálózata (akár közvetlenül irányított, akár koncesszió révén) felújított vagy épített szakképzési állomások száma. Magában foglalja az új épületek felújítását és építését, valamint különböző típusú berendezések képzési célú beszerzését.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FC5CD5" w14:paraId="6C12491B" w14:textId="77777777">
        <w:trPr>
          <w:trHeight w:val="430"/>
        </w:trPr>
        <w:tc>
          <w:tcPr>
            <w:tcW w:w="1135" w:type="dxa"/>
            <w:shd w:val="clear" w:color="auto" w:fill="C5EFCE"/>
            <w:vAlign w:val="center"/>
            <w:hideMark/>
          </w:tcPr>
          <w:p w14:paraId="0EDD61CD" w14:textId="77777777" w:rsidR="00FC5CD5" w:rsidRDefault="00FC5CD5" w:rsidP="00FC5CD5">
            <w:pPr>
              <w:pStyle w:val="P68B1DB1-Normal7"/>
              <w:spacing w:after="0" w:line="240" w:lineRule="auto"/>
              <w:jc w:val="center"/>
              <w:rPr>
                <w:rFonts w:eastAsia="Times New Roman" w:cs="Calibri"/>
                <w:noProof/>
              </w:rPr>
            </w:pPr>
            <w:r>
              <w:rPr>
                <w:noProof/>
              </w:rPr>
              <w:t>6.5</w:t>
            </w:r>
          </w:p>
        </w:tc>
        <w:tc>
          <w:tcPr>
            <w:tcW w:w="1276" w:type="dxa"/>
            <w:shd w:val="clear" w:color="auto" w:fill="C4EFCE"/>
            <w:noWrap/>
            <w:vAlign w:val="center"/>
            <w:hideMark/>
          </w:tcPr>
          <w:p w14:paraId="5DFD9DC8" w14:textId="77777777" w:rsidR="00FC5CD5" w:rsidRDefault="00FC5CD5" w:rsidP="00FC5CD5">
            <w:pPr>
              <w:pStyle w:val="P68B1DB1-Normal8"/>
              <w:spacing w:after="0" w:line="240" w:lineRule="auto"/>
              <w:jc w:val="center"/>
              <w:rPr>
                <w:rFonts w:eastAsia="Times New Roman" w:cs="Calibri"/>
                <w:noProof/>
              </w:rPr>
            </w:pPr>
            <w:r>
              <w:rPr>
                <w:noProof/>
              </w:rPr>
              <w:t>Re-C06-i02</w:t>
            </w:r>
          </w:p>
        </w:tc>
        <w:tc>
          <w:tcPr>
            <w:tcW w:w="1134" w:type="dxa"/>
            <w:shd w:val="clear" w:color="auto" w:fill="C4EFCE"/>
            <w:noWrap/>
            <w:vAlign w:val="center"/>
            <w:hideMark/>
          </w:tcPr>
          <w:p w14:paraId="659AF737"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0AF8F6" w14:textId="77777777" w:rsidR="00FC5CD5" w:rsidRDefault="00FC5CD5" w:rsidP="00FC5CD5">
            <w:pPr>
              <w:pStyle w:val="P68B1DB1-Normal8"/>
              <w:spacing w:after="0" w:line="240" w:lineRule="auto"/>
              <w:jc w:val="center"/>
              <w:rPr>
                <w:rFonts w:eastAsia="Times New Roman" w:cs="Calibri"/>
                <w:noProof/>
              </w:rPr>
            </w:pPr>
            <w:r>
              <w:rPr>
                <w:noProof/>
              </w:rPr>
              <w:t xml:space="preserve">Pénzügyi támogatás határozatlan idejű szerződésekhez </w:t>
            </w:r>
          </w:p>
        </w:tc>
        <w:tc>
          <w:tcPr>
            <w:tcW w:w="1275" w:type="dxa"/>
            <w:shd w:val="clear" w:color="auto" w:fill="C4EFCE"/>
            <w:noWrap/>
            <w:vAlign w:val="center"/>
            <w:hideMark/>
          </w:tcPr>
          <w:p w14:paraId="10FDB223"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A7A81A"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DE8E0EA"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3A09210A" w14:textId="77777777" w:rsidR="00FC5CD5" w:rsidRDefault="00FC5CD5" w:rsidP="00FC5CD5">
            <w:pPr>
              <w:pStyle w:val="P68B1DB1-Normal8"/>
              <w:spacing w:after="0" w:line="240" w:lineRule="auto"/>
              <w:jc w:val="center"/>
              <w:rPr>
                <w:rFonts w:eastAsia="Times New Roman" w:cs="Calibri"/>
                <w:noProof/>
              </w:rPr>
            </w:pPr>
            <w:r>
              <w:rPr>
                <w:noProof/>
              </w:rPr>
              <w:t>30 000</w:t>
            </w:r>
          </w:p>
        </w:tc>
        <w:tc>
          <w:tcPr>
            <w:tcW w:w="567" w:type="dxa"/>
            <w:shd w:val="clear" w:color="auto" w:fill="C4EFCE"/>
            <w:noWrap/>
            <w:vAlign w:val="center"/>
            <w:hideMark/>
          </w:tcPr>
          <w:p w14:paraId="0B4540AC" w14:textId="6EB93E95"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ACEB742" w14:textId="288C9D01" w:rsidR="00FC5CD5" w:rsidRDefault="00FC5CD5" w:rsidP="00FC5CD5">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675968B1" w14:textId="77777777" w:rsidR="00FC5CD5" w:rsidRDefault="00FC5CD5" w:rsidP="00FC5CD5">
            <w:pPr>
              <w:pStyle w:val="P68B1DB1-Normal8"/>
              <w:spacing w:after="0" w:line="240" w:lineRule="auto"/>
              <w:jc w:val="both"/>
              <w:rPr>
                <w:rFonts w:eastAsia="Times New Roman" w:cs="Calibri"/>
                <w:noProof/>
              </w:rPr>
            </w:pPr>
            <w:r>
              <w:rPr>
                <w:noProof/>
              </w:rPr>
              <w:t>A munkáltatóknak a fenntartható foglalkoztatásra vonatkozó kötelezettségvállalási intézkedés keretében megfelelő munkaerő-piaci bért fizető határozatlan idejű szerződésekért cserébe nyújtott pénzügyi támogatással támogatott szerződések száma.</w:t>
            </w:r>
          </w:p>
        </w:tc>
      </w:tr>
      <w:tr w:rsidR="00FC5CD5" w14:paraId="61E0EF86" w14:textId="77777777">
        <w:trPr>
          <w:trHeight w:val="1060"/>
        </w:trPr>
        <w:tc>
          <w:tcPr>
            <w:tcW w:w="1135" w:type="dxa"/>
            <w:shd w:val="clear" w:color="auto" w:fill="C5EFCE"/>
            <w:vAlign w:val="center"/>
            <w:hideMark/>
          </w:tcPr>
          <w:p w14:paraId="148B85D9" w14:textId="77777777" w:rsidR="00FC5CD5" w:rsidRDefault="00FC5CD5" w:rsidP="00FC5CD5">
            <w:pPr>
              <w:pStyle w:val="P68B1DB1-Normal7"/>
              <w:spacing w:after="0" w:line="240" w:lineRule="auto"/>
              <w:jc w:val="center"/>
              <w:rPr>
                <w:rFonts w:eastAsia="Times New Roman" w:cs="Calibri"/>
                <w:noProof/>
              </w:rPr>
            </w:pPr>
            <w:r>
              <w:rPr>
                <w:noProof/>
              </w:rPr>
              <w:t>6.6</w:t>
            </w:r>
          </w:p>
        </w:tc>
        <w:tc>
          <w:tcPr>
            <w:tcW w:w="1276" w:type="dxa"/>
            <w:shd w:val="clear" w:color="auto" w:fill="C4EFCE"/>
            <w:noWrap/>
            <w:vAlign w:val="center"/>
            <w:hideMark/>
          </w:tcPr>
          <w:p w14:paraId="479AA52E" w14:textId="77777777" w:rsidR="00FC5CD5" w:rsidRDefault="00FC5CD5" w:rsidP="00FC5CD5">
            <w:pPr>
              <w:pStyle w:val="P68B1DB1-Normal8"/>
              <w:spacing w:after="0" w:line="240" w:lineRule="auto"/>
              <w:jc w:val="center"/>
              <w:rPr>
                <w:rFonts w:eastAsia="Times New Roman" w:cs="Calibri"/>
                <w:noProof/>
              </w:rPr>
            </w:pPr>
            <w:r>
              <w:rPr>
                <w:noProof/>
              </w:rPr>
              <w:t>Re-C06-i03</w:t>
            </w:r>
          </w:p>
        </w:tc>
        <w:tc>
          <w:tcPr>
            <w:tcW w:w="1134" w:type="dxa"/>
            <w:shd w:val="clear" w:color="auto" w:fill="C4EFCE"/>
            <w:noWrap/>
            <w:vAlign w:val="center"/>
            <w:hideMark/>
          </w:tcPr>
          <w:p w14:paraId="12BFBD44"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0CC8E3A" w14:textId="77777777" w:rsidR="00FC5CD5" w:rsidRDefault="00FC5CD5" w:rsidP="00FC5CD5">
            <w:pPr>
              <w:pStyle w:val="P68B1DB1-Normal8"/>
              <w:spacing w:after="0" w:line="240" w:lineRule="auto"/>
              <w:jc w:val="center"/>
              <w:rPr>
                <w:rFonts w:eastAsia="Times New Roman" w:cs="Calibri"/>
                <w:noProof/>
              </w:rPr>
            </w:pPr>
            <w:r>
              <w:rPr>
                <w:noProof/>
              </w:rPr>
              <w:t>A felnőttek továbbképzését támogató intézkedések további résztvevői</w:t>
            </w:r>
          </w:p>
        </w:tc>
        <w:tc>
          <w:tcPr>
            <w:tcW w:w="1275" w:type="dxa"/>
            <w:shd w:val="clear" w:color="auto" w:fill="C4EFCE"/>
            <w:noWrap/>
            <w:vAlign w:val="center"/>
            <w:hideMark/>
          </w:tcPr>
          <w:p w14:paraId="22792D93"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DD62676"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B8E5057" w14:textId="77777777" w:rsidR="00FC5CD5" w:rsidRDefault="00FC5CD5" w:rsidP="00FC5CD5">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5DACDA6B" w14:textId="25014E5E" w:rsidR="00FC5CD5" w:rsidRDefault="00FC5CD5" w:rsidP="00FC5CD5">
            <w:pPr>
              <w:pStyle w:val="P68B1DB1-Normal8"/>
              <w:spacing w:after="0" w:line="240" w:lineRule="auto"/>
              <w:jc w:val="center"/>
              <w:rPr>
                <w:rFonts w:eastAsia="Times New Roman" w:cs="Calibri"/>
                <w:noProof/>
              </w:rPr>
            </w:pPr>
            <w:r>
              <w:rPr>
                <w:noProof/>
              </w:rPr>
              <w:t>145 500</w:t>
            </w:r>
          </w:p>
        </w:tc>
        <w:tc>
          <w:tcPr>
            <w:tcW w:w="567" w:type="dxa"/>
            <w:shd w:val="clear" w:color="auto" w:fill="C4EFCE"/>
            <w:noWrap/>
            <w:vAlign w:val="center"/>
            <w:hideMark/>
          </w:tcPr>
          <w:p w14:paraId="4B441948" w14:textId="4E604DBF"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E8AB3E7"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A246919" w14:textId="27E7058B" w:rsidR="00FC5CD5" w:rsidRDefault="00FC5CD5" w:rsidP="00FC5CD5">
            <w:pPr>
              <w:pStyle w:val="P68B1DB1-Normal8"/>
              <w:spacing w:after="0" w:line="240" w:lineRule="auto"/>
              <w:jc w:val="both"/>
              <w:rPr>
                <w:rFonts w:eastAsia="Times New Roman" w:cs="Calibri"/>
                <w:noProof/>
              </w:rPr>
            </w:pPr>
            <w:r>
              <w:rPr>
                <w:noProof/>
              </w:rPr>
              <w:t>A következő tanfolyamok egyikén részt vevő felnőtt (18+) résztvevők száma: a B1/B2/B3 szintű felnőtteknek szóló alapfokú oktatási és képzési tanfolyamok, amelyeket a felnőttkori műveltség nemzeti tervének bővítéséből részesülő helyi projektek szerveznek; az alacsony képzettségű felnőttek kompetenciáinak elismerésére, érvényesítésére és tanúsítására szolgáló képzési útvonalak (RVCC); és iii. felsőoktatási intézményekből és munkáltatókból álló konzorciumok által szervezett rövid távú felsőoktatási tanfolyamok.</w:t>
            </w:r>
          </w:p>
        </w:tc>
      </w:tr>
      <w:tr w:rsidR="00DC5EC6" w14:paraId="4D402638" w14:textId="77777777">
        <w:trPr>
          <w:trHeight w:val="640"/>
        </w:trPr>
        <w:tc>
          <w:tcPr>
            <w:tcW w:w="1135" w:type="dxa"/>
            <w:shd w:val="clear" w:color="auto" w:fill="C5EFCE"/>
            <w:vAlign w:val="center"/>
            <w:hideMark/>
          </w:tcPr>
          <w:p w14:paraId="0D51C2DF" w14:textId="77777777" w:rsidR="00DC5EC6" w:rsidRDefault="003245A4">
            <w:pPr>
              <w:pStyle w:val="P68B1DB1-Normal7"/>
              <w:spacing w:after="0" w:line="240" w:lineRule="auto"/>
              <w:jc w:val="center"/>
              <w:rPr>
                <w:rFonts w:eastAsia="Times New Roman" w:cs="Calibri"/>
                <w:noProof/>
              </w:rPr>
            </w:pPr>
            <w:r>
              <w:rPr>
                <w:noProof/>
              </w:rPr>
              <w:t>6.7</w:t>
            </w:r>
          </w:p>
        </w:tc>
        <w:tc>
          <w:tcPr>
            <w:tcW w:w="1276" w:type="dxa"/>
            <w:shd w:val="clear" w:color="auto" w:fill="C4EFCE"/>
            <w:noWrap/>
            <w:vAlign w:val="center"/>
            <w:hideMark/>
          </w:tcPr>
          <w:p w14:paraId="14AD9AAA" w14:textId="77777777" w:rsidR="00DC5EC6" w:rsidRDefault="003245A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6313215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FF28ED8" w14:textId="77777777" w:rsidR="00DC5EC6" w:rsidRDefault="003245A4">
            <w:pPr>
              <w:pStyle w:val="P68B1DB1-Normal8"/>
              <w:spacing w:after="0" w:line="240" w:lineRule="auto"/>
              <w:jc w:val="center"/>
              <w:rPr>
                <w:rFonts w:eastAsia="Times New Roman" w:cs="Calibri"/>
                <w:noProof/>
              </w:rPr>
            </w:pPr>
            <w:r>
              <w:rPr>
                <w:noProof/>
              </w:rPr>
              <w:t xml:space="preserve">További </w:t>
            </w:r>
            <w:r>
              <w:rPr>
                <w:i/>
                <w:noProof/>
              </w:rPr>
              <w:t>Ciência Viva</w:t>
            </w:r>
            <w:r>
              <w:rPr>
                <w:noProof/>
              </w:rPr>
              <w:t xml:space="preserve"> klubok</w:t>
            </w:r>
          </w:p>
        </w:tc>
        <w:tc>
          <w:tcPr>
            <w:tcW w:w="1275" w:type="dxa"/>
            <w:shd w:val="clear" w:color="auto" w:fill="C4EFCE"/>
            <w:noWrap/>
            <w:vAlign w:val="center"/>
            <w:hideMark/>
          </w:tcPr>
          <w:p w14:paraId="475EF3EC"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0C07D87"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39C60E3"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13DAAD2" w14:textId="77777777" w:rsidR="00DC5EC6" w:rsidRDefault="003245A4">
            <w:pPr>
              <w:pStyle w:val="P68B1DB1-Normal8"/>
              <w:spacing w:after="0" w:line="240" w:lineRule="auto"/>
              <w:jc w:val="center"/>
              <w:rPr>
                <w:rFonts w:eastAsia="Times New Roman" w:cs="Calibri"/>
                <w:noProof/>
              </w:rPr>
            </w:pPr>
            <w:r>
              <w:rPr>
                <w:noProof/>
              </w:rPr>
              <w:t>650</w:t>
            </w:r>
          </w:p>
        </w:tc>
        <w:tc>
          <w:tcPr>
            <w:tcW w:w="567" w:type="dxa"/>
            <w:shd w:val="clear" w:color="auto" w:fill="C4EFCE"/>
            <w:noWrap/>
            <w:vAlign w:val="center"/>
            <w:hideMark/>
          </w:tcPr>
          <w:p w14:paraId="65CF29A1" w14:textId="16B799FD" w:rsidR="00DC5EC6" w:rsidRDefault="00FC5CD5">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577D02B1"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71DD2E25" w14:textId="77777777" w:rsidR="00DC5EC6" w:rsidRDefault="003245A4">
            <w:pPr>
              <w:pStyle w:val="P68B1DB1-Normal8"/>
              <w:spacing w:after="0" w:line="240" w:lineRule="auto"/>
              <w:jc w:val="both"/>
              <w:rPr>
                <w:rFonts w:eastAsia="Times New Roman" w:cs="Calibri"/>
                <w:noProof/>
              </w:rPr>
            </w:pPr>
            <w:r>
              <w:rPr>
                <w:noProof/>
              </w:rPr>
              <w:t xml:space="preserve">A </w:t>
            </w:r>
            <w:r>
              <w:rPr>
                <w:i/>
                <w:noProof/>
              </w:rPr>
              <w:t>Ciência Viva</w:t>
            </w:r>
            <w:r>
              <w:rPr>
                <w:noProof/>
              </w:rPr>
              <w:t xml:space="preserve"> klubok hálózatába felvett új klubok száma, amelyek a STEAM-területekre összpontosítanak, és amelyek célja a tudományos értékek terjesztése a középiskolai hálózatban, többek között egyetemekkel és kutatóközpontokkal való partnerségek, valamint szemináriumok és műhelyfoglalkozások szervezése révén.</w:t>
            </w:r>
          </w:p>
        </w:tc>
      </w:tr>
      <w:tr w:rsidR="00DC5EC6" w14:paraId="49C0C904" w14:textId="77777777">
        <w:trPr>
          <w:trHeight w:val="430"/>
        </w:trPr>
        <w:tc>
          <w:tcPr>
            <w:tcW w:w="1135" w:type="dxa"/>
            <w:shd w:val="clear" w:color="auto" w:fill="C5EFCE"/>
            <w:vAlign w:val="center"/>
            <w:hideMark/>
          </w:tcPr>
          <w:p w14:paraId="31071806" w14:textId="77777777" w:rsidR="00DC5EC6" w:rsidRDefault="003245A4">
            <w:pPr>
              <w:pStyle w:val="P68B1DB1-Normal7"/>
              <w:spacing w:after="0" w:line="240" w:lineRule="auto"/>
              <w:jc w:val="center"/>
              <w:rPr>
                <w:rFonts w:eastAsia="Times New Roman" w:cs="Calibri"/>
                <w:noProof/>
              </w:rPr>
            </w:pPr>
            <w:r>
              <w:rPr>
                <w:noProof/>
              </w:rPr>
              <w:t>6.8</w:t>
            </w:r>
          </w:p>
        </w:tc>
        <w:tc>
          <w:tcPr>
            <w:tcW w:w="1276" w:type="dxa"/>
            <w:shd w:val="clear" w:color="auto" w:fill="C4EFCE"/>
            <w:noWrap/>
            <w:vAlign w:val="center"/>
            <w:hideMark/>
          </w:tcPr>
          <w:p w14:paraId="7831644F" w14:textId="77777777" w:rsidR="00DC5EC6" w:rsidRDefault="003245A4">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19E22B81"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4ABB0A2" w14:textId="77777777" w:rsidR="00DC5EC6" w:rsidRDefault="003245A4">
            <w:pPr>
              <w:pStyle w:val="P68B1DB1-Normal8"/>
              <w:spacing w:after="0" w:line="240" w:lineRule="auto"/>
              <w:jc w:val="center"/>
              <w:rPr>
                <w:rFonts w:eastAsia="Times New Roman" w:cs="Calibri"/>
                <w:noProof/>
              </w:rPr>
            </w:pPr>
            <w:r>
              <w:rPr>
                <w:noProof/>
              </w:rPr>
              <w:t>A STEAM területén felsőfokú képzésben részt vevő hallgatók további száma</w:t>
            </w:r>
          </w:p>
        </w:tc>
        <w:tc>
          <w:tcPr>
            <w:tcW w:w="1275" w:type="dxa"/>
            <w:shd w:val="clear" w:color="auto" w:fill="C4EFCE"/>
            <w:noWrap/>
            <w:vAlign w:val="center"/>
            <w:hideMark/>
          </w:tcPr>
          <w:p w14:paraId="19A3F63E"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2A75A0"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1EF5171"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05143F7C" w14:textId="77777777" w:rsidR="00DC5EC6" w:rsidRDefault="003245A4">
            <w:pPr>
              <w:pStyle w:val="P68B1DB1-Normal8"/>
              <w:spacing w:after="0" w:line="240" w:lineRule="auto"/>
              <w:jc w:val="right"/>
              <w:rPr>
                <w:rFonts w:eastAsia="Times New Roman" w:cs="Calibri"/>
                <w:noProof/>
              </w:rPr>
            </w:pPr>
            <w:r>
              <w:rPr>
                <w:noProof/>
              </w:rPr>
              <w:t>7500</w:t>
            </w:r>
          </w:p>
        </w:tc>
        <w:tc>
          <w:tcPr>
            <w:tcW w:w="567" w:type="dxa"/>
            <w:shd w:val="clear" w:color="auto" w:fill="C4EFCE"/>
            <w:noWrap/>
            <w:vAlign w:val="center"/>
            <w:hideMark/>
          </w:tcPr>
          <w:p w14:paraId="74D42D05" w14:textId="0A44A1FE" w:rsidR="00DC5EC6" w:rsidRDefault="00FC5CD5">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0AD002C5" w14:textId="77777777" w:rsidR="00DC5EC6" w:rsidRDefault="003245A4">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6906ED0C" w14:textId="1A58018F" w:rsidR="00DC5EC6" w:rsidRDefault="003245A4">
            <w:pPr>
              <w:pStyle w:val="P68B1DB1-Normal8"/>
              <w:spacing w:after="0" w:line="240" w:lineRule="auto"/>
              <w:jc w:val="both"/>
              <w:rPr>
                <w:rFonts w:eastAsia="Times New Roman" w:cs="Calibri"/>
                <w:noProof/>
              </w:rPr>
            </w:pPr>
            <w:r>
              <w:rPr>
                <w:noProof/>
              </w:rPr>
              <w:t>További felsőfokú végzettséggel rendelkezők száma a STEAM területén (azaz természettudományok, technológia, műszaki tudományok, művészetek és matematika): rövid és első ciklusú felsőoktatási programokból és rövid távú kurzusokból szerzett felsőfokú végzettséggel rendelkezők. 2020-hoz képest (legfeljebb 2 év).</w:t>
            </w:r>
          </w:p>
        </w:tc>
      </w:tr>
      <w:tr w:rsidR="00FC5CD5" w14:paraId="41A35489" w14:textId="77777777">
        <w:trPr>
          <w:trHeight w:val="430"/>
        </w:trPr>
        <w:tc>
          <w:tcPr>
            <w:tcW w:w="1135" w:type="dxa"/>
            <w:shd w:val="clear" w:color="auto" w:fill="C5EFCE"/>
            <w:vAlign w:val="center"/>
            <w:hideMark/>
          </w:tcPr>
          <w:p w14:paraId="03EC6843" w14:textId="77777777" w:rsidR="00FC5CD5" w:rsidRDefault="00FC5CD5" w:rsidP="00FC5CD5">
            <w:pPr>
              <w:pStyle w:val="P68B1DB1-Normal7"/>
              <w:spacing w:after="0" w:line="240" w:lineRule="auto"/>
              <w:jc w:val="center"/>
              <w:rPr>
                <w:rFonts w:eastAsia="Times New Roman" w:cs="Calibri"/>
                <w:noProof/>
              </w:rPr>
            </w:pPr>
            <w:r>
              <w:rPr>
                <w:noProof/>
              </w:rPr>
              <w:t>6.9</w:t>
            </w:r>
          </w:p>
        </w:tc>
        <w:tc>
          <w:tcPr>
            <w:tcW w:w="1276" w:type="dxa"/>
            <w:shd w:val="clear" w:color="auto" w:fill="C4EFCE"/>
            <w:noWrap/>
            <w:vAlign w:val="center"/>
            <w:hideMark/>
          </w:tcPr>
          <w:p w14:paraId="1F688299" w14:textId="77777777" w:rsidR="00FC5CD5" w:rsidRDefault="00FC5CD5" w:rsidP="00FC5CD5">
            <w:pPr>
              <w:pStyle w:val="P68B1DB1-Normal8"/>
              <w:spacing w:after="0" w:line="240" w:lineRule="auto"/>
              <w:jc w:val="center"/>
              <w:rPr>
                <w:rFonts w:eastAsia="Times New Roman" w:cs="Calibri"/>
                <w:noProof/>
              </w:rPr>
            </w:pPr>
            <w:r>
              <w:rPr>
                <w:noProof/>
              </w:rPr>
              <w:t>Re-C06-i04</w:t>
            </w:r>
          </w:p>
        </w:tc>
        <w:tc>
          <w:tcPr>
            <w:tcW w:w="1134" w:type="dxa"/>
            <w:shd w:val="clear" w:color="auto" w:fill="C4EFCE"/>
            <w:noWrap/>
            <w:vAlign w:val="center"/>
            <w:hideMark/>
          </w:tcPr>
          <w:p w14:paraId="0766DA2A"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FCC21AD" w14:textId="77777777" w:rsidR="00FC5CD5" w:rsidRDefault="00FC5CD5" w:rsidP="00FC5CD5">
            <w:pPr>
              <w:pStyle w:val="P68B1DB1-Normal8"/>
              <w:spacing w:after="0" w:line="240" w:lineRule="auto"/>
              <w:jc w:val="center"/>
              <w:rPr>
                <w:rFonts w:eastAsia="Times New Roman" w:cs="Calibri"/>
                <w:noProof/>
              </w:rPr>
            </w:pPr>
            <w:r>
              <w:rPr>
                <w:noProof/>
              </w:rPr>
              <w:t xml:space="preserve">A STEAM felsőoktatásban végzett hallgatók további száma </w:t>
            </w:r>
          </w:p>
        </w:tc>
        <w:tc>
          <w:tcPr>
            <w:tcW w:w="1275" w:type="dxa"/>
            <w:shd w:val="clear" w:color="auto" w:fill="C4EFCE"/>
            <w:noWrap/>
            <w:vAlign w:val="center"/>
            <w:hideMark/>
          </w:tcPr>
          <w:p w14:paraId="2534A7F7"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01C7875"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F461685" w14:textId="77777777" w:rsidR="00FC5CD5" w:rsidRDefault="00FC5CD5" w:rsidP="00FC5CD5">
            <w:pPr>
              <w:pStyle w:val="P68B1DB1-Normal8"/>
              <w:spacing w:after="0" w:line="240" w:lineRule="auto"/>
              <w:jc w:val="center"/>
              <w:rPr>
                <w:rFonts w:eastAsia="Times New Roman" w:cs="Calibri"/>
                <w:noProof/>
              </w:rPr>
            </w:pPr>
            <w:r>
              <w:rPr>
                <w:noProof/>
              </w:rPr>
              <w:t>7 500</w:t>
            </w:r>
          </w:p>
        </w:tc>
        <w:tc>
          <w:tcPr>
            <w:tcW w:w="850" w:type="dxa"/>
            <w:shd w:val="clear" w:color="auto" w:fill="C4EFCE"/>
            <w:noWrap/>
            <w:vAlign w:val="center"/>
            <w:hideMark/>
          </w:tcPr>
          <w:p w14:paraId="0EDAA318" w14:textId="77777777" w:rsidR="00FC5CD5" w:rsidRDefault="00FC5CD5" w:rsidP="00FC5CD5">
            <w:pPr>
              <w:pStyle w:val="P68B1DB1-Normal8"/>
              <w:spacing w:after="0" w:line="240" w:lineRule="auto"/>
              <w:jc w:val="center"/>
              <w:rPr>
                <w:rFonts w:eastAsia="Times New Roman" w:cs="Calibri"/>
                <w:noProof/>
              </w:rPr>
            </w:pPr>
            <w:r>
              <w:rPr>
                <w:noProof/>
              </w:rPr>
              <w:t>10 000</w:t>
            </w:r>
          </w:p>
        </w:tc>
        <w:tc>
          <w:tcPr>
            <w:tcW w:w="567" w:type="dxa"/>
            <w:shd w:val="clear" w:color="auto" w:fill="C4EFCE"/>
            <w:noWrap/>
            <w:vAlign w:val="center"/>
            <w:hideMark/>
          </w:tcPr>
          <w:p w14:paraId="74AF7ABA" w14:textId="1E209860"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B041574"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6B7BB90" w14:textId="6491F048" w:rsidR="00FC5CD5" w:rsidRDefault="00FC5CD5" w:rsidP="00FC5CD5">
            <w:pPr>
              <w:pStyle w:val="P68B1DB1-Normal8"/>
              <w:spacing w:after="0" w:line="240" w:lineRule="auto"/>
              <w:jc w:val="both"/>
              <w:rPr>
                <w:rFonts w:eastAsia="Times New Roman" w:cs="Calibri"/>
                <w:noProof/>
              </w:rPr>
            </w:pPr>
            <w:r>
              <w:rPr>
                <w:noProof/>
              </w:rPr>
              <w:t>További felsőfokú végzettséggel rendelkezők száma a STEAM területén (azaz természettudományok, technológia, műszaki tudományok, művészetek és matematika): rövid és első ciklusú felsőoktatási programokból és rövid távú kurzusokból szerzett felsőfokú végzettséggel rendelkezők. 2020-hoz képest (legfeljebb 2 év).</w:t>
            </w:r>
          </w:p>
        </w:tc>
      </w:tr>
      <w:tr w:rsidR="00FC5CD5" w14:paraId="7BCA29C4" w14:textId="77777777">
        <w:trPr>
          <w:trHeight w:val="430"/>
        </w:trPr>
        <w:tc>
          <w:tcPr>
            <w:tcW w:w="1135" w:type="dxa"/>
            <w:shd w:val="clear" w:color="auto" w:fill="C5EFCE"/>
            <w:vAlign w:val="center"/>
            <w:hideMark/>
          </w:tcPr>
          <w:p w14:paraId="31EEE1B7" w14:textId="77777777" w:rsidR="00FC5CD5" w:rsidRDefault="00FC5CD5" w:rsidP="00FC5CD5">
            <w:pPr>
              <w:pStyle w:val="P68B1DB1-Normal7"/>
              <w:spacing w:after="0" w:line="240" w:lineRule="auto"/>
              <w:jc w:val="center"/>
              <w:rPr>
                <w:rFonts w:eastAsia="Times New Roman" w:cs="Calibri"/>
                <w:noProof/>
              </w:rPr>
            </w:pPr>
            <w:r>
              <w:rPr>
                <w:noProof/>
              </w:rPr>
              <w:t>6.10</w:t>
            </w:r>
          </w:p>
        </w:tc>
        <w:tc>
          <w:tcPr>
            <w:tcW w:w="1276" w:type="dxa"/>
            <w:shd w:val="clear" w:color="auto" w:fill="C4EFCE"/>
            <w:noWrap/>
            <w:vAlign w:val="center"/>
            <w:hideMark/>
          </w:tcPr>
          <w:p w14:paraId="3455EA12" w14:textId="77777777" w:rsidR="00FC5CD5" w:rsidRDefault="00FC5CD5" w:rsidP="00FC5CD5">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F017E0B"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74D4D1A" w14:textId="77777777" w:rsidR="00FC5CD5" w:rsidRDefault="00FC5CD5" w:rsidP="00FC5CD5">
            <w:pPr>
              <w:pStyle w:val="P68B1DB1-Normal8"/>
              <w:spacing w:after="0" w:line="240" w:lineRule="auto"/>
              <w:jc w:val="center"/>
              <w:rPr>
                <w:rFonts w:eastAsia="Times New Roman" w:cs="Calibri"/>
                <w:noProof/>
              </w:rPr>
            </w:pPr>
            <w:r>
              <w:rPr>
                <w:noProof/>
              </w:rPr>
              <w:t>A felsőfokú és felsőfokú oktatásban részt vevő felnőttek további száma az Azori-szigetek autonóm régióban</w:t>
            </w:r>
          </w:p>
        </w:tc>
        <w:tc>
          <w:tcPr>
            <w:tcW w:w="1275" w:type="dxa"/>
            <w:shd w:val="clear" w:color="auto" w:fill="C4EFCE"/>
            <w:noWrap/>
            <w:vAlign w:val="center"/>
            <w:hideMark/>
          </w:tcPr>
          <w:p w14:paraId="4B93C7DE"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77F4A"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08B2C73"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36350747" w14:textId="77777777" w:rsidR="00FC5CD5" w:rsidRDefault="00FC5CD5" w:rsidP="00FC5CD5">
            <w:pPr>
              <w:pStyle w:val="P68B1DB1-Normal8"/>
              <w:spacing w:after="0" w:line="240" w:lineRule="auto"/>
              <w:jc w:val="center"/>
              <w:rPr>
                <w:rFonts w:eastAsia="Times New Roman" w:cs="Calibri"/>
                <w:noProof/>
              </w:rPr>
            </w:pPr>
            <w:r>
              <w:rPr>
                <w:noProof/>
              </w:rPr>
              <w:t>1 145</w:t>
            </w:r>
          </w:p>
        </w:tc>
        <w:tc>
          <w:tcPr>
            <w:tcW w:w="567" w:type="dxa"/>
            <w:shd w:val="clear" w:color="auto" w:fill="C4EFCE"/>
            <w:noWrap/>
            <w:vAlign w:val="center"/>
            <w:hideMark/>
          </w:tcPr>
          <w:p w14:paraId="2B64FDEB" w14:textId="1F9F18D3"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C6DF304"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0110C7B5" w14:textId="77777777" w:rsidR="00FC5CD5" w:rsidRDefault="00FC5CD5" w:rsidP="00FC5CD5">
            <w:pPr>
              <w:pStyle w:val="P68B1DB1-Normal8"/>
              <w:spacing w:after="0" w:line="240" w:lineRule="auto"/>
              <w:jc w:val="both"/>
              <w:rPr>
                <w:rFonts w:eastAsia="Times New Roman" w:cs="Calibri"/>
                <w:noProof/>
              </w:rPr>
            </w:pPr>
            <w:r>
              <w:rPr>
                <w:noProof/>
              </w:rPr>
              <w:t>Az Azori-szigetek autonóm régióban felsőfokú és felsőfokú oktatásban részt vevő felnőttek további száma.</w:t>
            </w:r>
          </w:p>
        </w:tc>
      </w:tr>
      <w:tr w:rsidR="00FC5CD5" w14:paraId="750BEA35" w14:textId="77777777">
        <w:trPr>
          <w:trHeight w:val="1060"/>
        </w:trPr>
        <w:tc>
          <w:tcPr>
            <w:tcW w:w="1135" w:type="dxa"/>
            <w:shd w:val="clear" w:color="auto" w:fill="C5EFCE"/>
            <w:vAlign w:val="center"/>
            <w:hideMark/>
          </w:tcPr>
          <w:p w14:paraId="15B13B31" w14:textId="77777777" w:rsidR="00FC5CD5" w:rsidRDefault="00FC5CD5" w:rsidP="00FC5CD5">
            <w:pPr>
              <w:pStyle w:val="P68B1DB1-Normal7"/>
              <w:spacing w:after="0" w:line="240" w:lineRule="auto"/>
              <w:jc w:val="center"/>
              <w:rPr>
                <w:rFonts w:eastAsia="Times New Roman" w:cs="Calibri"/>
                <w:noProof/>
              </w:rPr>
            </w:pPr>
            <w:r>
              <w:rPr>
                <w:noProof/>
              </w:rPr>
              <w:t>6.11</w:t>
            </w:r>
          </w:p>
        </w:tc>
        <w:tc>
          <w:tcPr>
            <w:tcW w:w="1276" w:type="dxa"/>
            <w:shd w:val="clear" w:color="auto" w:fill="C4EFCE"/>
            <w:noWrap/>
            <w:vAlign w:val="center"/>
            <w:hideMark/>
          </w:tcPr>
          <w:p w14:paraId="4B3896E6" w14:textId="77777777" w:rsidR="00FC5CD5" w:rsidRDefault="00FC5CD5" w:rsidP="00FC5CD5">
            <w:pPr>
              <w:pStyle w:val="P68B1DB1-Normal8"/>
              <w:spacing w:after="0" w:line="240" w:lineRule="auto"/>
              <w:jc w:val="center"/>
              <w:rPr>
                <w:rFonts w:eastAsia="Times New Roman" w:cs="Calibri"/>
                <w:noProof/>
              </w:rPr>
            </w:pPr>
            <w:r>
              <w:rPr>
                <w:noProof/>
              </w:rPr>
              <w:t>Re-C06-i05-RAA</w:t>
            </w:r>
          </w:p>
        </w:tc>
        <w:tc>
          <w:tcPr>
            <w:tcW w:w="1134" w:type="dxa"/>
            <w:shd w:val="clear" w:color="auto" w:fill="C4EFCE"/>
            <w:noWrap/>
            <w:vAlign w:val="center"/>
            <w:hideMark/>
          </w:tcPr>
          <w:p w14:paraId="5501D610" w14:textId="77777777" w:rsidR="00FC5CD5" w:rsidRDefault="00FC5CD5" w:rsidP="00FC5CD5">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27DFBDA" w14:textId="77777777" w:rsidR="00FC5CD5" w:rsidRDefault="00FC5CD5" w:rsidP="00FC5CD5">
            <w:pPr>
              <w:pStyle w:val="P68B1DB1-Normal8"/>
              <w:spacing w:after="0" w:line="240" w:lineRule="auto"/>
              <w:jc w:val="center"/>
              <w:rPr>
                <w:rFonts w:eastAsia="Times New Roman" w:cs="Calibri"/>
                <w:noProof/>
              </w:rPr>
            </w:pPr>
            <w:r>
              <w:rPr>
                <w:noProof/>
              </w:rPr>
              <w:t>Korszerűsített szakiskolák az Azori-szigetek autonóm régióban</w:t>
            </w:r>
          </w:p>
        </w:tc>
        <w:tc>
          <w:tcPr>
            <w:tcW w:w="1275" w:type="dxa"/>
            <w:shd w:val="clear" w:color="auto" w:fill="C4EFCE"/>
            <w:noWrap/>
            <w:vAlign w:val="center"/>
            <w:hideMark/>
          </w:tcPr>
          <w:p w14:paraId="7633C471"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04129F"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264B2313"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B8D440E" w14:textId="77777777" w:rsidR="00FC5CD5" w:rsidRDefault="00FC5CD5" w:rsidP="00FC5CD5">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657890BF" w14:textId="78F63088"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55CA0C"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3F352652" w14:textId="60266876" w:rsidR="00FC5CD5" w:rsidRDefault="00FC5CD5" w:rsidP="00FC5CD5">
            <w:pPr>
              <w:pStyle w:val="P68B1DB1-Normal8"/>
              <w:spacing w:after="0" w:line="240" w:lineRule="auto"/>
              <w:jc w:val="both"/>
              <w:rPr>
                <w:rFonts w:eastAsia="Times New Roman" w:cs="Calibri"/>
                <w:noProof/>
              </w:rPr>
            </w:pPr>
            <w:r>
              <w:rPr>
                <w:noProof/>
              </w:rPr>
              <w:t>A műhelyek, laboratóriumok és számítástechnikai helyiségek felújításából, valamint a technológiai fejlődésnek megfelelő új berendezések beszerzéséből részesülő szakiskolák és közoktatási intézmények száma. Amennyiben az infrastruktúra korszerűsítése épületek felújításával jár, az energiahatékonysági felújításoknak átlagosan legalább közepes mélységű felújítást kell elérniük az épületek felújításáról szóló (EU) 2019/786 bizottsági ajánlásban meghatározottak szerint.</w:t>
            </w:r>
          </w:p>
        </w:tc>
      </w:tr>
      <w:tr w:rsidR="00FC5CD5" w14:paraId="55F947BE" w14:textId="77777777">
        <w:trPr>
          <w:trHeight w:val="1171"/>
        </w:trPr>
        <w:tc>
          <w:tcPr>
            <w:tcW w:w="1135" w:type="dxa"/>
            <w:shd w:val="clear" w:color="auto" w:fill="C5EFCE"/>
            <w:vAlign w:val="center"/>
            <w:hideMark/>
          </w:tcPr>
          <w:p w14:paraId="6524EBF6" w14:textId="77777777" w:rsidR="00FC5CD5" w:rsidRDefault="00FC5CD5" w:rsidP="00FC5CD5">
            <w:pPr>
              <w:pStyle w:val="P68B1DB1-Normal7"/>
              <w:spacing w:after="0" w:line="240" w:lineRule="auto"/>
              <w:jc w:val="center"/>
              <w:rPr>
                <w:rFonts w:eastAsia="Times New Roman" w:cs="Calibri"/>
                <w:noProof/>
              </w:rPr>
            </w:pPr>
            <w:r>
              <w:rPr>
                <w:noProof/>
              </w:rPr>
              <w:t>6.12</w:t>
            </w:r>
          </w:p>
        </w:tc>
        <w:tc>
          <w:tcPr>
            <w:tcW w:w="1276" w:type="dxa"/>
            <w:shd w:val="clear" w:color="auto" w:fill="C4EFCE"/>
            <w:noWrap/>
            <w:vAlign w:val="center"/>
            <w:hideMark/>
          </w:tcPr>
          <w:p w14:paraId="547D2E2F" w14:textId="77777777" w:rsidR="00FC5CD5" w:rsidRDefault="00FC5CD5" w:rsidP="00FC5CD5">
            <w:pPr>
              <w:pStyle w:val="P68B1DB1-Normal8"/>
              <w:spacing w:after="0" w:line="240" w:lineRule="auto"/>
              <w:jc w:val="center"/>
              <w:rPr>
                <w:rFonts w:eastAsia="Times New Roman" w:cs="Calibri"/>
                <w:noProof/>
              </w:rPr>
            </w:pPr>
            <w:r>
              <w:rPr>
                <w:noProof/>
              </w:rPr>
              <w:t>Re-C06-r14</w:t>
            </w:r>
          </w:p>
        </w:tc>
        <w:tc>
          <w:tcPr>
            <w:tcW w:w="1134" w:type="dxa"/>
            <w:shd w:val="clear" w:color="auto" w:fill="C4EFCE"/>
            <w:noWrap/>
            <w:vAlign w:val="center"/>
            <w:hideMark/>
          </w:tcPr>
          <w:p w14:paraId="6161978A"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7FF7A7F" w14:textId="77777777" w:rsidR="00FC5CD5" w:rsidRDefault="00FC5CD5" w:rsidP="00FC5CD5">
            <w:pPr>
              <w:pStyle w:val="P68B1DB1-Normal8"/>
              <w:spacing w:after="0" w:line="240" w:lineRule="auto"/>
              <w:jc w:val="center"/>
              <w:rPr>
                <w:rFonts w:eastAsia="Times New Roman" w:cs="Calibri"/>
                <w:noProof/>
              </w:rPr>
            </w:pPr>
            <w:r>
              <w:rPr>
                <w:noProof/>
              </w:rPr>
              <w:t>A képzési állások megnyitása</w:t>
            </w:r>
          </w:p>
        </w:tc>
        <w:tc>
          <w:tcPr>
            <w:tcW w:w="1275" w:type="dxa"/>
            <w:shd w:val="clear" w:color="auto" w:fill="C4EFCE"/>
            <w:noWrap/>
            <w:vAlign w:val="center"/>
            <w:hideMark/>
          </w:tcPr>
          <w:p w14:paraId="1F0B5386"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8FF90D" w14:textId="77777777" w:rsidR="00FC5CD5" w:rsidRDefault="00FC5CD5" w:rsidP="00FC5CD5">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E521221" w14:textId="77777777" w:rsidR="00FC5CD5" w:rsidRDefault="00FC5CD5" w:rsidP="00FC5CD5">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2D8E74D9" w14:textId="77777777" w:rsidR="00FC5CD5" w:rsidRDefault="00FC5CD5" w:rsidP="00FC5CD5">
            <w:pPr>
              <w:pStyle w:val="P68B1DB1-Normal8"/>
              <w:spacing w:after="0" w:line="240" w:lineRule="auto"/>
              <w:jc w:val="center"/>
              <w:rPr>
                <w:rFonts w:eastAsia="Times New Roman" w:cs="Calibri"/>
                <w:noProof/>
              </w:rPr>
            </w:pPr>
            <w:r>
              <w:rPr>
                <w:noProof/>
              </w:rPr>
              <w:t>20 000</w:t>
            </w:r>
          </w:p>
        </w:tc>
        <w:tc>
          <w:tcPr>
            <w:tcW w:w="567" w:type="dxa"/>
            <w:shd w:val="clear" w:color="auto" w:fill="C4EFCE"/>
            <w:noWrap/>
            <w:vAlign w:val="center"/>
            <w:hideMark/>
          </w:tcPr>
          <w:p w14:paraId="4D258239" w14:textId="5A030632"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30192EF" w14:textId="77777777" w:rsidR="00FC5CD5" w:rsidRDefault="00FC5CD5" w:rsidP="00FC5CD5">
            <w:pPr>
              <w:pStyle w:val="P68B1DB1-Normal8"/>
              <w:spacing w:after="0" w:line="240" w:lineRule="auto"/>
              <w:jc w:val="center"/>
              <w:rPr>
                <w:rFonts w:eastAsia="Times New Roman" w:cs="Calibri"/>
                <w:noProof/>
              </w:rPr>
            </w:pPr>
            <w:r>
              <w:rPr>
                <w:noProof/>
              </w:rPr>
              <w:t>2025</w:t>
            </w:r>
          </w:p>
        </w:tc>
        <w:tc>
          <w:tcPr>
            <w:tcW w:w="4395" w:type="dxa"/>
            <w:shd w:val="clear" w:color="auto" w:fill="C4EFCE"/>
            <w:vAlign w:val="center"/>
            <w:hideMark/>
          </w:tcPr>
          <w:p w14:paraId="5E6EA693" w14:textId="77777777" w:rsidR="00FC5CD5" w:rsidRDefault="00FC5CD5" w:rsidP="00FC5CD5">
            <w:pPr>
              <w:pStyle w:val="P68B1DB1-Normal8"/>
              <w:spacing w:after="0" w:line="240" w:lineRule="auto"/>
              <w:jc w:val="both"/>
              <w:rPr>
                <w:rFonts w:eastAsia="Times New Roman" w:cs="Calibri"/>
                <w:noProof/>
              </w:rPr>
            </w:pPr>
            <w:r>
              <w:rPr>
                <w:noProof/>
              </w:rPr>
              <w:t>A nemzeti képesítési katalógus (CNQ) frissítését követően a szakmai tanfolyamokon megnyitott új álláshelyek száma a készség-előrejelzési diagnózis (SANQ) alapján feltörekvő területeken.</w:t>
            </w:r>
          </w:p>
        </w:tc>
      </w:tr>
      <w:tr w:rsidR="00DC5EC6" w14:paraId="4D68171D" w14:textId="77777777">
        <w:trPr>
          <w:trHeight w:val="430"/>
        </w:trPr>
        <w:tc>
          <w:tcPr>
            <w:tcW w:w="1135" w:type="dxa"/>
            <w:shd w:val="clear" w:color="auto" w:fill="C5EFCE"/>
            <w:vAlign w:val="center"/>
            <w:hideMark/>
          </w:tcPr>
          <w:p w14:paraId="574224E8" w14:textId="77777777" w:rsidR="00DC5EC6" w:rsidRDefault="003245A4">
            <w:pPr>
              <w:pStyle w:val="P68B1DB1-Normal7"/>
              <w:spacing w:after="0" w:line="240" w:lineRule="auto"/>
              <w:jc w:val="center"/>
              <w:rPr>
                <w:rFonts w:eastAsia="Times New Roman" w:cs="Calibri"/>
                <w:noProof/>
              </w:rPr>
            </w:pPr>
            <w:r>
              <w:rPr>
                <w:noProof/>
              </w:rPr>
              <w:t>6.13</w:t>
            </w:r>
          </w:p>
        </w:tc>
        <w:tc>
          <w:tcPr>
            <w:tcW w:w="1276" w:type="dxa"/>
            <w:shd w:val="clear" w:color="auto" w:fill="C4EFCE"/>
            <w:noWrap/>
            <w:vAlign w:val="center"/>
            <w:hideMark/>
          </w:tcPr>
          <w:p w14:paraId="1F8EACCD" w14:textId="77777777" w:rsidR="00DC5EC6" w:rsidRDefault="003245A4">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3F880A1E"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0F8EBFA" w14:textId="77777777" w:rsidR="00DC5EC6" w:rsidRDefault="003245A4">
            <w:pPr>
              <w:pStyle w:val="P68B1DB1-Normal8"/>
              <w:spacing w:after="0" w:line="240" w:lineRule="auto"/>
              <w:jc w:val="center"/>
              <w:rPr>
                <w:rFonts w:eastAsia="Times New Roman" w:cs="Calibri"/>
                <w:noProof/>
              </w:rPr>
            </w:pPr>
            <w:r>
              <w:rPr>
                <w:noProof/>
              </w:rPr>
              <w:t>A felsőoktatásba való felvétel céljából speciális versenyvizsgákat létrehozó törvény hatálybalépése</w:t>
            </w:r>
          </w:p>
        </w:tc>
        <w:tc>
          <w:tcPr>
            <w:tcW w:w="1275" w:type="dxa"/>
            <w:shd w:val="clear" w:color="auto" w:fill="C4EFCE"/>
            <w:noWrap/>
            <w:vAlign w:val="center"/>
            <w:hideMark/>
          </w:tcPr>
          <w:p w14:paraId="4881AFCF" w14:textId="77777777" w:rsidR="00DC5EC6" w:rsidRDefault="003245A4">
            <w:pPr>
              <w:pStyle w:val="P68B1DB1-Normal8"/>
              <w:spacing w:after="0" w:line="240" w:lineRule="auto"/>
              <w:jc w:val="center"/>
              <w:rPr>
                <w:rFonts w:eastAsia="Times New Roman" w:cs="Calibri"/>
                <w:noProof/>
              </w:rPr>
            </w:pPr>
            <w:r>
              <w:rPr>
                <w:noProof/>
              </w:rPr>
              <w:t xml:space="preserve">A felsőoktatásba való felvétel céljából speciális versenyvizsgákat létrehozó törvény hatálybalépése </w:t>
            </w:r>
          </w:p>
        </w:tc>
        <w:tc>
          <w:tcPr>
            <w:tcW w:w="993" w:type="dxa"/>
            <w:shd w:val="clear" w:color="auto" w:fill="C4EFCE"/>
            <w:noWrap/>
            <w:vAlign w:val="center"/>
            <w:hideMark/>
          </w:tcPr>
          <w:p w14:paraId="324277CF"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FB1159"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CD5524E"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EC36569" w14:textId="4EFC6FAC" w:rsidR="00DC5EC6" w:rsidRDefault="00FC5CD5">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19163647" w14:textId="77777777" w:rsidR="00DC5EC6" w:rsidRDefault="003245A4">
            <w:pPr>
              <w:pStyle w:val="P68B1DB1-Normal8"/>
              <w:spacing w:after="0" w:line="240" w:lineRule="auto"/>
              <w:jc w:val="center"/>
              <w:rPr>
                <w:rFonts w:eastAsia="Times New Roman" w:cs="Calibri"/>
                <w:noProof/>
              </w:rPr>
            </w:pPr>
            <w:r>
              <w:rPr>
                <w:noProof/>
              </w:rPr>
              <w:t>2020</w:t>
            </w:r>
          </w:p>
        </w:tc>
        <w:tc>
          <w:tcPr>
            <w:tcW w:w="4395" w:type="dxa"/>
            <w:shd w:val="clear" w:color="auto" w:fill="C4EFCE"/>
            <w:vAlign w:val="center"/>
            <w:hideMark/>
          </w:tcPr>
          <w:p w14:paraId="042D0010" w14:textId="77777777" w:rsidR="00DC5EC6" w:rsidRDefault="003245A4">
            <w:pPr>
              <w:pStyle w:val="P68B1DB1-Normal8"/>
              <w:spacing w:after="0" w:line="240" w:lineRule="auto"/>
              <w:jc w:val="both"/>
              <w:rPr>
                <w:rFonts w:eastAsia="Times New Roman" w:cs="Calibri"/>
                <w:noProof/>
              </w:rPr>
            </w:pPr>
            <w:r>
              <w:rPr>
                <w:noProof/>
              </w:rPr>
              <w:t>A középiskolai tanulmányokat szakmai csatornákon és szakképző tanfolyamokon elvégző hallgatók számára a felsőoktatásba való felvételre vonatkozó különleges versenyvizsgákat létrehozó törvény hatálybalépése.</w:t>
            </w:r>
          </w:p>
        </w:tc>
      </w:tr>
      <w:tr w:rsidR="00DC5EC6" w14:paraId="5C350BC5" w14:textId="77777777">
        <w:trPr>
          <w:trHeight w:val="1480"/>
        </w:trPr>
        <w:tc>
          <w:tcPr>
            <w:tcW w:w="1135" w:type="dxa"/>
            <w:shd w:val="clear" w:color="auto" w:fill="C5EFCE"/>
            <w:vAlign w:val="center"/>
            <w:hideMark/>
          </w:tcPr>
          <w:p w14:paraId="2D4BA14E" w14:textId="77777777" w:rsidR="00DC5EC6" w:rsidRDefault="003245A4">
            <w:pPr>
              <w:pStyle w:val="P68B1DB1-Normal7"/>
              <w:spacing w:after="0" w:line="240" w:lineRule="auto"/>
              <w:jc w:val="center"/>
              <w:rPr>
                <w:rFonts w:eastAsia="Times New Roman" w:cs="Calibri"/>
                <w:noProof/>
              </w:rPr>
            </w:pPr>
            <w:r>
              <w:rPr>
                <w:noProof/>
              </w:rPr>
              <w:t>6.14</w:t>
            </w:r>
          </w:p>
        </w:tc>
        <w:tc>
          <w:tcPr>
            <w:tcW w:w="1276" w:type="dxa"/>
            <w:shd w:val="clear" w:color="auto" w:fill="C4EFCE"/>
            <w:noWrap/>
            <w:vAlign w:val="center"/>
            <w:hideMark/>
          </w:tcPr>
          <w:p w14:paraId="49780B25" w14:textId="77777777" w:rsidR="00DC5EC6" w:rsidRDefault="003245A4">
            <w:pPr>
              <w:pStyle w:val="P68B1DB1-Normal8"/>
              <w:spacing w:after="0" w:line="240" w:lineRule="auto"/>
              <w:jc w:val="center"/>
              <w:rPr>
                <w:rFonts w:eastAsia="Times New Roman" w:cs="Calibri"/>
                <w:noProof/>
              </w:rPr>
            </w:pPr>
            <w:r>
              <w:rPr>
                <w:noProof/>
              </w:rPr>
              <w:t>Re-C06-r15</w:t>
            </w:r>
          </w:p>
        </w:tc>
        <w:tc>
          <w:tcPr>
            <w:tcW w:w="1134" w:type="dxa"/>
            <w:shd w:val="clear" w:color="auto" w:fill="C4EFCE"/>
            <w:noWrap/>
            <w:vAlign w:val="center"/>
            <w:hideMark/>
          </w:tcPr>
          <w:p w14:paraId="1D50742B"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285546A" w14:textId="77777777" w:rsidR="00DC5EC6" w:rsidRDefault="003245A4">
            <w:pPr>
              <w:pStyle w:val="P68B1DB1-Normal8"/>
              <w:spacing w:after="0" w:line="240" w:lineRule="auto"/>
              <w:jc w:val="center"/>
              <w:rPr>
                <w:rFonts w:eastAsia="Times New Roman" w:cs="Calibri"/>
                <w:noProof/>
              </w:rPr>
            </w:pPr>
            <w:r>
              <w:rPr>
                <w:noProof/>
              </w:rPr>
              <w:t>A felsőoktatási intézmények, a közigazgatás és a vállalkozások közötti együttműködést szabályozó új jogi keret hatálybalépése</w:t>
            </w:r>
          </w:p>
        </w:tc>
        <w:tc>
          <w:tcPr>
            <w:tcW w:w="1275" w:type="dxa"/>
            <w:shd w:val="clear" w:color="auto" w:fill="C4EFCE"/>
            <w:noWrap/>
            <w:vAlign w:val="center"/>
            <w:hideMark/>
          </w:tcPr>
          <w:p w14:paraId="4004223A" w14:textId="77777777" w:rsidR="00DC5EC6" w:rsidRDefault="003245A4">
            <w:pPr>
              <w:pStyle w:val="P68B1DB1-Normal8"/>
              <w:spacing w:after="0" w:line="240" w:lineRule="auto"/>
              <w:jc w:val="center"/>
              <w:rPr>
                <w:rFonts w:eastAsia="Times New Roman" w:cs="Calibri"/>
                <w:noProof/>
              </w:rPr>
            </w:pPr>
            <w:r>
              <w:rPr>
                <w:noProof/>
              </w:rPr>
              <w:t>A felsőoktatási intézmények, a közigazgatás és a vállalkozások közötti együttműködést szabályozó új jogi keret hatálybalépése</w:t>
            </w:r>
          </w:p>
        </w:tc>
        <w:tc>
          <w:tcPr>
            <w:tcW w:w="993" w:type="dxa"/>
            <w:shd w:val="clear" w:color="auto" w:fill="C4EFCE"/>
            <w:noWrap/>
            <w:vAlign w:val="center"/>
            <w:hideMark/>
          </w:tcPr>
          <w:p w14:paraId="79A1DBFD"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1817FB5"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00D13E6"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0C153E5" w14:textId="56C1C844" w:rsidR="00DC5EC6" w:rsidRDefault="00FC5CD5">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53BC3D0D" w14:textId="77777777" w:rsidR="00DC5EC6" w:rsidRDefault="003245A4">
            <w:pPr>
              <w:pStyle w:val="P68B1DB1-Normal8"/>
              <w:spacing w:after="0" w:line="240" w:lineRule="auto"/>
              <w:jc w:val="center"/>
              <w:rPr>
                <w:rFonts w:eastAsia="Times New Roman" w:cs="Calibri"/>
                <w:noProof/>
              </w:rPr>
            </w:pPr>
            <w:r>
              <w:rPr>
                <w:noProof/>
              </w:rPr>
              <w:t>2021</w:t>
            </w:r>
          </w:p>
        </w:tc>
        <w:tc>
          <w:tcPr>
            <w:tcW w:w="4395" w:type="dxa"/>
            <w:shd w:val="clear" w:color="auto" w:fill="C4EFCE"/>
            <w:vAlign w:val="center"/>
            <w:hideMark/>
          </w:tcPr>
          <w:p w14:paraId="777EF2C9" w14:textId="77777777" w:rsidR="00DC5EC6" w:rsidRDefault="003245A4">
            <w:pPr>
              <w:pStyle w:val="P68B1DB1-Normal8"/>
              <w:spacing w:after="0" w:line="240" w:lineRule="auto"/>
              <w:jc w:val="both"/>
              <w:rPr>
                <w:rFonts w:eastAsia="Times New Roman" w:cs="Calibri"/>
                <w:noProof/>
              </w:rPr>
            </w:pPr>
            <w:r>
              <w:rPr>
                <w:noProof/>
              </w:rPr>
              <w:t>A felsőoktatási intézmények, valamint a közigazgatás és a vállalkozások közötti együttműködést szabályozó új jogi keret hatálybalépése, beleértve a következőket: felsőoktatási intézmények együttműködési hálózatainak létrehozása a munkáltatókkal partnerségben, többek között az alapfokú felsőoktatás, az innovációs projektek és a vállalkozásoknak nyújtott szolgáltatások előmozdítása révén, ii. a jogállás módosítása azon feltételek tisztázása érdekében, amelyek mellett egy külső szakértő a felsőoktatási intézményekben oktatási vagy vezetői feladatokat láthat el, a tudományos és az üzleti világ közötti mobilitás előmozdítása érdekében; a felsőoktatási intézmények és a vállalkozások közötti megosztott irányítással rendelkező konzorciumok megerősítése.</w:t>
            </w:r>
          </w:p>
        </w:tc>
      </w:tr>
      <w:tr w:rsidR="00FC5CD5" w14:paraId="6B6D1913" w14:textId="77777777">
        <w:trPr>
          <w:trHeight w:val="1060"/>
        </w:trPr>
        <w:tc>
          <w:tcPr>
            <w:tcW w:w="1135" w:type="dxa"/>
            <w:shd w:val="clear" w:color="auto" w:fill="C5EFCE"/>
            <w:vAlign w:val="center"/>
            <w:hideMark/>
          </w:tcPr>
          <w:p w14:paraId="7A115D0E" w14:textId="77777777" w:rsidR="00FC5CD5" w:rsidRDefault="00FC5CD5" w:rsidP="00FC5CD5">
            <w:pPr>
              <w:pStyle w:val="P68B1DB1-Normal7"/>
              <w:spacing w:after="0" w:line="240" w:lineRule="auto"/>
              <w:jc w:val="center"/>
              <w:rPr>
                <w:rFonts w:eastAsia="Times New Roman" w:cs="Calibri"/>
                <w:noProof/>
              </w:rPr>
            </w:pPr>
            <w:r>
              <w:rPr>
                <w:noProof/>
              </w:rPr>
              <w:t>6.15</w:t>
            </w:r>
          </w:p>
        </w:tc>
        <w:tc>
          <w:tcPr>
            <w:tcW w:w="1276" w:type="dxa"/>
            <w:shd w:val="clear" w:color="auto" w:fill="C4EFCE"/>
            <w:noWrap/>
            <w:vAlign w:val="center"/>
            <w:hideMark/>
          </w:tcPr>
          <w:p w14:paraId="072BCFC9" w14:textId="77777777" w:rsidR="00FC5CD5" w:rsidRDefault="00FC5CD5" w:rsidP="00FC5CD5">
            <w:pPr>
              <w:pStyle w:val="P68B1DB1-Normal8"/>
              <w:spacing w:after="0" w:line="240" w:lineRule="auto"/>
              <w:jc w:val="center"/>
              <w:rPr>
                <w:rFonts w:eastAsia="Times New Roman" w:cs="Calibri"/>
                <w:noProof/>
              </w:rPr>
            </w:pPr>
            <w:r>
              <w:rPr>
                <w:noProof/>
              </w:rPr>
              <w:t>Re-C06-r16</w:t>
            </w:r>
          </w:p>
        </w:tc>
        <w:tc>
          <w:tcPr>
            <w:tcW w:w="1134" w:type="dxa"/>
            <w:shd w:val="clear" w:color="auto" w:fill="C4EFCE"/>
            <w:noWrap/>
            <w:vAlign w:val="center"/>
            <w:hideMark/>
          </w:tcPr>
          <w:p w14:paraId="36CF0280"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E9FAFFB" w14:textId="77777777" w:rsidR="00FC5CD5" w:rsidRDefault="00FC5CD5" w:rsidP="00FC5CD5">
            <w:pPr>
              <w:pStyle w:val="P68B1DB1-Normal8"/>
              <w:spacing w:after="0" w:line="240" w:lineRule="auto"/>
              <w:jc w:val="center"/>
              <w:rPr>
                <w:rFonts w:eastAsia="Times New Roman" w:cs="Calibri"/>
                <w:noProof/>
              </w:rPr>
            </w:pPr>
            <w:r>
              <w:rPr>
                <w:noProof/>
              </w:rPr>
              <w:t>A szabályozott szakmákról szóló törvény hatálybalépése</w:t>
            </w:r>
          </w:p>
        </w:tc>
        <w:tc>
          <w:tcPr>
            <w:tcW w:w="1275" w:type="dxa"/>
            <w:shd w:val="clear" w:color="auto" w:fill="C4EFCE"/>
            <w:noWrap/>
            <w:vAlign w:val="center"/>
            <w:hideMark/>
          </w:tcPr>
          <w:p w14:paraId="0F2F14F7" w14:textId="77777777" w:rsidR="00FC5CD5" w:rsidRDefault="00FC5CD5" w:rsidP="00FC5CD5">
            <w:pPr>
              <w:pStyle w:val="P68B1DB1-Normal8"/>
              <w:spacing w:after="0" w:line="240" w:lineRule="auto"/>
              <w:jc w:val="center"/>
              <w:rPr>
                <w:rFonts w:eastAsia="Times New Roman" w:cs="Calibri"/>
                <w:noProof/>
              </w:rPr>
            </w:pPr>
            <w:r>
              <w:rPr>
                <w:noProof/>
              </w:rPr>
              <w:t>A szabályozott szakmákról szóló törvény hatálybalépése</w:t>
            </w:r>
          </w:p>
        </w:tc>
        <w:tc>
          <w:tcPr>
            <w:tcW w:w="993" w:type="dxa"/>
            <w:shd w:val="clear" w:color="auto" w:fill="C4EFCE"/>
            <w:noWrap/>
            <w:vAlign w:val="center"/>
            <w:hideMark/>
          </w:tcPr>
          <w:p w14:paraId="1C4406F9"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8CC3D9E"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E64DB52"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E3EBB9F" w14:textId="3235702C"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7B08CA5" w14:textId="77777777" w:rsidR="00FC5CD5" w:rsidRDefault="00FC5CD5" w:rsidP="00FC5CD5">
            <w:pPr>
              <w:pStyle w:val="P68B1DB1-Normal8"/>
              <w:spacing w:after="0" w:line="240" w:lineRule="auto"/>
              <w:jc w:val="center"/>
              <w:rPr>
                <w:rFonts w:eastAsia="Times New Roman" w:cs="Calibri"/>
                <w:noProof/>
              </w:rPr>
            </w:pPr>
            <w:r>
              <w:rPr>
                <w:noProof/>
              </w:rPr>
              <w:t>2022</w:t>
            </w:r>
          </w:p>
        </w:tc>
        <w:tc>
          <w:tcPr>
            <w:tcW w:w="4395" w:type="dxa"/>
            <w:shd w:val="clear" w:color="auto" w:fill="C4EFCE"/>
            <w:vAlign w:val="center"/>
            <w:hideMark/>
          </w:tcPr>
          <w:p w14:paraId="6B104D29" w14:textId="61D2CBCD" w:rsidR="00FC5CD5" w:rsidRDefault="00FC5CD5" w:rsidP="00FC5CD5">
            <w:pPr>
              <w:pStyle w:val="P68B1DB1-Normal8"/>
              <w:spacing w:after="0" w:line="240" w:lineRule="auto"/>
              <w:jc w:val="both"/>
              <w:rPr>
                <w:rFonts w:eastAsia="Times New Roman" w:cs="Calibri"/>
                <w:noProof/>
              </w:rPr>
            </w:pPr>
            <w:r>
              <w:rPr>
                <w:noProof/>
              </w:rPr>
              <w:t>A törvény hatálybalépése, amelynek célja többek között: a szakmai szervezetek szabályozási és képviseleti funkcióinak elkülönítése; a fenntartott tevékenységek listájának szűkítése. A tevékenységekhez való hozzáférést csak alkotmányos érdekek védelme érdekében lehet korlátozni, a szükségesség és az arányosság elvének megfelelően; az üzleti szolgáltató cégek tulajdonlására és irányítására vonatkozó korlátozások megszüntetése, feltéve, hogy a vezetők tiszteletben tartják az „összeférhetetlenség” megelőzésére vonatkozó jogi szabályozást; és iv. lehetővé teszik a multidiszciplináris üzleti szolgáltatásokat.</w:t>
            </w:r>
          </w:p>
        </w:tc>
      </w:tr>
      <w:tr w:rsidR="00DC5EC6" w14:paraId="23A0A514" w14:textId="77777777">
        <w:trPr>
          <w:trHeight w:val="640"/>
        </w:trPr>
        <w:tc>
          <w:tcPr>
            <w:tcW w:w="1135" w:type="dxa"/>
            <w:shd w:val="clear" w:color="auto" w:fill="C5EFCE"/>
            <w:vAlign w:val="center"/>
            <w:hideMark/>
          </w:tcPr>
          <w:p w14:paraId="5367DF6B" w14:textId="77777777" w:rsidR="00DC5EC6" w:rsidRDefault="003245A4">
            <w:pPr>
              <w:pStyle w:val="P68B1DB1-Normal7"/>
              <w:spacing w:after="0" w:line="240" w:lineRule="auto"/>
              <w:jc w:val="center"/>
              <w:rPr>
                <w:rFonts w:eastAsia="Times New Roman" w:cs="Calibri"/>
                <w:noProof/>
              </w:rPr>
            </w:pPr>
            <w:r>
              <w:rPr>
                <w:noProof/>
              </w:rPr>
              <w:t>6.16</w:t>
            </w:r>
          </w:p>
        </w:tc>
        <w:tc>
          <w:tcPr>
            <w:tcW w:w="1276" w:type="dxa"/>
            <w:shd w:val="clear" w:color="auto" w:fill="C4EFCE"/>
            <w:noWrap/>
            <w:vAlign w:val="center"/>
            <w:hideMark/>
          </w:tcPr>
          <w:p w14:paraId="52F2ECE7" w14:textId="77777777" w:rsidR="00DC5EC6" w:rsidRDefault="003245A4">
            <w:pPr>
              <w:pStyle w:val="P68B1DB1-Normal8"/>
              <w:spacing w:after="0" w:line="240" w:lineRule="auto"/>
              <w:jc w:val="center"/>
              <w:rPr>
                <w:rFonts w:eastAsia="Times New Roman" w:cs="Calibri"/>
                <w:noProof/>
              </w:rPr>
            </w:pPr>
            <w:r>
              <w:rPr>
                <w:noProof/>
              </w:rPr>
              <w:t>Re-C06-r17</w:t>
            </w:r>
          </w:p>
        </w:tc>
        <w:tc>
          <w:tcPr>
            <w:tcW w:w="1134" w:type="dxa"/>
            <w:shd w:val="clear" w:color="auto" w:fill="C4EFCE"/>
            <w:noWrap/>
            <w:vAlign w:val="center"/>
            <w:hideMark/>
          </w:tcPr>
          <w:p w14:paraId="4C773C60"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53FC47" w14:textId="77777777" w:rsidR="00DC5EC6" w:rsidRDefault="003245A4">
            <w:pPr>
              <w:pStyle w:val="P68B1DB1-Normal8"/>
              <w:spacing w:after="0" w:line="240" w:lineRule="auto"/>
              <w:jc w:val="center"/>
              <w:rPr>
                <w:rFonts w:eastAsia="Times New Roman" w:cs="Calibri"/>
                <w:noProof/>
              </w:rPr>
            </w:pPr>
            <w:r>
              <w:rPr>
                <w:noProof/>
              </w:rPr>
              <w:t>A platformalapú munkavégzést szabályozó törvény hatálybalépése</w:t>
            </w:r>
          </w:p>
        </w:tc>
        <w:tc>
          <w:tcPr>
            <w:tcW w:w="1275" w:type="dxa"/>
            <w:shd w:val="clear" w:color="auto" w:fill="C4EFCE"/>
            <w:noWrap/>
            <w:vAlign w:val="center"/>
            <w:hideMark/>
          </w:tcPr>
          <w:p w14:paraId="5201FB9F" w14:textId="77777777" w:rsidR="00DC5EC6" w:rsidRDefault="003245A4">
            <w:pPr>
              <w:pStyle w:val="P68B1DB1-Normal8"/>
              <w:spacing w:after="0" w:line="240" w:lineRule="auto"/>
              <w:jc w:val="center"/>
              <w:rPr>
                <w:rFonts w:eastAsia="Times New Roman" w:cs="Calibri"/>
                <w:noProof/>
              </w:rPr>
            </w:pPr>
            <w:r>
              <w:rPr>
                <w:noProof/>
              </w:rPr>
              <w:t>A platformalapú munkavégzést szabályozó törvény hatálybalépése</w:t>
            </w:r>
          </w:p>
        </w:tc>
        <w:tc>
          <w:tcPr>
            <w:tcW w:w="993" w:type="dxa"/>
            <w:shd w:val="clear" w:color="auto" w:fill="C4EFCE"/>
            <w:noWrap/>
            <w:vAlign w:val="center"/>
            <w:hideMark/>
          </w:tcPr>
          <w:p w14:paraId="311ED5B5"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06F95D85"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78565D9"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3A107F4" w14:textId="4049141F" w:rsidR="00DC5EC6" w:rsidRDefault="00FC5CD5">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3BAF87B" w14:textId="77777777" w:rsidR="00DC5EC6" w:rsidRDefault="003245A4">
            <w:pPr>
              <w:pStyle w:val="P68B1DB1-Normal8"/>
              <w:spacing w:after="0" w:line="240" w:lineRule="auto"/>
              <w:jc w:val="center"/>
              <w:rPr>
                <w:rFonts w:eastAsia="Times New Roman" w:cs="Calibri"/>
                <w:noProof/>
              </w:rPr>
            </w:pPr>
            <w:r>
              <w:rPr>
                <w:noProof/>
              </w:rPr>
              <w:t>2023</w:t>
            </w:r>
          </w:p>
        </w:tc>
        <w:tc>
          <w:tcPr>
            <w:tcW w:w="4395" w:type="dxa"/>
            <w:shd w:val="clear" w:color="auto" w:fill="C4EFCE"/>
            <w:vAlign w:val="center"/>
            <w:hideMark/>
          </w:tcPr>
          <w:p w14:paraId="06DB3C30" w14:textId="77777777" w:rsidR="00DC5EC6" w:rsidRDefault="003245A4">
            <w:pPr>
              <w:pStyle w:val="P68B1DB1-Normal8"/>
              <w:spacing w:after="0" w:line="240" w:lineRule="auto"/>
              <w:jc w:val="both"/>
              <w:rPr>
                <w:rFonts w:eastAsia="Times New Roman" w:cs="Calibri"/>
                <w:noProof/>
              </w:rPr>
            </w:pPr>
            <w:r>
              <w:rPr>
                <w:noProof/>
              </w:rPr>
              <w:t xml:space="preserve">A platformalapú munkavégzés szabályozásáról szóló törvény hatálybalépése az atipikus munkaügyi kapcsolatok által teremtett új kihívások kezelése érdekében, a szociális jogok európai pillérének elveivel összhangban. Célja a munkaügyi kapcsolatok és a jogokhoz való hozzáférés megerősítése </w:t>
            </w:r>
          </w:p>
        </w:tc>
      </w:tr>
      <w:tr w:rsidR="00FC5CD5" w14:paraId="673F5EE3" w14:textId="77777777">
        <w:trPr>
          <w:trHeight w:val="640"/>
        </w:trPr>
        <w:tc>
          <w:tcPr>
            <w:tcW w:w="1135" w:type="dxa"/>
            <w:shd w:val="clear" w:color="auto" w:fill="C5EFCE"/>
            <w:vAlign w:val="center"/>
            <w:hideMark/>
          </w:tcPr>
          <w:p w14:paraId="64E9A71C" w14:textId="77777777" w:rsidR="00FC5CD5" w:rsidRDefault="00FC5CD5" w:rsidP="00FC5CD5">
            <w:pPr>
              <w:pStyle w:val="P68B1DB1-Normal7"/>
              <w:spacing w:after="0" w:line="240" w:lineRule="auto"/>
              <w:jc w:val="center"/>
              <w:rPr>
                <w:rFonts w:eastAsia="Times New Roman" w:cs="Calibri"/>
                <w:noProof/>
              </w:rPr>
            </w:pPr>
            <w:r>
              <w:rPr>
                <w:noProof/>
              </w:rPr>
              <w:t>6.17</w:t>
            </w:r>
          </w:p>
        </w:tc>
        <w:tc>
          <w:tcPr>
            <w:tcW w:w="1276" w:type="dxa"/>
            <w:shd w:val="clear" w:color="auto" w:fill="C4EFCE"/>
            <w:noWrap/>
            <w:vAlign w:val="center"/>
            <w:hideMark/>
          </w:tcPr>
          <w:p w14:paraId="72BCDBDF" w14:textId="77777777" w:rsidR="00FC5CD5" w:rsidRDefault="00FC5CD5" w:rsidP="00FC5CD5">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524C0022"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8ADF796" w14:textId="77777777" w:rsidR="00FC5CD5" w:rsidRDefault="00FC5CD5" w:rsidP="00FC5CD5">
            <w:pPr>
              <w:pStyle w:val="P68B1DB1-Normal8"/>
              <w:spacing w:after="0" w:line="240" w:lineRule="auto"/>
              <w:jc w:val="center"/>
              <w:rPr>
                <w:rFonts w:eastAsia="Times New Roman" w:cs="Calibri"/>
                <w:noProof/>
              </w:rPr>
            </w:pPr>
            <w:r>
              <w:rPr>
                <w:noProof/>
              </w:rPr>
              <w:t xml:space="preserve">Az egyenlő díjazást kezelő rendszerre vonatkozó portugál norma létrehozása. </w:t>
            </w:r>
          </w:p>
        </w:tc>
        <w:tc>
          <w:tcPr>
            <w:tcW w:w="1275" w:type="dxa"/>
            <w:shd w:val="clear" w:color="auto" w:fill="C4EFCE"/>
            <w:noWrap/>
            <w:vAlign w:val="center"/>
            <w:hideMark/>
          </w:tcPr>
          <w:p w14:paraId="55000A29" w14:textId="77777777" w:rsidR="00FC5CD5" w:rsidRDefault="00FC5CD5" w:rsidP="00FC5CD5">
            <w:pPr>
              <w:pStyle w:val="P68B1DB1-Normal8"/>
              <w:spacing w:after="0" w:line="240" w:lineRule="auto"/>
              <w:jc w:val="center"/>
              <w:rPr>
                <w:rFonts w:eastAsia="Times New Roman" w:cs="Calibri"/>
                <w:noProof/>
              </w:rPr>
            </w:pPr>
            <w:r>
              <w:rPr>
                <w:noProof/>
              </w:rPr>
              <w:t>A norma közzététele</w:t>
            </w:r>
          </w:p>
        </w:tc>
        <w:tc>
          <w:tcPr>
            <w:tcW w:w="993" w:type="dxa"/>
            <w:shd w:val="clear" w:color="auto" w:fill="C4EFCE"/>
            <w:noWrap/>
            <w:vAlign w:val="center"/>
            <w:hideMark/>
          </w:tcPr>
          <w:p w14:paraId="7D92AA79"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EA2CD27"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46A55245"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F51F9B5" w14:textId="6AE56BC8"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6E56A06" w14:textId="77777777" w:rsidR="00FC5CD5" w:rsidRDefault="00FC5CD5" w:rsidP="00FC5CD5">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7A2136C7" w14:textId="77777777" w:rsidR="00FC5CD5" w:rsidRDefault="00FC5CD5" w:rsidP="00FC5CD5">
            <w:pPr>
              <w:pStyle w:val="P68B1DB1-Normal8"/>
              <w:spacing w:after="0" w:line="240" w:lineRule="auto"/>
              <w:jc w:val="both"/>
              <w:rPr>
                <w:rFonts w:eastAsia="Times New Roman" w:cs="Calibri"/>
                <w:noProof/>
              </w:rPr>
            </w:pPr>
            <w:r>
              <w:rPr>
                <w:noProof/>
              </w:rPr>
              <w:t>A norma az izlandi ÍST 85. normán alapuló önkéntes rendszer: 2012 az egyenlő díjazásra vonatkozó politikákat ténylegesen végrehajtó cégek nyilvános elismerése. Igazolásokat kell kiállítani annak megerősítésére, hogy a bérekkel kapcsolatos döntések teljes mértékben a vonatkozó megfontolásokon alapulnak.</w:t>
            </w:r>
          </w:p>
        </w:tc>
      </w:tr>
      <w:tr w:rsidR="00FC5CD5" w14:paraId="3DEAC6EC" w14:textId="77777777">
        <w:trPr>
          <w:trHeight w:val="640"/>
        </w:trPr>
        <w:tc>
          <w:tcPr>
            <w:tcW w:w="1135" w:type="dxa"/>
            <w:shd w:val="clear" w:color="auto" w:fill="C5EFCE"/>
            <w:vAlign w:val="center"/>
            <w:hideMark/>
          </w:tcPr>
          <w:p w14:paraId="05280834" w14:textId="77777777" w:rsidR="00FC5CD5" w:rsidRDefault="00FC5CD5" w:rsidP="00FC5CD5">
            <w:pPr>
              <w:pStyle w:val="P68B1DB1-Normal7"/>
              <w:spacing w:after="0" w:line="240" w:lineRule="auto"/>
              <w:jc w:val="center"/>
              <w:rPr>
                <w:rFonts w:eastAsia="Times New Roman" w:cs="Calibri"/>
                <w:noProof/>
              </w:rPr>
            </w:pPr>
            <w:r>
              <w:rPr>
                <w:noProof/>
              </w:rPr>
              <w:t>6.18</w:t>
            </w:r>
          </w:p>
        </w:tc>
        <w:tc>
          <w:tcPr>
            <w:tcW w:w="1276" w:type="dxa"/>
            <w:shd w:val="clear" w:color="auto" w:fill="C4EFCE"/>
            <w:noWrap/>
            <w:vAlign w:val="center"/>
            <w:hideMark/>
          </w:tcPr>
          <w:p w14:paraId="6BCF6F48" w14:textId="77777777" w:rsidR="00FC5CD5" w:rsidRDefault="00FC5CD5" w:rsidP="00FC5CD5">
            <w:pPr>
              <w:pStyle w:val="P68B1DB1-Normal8"/>
              <w:spacing w:after="0" w:line="240" w:lineRule="auto"/>
              <w:jc w:val="center"/>
              <w:rPr>
                <w:rFonts w:eastAsia="Times New Roman" w:cs="Calibri"/>
                <w:noProof/>
              </w:rPr>
            </w:pPr>
            <w:r>
              <w:rPr>
                <w:noProof/>
              </w:rPr>
              <w:t>Re-C06-r18</w:t>
            </w:r>
          </w:p>
        </w:tc>
        <w:tc>
          <w:tcPr>
            <w:tcW w:w="1134" w:type="dxa"/>
            <w:shd w:val="clear" w:color="auto" w:fill="C4EFCE"/>
            <w:noWrap/>
            <w:vAlign w:val="center"/>
            <w:hideMark/>
          </w:tcPr>
          <w:p w14:paraId="0FED066F" w14:textId="77777777" w:rsidR="00FC5CD5" w:rsidRDefault="00FC5CD5" w:rsidP="00FC5CD5">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31C8BBF" w14:textId="77777777" w:rsidR="00FC5CD5" w:rsidRDefault="00FC5CD5" w:rsidP="00FC5CD5">
            <w:pPr>
              <w:pStyle w:val="P68B1DB1-Normal8"/>
              <w:spacing w:after="0" w:line="240" w:lineRule="auto"/>
              <w:jc w:val="center"/>
              <w:rPr>
                <w:rFonts w:eastAsia="Times New Roman" w:cs="Calibri"/>
                <w:noProof/>
              </w:rPr>
            </w:pPr>
            <w:r>
              <w:rPr>
                <w:noProof/>
              </w:rPr>
              <w:t>A több mint 50 munkavállalót foglalkoztató, a nemek közötti jelentős bérkülönbséget mutató vállalatok bejelentése</w:t>
            </w:r>
          </w:p>
        </w:tc>
        <w:tc>
          <w:tcPr>
            <w:tcW w:w="1275" w:type="dxa"/>
            <w:shd w:val="clear" w:color="auto" w:fill="C4EFCE"/>
            <w:noWrap/>
            <w:vAlign w:val="center"/>
            <w:hideMark/>
          </w:tcPr>
          <w:p w14:paraId="4929D370" w14:textId="77777777" w:rsidR="00FC5CD5" w:rsidRDefault="00FC5CD5" w:rsidP="00FC5CD5">
            <w:pPr>
              <w:pStyle w:val="P68B1DB1-Normal8"/>
              <w:spacing w:after="0" w:line="240" w:lineRule="auto"/>
              <w:jc w:val="center"/>
              <w:rPr>
                <w:rFonts w:eastAsia="Times New Roman" w:cs="Calibri"/>
                <w:noProof/>
              </w:rPr>
            </w:pPr>
            <w:r>
              <w:rPr>
                <w:noProof/>
              </w:rPr>
              <w:t>A több mint 50 munkavállalót foglalkoztató, a nemek közötti jelentős bérkülönbséget mutató vállalatok bejelentése</w:t>
            </w:r>
          </w:p>
        </w:tc>
        <w:tc>
          <w:tcPr>
            <w:tcW w:w="993" w:type="dxa"/>
            <w:shd w:val="clear" w:color="auto" w:fill="C4EFCE"/>
            <w:noWrap/>
            <w:vAlign w:val="center"/>
            <w:hideMark/>
          </w:tcPr>
          <w:p w14:paraId="64A13A3D"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8442C1A"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0A5C912E" w14:textId="77777777" w:rsidR="00FC5CD5" w:rsidRDefault="00FC5CD5" w:rsidP="00FC5CD5">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1C3A39E0" w14:textId="7FE55678" w:rsidR="00FC5CD5" w:rsidRDefault="00FC5CD5" w:rsidP="00FC5CD5">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0CB07A4" w14:textId="77777777" w:rsidR="00FC5CD5" w:rsidRDefault="00FC5CD5" w:rsidP="00FC5CD5">
            <w:pPr>
              <w:pStyle w:val="P68B1DB1-Normal8"/>
              <w:spacing w:after="0" w:line="240" w:lineRule="auto"/>
              <w:jc w:val="center"/>
              <w:rPr>
                <w:rFonts w:eastAsia="Times New Roman" w:cs="Calibri"/>
                <w:noProof/>
              </w:rPr>
            </w:pPr>
            <w:r>
              <w:rPr>
                <w:noProof/>
              </w:rPr>
              <w:t>2024</w:t>
            </w:r>
          </w:p>
        </w:tc>
        <w:tc>
          <w:tcPr>
            <w:tcW w:w="4395" w:type="dxa"/>
            <w:shd w:val="clear" w:color="auto" w:fill="C4EFCE"/>
            <w:vAlign w:val="center"/>
            <w:hideMark/>
          </w:tcPr>
          <w:p w14:paraId="07F0DA13" w14:textId="77777777" w:rsidR="00FC5CD5" w:rsidRDefault="00FC5CD5" w:rsidP="00FC5CD5">
            <w:pPr>
              <w:pStyle w:val="P68B1DB1-Normal8"/>
              <w:spacing w:after="0" w:line="240" w:lineRule="auto"/>
              <w:jc w:val="both"/>
              <w:rPr>
                <w:rFonts w:eastAsia="Times New Roman" w:cs="Calibri"/>
                <w:noProof/>
              </w:rPr>
            </w:pPr>
            <w:r>
              <w:rPr>
                <w:noProof/>
              </w:rPr>
              <w:t>A nemek közötti bérkülönbségeknek a cselekvési terv végrehajtása révén a Munkaügyi Felügyeleti Igazgatósághoz történő benyújtására vonatkozó kötelezettség bejelentése azon kötelezettségükről, hogy a nemek közötti bérkülönbségek kezelése érdekében cselekvési tervet kell benyújtaniuk a munkaügyi felügyelőség igazgatóságához</w:t>
            </w:r>
          </w:p>
        </w:tc>
      </w:tr>
      <w:tr w:rsidR="00DC5EC6" w14:paraId="7D8D557E" w14:textId="77777777">
        <w:trPr>
          <w:trHeight w:val="273"/>
        </w:trPr>
        <w:tc>
          <w:tcPr>
            <w:tcW w:w="1135" w:type="dxa"/>
            <w:shd w:val="clear" w:color="auto" w:fill="C5EFCE"/>
            <w:vAlign w:val="center"/>
          </w:tcPr>
          <w:p w14:paraId="6DB0713C" w14:textId="52D6D02F" w:rsidR="00DC5EC6" w:rsidRDefault="003245A4">
            <w:pPr>
              <w:pStyle w:val="P68B1DB1-Normal11"/>
              <w:spacing w:after="0" w:line="240" w:lineRule="auto"/>
              <w:jc w:val="center"/>
              <w:rPr>
                <w:rFonts w:eastAsia="Times New Roman"/>
                <w:noProof/>
              </w:rPr>
            </w:pPr>
            <w:r>
              <w:rPr>
                <w:noProof/>
              </w:rPr>
              <w:t>6.19</w:t>
            </w:r>
          </w:p>
        </w:tc>
        <w:tc>
          <w:tcPr>
            <w:tcW w:w="1276" w:type="dxa"/>
            <w:shd w:val="clear" w:color="auto" w:fill="C4EFCE"/>
            <w:noWrap/>
            <w:vAlign w:val="center"/>
          </w:tcPr>
          <w:p w14:paraId="24F4FD24" w14:textId="15FD8AA5" w:rsidR="00DC5EC6" w:rsidRDefault="003245A4">
            <w:pPr>
              <w:pStyle w:val="P68B1DB1-Normal12"/>
              <w:spacing w:after="0" w:line="240" w:lineRule="auto"/>
              <w:jc w:val="center"/>
              <w:rPr>
                <w:rFonts w:eastAsia="Times New Roman" w:cstheme="minorHAnsi"/>
                <w:noProof/>
              </w:rPr>
            </w:pPr>
            <w:r>
              <w:rPr>
                <w:noProof/>
              </w:rPr>
              <w:t>Újra-C06–i06</w:t>
            </w:r>
          </w:p>
        </w:tc>
        <w:tc>
          <w:tcPr>
            <w:tcW w:w="1134" w:type="dxa"/>
            <w:shd w:val="clear" w:color="auto" w:fill="C4EFCE"/>
            <w:noWrap/>
            <w:vAlign w:val="center"/>
          </w:tcPr>
          <w:p w14:paraId="65A01FAC" w14:textId="3ABCA12D"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AEC0245" w14:textId="6EE157E7" w:rsidR="00DC5EC6" w:rsidRDefault="003245A4">
            <w:pPr>
              <w:pStyle w:val="P68B1DB1-Bodytext1013"/>
              <w:jc w:val="center"/>
              <w:rPr>
                <w:rFonts w:cstheme="minorBidi"/>
                <w:noProof/>
              </w:rPr>
            </w:pPr>
            <w:r>
              <w:rPr>
                <w:noProof/>
              </w:rPr>
              <w:t>A PhD-kutatókkal kötött határozatlan idejű szerződések támogatása az FCT-Tenure keretében és a kutatók támogatása az EKT Portugália keretében</w:t>
            </w:r>
          </w:p>
        </w:tc>
        <w:tc>
          <w:tcPr>
            <w:tcW w:w="1275" w:type="dxa"/>
            <w:shd w:val="clear" w:color="auto" w:fill="C4EFCE"/>
            <w:noWrap/>
            <w:vAlign w:val="center"/>
          </w:tcPr>
          <w:p w14:paraId="5B1FE369"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716424E2" w14:textId="6461DA4A" w:rsidR="00DC5EC6" w:rsidRDefault="003245A4">
            <w:pPr>
              <w:pStyle w:val="P68B1DB1-Normal12"/>
              <w:spacing w:after="0" w:line="240" w:lineRule="auto"/>
              <w:jc w:val="center"/>
              <w:rPr>
                <w:rFonts w:eastAsia="Times New Roman" w:cstheme="minorHAnsi"/>
                <w:noProof/>
              </w:rPr>
            </w:pPr>
            <w:r>
              <w:rPr>
                <w:noProof/>
              </w:rPr>
              <w:t>Szerződések száma</w:t>
            </w:r>
          </w:p>
        </w:tc>
        <w:tc>
          <w:tcPr>
            <w:tcW w:w="992" w:type="dxa"/>
            <w:shd w:val="clear" w:color="auto" w:fill="C4EFCE"/>
            <w:noWrap/>
            <w:vAlign w:val="center"/>
          </w:tcPr>
          <w:p w14:paraId="29E7E7F7" w14:textId="77777777" w:rsidR="00DC5EC6" w:rsidRDefault="00DC5EC6">
            <w:pPr>
              <w:spacing w:after="0" w:line="240" w:lineRule="auto"/>
              <w:jc w:val="center"/>
              <w:rPr>
                <w:rFonts w:eastAsia="Times New Roman" w:cstheme="minorHAnsi"/>
                <w:noProof/>
                <w:sz w:val="16"/>
              </w:rPr>
            </w:pPr>
          </w:p>
        </w:tc>
        <w:tc>
          <w:tcPr>
            <w:tcW w:w="850" w:type="dxa"/>
            <w:shd w:val="clear" w:color="auto" w:fill="C4EFCE"/>
            <w:noWrap/>
            <w:vAlign w:val="center"/>
          </w:tcPr>
          <w:p w14:paraId="40BABDEE" w14:textId="58953BB8" w:rsidR="00DC5EC6" w:rsidRDefault="003245A4">
            <w:pPr>
              <w:pStyle w:val="P68B1DB1-Normal12"/>
              <w:spacing w:after="0" w:line="240" w:lineRule="auto"/>
              <w:jc w:val="center"/>
              <w:rPr>
                <w:noProof/>
              </w:rPr>
            </w:pPr>
            <w:r>
              <w:rPr>
                <w:noProof/>
              </w:rPr>
              <w:t>255</w:t>
            </w:r>
          </w:p>
        </w:tc>
        <w:tc>
          <w:tcPr>
            <w:tcW w:w="567" w:type="dxa"/>
            <w:shd w:val="clear" w:color="auto" w:fill="C4EFCE"/>
            <w:noWrap/>
            <w:vAlign w:val="center"/>
          </w:tcPr>
          <w:p w14:paraId="57152D13" w14:textId="70FB7E5C" w:rsidR="00DC5EC6" w:rsidRDefault="00FC5CD5">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626F1508" w14:textId="403213AC" w:rsidR="00DC5EC6" w:rsidRDefault="003245A4">
            <w:pPr>
              <w:pStyle w:val="P68B1DB1-Normal12"/>
              <w:spacing w:after="0" w:line="240" w:lineRule="auto"/>
              <w:jc w:val="center"/>
              <w:rPr>
                <w:rFonts w:eastAsia="Times New Roman" w:cstheme="minorHAnsi"/>
                <w:noProof/>
              </w:rPr>
            </w:pPr>
            <w:r>
              <w:rPr>
                <w:noProof/>
              </w:rPr>
              <w:t>2026</w:t>
            </w:r>
          </w:p>
        </w:tc>
        <w:tc>
          <w:tcPr>
            <w:tcW w:w="4395" w:type="dxa"/>
            <w:shd w:val="clear" w:color="auto" w:fill="C4EFCE"/>
          </w:tcPr>
          <w:p w14:paraId="3EEEBBB2" w14:textId="4A4F68FE" w:rsidR="00DC5EC6" w:rsidRDefault="003245A4">
            <w:pPr>
              <w:pStyle w:val="P68B1DB1-Bodytext1013"/>
              <w:spacing w:after="0" w:line="240" w:lineRule="auto"/>
              <w:jc w:val="both"/>
              <w:rPr>
                <w:rFonts w:cstheme="minorBidi"/>
                <w:noProof/>
              </w:rPr>
            </w:pPr>
            <w:r>
              <w:rPr>
                <w:noProof/>
              </w:rPr>
              <w:t>230 határozatlan idejű szerződést kell aláírni a versenyvizsgákon kiválasztott PhD-kutatókkal.</w:t>
            </w:r>
          </w:p>
          <w:p w14:paraId="5A86B9A8" w14:textId="3357027D" w:rsidR="00DC5EC6" w:rsidRDefault="003245A4">
            <w:pPr>
              <w:pStyle w:val="P68B1DB1-Bodytext1013"/>
              <w:spacing w:after="0" w:line="240" w:lineRule="auto"/>
              <w:jc w:val="both"/>
              <w:rPr>
                <w:rFonts w:cstheme="minorBidi"/>
                <w:noProof/>
              </w:rPr>
            </w:pPr>
            <w:r>
              <w:rPr>
                <w:noProof/>
              </w:rPr>
              <w:t>25 szerződést kell aláírni olyan kutatókkal, akiknek a projektjei európai vagy nemzeti szintű finanszírozásra ajánlottak, valamint azok a kutatók, akiknek az EKT pályázatát javasolták finanszírozásra, vagy akiknek pályázatát javasolták finanszírozásra, de végül nem finanszírozták.</w:t>
            </w:r>
          </w:p>
        </w:tc>
      </w:tr>
      <w:tr w:rsidR="00DC5EC6" w14:paraId="6C354C45" w14:textId="77777777">
        <w:trPr>
          <w:trHeight w:val="640"/>
        </w:trPr>
        <w:tc>
          <w:tcPr>
            <w:tcW w:w="1135" w:type="dxa"/>
            <w:shd w:val="clear" w:color="auto" w:fill="C5EFCE"/>
            <w:vAlign w:val="center"/>
          </w:tcPr>
          <w:p w14:paraId="3122B51F" w14:textId="63A658E0" w:rsidR="00DC5EC6" w:rsidRDefault="003245A4">
            <w:pPr>
              <w:pStyle w:val="P68B1DB1-Normal11"/>
              <w:spacing w:after="0" w:line="240" w:lineRule="auto"/>
              <w:jc w:val="center"/>
              <w:rPr>
                <w:rFonts w:eastAsia="Times New Roman"/>
                <w:noProof/>
              </w:rPr>
            </w:pPr>
            <w:r>
              <w:rPr>
                <w:noProof/>
              </w:rPr>
              <w:t>6.20</w:t>
            </w:r>
          </w:p>
        </w:tc>
        <w:tc>
          <w:tcPr>
            <w:tcW w:w="1276" w:type="dxa"/>
            <w:shd w:val="clear" w:color="auto" w:fill="C4EFCE"/>
            <w:noWrap/>
            <w:vAlign w:val="center"/>
          </w:tcPr>
          <w:p w14:paraId="1B8B3816" w14:textId="7564BF5E" w:rsidR="00DC5EC6" w:rsidRDefault="003245A4">
            <w:pPr>
              <w:pStyle w:val="P68B1DB1-Normal12"/>
              <w:spacing w:after="0" w:line="240" w:lineRule="auto"/>
              <w:jc w:val="center"/>
              <w:rPr>
                <w:rFonts w:eastAsia="Times New Roman" w:cstheme="minorHAnsi"/>
                <w:noProof/>
              </w:rPr>
            </w:pPr>
            <w:r>
              <w:rPr>
                <w:noProof/>
              </w:rPr>
              <w:t>Újra-C06–i06</w:t>
            </w:r>
          </w:p>
        </w:tc>
        <w:tc>
          <w:tcPr>
            <w:tcW w:w="1134" w:type="dxa"/>
            <w:shd w:val="clear" w:color="auto" w:fill="C4EFCE"/>
            <w:noWrap/>
            <w:vAlign w:val="center"/>
          </w:tcPr>
          <w:p w14:paraId="46F364F4" w14:textId="76B61AEE"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274D0FE" w14:textId="05A036E6" w:rsidR="00DC5EC6" w:rsidRDefault="003245A4">
            <w:pPr>
              <w:pStyle w:val="P68B1DB1-Normal12"/>
              <w:spacing w:after="0" w:line="240" w:lineRule="auto"/>
              <w:jc w:val="center"/>
              <w:rPr>
                <w:rFonts w:eastAsia="Times New Roman" w:cstheme="minorHAnsi"/>
                <w:noProof/>
              </w:rPr>
            </w:pPr>
            <w:r>
              <w:rPr>
                <w:noProof/>
              </w:rPr>
              <w:t>Nemzetközi tudományos, technológiai és innovációs partnerségek: Támogatott nemzetközi partnerségek; Támogatott K+I projektek; Támogatott nemzetközi mobilitás</w:t>
            </w:r>
          </w:p>
        </w:tc>
        <w:tc>
          <w:tcPr>
            <w:tcW w:w="1275" w:type="dxa"/>
            <w:shd w:val="clear" w:color="auto" w:fill="C4EFCE"/>
            <w:noWrap/>
            <w:vAlign w:val="center"/>
          </w:tcPr>
          <w:p w14:paraId="56824669" w14:textId="4A80532A" w:rsidR="00DC5EC6" w:rsidRDefault="003245A4">
            <w:pPr>
              <w:pStyle w:val="P68B1DB1-Normal12"/>
              <w:spacing w:after="0" w:line="240" w:lineRule="auto"/>
              <w:jc w:val="center"/>
              <w:rPr>
                <w:rFonts w:eastAsia="Times New Roman"/>
                <w:noProof/>
              </w:rPr>
            </w:pPr>
            <w:r>
              <w:rPr>
                <w:noProof/>
              </w:rPr>
              <w:t>Nemzetközi tudományos, technológiai és innovációs partnerségek: Támogatott nemzetközi partnerségek; Támogatott K+I projektek; Támogatott nemzetközi mobilitás</w:t>
            </w:r>
          </w:p>
        </w:tc>
        <w:tc>
          <w:tcPr>
            <w:tcW w:w="993" w:type="dxa"/>
            <w:shd w:val="clear" w:color="auto" w:fill="C4EFCE"/>
            <w:noWrap/>
            <w:vAlign w:val="center"/>
          </w:tcPr>
          <w:p w14:paraId="5ED41571" w14:textId="1AF5D95C" w:rsidR="00DC5EC6" w:rsidRDefault="00DC5EC6">
            <w:pPr>
              <w:spacing w:after="0" w:line="240" w:lineRule="auto"/>
              <w:jc w:val="center"/>
              <w:rPr>
                <w:noProof/>
                <w:sz w:val="16"/>
              </w:rPr>
            </w:pPr>
          </w:p>
        </w:tc>
        <w:tc>
          <w:tcPr>
            <w:tcW w:w="992" w:type="dxa"/>
            <w:shd w:val="clear" w:color="auto" w:fill="C4EFCE"/>
            <w:noWrap/>
            <w:vAlign w:val="center"/>
          </w:tcPr>
          <w:p w14:paraId="09478518" w14:textId="77777777" w:rsidR="00DC5EC6" w:rsidRDefault="00DC5EC6">
            <w:pPr>
              <w:spacing w:after="0" w:line="240" w:lineRule="auto"/>
              <w:jc w:val="center"/>
              <w:rPr>
                <w:rFonts w:eastAsia="Times New Roman" w:cstheme="minorHAnsi"/>
                <w:noProof/>
                <w:sz w:val="16"/>
              </w:rPr>
            </w:pPr>
          </w:p>
        </w:tc>
        <w:tc>
          <w:tcPr>
            <w:tcW w:w="850" w:type="dxa"/>
            <w:shd w:val="clear" w:color="auto" w:fill="C4EFCE"/>
            <w:noWrap/>
            <w:vAlign w:val="center"/>
          </w:tcPr>
          <w:p w14:paraId="17C9928F"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B082B34" w14:textId="4D4C4BAC" w:rsidR="00DC5EC6" w:rsidRDefault="00FC5CD5">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736E26A8" w14:textId="3DBDCE66" w:rsidR="00DC5EC6" w:rsidRDefault="003245A4">
            <w:pPr>
              <w:pStyle w:val="P68B1DB1-Normal12"/>
              <w:spacing w:after="0" w:line="240" w:lineRule="auto"/>
              <w:jc w:val="center"/>
              <w:rPr>
                <w:rFonts w:eastAsia="Times New Roman" w:cstheme="minorHAnsi"/>
                <w:noProof/>
              </w:rPr>
            </w:pPr>
            <w:r>
              <w:rPr>
                <w:noProof/>
              </w:rPr>
              <w:t>2026</w:t>
            </w:r>
          </w:p>
        </w:tc>
        <w:tc>
          <w:tcPr>
            <w:tcW w:w="4395" w:type="dxa"/>
            <w:shd w:val="clear" w:color="auto" w:fill="C4EFCE"/>
            <w:vAlign w:val="center"/>
          </w:tcPr>
          <w:p w14:paraId="35A3F479" w14:textId="7E0BEAF8" w:rsidR="00DC5EC6" w:rsidRDefault="003245A4">
            <w:pPr>
              <w:pStyle w:val="P68B1DB1-Bodytext1013"/>
              <w:spacing w:after="0" w:line="240" w:lineRule="auto"/>
              <w:jc w:val="both"/>
              <w:rPr>
                <w:rFonts w:cstheme="minorBidi"/>
                <w:noProof/>
              </w:rPr>
            </w:pPr>
            <w:r>
              <w:rPr>
                <w:noProof/>
              </w:rPr>
              <w:t>Hat szerződést kell aláírni a nemzetközi tudományos, technológiai és innovációs partnerségekről a fogadó nemzeti intézményekkel.</w:t>
            </w:r>
          </w:p>
          <w:p w14:paraId="1570EE45" w14:textId="77777777" w:rsidR="00DC5EC6" w:rsidRDefault="00DC5EC6">
            <w:pPr>
              <w:pStyle w:val="Bodytext10"/>
              <w:spacing w:after="0" w:line="240" w:lineRule="auto"/>
              <w:jc w:val="both"/>
              <w:rPr>
                <w:rFonts w:asciiTheme="minorHAnsi" w:hAnsiTheme="minorHAnsi" w:cstheme="minorBidi"/>
                <w:noProof/>
                <w:sz w:val="16"/>
              </w:rPr>
            </w:pPr>
          </w:p>
          <w:p w14:paraId="6DE6A27E" w14:textId="4F262688" w:rsidR="00DC5EC6" w:rsidRDefault="003245A4">
            <w:pPr>
              <w:pStyle w:val="P68B1DB1-Bodytext1013"/>
              <w:spacing w:after="0" w:line="240" w:lineRule="auto"/>
              <w:jc w:val="both"/>
              <w:rPr>
                <w:rFonts w:cstheme="minorBidi"/>
                <w:noProof/>
              </w:rPr>
            </w:pPr>
            <w:r>
              <w:rPr>
                <w:noProof/>
              </w:rPr>
              <w:t>30, nemzeti részvétellel működő, európai szinten kiválasztott projektet, szövetséget és infrastruktúrát kell támogatni.</w:t>
            </w:r>
          </w:p>
          <w:p w14:paraId="63CDE0C8" w14:textId="71BFC2F0" w:rsidR="00DC5EC6" w:rsidRDefault="003245A4">
            <w:pPr>
              <w:pStyle w:val="P68B1DB1-Bodytext1013"/>
              <w:spacing w:after="0" w:line="240" w:lineRule="auto"/>
              <w:jc w:val="both"/>
              <w:rPr>
                <w:rFonts w:cstheme="minorBidi"/>
                <w:noProof/>
              </w:rPr>
            </w:pPr>
            <w:r>
              <w:rPr>
                <w:noProof/>
              </w:rPr>
              <w:t>100 nemzeti kutató és tanár nemzetközi mobilitását támogatni kell.</w:t>
            </w:r>
          </w:p>
        </w:tc>
      </w:tr>
      <w:tr w:rsidR="00DC5EC6" w14:paraId="66721075" w14:textId="77777777">
        <w:trPr>
          <w:trHeight w:val="640"/>
        </w:trPr>
        <w:tc>
          <w:tcPr>
            <w:tcW w:w="1135" w:type="dxa"/>
            <w:shd w:val="clear" w:color="auto" w:fill="C5EFCE"/>
            <w:vAlign w:val="center"/>
          </w:tcPr>
          <w:p w14:paraId="48CD17D8" w14:textId="27C11524" w:rsidR="00DC5EC6" w:rsidRDefault="003245A4">
            <w:pPr>
              <w:pStyle w:val="P68B1DB1-Normal11"/>
              <w:spacing w:after="0" w:line="240" w:lineRule="auto"/>
              <w:jc w:val="center"/>
              <w:rPr>
                <w:noProof/>
              </w:rPr>
            </w:pPr>
            <w:r>
              <w:rPr>
                <w:noProof/>
              </w:rPr>
              <w:t>6.21</w:t>
            </w:r>
          </w:p>
        </w:tc>
        <w:tc>
          <w:tcPr>
            <w:tcW w:w="1276" w:type="dxa"/>
            <w:shd w:val="clear" w:color="auto" w:fill="C4EFCE"/>
            <w:noWrap/>
            <w:vAlign w:val="center"/>
          </w:tcPr>
          <w:p w14:paraId="7F188F7C" w14:textId="66E53AF2" w:rsidR="00DC5EC6" w:rsidRDefault="003245A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C4575F7" w14:textId="03133D2B"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FCB708D" w14:textId="3B3E8E18" w:rsidR="00DC5EC6" w:rsidRDefault="003245A4">
            <w:pPr>
              <w:pStyle w:val="P68B1DB1-Normal12"/>
              <w:spacing w:after="0" w:line="240" w:lineRule="auto"/>
              <w:jc w:val="center"/>
              <w:rPr>
                <w:noProof/>
              </w:rPr>
            </w:pPr>
            <w:r>
              <w:rPr>
                <w:noProof/>
              </w:rPr>
              <w:t xml:space="preserve">Az agrártudományok technológiai és digitális korszerűsítése: Az agrártudományok tantervi reformja, a mezőgazdasági iskolák megnyitása a középiskolás diákok előtt és a szakemberek átképzése  </w:t>
            </w:r>
          </w:p>
        </w:tc>
        <w:tc>
          <w:tcPr>
            <w:tcW w:w="1275" w:type="dxa"/>
            <w:shd w:val="clear" w:color="auto" w:fill="C4EFCE"/>
            <w:noWrap/>
            <w:vAlign w:val="center"/>
          </w:tcPr>
          <w:p w14:paraId="7AA9B9BF" w14:textId="42CE9F74" w:rsidR="00DC5EC6" w:rsidRDefault="00DC5EC6">
            <w:pPr>
              <w:spacing w:after="0" w:line="240" w:lineRule="auto"/>
              <w:jc w:val="center"/>
              <w:rPr>
                <w:noProof/>
                <w:sz w:val="16"/>
              </w:rPr>
            </w:pPr>
          </w:p>
        </w:tc>
        <w:tc>
          <w:tcPr>
            <w:tcW w:w="993" w:type="dxa"/>
            <w:shd w:val="clear" w:color="auto" w:fill="C4EFCE"/>
            <w:noWrap/>
            <w:vAlign w:val="center"/>
          </w:tcPr>
          <w:p w14:paraId="5C47BD23" w14:textId="71BE01C2" w:rsidR="00DC5EC6" w:rsidRDefault="003245A4">
            <w:pPr>
              <w:pStyle w:val="P68B1DB1-Normal12"/>
              <w:spacing w:after="0" w:line="240" w:lineRule="auto"/>
              <w:jc w:val="center"/>
              <w:rPr>
                <w:noProof/>
              </w:rPr>
            </w:pPr>
            <w:r>
              <w:rPr>
                <w:noProof/>
              </w:rPr>
              <w:t>Szám</w:t>
            </w:r>
          </w:p>
        </w:tc>
        <w:tc>
          <w:tcPr>
            <w:tcW w:w="992" w:type="dxa"/>
            <w:shd w:val="clear" w:color="auto" w:fill="C4EFCE"/>
            <w:noWrap/>
            <w:vAlign w:val="center"/>
          </w:tcPr>
          <w:p w14:paraId="472FBF28" w14:textId="2DD9CCA7" w:rsidR="00DC5EC6" w:rsidRDefault="003245A4">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0DC53A66" w14:textId="64A65D02" w:rsidR="00DC5EC6" w:rsidRDefault="003245A4">
            <w:pPr>
              <w:pStyle w:val="P68B1DB1-Normal12"/>
              <w:spacing w:after="0" w:line="240" w:lineRule="auto"/>
              <w:jc w:val="center"/>
              <w:rPr>
                <w:rFonts w:eastAsia="Times New Roman"/>
                <w:noProof/>
              </w:rPr>
            </w:pPr>
            <w:r>
              <w:rPr>
                <w:noProof/>
              </w:rPr>
              <w:t>7 020</w:t>
            </w:r>
          </w:p>
        </w:tc>
        <w:tc>
          <w:tcPr>
            <w:tcW w:w="567" w:type="dxa"/>
            <w:shd w:val="clear" w:color="auto" w:fill="C4EFCE"/>
            <w:noWrap/>
            <w:vAlign w:val="center"/>
          </w:tcPr>
          <w:p w14:paraId="625E1EDD" w14:textId="577018FA" w:rsidR="00DC5EC6" w:rsidRDefault="00FC5CD5">
            <w:pPr>
              <w:pStyle w:val="P68B1DB1-Normal12"/>
              <w:spacing w:after="0" w:line="240" w:lineRule="auto"/>
              <w:jc w:val="center"/>
              <w:rPr>
                <w:rFonts w:cstheme="minorHAnsi"/>
                <w:noProof/>
              </w:rPr>
            </w:pPr>
            <w:r>
              <w:rPr>
                <w:noProof/>
              </w:rPr>
              <w:t>2. NEGYEDÉV</w:t>
            </w:r>
          </w:p>
        </w:tc>
        <w:tc>
          <w:tcPr>
            <w:tcW w:w="708" w:type="dxa"/>
            <w:shd w:val="clear" w:color="auto" w:fill="C4EFCE"/>
            <w:noWrap/>
            <w:vAlign w:val="center"/>
          </w:tcPr>
          <w:p w14:paraId="4FD2ECE2" w14:textId="0AEB54AF" w:rsidR="00DC5EC6" w:rsidRDefault="003245A4">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D0A3DF6" w14:textId="2108C601" w:rsidR="00DC5EC6" w:rsidRDefault="003245A4">
            <w:pPr>
              <w:pStyle w:val="P68B1DB1-Bodytext1013"/>
              <w:spacing w:after="0" w:line="240" w:lineRule="auto"/>
              <w:jc w:val="both"/>
              <w:rPr>
                <w:rFonts w:cstheme="minorBidi"/>
                <w:noProof/>
              </w:rPr>
            </w:pPr>
            <w:r>
              <w:rPr>
                <w:noProof/>
              </w:rPr>
              <w:t>20 agrártudományi diplomás program (alapképzés, mesterképzés vagy mindkettő) reformja az alábbiak révén:</w:t>
            </w:r>
          </w:p>
          <w:p w14:paraId="6CF7E7C6" w14:textId="77777777" w:rsidR="00DC5EC6" w:rsidRDefault="003245A4">
            <w:pPr>
              <w:pStyle w:val="P68B1DB1-Bodytext1013"/>
              <w:spacing w:after="0" w:line="240" w:lineRule="auto"/>
              <w:jc w:val="both"/>
              <w:rPr>
                <w:rFonts w:cstheme="minorBidi"/>
                <w:noProof/>
              </w:rPr>
            </w:pPr>
            <w:r>
              <w:rPr>
                <w:noProof/>
              </w:rPr>
              <w:t>a digitális és technológiai komponens megerősítése az oktatási intézmények berendezéseinek beszerzésével</w:t>
            </w:r>
          </w:p>
          <w:p w14:paraId="7D8375DC" w14:textId="3010FE9E" w:rsidR="00DC5EC6" w:rsidRDefault="003245A4">
            <w:pPr>
              <w:pStyle w:val="P68B1DB1-Bodytext1013"/>
              <w:spacing w:after="0" w:line="240" w:lineRule="auto"/>
              <w:jc w:val="both"/>
              <w:rPr>
                <w:rFonts w:cstheme="minorBidi"/>
                <w:noProof/>
              </w:rPr>
            </w:pPr>
            <w:r>
              <w:rPr>
                <w:noProof/>
              </w:rPr>
              <w:t>nemzetközivé válás, beleértve a meghívott elnökök megtartását is</w:t>
            </w:r>
          </w:p>
          <w:p w14:paraId="1227FFF1" w14:textId="319AEAE0" w:rsidR="00DC5EC6" w:rsidRDefault="003245A4">
            <w:pPr>
              <w:pStyle w:val="P68B1DB1-Bodytext1013"/>
              <w:spacing w:after="0" w:line="240" w:lineRule="auto"/>
              <w:jc w:val="both"/>
              <w:rPr>
                <w:rFonts w:cstheme="minorBidi"/>
                <w:noProof/>
              </w:rPr>
            </w:pPr>
            <w:r>
              <w:rPr>
                <w:noProof/>
              </w:rPr>
              <w:t xml:space="preserve">– intézményközi együttműködés a mezőgazdasági oktatás nemzetközivé tételére irányuló stratégia konzorcium keretében történő végrehajtása révén. </w:t>
            </w:r>
          </w:p>
          <w:p w14:paraId="53ABA183" w14:textId="319AEAE0" w:rsidR="00DC5EC6" w:rsidRDefault="00DC5EC6">
            <w:pPr>
              <w:pStyle w:val="Bodytext10"/>
              <w:spacing w:after="0" w:line="240" w:lineRule="auto"/>
              <w:jc w:val="both"/>
              <w:rPr>
                <w:rStyle w:val="Bodytext1"/>
                <w:rFonts w:asciiTheme="minorHAnsi" w:hAnsiTheme="minorHAnsi" w:cstheme="minorBidi"/>
                <w:noProof/>
                <w:sz w:val="16"/>
              </w:rPr>
            </w:pPr>
          </w:p>
          <w:p w14:paraId="496B7FD9" w14:textId="544DE159" w:rsidR="00DC5EC6" w:rsidRDefault="003245A4">
            <w:pPr>
              <w:pStyle w:val="P68B1DB1-Bodytext1013"/>
              <w:spacing w:after="0" w:line="240" w:lineRule="auto"/>
              <w:jc w:val="both"/>
              <w:rPr>
                <w:rFonts w:cstheme="minorBidi"/>
                <w:noProof/>
              </w:rPr>
            </w:pPr>
            <w:r>
              <w:rPr>
                <w:noProof/>
              </w:rPr>
              <w:t>6000 középiskolai diák részesül a mezőgazdasági iskolákban egyhetes programban, amelynek célja, hogy növelje a mezőgazdasági iskolák vonzerejét a potenciális pályázók számára.</w:t>
            </w:r>
          </w:p>
          <w:p w14:paraId="1FC3030B" w14:textId="3C773367" w:rsidR="00DC5EC6" w:rsidRDefault="00DC5EC6">
            <w:pPr>
              <w:pStyle w:val="Bodytext10"/>
              <w:spacing w:after="0" w:line="240" w:lineRule="auto"/>
              <w:jc w:val="both"/>
              <w:rPr>
                <w:rFonts w:asciiTheme="minorHAnsi" w:hAnsiTheme="minorHAnsi" w:cstheme="minorBidi"/>
                <w:noProof/>
                <w:sz w:val="16"/>
              </w:rPr>
            </w:pPr>
          </w:p>
          <w:p w14:paraId="69D689D1" w14:textId="63B60CD2" w:rsidR="00DC5EC6" w:rsidRDefault="003245A4">
            <w:pPr>
              <w:pStyle w:val="P68B1DB1-Bodytext1013"/>
              <w:spacing w:after="0" w:line="240" w:lineRule="auto"/>
              <w:jc w:val="both"/>
              <w:rPr>
                <w:rStyle w:val="Bodytext1"/>
                <w:rFonts w:asciiTheme="minorHAnsi" w:hAnsiTheme="minorHAnsi" w:cstheme="minorBidi"/>
                <w:noProof/>
                <w:sz w:val="16"/>
              </w:rPr>
            </w:pPr>
            <w:r>
              <w:rPr>
                <w:noProof/>
              </w:rPr>
              <w:t>A mezőgazdasági ágazatban 1000 szakembernek kell elvégeznie a digitális és technológiai képzést mikrotanúsítványok vagy rövid felsőoktatási szakképzés vagy szakmai mesterképzés révén.</w:t>
            </w:r>
          </w:p>
        </w:tc>
      </w:tr>
      <w:tr w:rsidR="00DC5EC6" w14:paraId="5AB95557" w14:textId="77777777">
        <w:trPr>
          <w:trHeight w:val="640"/>
        </w:trPr>
        <w:tc>
          <w:tcPr>
            <w:tcW w:w="1135" w:type="dxa"/>
            <w:shd w:val="clear" w:color="auto" w:fill="C5EFCE"/>
            <w:vAlign w:val="center"/>
          </w:tcPr>
          <w:p w14:paraId="0D1BDDD8" w14:textId="07872EC0" w:rsidR="00DC5EC6" w:rsidRDefault="003245A4">
            <w:pPr>
              <w:pStyle w:val="P68B1DB1-Normal11"/>
              <w:spacing w:after="0" w:line="240" w:lineRule="auto"/>
              <w:jc w:val="center"/>
              <w:rPr>
                <w:noProof/>
              </w:rPr>
            </w:pPr>
            <w:r>
              <w:rPr>
                <w:noProof/>
              </w:rPr>
              <w:t>6.22</w:t>
            </w:r>
          </w:p>
        </w:tc>
        <w:tc>
          <w:tcPr>
            <w:tcW w:w="1276" w:type="dxa"/>
            <w:shd w:val="clear" w:color="auto" w:fill="C4EFCE"/>
            <w:noWrap/>
            <w:vAlign w:val="center"/>
          </w:tcPr>
          <w:p w14:paraId="011A4D16" w14:textId="7298F3BD" w:rsidR="00DC5EC6" w:rsidRDefault="003245A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690BFF82" w14:textId="70CB804F"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0C56191D" w14:textId="4A065135" w:rsidR="00DC5EC6" w:rsidRDefault="003245A4">
            <w:pPr>
              <w:pStyle w:val="P68B1DB1-Normal12"/>
              <w:spacing w:after="0" w:line="240" w:lineRule="auto"/>
              <w:jc w:val="center"/>
              <w:rPr>
                <w:rFonts w:cstheme="minorHAnsi"/>
                <w:noProof/>
              </w:rPr>
            </w:pPr>
            <w:r>
              <w:rPr>
                <w:noProof/>
              </w:rPr>
              <w:t>Az orvostudomány korszerűsítése</w:t>
            </w:r>
          </w:p>
        </w:tc>
        <w:tc>
          <w:tcPr>
            <w:tcW w:w="1275" w:type="dxa"/>
            <w:shd w:val="clear" w:color="auto" w:fill="C4EFCE"/>
            <w:noWrap/>
            <w:vAlign w:val="center"/>
          </w:tcPr>
          <w:p w14:paraId="5E0E2847"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602C1537" w14:textId="535C74AD" w:rsidR="00DC5EC6" w:rsidRDefault="003245A4">
            <w:pPr>
              <w:pStyle w:val="P68B1DB1-Normal12"/>
              <w:spacing w:after="0" w:line="240" w:lineRule="auto"/>
              <w:jc w:val="center"/>
              <w:rPr>
                <w:noProof/>
              </w:rPr>
            </w:pPr>
            <w:r>
              <w:rPr>
                <w:noProof/>
              </w:rPr>
              <w:t>Szám</w:t>
            </w:r>
          </w:p>
        </w:tc>
        <w:tc>
          <w:tcPr>
            <w:tcW w:w="992" w:type="dxa"/>
            <w:shd w:val="clear" w:color="auto" w:fill="C4EFCE"/>
            <w:noWrap/>
            <w:vAlign w:val="center"/>
          </w:tcPr>
          <w:p w14:paraId="1636CEA0" w14:textId="3F6BC36D" w:rsidR="00DC5EC6" w:rsidRDefault="003245A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4FA19C54" w14:textId="5DA13673" w:rsidR="00DC5EC6" w:rsidRDefault="003245A4">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05F711F2" w14:textId="1E622172" w:rsidR="00DC5EC6" w:rsidRDefault="00FC5CD5">
            <w:pPr>
              <w:pStyle w:val="P68B1DB1-Normal12"/>
              <w:spacing w:after="0" w:line="240" w:lineRule="auto"/>
              <w:jc w:val="center"/>
              <w:rPr>
                <w:noProof/>
              </w:rPr>
            </w:pPr>
            <w:r>
              <w:rPr>
                <w:noProof/>
              </w:rPr>
              <w:t>2. NEGYEDÉV</w:t>
            </w:r>
          </w:p>
        </w:tc>
        <w:tc>
          <w:tcPr>
            <w:tcW w:w="708" w:type="dxa"/>
            <w:shd w:val="clear" w:color="auto" w:fill="C4EFCE"/>
            <w:noWrap/>
            <w:vAlign w:val="center"/>
          </w:tcPr>
          <w:p w14:paraId="727812B4" w14:textId="69053B8C" w:rsidR="00DC5EC6" w:rsidRDefault="003245A4">
            <w:pPr>
              <w:pStyle w:val="P68B1DB1-Normal12"/>
              <w:spacing w:after="0" w:line="240" w:lineRule="auto"/>
              <w:jc w:val="center"/>
              <w:rPr>
                <w:noProof/>
              </w:rPr>
            </w:pPr>
            <w:r>
              <w:rPr>
                <w:noProof/>
              </w:rPr>
              <w:t>2026</w:t>
            </w:r>
          </w:p>
        </w:tc>
        <w:tc>
          <w:tcPr>
            <w:tcW w:w="4395" w:type="dxa"/>
            <w:shd w:val="clear" w:color="auto" w:fill="C4EFCE"/>
            <w:vAlign w:val="center"/>
          </w:tcPr>
          <w:p w14:paraId="0BE60C62" w14:textId="57230731" w:rsidR="00DC5EC6" w:rsidRDefault="003245A4">
            <w:pPr>
              <w:pStyle w:val="P68B1DB1-Bodytext1013"/>
              <w:spacing w:line="240" w:lineRule="auto"/>
              <w:jc w:val="both"/>
              <w:rPr>
                <w:rFonts w:cstheme="minorBidi"/>
                <w:noProof/>
              </w:rPr>
            </w:pPr>
            <w:r>
              <w:rPr>
                <w:noProof/>
              </w:rPr>
              <w:t>Az integrált mesterképzés legalább 5000 hallgatójának digitális környezeteket vagy orvosi szimulációt alkalmazó tantervekben kell részt vennie. E célból olyan berendezéseket kell használni, mint a nagyhiszemű próbabábuk vagy a virtuális valóság-szimulátorok.</w:t>
            </w:r>
          </w:p>
          <w:p w14:paraId="03728086" w14:textId="31BE029E" w:rsidR="00DC5EC6" w:rsidRDefault="003245A4">
            <w:pPr>
              <w:pStyle w:val="P68B1DB1-Bodytext1013"/>
              <w:spacing w:after="0" w:line="240" w:lineRule="auto"/>
              <w:jc w:val="both"/>
              <w:rPr>
                <w:rFonts w:cstheme="minorBidi"/>
                <w:noProof/>
              </w:rPr>
            </w:pPr>
            <w:r>
              <w:rPr>
                <w:noProof/>
              </w:rPr>
              <w:t>Legalább 7500 egészségügyi szakember vesz részt az egészségügyi ágazat technológiai és digitális korszerűsítésére összpontosító orvosi képzésben. A képzések három típusát kell kínálni: rövid felsőoktatási tanfolyamok, szakmai mesterképzések és/vagy mikrotanúsítványok.</w:t>
            </w:r>
          </w:p>
        </w:tc>
      </w:tr>
      <w:tr w:rsidR="00DC5EC6" w14:paraId="7E7C518B" w14:textId="77777777">
        <w:trPr>
          <w:trHeight w:val="640"/>
        </w:trPr>
        <w:tc>
          <w:tcPr>
            <w:tcW w:w="1135" w:type="dxa"/>
            <w:shd w:val="clear" w:color="auto" w:fill="C5EFCE"/>
            <w:vAlign w:val="center"/>
          </w:tcPr>
          <w:p w14:paraId="7342B9AB" w14:textId="4D1C1BE5" w:rsidR="00DC5EC6" w:rsidRDefault="003245A4">
            <w:pPr>
              <w:pStyle w:val="P68B1DB1-Normal11"/>
              <w:spacing w:after="0" w:line="240" w:lineRule="auto"/>
              <w:jc w:val="center"/>
              <w:rPr>
                <w:noProof/>
              </w:rPr>
            </w:pPr>
            <w:r>
              <w:rPr>
                <w:noProof/>
              </w:rPr>
              <w:t>6.23</w:t>
            </w:r>
          </w:p>
        </w:tc>
        <w:tc>
          <w:tcPr>
            <w:tcW w:w="1276" w:type="dxa"/>
            <w:shd w:val="clear" w:color="auto" w:fill="C4EFCE"/>
            <w:noWrap/>
            <w:vAlign w:val="center"/>
          </w:tcPr>
          <w:p w14:paraId="61D9CF67" w14:textId="5923C0BC" w:rsidR="00DC5EC6" w:rsidRDefault="003245A4">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7BF68D0A" w14:textId="4BA5BECB"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3C8DA4AE" w14:textId="30954B10" w:rsidR="00DC5EC6" w:rsidRDefault="003245A4">
            <w:pPr>
              <w:pStyle w:val="P68B1DB1-Normal12"/>
              <w:spacing w:after="0" w:line="240" w:lineRule="auto"/>
              <w:jc w:val="center"/>
              <w:rPr>
                <w:rFonts w:cstheme="minorHAnsi"/>
                <w:noProof/>
              </w:rPr>
            </w:pPr>
            <w:r>
              <w:rPr>
                <w:noProof/>
              </w:rPr>
              <w:t>A digitális készségek megerősítése</w:t>
            </w:r>
          </w:p>
        </w:tc>
        <w:tc>
          <w:tcPr>
            <w:tcW w:w="1275" w:type="dxa"/>
            <w:shd w:val="clear" w:color="auto" w:fill="C4EFCE"/>
            <w:noWrap/>
            <w:vAlign w:val="center"/>
          </w:tcPr>
          <w:p w14:paraId="20F37E5B"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3843260D" w14:textId="7E687270" w:rsidR="00DC5EC6" w:rsidRDefault="003245A4">
            <w:pPr>
              <w:pStyle w:val="P68B1DB1-Normal12"/>
              <w:spacing w:after="0" w:line="240" w:lineRule="auto"/>
              <w:jc w:val="center"/>
              <w:rPr>
                <w:noProof/>
              </w:rPr>
            </w:pPr>
            <w:r>
              <w:rPr>
                <w:noProof/>
              </w:rPr>
              <w:t xml:space="preserve"> Szám</w:t>
            </w:r>
          </w:p>
        </w:tc>
        <w:tc>
          <w:tcPr>
            <w:tcW w:w="992" w:type="dxa"/>
            <w:shd w:val="clear" w:color="auto" w:fill="C4EFCE"/>
            <w:noWrap/>
            <w:vAlign w:val="center"/>
          </w:tcPr>
          <w:p w14:paraId="03179505" w14:textId="02D7BE6B" w:rsidR="00DC5EC6" w:rsidRDefault="003245A4">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3ABCA18E" w14:textId="5D6BAAE1" w:rsidR="00DC5EC6" w:rsidRDefault="003245A4">
            <w:pPr>
              <w:pStyle w:val="P68B1DB1-Normal12"/>
              <w:spacing w:after="0" w:line="240" w:lineRule="auto"/>
              <w:jc w:val="center"/>
              <w:rPr>
                <w:rFonts w:eastAsia="Times New Roman" w:cstheme="minorHAnsi"/>
                <w:noProof/>
              </w:rPr>
            </w:pPr>
            <w:r>
              <w:rPr>
                <w:noProof/>
              </w:rPr>
              <w:t>11 750</w:t>
            </w:r>
          </w:p>
        </w:tc>
        <w:tc>
          <w:tcPr>
            <w:tcW w:w="567" w:type="dxa"/>
            <w:shd w:val="clear" w:color="auto" w:fill="C4EFCE"/>
            <w:noWrap/>
            <w:vAlign w:val="center"/>
          </w:tcPr>
          <w:p w14:paraId="718E9C07" w14:textId="38C91F58" w:rsidR="00DC5EC6" w:rsidRDefault="00FC5CD5">
            <w:pPr>
              <w:pStyle w:val="P68B1DB1-Normal12"/>
              <w:spacing w:after="0" w:line="240" w:lineRule="auto"/>
              <w:jc w:val="center"/>
              <w:rPr>
                <w:rFonts w:cstheme="minorHAnsi"/>
                <w:noProof/>
              </w:rPr>
            </w:pPr>
            <w:r>
              <w:rPr>
                <w:noProof/>
              </w:rPr>
              <w:t>2. NEGYEDÉV</w:t>
            </w:r>
          </w:p>
        </w:tc>
        <w:tc>
          <w:tcPr>
            <w:tcW w:w="708" w:type="dxa"/>
            <w:shd w:val="clear" w:color="auto" w:fill="C4EFCE"/>
            <w:noWrap/>
            <w:vAlign w:val="center"/>
          </w:tcPr>
          <w:p w14:paraId="0704A86A" w14:textId="763D5987" w:rsidR="00DC5EC6" w:rsidRDefault="003245A4">
            <w:pPr>
              <w:pStyle w:val="P68B1DB1-Normal12"/>
              <w:spacing w:after="0" w:line="240" w:lineRule="auto"/>
              <w:jc w:val="center"/>
              <w:rPr>
                <w:rFonts w:cstheme="minorHAnsi"/>
                <w:noProof/>
              </w:rPr>
            </w:pPr>
            <w:r>
              <w:rPr>
                <w:noProof/>
              </w:rPr>
              <w:t>2026</w:t>
            </w:r>
          </w:p>
        </w:tc>
        <w:tc>
          <w:tcPr>
            <w:tcW w:w="4395" w:type="dxa"/>
            <w:shd w:val="clear" w:color="auto" w:fill="C4EFCE"/>
            <w:vAlign w:val="center"/>
          </w:tcPr>
          <w:p w14:paraId="58BDA553" w14:textId="0C921B07" w:rsidR="00DC5EC6" w:rsidRDefault="003245A4">
            <w:pPr>
              <w:pStyle w:val="P68B1DB1-Bodytext1013"/>
              <w:spacing w:after="0" w:line="240" w:lineRule="auto"/>
              <w:jc w:val="both"/>
              <w:rPr>
                <w:rFonts w:cstheme="minorBidi"/>
                <w:noProof/>
              </w:rPr>
            </w:pPr>
            <w:r>
              <w:rPr>
                <w:noProof/>
              </w:rPr>
              <w:t>A STEAM-on kívüli területeken élő 11750 fiatal és felnőtt vesz részt a digitális készségek fejlesztését célzó programokban.</w:t>
            </w:r>
          </w:p>
        </w:tc>
      </w:tr>
      <w:tr w:rsidR="00FC5CD5" w14:paraId="4D94B093" w14:textId="77777777">
        <w:trPr>
          <w:trHeight w:val="640"/>
        </w:trPr>
        <w:tc>
          <w:tcPr>
            <w:tcW w:w="1135" w:type="dxa"/>
            <w:shd w:val="clear" w:color="auto" w:fill="C5EFCE"/>
            <w:vAlign w:val="center"/>
          </w:tcPr>
          <w:p w14:paraId="34E64220" w14:textId="772B93AE" w:rsidR="00FC5CD5" w:rsidRDefault="00FC5CD5" w:rsidP="00FC5CD5">
            <w:pPr>
              <w:pStyle w:val="P68B1DB1-Normal11"/>
              <w:spacing w:after="0" w:line="240" w:lineRule="auto"/>
              <w:jc w:val="center"/>
              <w:rPr>
                <w:noProof/>
              </w:rPr>
            </w:pPr>
            <w:r>
              <w:rPr>
                <w:noProof/>
              </w:rPr>
              <w:t>6.24</w:t>
            </w:r>
          </w:p>
        </w:tc>
        <w:tc>
          <w:tcPr>
            <w:tcW w:w="1276" w:type="dxa"/>
            <w:shd w:val="clear" w:color="auto" w:fill="C4EFCE"/>
            <w:noWrap/>
            <w:vAlign w:val="center"/>
          </w:tcPr>
          <w:p w14:paraId="0083973A" w14:textId="5FF91370" w:rsidR="00FC5CD5" w:rsidRDefault="00FC5CD5" w:rsidP="00FC5CD5">
            <w:pPr>
              <w:pStyle w:val="P68B1DB1-Normal12"/>
              <w:spacing w:after="0" w:line="240" w:lineRule="auto"/>
              <w:jc w:val="center"/>
              <w:rPr>
                <w:rFonts w:cstheme="minorHAnsi"/>
                <w:noProof/>
              </w:rPr>
            </w:pPr>
            <w:r>
              <w:rPr>
                <w:noProof/>
              </w:rPr>
              <w:t>Re-C06-i07</w:t>
            </w:r>
          </w:p>
        </w:tc>
        <w:tc>
          <w:tcPr>
            <w:tcW w:w="1134" w:type="dxa"/>
            <w:shd w:val="clear" w:color="auto" w:fill="C4EFCE"/>
            <w:noWrap/>
            <w:vAlign w:val="center"/>
          </w:tcPr>
          <w:p w14:paraId="534D3821" w14:textId="716BA925" w:rsidR="00FC5CD5" w:rsidRDefault="00FC5CD5" w:rsidP="00FC5CD5">
            <w:pPr>
              <w:pStyle w:val="P68B1DB1-Normal12"/>
              <w:spacing w:after="0" w:line="240" w:lineRule="auto"/>
              <w:jc w:val="center"/>
              <w:rPr>
                <w:rFonts w:cstheme="minorHAnsi"/>
                <w:noProof/>
              </w:rPr>
            </w:pPr>
            <w:r>
              <w:rPr>
                <w:noProof/>
              </w:rPr>
              <w:t>M</w:t>
            </w:r>
          </w:p>
        </w:tc>
        <w:tc>
          <w:tcPr>
            <w:tcW w:w="1701" w:type="dxa"/>
            <w:shd w:val="clear" w:color="auto" w:fill="C4EFCE"/>
            <w:noWrap/>
            <w:vAlign w:val="center"/>
          </w:tcPr>
          <w:p w14:paraId="546F1C56" w14:textId="4A44DB24" w:rsidR="00FC5CD5" w:rsidRDefault="00FC5CD5" w:rsidP="00FC5CD5">
            <w:pPr>
              <w:pStyle w:val="P68B1DB1-Normal12"/>
              <w:spacing w:after="0" w:line="240" w:lineRule="auto"/>
              <w:jc w:val="center"/>
              <w:rPr>
                <w:rFonts w:cstheme="minorHAnsi"/>
                <w:noProof/>
              </w:rPr>
            </w:pPr>
            <w:r>
              <w:rPr>
                <w:noProof/>
              </w:rPr>
              <w:t>Innováció és pedagógiai modernizáció a felsőoktatásban</w:t>
            </w:r>
          </w:p>
        </w:tc>
        <w:tc>
          <w:tcPr>
            <w:tcW w:w="1275" w:type="dxa"/>
            <w:shd w:val="clear" w:color="auto" w:fill="C4EFCE"/>
            <w:noWrap/>
            <w:vAlign w:val="center"/>
          </w:tcPr>
          <w:p w14:paraId="459EE616" w14:textId="77777777" w:rsidR="00FC5CD5" w:rsidRDefault="00FC5CD5" w:rsidP="00FC5CD5">
            <w:pPr>
              <w:spacing w:after="0" w:line="240" w:lineRule="auto"/>
              <w:jc w:val="center"/>
              <w:rPr>
                <w:rFonts w:cstheme="minorHAnsi"/>
                <w:noProof/>
                <w:sz w:val="16"/>
              </w:rPr>
            </w:pPr>
          </w:p>
        </w:tc>
        <w:tc>
          <w:tcPr>
            <w:tcW w:w="993" w:type="dxa"/>
            <w:shd w:val="clear" w:color="auto" w:fill="C4EFCE"/>
            <w:noWrap/>
            <w:vAlign w:val="center"/>
          </w:tcPr>
          <w:p w14:paraId="7BEDA178" w14:textId="53F4813C" w:rsidR="00FC5CD5" w:rsidRDefault="00FC5CD5" w:rsidP="00FC5CD5">
            <w:pPr>
              <w:pStyle w:val="P68B1DB1-Normal12"/>
              <w:spacing w:after="0" w:line="240" w:lineRule="auto"/>
              <w:jc w:val="center"/>
              <w:rPr>
                <w:noProof/>
              </w:rPr>
            </w:pPr>
            <w:r>
              <w:rPr>
                <w:noProof/>
              </w:rPr>
              <w:t xml:space="preserve"> Szám</w:t>
            </w:r>
          </w:p>
        </w:tc>
        <w:tc>
          <w:tcPr>
            <w:tcW w:w="992" w:type="dxa"/>
            <w:shd w:val="clear" w:color="auto" w:fill="C4EFCE"/>
            <w:noWrap/>
            <w:vAlign w:val="center"/>
          </w:tcPr>
          <w:p w14:paraId="665883BC" w14:textId="2EC998CE" w:rsidR="00FC5CD5" w:rsidRDefault="00FC5CD5" w:rsidP="00FC5CD5">
            <w:pPr>
              <w:pStyle w:val="P68B1DB1-Normal12"/>
              <w:spacing w:after="0" w:line="240" w:lineRule="auto"/>
              <w:jc w:val="center"/>
              <w:rPr>
                <w:rFonts w:eastAsia="Times New Roman" w:cstheme="minorHAnsi"/>
                <w:noProof/>
              </w:rPr>
            </w:pPr>
            <w:r>
              <w:rPr>
                <w:noProof/>
              </w:rPr>
              <w:t>0</w:t>
            </w:r>
          </w:p>
        </w:tc>
        <w:tc>
          <w:tcPr>
            <w:tcW w:w="850" w:type="dxa"/>
            <w:shd w:val="clear" w:color="auto" w:fill="C4EFCE"/>
            <w:noWrap/>
            <w:vAlign w:val="center"/>
          </w:tcPr>
          <w:p w14:paraId="6CC2A8F9" w14:textId="06F7ECA2" w:rsidR="00FC5CD5" w:rsidRDefault="00FC5CD5" w:rsidP="00FC5CD5">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02D944F5" w14:textId="439B0488" w:rsidR="00FC5CD5" w:rsidRDefault="00FC5CD5" w:rsidP="00FC5CD5">
            <w:pPr>
              <w:pStyle w:val="P68B1DB1-Normal12"/>
              <w:spacing w:after="0" w:line="240" w:lineRule="auto"/>
              <w:jc w:val="center"/>
              <w:rPr>
                <w:rFonts w:cstheme="minorHAnsi"/>
                <w:noProof/>
              </w:rPr>
            </w:pPr>
            <w:r>
              <w:rPr>
                <w:noProof/>
              </w:rPr>
              <w:t>4. NEGYEDÉV</w:t>
            </w:r>
          </w:p>
        </w:tc>
        <w:tc>
          <w:tcPr>
            <w:tcW w:w="708" w:type="dxa"/>
            <w:shd w:val="clear" w:color="auto" w:fill="C4EFCE"/>
            <w:noWrap/>
            <w:vAlign w:val="center"/>
          </w:tcPr>
          <w:p w14:paraId="64371F14" w14:textId="0A68E79D" w:rsidR="00FC5CD5" w:rsidRDefault="00FC5CD5" w:rsidP="00FC5CD5">
            <w:pPr>
              <w:pStyle w:val="P68B1DB1-Normal12"/>
              <w:spacing w:after="0" w:line="240" w:lineRule="auto"/>
              <w:jc w:val="center"/>
              <w:rPr>
                <w:rFonts w:cstheme="minorHAnsi"/>
                <w:noProof/>
              </w:rPr>
            </w:pPr>
            <w:r>
              <w:rPr>
                <w:noProof/>
              </w:rPr>
              <w:t>2024</w:t>
            </w:r>
          </w:p>
        </w:tc>
        <w:tc>
          <w:tcPr>
            <w:tcW w:w="4395" w:type="dxa"/>
            <w:shd w:val="clear" w:color="auto" w:fill="C4EFCE"/>
            <w:vAlign w:val="center"/>
          </w:tcPr>
          <w:p w14:paraId="31B02553" w14:textId="31BE029E" w:rsidR="00FC5CD5" w:rsidRDefault="00FC5CD5" w:rsidP="00FC5CD5">
            <w:pPr>
              <w:pStyle w:val="P68B1DB1-Bodytext1013"/>
              <w:spacing w:after="0" w:line="240" w:lineRule="auto"/>
              <w:jc w:val="both"/>
              <w:rPr>
                <w:rFonts w:cstheme="minorBidi"/>
                <w:noProof/>
              </w:rPr>
            </w:pPr>
            <w:r>
              <w:rPr>
                <w:noProof/>
              </w:rPr>
              <w:t xml:space="preserve">Öt pedagógiai innovációs kiválósági központot kell létrehozni, amelyek a nem technológiai témákra (társadalomtudományok, bölcsészettudományok és művészetek) összpontosítanak. Létrejön a Felsőoktatási Pedagógiai Innovációs Tanács. </w:t>
            </w:r>
          </w:p>
        </w:tc>
      </w:tr>
      <w:tr w:rsidR="00DC5EC6" w14:paraId="5EDD3E14" w14:textId="77777777">
        <w:trPr>
          <w:trHeight w:val="640"/>
        </w:trPr>
        <w:tc>
          <w:tcPr>
            <w:tcW w:w="1135" w:type="dxa"/>
            <w:shd w:val="clear" w:color="auto" w:fill="C5EFCE"/>
            <w:vAlign w:val="center"/>
          </w:tcPr>
          <w:p w14:paraId="42FF49FC" w14:textId="25C76D14" w:rsidR="00DC5EC6" w:rsidRDefault="003245A4">
            <w:pPr>
              <w:pStyle w:val="P68B1DB1-Normal11"/>
              <w:spacing w:after="0" w:line="240" w:lineRule="auto"/>
              <w:jc w:val="center"/>
              <w:rPr>
                <w:noProof/>
              </w:rPr>
            </w:pPr>
            <w:r>
              <w:rPr>
                <w:noProof/>
                <w:shd w:val="clear" w:color="auto" w:fill="E6E6E6"/>
              </w:rPr>
              <w:t>6.2</w:t>
            </w:r>
            <w:r>
              <w:rPr>
                <w:noProof/>
              </w:rPr>
              <w:t>5</w:t>
            </w:r>
          </w:p>
        </w:tc>
        <w:tc>
          <w:tcPr>
            <w:tcW w:w="1276" w:type="dxa"/>
            <w:shd w:val="clear" w:color="auto" w:fill="C4EFCE"/>
            <w:noWrap/>
            <w:vAlign w:val="center"/>
          </w:tcPr>
          <w:p w14:paraId="56C60FE1" w14:textId="4068A0BE" w:rsidR="00DC5EC6" w:rsidRDefault="003245A4">
            <w:pPr>
              <w:pStyle w:val="P68B1DB1-Normal12"/>
              <w:spacing w:after="0" w:line="240" w:lineRule="auto"/>
              <w:jc w:val="center"/>
              <w:rPr>
                <w:noProof/>
              </w:rPr>
            </w:pPr>
            <w:r>
              <w:rPr>
                <w:noProof/>
              </w:rPr>
              <w:t>Re-C06-i07</w:t>
            </w:r>
          </w:p>
        </w:tc>
        <w:tc>
          <w:tcPr>
            <w:tcW w:w="1134" w:type="dxa"/>
            <w:shd w:val="clear" w:color="auto" w:fill="C4EFCE"/>
            <w:noWrap/>
            <w:vAlign w:val="center"/>
          </w:tcPr>
          <w:p w14:paraId="075C0195" w14:textId="08EB7FE7" w:rsidR="00DC5EC6" w:rsidRDefault="003245A4">
            <w:pPr>
              <w:pStyle w:val="P68B1DB1-Normal12"/>
              <w:spacing w:after="0" w:line="240" w:lineRule="auto"/>
              <w:jc w:val="center"/>
              <w:rPr>
                <w:noProof/>
              </w:rPr>
            </w:pPr>
            <w:r>
              <w:rPr>
                <w:noProof/>
              </w:rPr>
              <w:t>T</w:t>
            </w:r>
          </w:p>
        </w:tc>
        <w:tc>
          <w:tcPr>
            <w:tcW w:w="1701" w:type="dxa"/>
            <w:shd w:val="clear" w:color="auto" w:fill="C4EFCE"/>
            <w:noWrap/>
            <w:vAlign w:val="center"/>
          </w:tcPr>
          <w:p w14:paraId="6FB5789C" w14:textId="4D968374" w:rsidR="00DC5EC6" w:rsidRDefault="003245A4">
            <w:pPr>
              <w:pStyle w:val="P68B1DB1-Normal12"/>
              <w:spacing w:after="0" w:line="240" w:lineRule="auto"/>
              <w:jc w:val="center"/>
              <w:rPr>
                <w:noProof/>
              </w:rPr>
            </w:pPr>
            <w:r>
              <w:rPr>
                <w:noProof/>
              </w:rPr>
              <w:t>Innováció és pedagógiai modernizáció a felsőoktatásban</w:t>
            </w:r>
          </w:p>
        </w:tc>
        <w:tc>
          <w:tcPr>
            <w:tcW w:w="1275" w:type="dxa"/>
            <w:shd w:val="clear" w:color="auto" w:fill="C4EFCE"/>
            <w:noWrap/>
            <w:vAlign w:val="center"/>
          </w:tcPr>
          <w:p w14:paraId="1FE0DD74" w14:textId="77777777" w:rsidR="00DC5EC6" w:rsidRDefault="00DC5EC6">
            <w:pPr>
              <w:spacing w:after="0" w:line="240" w:lineRule="auto"/>
              <w:jc w:val="center"/>
              <w:rPr>
                <w:noProof/>
                <w:sz w:val="16"/>
              </w:rPr>
            </w:pPr>
          </w:p>
        </w:tc>
        <w:tc>
          <w:tcPr>
            <w:tcW w:w="993" w:type="dxa"/>
            <w:shd w:val="clear" w:color="auto" w:fill="C4EFCE"/>
            <w:noWrap/>
            <w:vAlign w:val="center"/>
          </w:tcPr>
          <w:p w14:paraId="109C6A75" w14:textId="6DC07688" w:rsidR="00DC5EC6" w:rsidRDefault="003245A4">
            <w:pPr>
              <w:pStyle w:val="P68B1DB1-Normal12"/>
              <w:spacing w:after="0" w:line="240" w:lineRule="auto"/>
              <w:jc w:val="center"/>
              <w:rPr>
                <w:noProof/>
              </w:rPr>
            </w:pPr>
            <w:r>
              <w:rPr>
                <w:noProof/>
              </w:rPr>
              <w:t>Százalék</w:t>
            </w:r>
          </w:p>
        </w:tc>
        <w:tc>
          <w:tcPr>
            <w:tcW w:w="992" w:type="dxa"/>
            <w:shd w:val="clear" w:color="auto" w:fill="C4EFCE"/>
            <w:noWrap/>
            <w:vAlign w:val="center"/>
          </w:tcPr>
          <w:p w14:paraId="5BACD0A3" w14:textId="2B76B72B" w:rsidR="00DC5EC6" w:rsidRDefault="003245A4">
            <w:pPr>
              <w:pStyle w:val="P68B1DB1-Normal12"/>
              <w:spacing w:after="0" w:line="240" w:lineRule="auto"/>
              <w:jc w:val="center"/>
              <w:rPr>
                <w:noProof/>
              </w:rPr>
            </w:pPr>
            <w:r>
              <w:rPr>
                <w:noProof/>
              </w:rPr>
              <w:t>24</w:t>
            </w:r>
          </w:p>
        </w:tc>
        <w:tc>
          <w:tcPr>
            <w:tcW w:w="850" w:type="dxa"/>
            <w:shd w:val="clear" w:color="auto" w:fill="C4EFCE"/>
            <w:noWrap/>
            <w:vAlign w:val="center"/>
          </w:tcPr>
          <w:p w14:paraId="0FCCD7A8" w14:textId="17E68BD7" w:rsidR="00DC5EC6" w:rsidRDefault="003245A4">
            <w:pPr>
              <w:pStyle w:val="P68B1DB1-Normal12"/>
              <w:spacing w:after="0" w:line="240" w:lineRule="auto"/>
              <w:jc w:val="center"/>
              <w:rPr>
                <w:noProof/>
              </w:rPr>
            </w:pPr>
            <w:r>
              <w:rPr>
                <w:noProof/>
              </w:rPr>
              <w:t>22</w:t>
            </w:r>
          </w:p>
        </w:tc>
        <w:tc>
          <w:tcPr>
            <w:tcW w:w="567" w:type="dxa"/>
            <w:shd w:val="clear" w:color="auto" w:fill="C4EFCE"/>
            <w:noWrap/>
            <w:vAlign w:val="center"/>
          </w:tcPr>
          <w:p w14:paraId="407A04B9" w14:textId="252D0A3C" w:rsidR="00DC5EC6" w:rsidRDefault="00FC5CD5">
            <w:pPr>
              <w:pStyle w:val="P68B1DB1-Normal12"/>
              <w:spacing w:after="0" w:line="240" w:lineRule="auto"/>
              <w:jc w:val="center"/>
              <w:rPr>
                <w:noProof/>
              </w:rPr>
            </w:pPr>
            <w:r>
              <w:rPr>
                <w:noProof/>
              </w:rPr>
              <w:t>2. NEGYEDÉV</w:t>
            </w:r>
            <w:r w:rsidR="003245A4">
              <w:rPr>
                <w:noProof/>
              </w:rPr>
              <w:t xml:space="preserve"> </w:t>
            </w:r>
          </w:p>
        </w:tc>
        <w:tc>
          <w:tcPr>
            <w:tcW w:w="708" w:type="dxa"/>
            <w:shd w:val="clear" w:color="auto" w:fill="C4EFCE"/>
            <w:noWrap/>
            <w:vAlign w:val="center"/>
          </w:tcPr>
          <w:p w14:paraId="24140BFE" w14:textId="49106AB4" w:rsidR="00DC5EC6" w:rsidRDefault="003245A4">
            <w:pPr>
              <w:pStyle w:val="P68B1DB1-Normal12"/>
              <w:spacing w:after="0" w:line="240" w:lineRule="auto"/>
              <w:jc w:val="center"/>
              <w:rPr>
                <w:noProof/>
              </w:rPr>
            </w:pPr>
            <w:r>
              <w:rPr>
                <w:noProof/>
              </w:rPr>
              <w:t>2026</w:t>
            </w:r>
          </w:p>
        </w:tc>
        <w:tc>
          <w:tcPr>
            <w:tcW w:w="4395" w:type="dxa"/>
            <w:shd w:val="clear" w:color="auto" w:fill="C4EFCE"/>
            <w:vAlign w:val="center"/>
          </w:tcPr>
          <w:p w14:paraId="301CE07F" w14:textId="78DC95DE" w:rsidR="00DC5EC6" w:rsidRDefault="003245A4">
            <w:pPr>
              <w:pStyle w:val="P68B1DB1-Bodytext1013"/>
              <w:spacing w:after="0" w:line="240" w:lineRule="auto"/>
              <w:jc w:val="both"/>
              <w:rPr>
                <w:rFonts w:cstheme="minorBidi"/>
                <w:noProof/>
              </w:rPr>
            </w:pPr>
            <w:r>
              <w:rPr>
                <w:noProof/>
              </w:rPr>
              <w:t>A tanulók átlagos lemorzsolódási aránya az első évben és</w:t>
            </w:r>
            <w:r>
              <w:rPr>
                <w:noProof/>
                <w:vertAlign w:val="superscript"/>
              </w:rPr>
              <w:t>az</w:t>
            </w:r>
            <w:r>
              <w:rPr>
                <w:noProof/>
              </w:rPr>
              <w:t xml:space="preserve"> alapképzésben részt vevők átlagos lemorzsolódási aránya a 2020/2021-es tanévhez képest 24%-ról 22%-ra csökken. </w:t>
            </w:r>
          </w:p>
        </w:tc>
      </w:tr>
      <w:tr w:rsidR="00FC5CD5" w14:paraId="1B6CC263" w14:textId="77777777">
        <w:trPr>
          <w:trHeight w:val="1200"/>
        </w:trPr>
        <w:tc>
          <w:tcPr>
            <w:tcW w:w="1135" w:type="dxa"/>
            <w:shd w:val="clear" w:color="auto" w:fill="C5EFCE"/>
            <w:vAlign w:val="center"/>
          </w:tcPr>
          <w:p w14:paraId="17852A2F" w14:textId="4BC71954" w:rsidR="00FC5CD5" w:rsidRDefault="00FC5CD5" w:rsidP="00FC5CD5">
            <w:pPr>
              <w:pStyle w:val="P68B1DB1-Normal11"/>
              <w:spacing w:after="0" w:line="240" w:lineRule="auto"/>
              <w:jc w:val="center"/>
              <w:rPr>
                <w:noProof/>
              </w:rPr>
            </w:pPr>
            <w:r>
              <w:rPr>
                <w:noProof/>
              </w:rPr>
              <w:t>6.26</w:t>
            </w:r>
          </w:p>
        </w:tc>
        <w:tc>
          <w:tcPr>
            <w:tcW w:w="1276" w:type="dxa"/>
            <w:shd w:val="clear" w:color="auto" w:fill="C4EFCE"/>
            <w:noWrap/>
            <w:vAlign w:val="center"/>
          </w:tcPr>
          <w:p w14:paraId="6AB0021F" w14:textId="36D94200" w:rsidR="00FC5CD5" w:rsidRDefault="00FC5CD5" w:rsidP="00FC5CD5">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D4E502D" w14:textId="257DAB64" w:rsidR="00FC5CD5" w:rsidRDefault="00FC5CD5" w:rsidP="00FC5CD5">
            <w:pPr>
              <w:pStyle w:val="P68B1DB1-Normal12"/>
              <w:spacing w:after="0" w:line="240" w:lineRule="auto"/>
              <w:jc w:val="center"/>
              <w:rPr>
                <w:rFonts w:cstheme="minorHAnsi"/>
                <w:noProof/>
                <w:highlight w:val="yellow"/>
              </w:rPr>
            </w:pPr>
            <w:r>
              <w:rPr>
                <w:noProof/>
              </w:rPr>
              <w:t>M</w:t>
            </w:r>
          </w:p>
        </w:tc>
        <w:tc>
          <w:tcPr>
            <w:tcW w:w="1701" w:type="dxa"/>
            <w:shd w:val="clear" w:color="auto" w:fill="C4EFCE"/>
            <w:noWrap/>
            <w:vAlign w:val="center"/>
          </w:tcPr>
          <w:p w14:paraId="4066C449" w14:textId="4911D8E4" w:rsidR="00FC5CD5" w:rsidRDefault="00FC5CD5" w:rsidP="00FC5CD5">
            <w:pPr>
              <w:pStyle w:val="P68B1DB1-Normal12"/>
              <w:spacing w:after="0" w:line="240" w:lineRule="auto"/>
              <w:jc w:val="center"/>
              <w:rPr>
                <w:noProof/>
                <w:highlight w:val="yellow"/>
              </w:rPr>
            </w:pPr>
            <w:r>
              <w:rPr>
                <w:noProof/>
              </w:rPr>
              <w:t>A CITMA épület bővítésére vonatkozó szerződés aláírása</w:t>
            </w:r>
          </w:p>
        </w:tc>
        <w:tc>
          <w:tcPr>
            <w:tcW w:w="1275" w:type="dxa"/>
            <w:shd w:val="clear" w:color="auto" w:fill="C4EFCE"/>
            <w:noWrap/>
            <w:vAlign w:val="center"/>
          </w:tcPr>
          <w:p w14:paraId="4184FAC3" w14:textId="57DE588F" w:rsidR="00FC5CD5" w:rsidRDefault="00FC5CD5" w:rsidP="00FC5CD5">
            <w:pPr>
              <w:pStyle w:val="P68B1DB1-Normal12"/>
              <w:spacing w:after="0" w:line="240" w:lineRule="auto"/>
              <w:jc w:val="center"/>
              <w:rPr>
                <w:noProof/>
              </w:rPr>
            </w:pPr>
            <w:r>
              <w:rPr>
                <w:noProof/>
              </w:rPr>
              <w:t>A szerződő féllel aláírt szerződés a CITMA épület meghosszabbításáról</w:t>
            </w:r>
          </w:p>
        </w:tc>
        <w:tc>
          <w:tcPr>
            <w:tcW w:w="993" w:type="dxa"/>
            <w:shd w:val="clear" w:color="auto" w:fill="C4EFCE"/>
            <w:noWrap/>
            <w:vAlign w:val="center"/>
          </w:tcPr>
          <w:p w14:paraId="2594E74E" w14:textId="77777777" w:rsidR="00FC5CD5" w:rsidRDefault="00FC5CD5" w:rsidP="00FC5CD5">
            <w:pPr>
              <w:spacing w:after="0" w:line="240" w:lineRule="auto"/>
              <w:jc w:val="center"/>
              <w:rPr>
                <w:rFonts w:cstheme="minorHAnsi"/>
                <w:noProof/>
                <w:sz w:val="16"/>
                <w:highlight w:val="yellow"/>
              </w:rPr>
            </w:pPr>
          </w:p>
        </w:tc>
        <w:tc>
          <w:tcPr>
            <w:tcW w:w="992" w:type="dxa"/>
            <w:shd w:val="clear" w:color="auto" w:fill="C4EFCE"/>
            <w:noWrap/>
            <w:vAlign w:val="center"/>
          </w:tcPr>
          <w:p w14:paraId="5C7A545B" w14:textId="77777777" w:rsidR="00FC5CD5" w:rsidRDefault="00FC5CD5" w:rsidP="00FC5CD5">
            <w:pPr>
              <w:spacing w:after="0" w:line="240" w:lineRule="auto"/>
              <w:jc w:val="center"/>
              <w:rPr>
                <w:rFonts w:cstheme="minorHAnsi"/>
                <w:noProof/>
                <w:sz w:val="16"/>
                <w:highlight w:val="yellow"/>
              </w:rPr>
            </w:pPr>
          </w:p>
        </w:tc>
        <w:tc>
          <w:tcPr>
            <w:tcW w:w="850" w:type="dxa"/>
            <w:shd w:val="clear" w:color="auto" w:fill="C4EFCE"/>
            <w:noWrap/>
            <w:vAlign w:val="center"/>
          </w:tcPr>
          <w:p w14:paraId="5C0309AA" w14:textId="77777777" w:rsidR="00FC5CD5" w:rsidRDefault="00FC5CD5" w:rsidP="00FC5CD5">
            <w:pPr>
              <w:spacing w:after="0" w:line="240" w:lineRule="auto"/>
              <w:jc w:val="center"/>
              <w:rPr>
                <w:rFonts w:cstheme="minorHAnsi"/>
                <w:noProof/>
                <w:sz w:val="16"/>
                <w:highlight w:val="yellow"/>
              </w:rPr>
            </w:pPr>
          </w:p>
        </w:tc>
        <w:tc>
          <w:tcPr>
            <w:tcW w:w="567" w:type="dxa"/>
            <w:shd w:val="clear" w:color="auto" w:fill="C4EFCE"/>
            <w:noWrap/>
            <w:vAlign w:val="center"/>
          </w:tcPr>
          <w:p w14:paraId="7B969A18" w14:textId="46EF35CE" w:rsidR="00FC5CD5" w:rsidRDefault="00FC5CD5" w:rsidP="00FC5CD5">
            <w:pPr>
              <w:pStyle w:val="P68B1DB1-Normal12"/>
              <w:spacing w:after="0" w:line="240" w:lineRule="auto"/>
              <w:jc w:val="center"/>
              <w:rPr>
                <w:noProof/>
                <w:highlight w:val="yellow"/>
              </w:rPr>
            </w:pPr>
            <w:r>
              <w:rPr>
                <w:noProof/>
              </w:rPr>
              <w:t>4. NEGYEDÉV</w:t>
            </w:r>
          </w:p>
        </w:tc>
        <w:tc>
          <w:tcPr>
            <w:tcW w:w="708" w:type="dxa"/>
            <w:shd w:val="clear" w:color="auto" w:fill="C4EFCE"/>
            <w:noWrap/>
            <w:vAlign w:val="center"/>
          </w:tcPr>
          <w:p w14:paraId="5BA274AA" w14:textId="7294986B" w:rsidR="00FC5CD5" w:rsidRDefault="00FC5CD5" w:rsidP="00FC5CD5">
            <w:pPr>
              <w:pStyle w:val="P68B1DB1-Normal12"/>
              <w:spacing w:after="0" w:line="240" w:lineRule="auto"/>
              <w:jc w:val="center"/>
              <w:rPr>
                <w:noProof/>
                <w:highlight w:val="yellow"/>
              </w:rPr>
            </w:pPr>
            <w:r>
              <w:rPr>
                <w:noProof/>
              </w:rPr>
              <w:t>2024</w:t>
            </w:r>
          </w:p>
        </w:tc>
        <w:tc>
          <w:tcPr>
            <w:tcW w:w="4395" w:type="dxa"/>
            <w:shd w:val="clear" w:color="auto" w:fill="C4EFCE"/>
          </w:tcPr>
          <w:p w14:paraId="026297F8" w14:textId="55F6305A" w:rsidR="00FC5CD5" w:rsidRDefault="00FC5CD5" w:rsidP="00FC5CD5">
            <w:pPr>
              <w:pStyle w:val="P68B1DB1-Bodytext1013"/>
              <w:spacing w:line="240" w:lineRule="auto"/>
              <w:jc w:val="both"/>
              <w:rPr>
                <w:rFonts w:cstheme="minorBidi"/>
                <w:noProof/>
              </w:rPr>
            </w:pPr>
            <w:r>
              <w:rPr>
                <w:noProof/>
              </w:rPr>
              <w:t>Aláírt szerződés a Madeirai Tudományos és Technológiai Központ (CITMA) épületének bővítésére. A bővítés a jelenlegi épület három emeletének bővítéséből és a földszint bővítéséből áll. Az épületet a csökkent mozgásképességű személyek igényeihez kell igazítani.</w:t>
            </w:r>
          </w:p>
        </w:tc>
      </w:tr>
      <w:tr w:rsidR="00DC5EC6" w14:paraId="26661FA7" w14:textId="77777777">
        <w:trPr>
          <w:trHeight w:val="640"/>
        </w:trPr>
        <w:tc>
          <w:tcPr>
            <w:tcW w:w="1135" w:type="dxa"/>
            <w:shd w:val="clear" w:color="auto" w:fill="C5EFCE"/>
            <w:vAlign w:val="center"/>
          </w:tcPr>
          <w:p w14:paraId="16FCC56E" w14:textId="432F4705" w:rsidR="00DC5EC6" w:rsidRDefault="003245A4">
            <w:pPr>
              <w:pStyle w:val="P68B1DB1-Normal11"/>
              <w:spacing w:after="0" w:line="240" w:lineRule="auto"/>
              <w:jc w:val="center"/>
              <w:rPr>
                <w:noProof/>
              </w:rPr>
            </w:pPr>
            <w:r>
              <w:rPr>
                <w:noProof/>
              </w:rPr>
              <w:t>6.27</w:t>
            </w:r>
          </w:p>
        </w:tc>
        <w:tc>
          <w:tcPr>
            <w:tcW w:w="1276" w:type="dxa"/>
            <w:shd w:val="clear" w:color="auto" w:fill="C4EFCE"/>
            <w:noWrap/>
            <w:vAlign w:val="center"/>
          </w:tcPr>
          <w:p w14:paraId="7A2ED63D" w14:textId="6A226D82" w:rsidR="00DC5EC6" w:rsidRDefault="003245A4">
            <w:pPr>
              <w:pStyle w:val="P68B1DB1-Normal12"/>
              <w:spacing w:after="0" w:line="240" w:lineRule="auto"/>
              <w:jc w:val="center"/>
              <w:rPr>
                <w:rFonts w:cstheme="minorHAnsi"/>
                <w:noProof/>
                <w:highlight w:val="yellow"/>
              </w:rPr>
            </w:pPr>
            <w:r>
              <w:rPr>
                <w:noProof/>
              </w:rPr>
              <w:t>Re-C06-i08-RAM</w:t>
            </w:r>
          </w:p>
        </w:tc>
        <w:tc>
          <w:tcPr>
            <w:tcW w:w="1134" w:type="dxa"/>
            <w:shd w:val="clear" w:color="auto" w:fill="C4EFCE"/>
            <w:noWrap/>
            <w:vAlign w:val="center"/>
          </w:tcPr>
          <w:p w14:paraId="71DDD4B9" w14:textId="3B2B0BFD" w:rsidR="00DC5EC6" w:rsidRDefault="003245A4">
            <w:pPr>
              <w:pStyle w:val="P68B1DB1-Normal12"/>
              <w:spacing w:after="0" w:line="240" w:lineRule="auto"/>
              <w:jc w:val="center"/>
              <w:rPr>
                <w:rFonts w:cstheme="minorHAnsi"/>
                <w:noProof/>
                <w:highlight w:val="yellow"/>
              </w:rPr>
            </w:pPr>
            <w:r>
              <w:rPr>
                <w:noProof/>
              </w:rPr>
              <w:t>T</w:t>
            </w:r>
          </w:p>
        </w:tc>
        <w:tc>
          <w:tcPr>
            <w:tcW w:w="1701" w:type="dxa"/>
            <w:shd w:val="clear" w:color="auto" w:fill="C4EFCE"/>
            <w:noWrap/>
            <w:vAlign w:val="center"/>
          </w:tcPr>
          <w:p w14:paraId="6636B311" w14:textId="0722EF78" w:rsidR="00DC5EC6" w:rsidRDefault="003245A4">
            <w:pPr>
              <w:pStyle w:val="P68B1DB1-Normal12"/>
              <w:spacing w:after="0" w:line="240" w:lineRule="auto"/>
              <w:jc w:val="center"/>
              <w:rPr>
                <w:rFonts w:cstheme="minorHAnsi"/>
                <w:noProof/>
                <w:highlight w:val="yellow"/>
              </w:rPr>
            </w:pPr>
            <w:r>
              <w:rPr>
                <w:noProof/>
              </w:rPr>
              <w:t>A CITMA épület kibővítésének befejezése</w:t>
            </w:r>
          </w:p>
        </w:tc>
        <w:tc>
          <w:tcPr>
            <w:tcW w:w="1275" w:type="dxa"/>
            <w:shd w:val="clear" w:color="auto" w:fill="C4EFCE"/>
            <w:noWrap/>
            <w:vAlign w:val="center"/>
          </w:tcPr>
          <w:p w14:paraId="5B8088BD"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6D0A9446" w14:textId="77152A4E" w:rsidR="00DC5EC6" w:rsidRDefault="003245A4">
            <w:pPr>
              <w:pStyle w:val="P68B1DB1-Normal12"/>
              <w:spacing w:after="0" w:line="240" w:lineRule="auto"/>
              <w:jc w:val="center"/>
              <w:rPr>
                <w:rFonts w:cstheme="minorHAnsi"/>
                <w:noProof/>
                <w:highlight w:val="yellow"/>
              </w:rPr>
            </w:pPr>
            <w:r>
              <w:rPr>
                <w:noProof/>
              </w:rPr>
              <w:t>m² (bruttó)</w:t>
            </w:r>
          </w:p>
        </w:tc>
        <w:tc>
          <w:tcPr>
            <w:tcW w:w="992" w:type="dxa"/>
            <w:shd w:val="clear" w:color="auto" w:fill="C4EFCE"/>
            <w:noWrap/>
            <w:vAlign w:val="center"/>
          </w:tcPr>
          <w:p w14:paraId="49E7248F" w14:textId="0204F5B0" w:rsidR="00DC5EC6" w:rsidRDefault="003245A4">
            <w:pPr>
              <w:pStyle w:val="P68B1DB1-Normal12"/>
              <w:spacing w:after="0" w:line="240" w:lineRule="auto"/>
              <w:jc w:val="center"/>
              <w:rPr>
                <w:rFonts w:cstheme="minorHAnsi"/>
                <w:noProof/>
                <w:highlight w:val="yellow"/>
              </w:rPr>
            </w:pPr>
            <w:r>
              <w:rPr>
                <w:noProof/>
              </w:rPr>
              <w:t>0</w:t>
            </w:r>
          </w:p>
        </w:tc>
        <w:tc>
          <w:tcPr>
            <w:tcW w:w="850" w:type="dxa"/>
            <w:shd w:val="clear" w:color="auto" w:fill="C4EFCE"/>
            <w:noWrap/>
            <w:vAlign w:val="center"/>
          </w:tcPr>
          <w:p w14:paraId="437267C7" w14:textId="13522473" w:rsidR="00DC5EC6" w:rsidRDefault="003245A4">
            <w:pPr>
              <w:pStyle w:val="P68B1DB1-Normal12"/>
              <w:spacing w:after="0" w:line="240" w:lineRule="auto"/>
              <w:jc w:val="center"/>
              <w:rPr>
                <w:rFonts w:cstheme="minorHAnsi"/>
                <w:noProof/>
                <w:highlight w:val="yellow"/>
              </w:rPr>
            </w:pPr>
            <w:r>
              <w:rPr>
                <w:noProof/>
              </w:rPr>
              <w:t>9.030</w:t>
            </w:r>
          </w:p>
        </w:tc>
        <w:tc>
          <w:tcPr>
            <w:tcW w:w="567" w:type="dxa"/>
            <w:shd w:val="clear" w:color="auto" w:fill="C4EFCE"/>
            <w:noWrap/>
            <w:vAlign w:val="center"/>
          </w:tcPr>
          <w:p w14:paraId="1704115E" w14:textId="7448041F" w:rsidR="00DC5EC6" w:rsidRDefault="00FC5CD5">
            <w:pPr>
              <w:pStyle w:val="P68B1DB1-Normal12"/>
              <w:spacing w:after="0" w:line="240" w:lineRule="auto"/>
              <w:jc w:val="center"/>
              <w:rPr>
                <w:rFonts w:cstheme="minorHAnsi"/>
                <w:noProof/>
                <w:highlight w:val="yellow"/>
              </w:rPr>
            </w:pPr>
            <w:r>
              <w:rPr>
                <w:noProof/>
              </w:rPr>
              <w:t>2. NEGYEDÉV</w:t>
            </w:r>
          </w:p>
        </w:tc>
        <w:tc>
          <w:tcPr>
            <w:tcW w:w="708" w:type="dxa"/>
            <w:shd w:val="clear" w:color="auto" w:fill="C4EFCE"/>
            <w:noWrap/>
            <w:vAlign w:val="center"/>
          </w:tcPr>
          <w:p w14:paraId="121AEEFC" w14:textId="164B71B5" w:rsidR="00DC5EC6" w:rsidRDefault="003245A4">
            <w:pPr>
              <w:pStyle w:val="P68B1DB1-Normal12"/>
              <w:spacing w:after="0" w:line="240" w:lineRule="auto"/>
              <w:jc w:val="center"/>
              <w:rPr>
                <w:rFonts w:cstheme="minorHAnsi"/>
                <w:noProof/>
                <w:highlight w:val="yellow"/>
              </w:rPr>
            </w:pPr>
            <w:r>
              <w:rPr>
                <w:noProof/>
              </w:rPr>
              <w:t>2026</w:t>
            </w:r>
          </w:p>
        </w:tc>
        <w:tc>
          <w:tcPr>
            <w:tcW w:w="4395" w:type="dxa"/>
            <w:shd w:val="clear" w:color="auto" w:fill="C4EFCE"/>
          </w:tcPr>
          <w:p w14:paraId="6755F55B" w14:textId="6249822E" w:rsidR="00DC5EC6" w:rsidRDefault="003245A4">
            <w:pPr>
              <w:pStyle w:val="P68B1DB1-Bodytext1013"/>
              <w:spacing w:after="0" w:line="240" w:lineRule="auto"/>
              <w:jc w:val="both"/>
              <w:rPr>
                <w:rFonts w:cstheme="minorBidi"/>
                <w:noProof/>
              </w:rPr>
            </w:pPr>
            <w:r>
              <w:rPr>
                <w:noProof/>
              </w:rPr>
              <w:t xml:space="preserve">A CITMA épület bővítésével kapcsolatos valamennyi szerződéses munka elvégzése az M6.26. pontban meghatározottak szerint. </w:t>
            </w:r>
          </w:p>
          <w:p w14:paraId="2E4EF6FD" w14:textId="67B2A4A2" w:rsidR="00DC5EC6" w:rsidRDefault="003245A4">
            <w:pPr>
              <w:pStyle w:val="P68B1DB1-Bodytext1013"/>
              <w:spacing w:after="0" w:line="240" w:lineRule="auto"/>
              <w:jc w:val="both"/>
              <w:rPr>
                <w:rFonts w:cstheme="minorHAnsi"/>
                <w:noProof/>
                <w:highlight w:val="yellow"/>
              </w:rPr>
            </w:pPr>
            <w:r>
              <w:rPr>
                <w:noProof/>
              </w:rPr>
              <w:t>Az épület primerenergia-szükségletének legalább 20%-kal alacsonyabbnak kell lennie a közel nulla energiaigényű épületekre vonatkozó követelményeknél.</w:t>
            </w:r>
          </w:p>
        </w:tc>
      </w:tr>
    </w:tbl>
    <w:p w14:paraId="703445A0"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126"/>
          <w:headerReference w:type="default" r:id="rId127"/>
          <w:footerReference w:type="even" r:id="rId128"/>
          <w:footerReference w:type="default" r:id="rId129"/>
          <w:headerReference w:type="first" r:id="rId130"/>
          <w:footerReference w:type="first" r:id="rId131"/>
          <w:pgSz w:w="16839" w:h="11907" w:orient="landscape"/>
          <w:pgMar w:top="1134" w:right="1134" w:bottom="1134" w:left="1134" w:header="567" w:footer="567" w:gutter="0"/>
          <w:cols w:space="720"/>
          <w:docGrid w:linePitch="360"/>
        </w:sectPr>
      </w:pPr>
    </w:p>
    <w:p w14:paraId="0B57B546" w14:textId="00CBED5A" w:rsidR="00DC5EC6" w:rsidRDefault="003245A4">
      <w:pPr>
        <w:pStyle w:val="P68B1DB1-Normal3"/>
        <w:spacing w:before="40" w:after="120" w:line="259" w:lineRule="auto"/>
        <w:ind w:left="130" w:firstLine="720"/>
        <w:jc w:val="both"/>
        <w:outlineLvl w:val="2"/>
        <w:rPr>
          <w:rFonts w:eastAsiaTheme="minorEastAsia" w:cs="Times New Roman"/>
          <w:noProof/>
        </w:rPr>
      </w:pPr>
      <w:r>
        <w:rPr>
          <w:noProof/>
        </w:rPr>
        <w:t>F.3. A hitelhez kapcsolódó reformok és beruházások ismertetése</w:t>
      </w:r>
    </w:p>
    <w:p w14:paraId="4E706AE3" w14:textId="4F5820BE" w:rsidR="00DC5EC6" w:rsidRDefault="003245A4">
      <w:pPr>
        <w:pStyle w:val="P68B1DB1-Heading214"/>
        <w:rPr>
          <w:noProof/>
        </w:rPr>
      </w:pPr>
      <w:bookmarkStart w:id="21" w:name="_Toc137472455"/>
      <w:r>
        <w:rPr>
          <w:noProof/>
        </w:rPr>
        <w:t>RE-C06-i09 beruházás: Új vagy felújított iskolák</w:t>
      </w:r>
      <w:bookmarkEnd w:id="21"/>
    </w:p>
    <w:p w14:paraId="49C17223" w14:textId="77777777" w:rsidR="00DC5EC6" w:rsidRDefault="003245A4">
      <w:pPr>
        <w:pStyle w:val="P68B1DB1-Normal4"/>
        <w:spacing w:after="0" w:line="259" w:lineRule="auto"/>
        <w:jc w:val="both"/>
        <w:rPr>
          <w:rFonts w:cs="Times New Roman"/>
          <w:noProof/>
        </w:rPr>
      </w:pPr>
      <w:r>
        <w:rPr>
          <w:noProof/>
        </w:rPr>
        <w:t>Az intézkedés célja, hogy egyenlő hozzáférést biztosítson a minőségi állami iskolákhoz, ezáltal növelve azok vonzerejét és inkluzivitását, és csökkentve a területi egyenlőtlenségeket.</w:t>
      </w:r>
    </w:p>
    <w:p w14:paraId="1D44833B" w14:textId="597CE0EA" w:rsidR="00DC5EC6" w:rsidRDefault="003245A4">
      <w:pPr>
        <w:pStyle w:val="P68B1DB1-Normal4"/>
        <w:spacing w:after="0" w:line="259" w:lineRule="auto"/>
        <w:jc w:val="both"/>
        <w:rPr>
          <w:rFonts w:cs="Times New Roman"/>
          <w:noProof/>
        </w:rPr>
      </w:pPr>
      <w:r>
        <w:rPr>
          <w:noProof/>
        </w:rPr>
        <w:t xml:space="preserve">A beruházás új iskolák építéséből vagy meglévő iskolák felújításából áll. A beruházásoknak 75 olyan általános és középiskolára kell összpontosítaniuk, amelyeket kiemelt beavatkozásra szorulóként azonosítottak. </w:t>
      </w:r>
    </w:p>
    <w:p w14:paraId="4983461D" w14:textId="77777777" w:rsidR="00DC5EC6" w:rsidRDefault="003245A4">
      <w:pPr>
        <w:pStyle w:val="P68B1DB1-Normal4"/>
        <w:spacing w:after="0" w:line="259" w:lineRule="auto"/>
        <w:jc w:val="both"/>
        <w:rPr>
          <w:rFonts w:cs="Times New Roman"/>
          <w:noProof/>
        </w:rPr>
        <w:sectPr w:rsidR="00DC5EC6" w:rsidSect="00E00EDD">
          <w:headerReference w:type="even" r:id="rId132"/>
          <w:headerReference w:type="default" r:id="rId133"/>
          <w:footerReference w:type="even" r:id="rId134"/>
          <w:footerReference w:type="default" r:id="rId135"/>
          <w:headerReference w:type="first" r:id="rId136"/>
          <w:footerReference w:type="first" r:id="rId137"/>
          <w:pgSz w:w="11907" w:h="16839"/>
          <w:pgMar w:top="1134" w:right="1134" w:bottom="1134" w:left="1134" w:header="567" w:footer="567" w:gutter="0"/>
          <w:cols w:space="720"/>
          <w:docGrid w:linePitch="360"/>
        </w:sectPr>
      </w:pPr>
      <w:r>
        <w:rPr>
          <w:noProof/>
        </w:rPr>
        <w:t>A beruházás végrehajtását 2026. június 30-ig be kell fejezni.</w:t>
      </w:r>
    </w:p>
    <w:p w14:paraId="7558F518" w14:textId="06FC37A9" w:rsidR="00DC5EC6" w:rsidRDefault="003245A4">
      <w:pPr>
        <w:pStyle w:val="P68B1DB1-Normal3"/>
        <w:spacing w:before="40" w:after="120" w:line="259" w:lineRule="auto"/>
        <w:ind w:left="130" w:firstLine="720"/>
        <w:jc w:val="both"/>
        <w:outlineLvl w:val="2"/>
        <w:rPr>
          <w:rFonts w:eastAsiaTheme="minorEastAsia" w:cs="Times New Roman"/>
          <w:noProof/>
        </w:rPr>
      </w:pPr>
      <w:r>
        <w:rPr>
          <w:noProof/>
        </w:rPr>
        <w:t>F.4. Hitel – a végrehajtáshoz és a nyomon követéshez kapcsolódó mérföldkövek, célok, mutatók és ütemterv</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567"/>
        <w:gridCol w:w="708"/>
        <w:gridCol w:w="4395"/>
      </w:tblGrid>
      <w:tr w:rsidR="00DC5EC6" w14:paraId="35CBC765" w14:textId="77777777">
        <w:trPr>
          <w:trHeight w:val="910"/>
        </w:trPr>
        <w:tc>
          <w:tcPr>
            <w:tcW w:w="1135" w:type="dxa"/>
            <w:vMerge w:val="restart"/>
            <w:shd w:val="clear" w:color="auto" w:fill="BDD6EE"/>
            <w:vAlign w:val="center"/>
            <w:hideMark/>
          </w:tcPr>
          <w:p w14:paraId="1828903B"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6731E7DF"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009937F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110401E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61C9BD3B"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835" w:type="dxa"/>
            <w:gridSpan w:val="3"/>
            <w:shd w:val="clear" w:color="auto" w:fill="BDD6EE"/>
            <w:vAlign w:val="center"/>
            <w:hideMark/>
          </w:tcPr>
          <w:p w14:paraId="136D5C4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65792DA3"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shd w:val="clear" w:color="auto" w:fill="BDD6EE"/>
            <w:noWrap/>
            <w:vAlign w:val="center"/>
            <w:hideMark/>
          </w:tcPr>
          <w:p w14:paraId="74D8A200"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0BB373E4" w14:textId="77777777">
        <w:trPr>
          <w:trHeight w:val="470"/>
        </w:trPr>
        <w:tc>
          <w:tcPr>
            <w:tcW w:w="1135" w:type="dxa"/>
            <w:vMerge/>
            <w:vAlign w:val="center"/>
            <w:hideMark/>
          </w:tcPr>
          <w:p w14:paraId="65AD4F05"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44BD7125"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32AA7BB9"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1593588"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66678DA0"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2DB1308E"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1A093FA"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50" w:type="dxa"/>
            <w:shd w:val="clear" w:color="auto" w:fill="BDD6EE"/>
            <w:vAlign w:val="center"/>
            <w:hideMark/>
          </w:tcPr>
          <w:p w14:paraId="08598FE0"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6EF144BD" w14:textId="3BB928A5"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38E6ED20" w14:textId="49591AF5"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vAlign w:val="center"/>
            <w:hideMark/>
          </w:tcPr>
          <w:p w14:paraId="0E23BA6C" w14:textId="77777777" w:rsidR="00DC5EC6" w:rsidRDefault="00DC5EC6">
            <w:pPr>
              <w:spacing w:after="0" w:line="240" w:lineRule="auto"/>
              <w:rPr>
                <w:rFonts w:ascii="Times New Roman" w:eastAsia="Times New Roman" w:hAnsi="Times New Roman" w:cs="Times New Roman"/>
                <w:b/>
                <w:noProof/>
                <w:sz w:val="18"/>
              </w:rPr>
            </w:pPr>
          </w:p>
        </w:tc>
      </w:tr>
      <w:tr w:rsidR="001F25B1" w14:paraId="3D20A5EA" w14:textId="77777777">
        <w:trPr>
          <w:trHeight w:val="640"/>
        </w:trPr>
        <w:tc>
          <w:tcPr>
            <w:tcW w:w="1135" w:type="dxa"/>
            <w:shd w:val="clear" w:color="auto" w:fill="C5EFCE"/>
            <w:vAlign w:val="center"/>
          </w:tcPr>
          <w:p w14:paraId="6A531982" w14:textId="77777777" w:rsidR="001F25B1" w:rsidRDefault="001F25B1" w:rsidP="001F25B1">
            <w:pPr>
              <w:pStyle w:val="P68B1DB1-Normal11"/>
              <w:spacing w:after="0" w:line="240" w:lineRule="auto"/>
              <w:jc w:val="center"/>
              <w:rPr>
                <w:noProof/>
              </w:rPr>
            </w:pPr>
            <w:r>
              <w:rPr>
                <w:noProof/>
              </w:rPr>
              <w:t>6.28</w:t>
            </w:r>
          </w:p>
        </w:tc>
        <w:tc>
          <w:tcPr>
            <w:tcW w:w="1276" w:type="dxa"/>
            <w:shd w:val="clear" w:color="auto" w:fill="C4EFCE"/>
            <w:noWrap/>
            <w:vAlign w:val="center"/>
          </w:tcPr>
          <w:p w14:paraId="110672C3" w14:textId="77777777" w:rsidR="001F25B1" w:rsidRDefault="001F25B1" w:rsidP="001F25B1">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3F6D50D9" w14:textId="77777777" w:rsidR="001F25B1" w:rsidRDefault="001F25B1" w:rsidP="001F25B1">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5FC35C89" w14:textId="77777777" w:rsidR="001F25B1" w:rsidRDefault="001F25B1" w:rsidP="001F25B1">
            <w:pPr>
              <w:pStyle w:val="P68B1DB1-Normal12"/>
              <w:spacing w:after="0" w:line="240" w:lineRule="auto"/>
              <w:jc w:val="center"/>
              <w:rPr>
                <w:noProof/>
              </w:rPr>
            </w:pPr>
            <w:r>
              <w:rPr>
                <w:noProof/>
              </w:rPr>
              <w:t>Az állami iskolák építésére és felújítására vonatkozó szerződések aláírása</w:t>
            </w:r>
          </w:p>
        </w:tc>
        <w:tc>
          <w:tcPr>
            <w:tcW w:w="1275" w:type="dxa"/>
            <w:shd w:val="clear" w:color="auto" w:fill="C4EFCE"/>
            <w:noWrap/>
            <w:vAlign w:val="center"/>
          </w:tcPr>
          <w:p w14:paraId="64C1ED73" w14:textId="77777777" w:rsidR="001F25B1" w:rsidRDefault="001F25B1" w:rsidP="001F25B1">
            <w:pPr>
              <w:pStyle w:val="P68B1DB1-Normal12"/>
              <w:spacing w:after="0" w:line="240" w:lineRule="auto"/>
              <w:jc w:val="center"/>
              <w:rPr>
                <w:noProof/>
              </w:rPr>
            </w:pPr>
            <w:r>
              <w:rPr>
                <w:noProof/>
              </w:rPr>
              <w:t xml:space="preserve"> Aláírt szerződések </w:t>
            </w:r>
          </w:p>
        </w:tc>
        <w:tc>
          <w:tcPr>
            <w:tcW w:w="993" w:type="dxa"/>
            <w:shd w:val="clear" w:color="auto" w:fill="C4EFCE"/>
            <w:noWrap/>
            <w:vAlign w:val="center"/>
          </w:tcPr>
          <w:p w14:paraId="7EBF5460" w14:textId="77777777" w:rsidR="001F25B1" w:rsidRDefault="001F25B1" w:rsidP="001F25B1">
            <w:pPr>
              <w:pStyle w:val="P68B1DB1-Normal12"/>
              <w:spacing w:after="0" w:line="240" w:lineRule="auto"/>
              <w:jc w:val="center"/>
              <w:rPr>
                <w:noProof/>
              </w:rPr>
            </w:pPr>
            <w:r>
              <w:rPr>
                <w:noProof/>
              </w:rPr>
              <w:t>Szám</w:t>
            </w:r>
          </w:p>
        </w:tc>
        <w:tc>
          <w:tcPr>
            <w:tcW w:w="992" w:type="dxa"/>
            <w:shd w:val="clear" w:color="auto" w:fill="C4EFCE"/>
            <w:noWrap/>
            <w:vAlign w:val="center"/>
          </w:tcPr>
          <w:p w14:paraId="0D14F3E5" w14:textId="77777777" w:rsidR="001F25B1" w:rsidRDefault="001F25B1" w:rsidP="001F25B1">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77DD45F8" w14:textId="77777777" w:rsidR="001F25B1" w:rsidRDefault="001F25B1" w:rsidP="001F25B1">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ED23A9E" w14:textId="47B59D7C" w:rsidR="001F25B1" w:rsidRDefault="001F25B1" w:rsidP="001F25B1">
            <w:pPr>
              <w:pStyle w:val="P68B1DB1-Normal12"/>
              <w:spacing w:after="0" w:line="240" w:lineRule="auto"/>
              <w:jc w:val="center"/>
              <w:rPr>
                <w:rFonts w:cstheme="minorHAnsi"/>
                <w:noProof/>
              </w:rPr>
            </w:pPr>
            <w:r>
              <w:rPr>
                <w:noProof/>
              </w:rPr>
              <w:t>4. NEGYEDÉV</w:t>
            </w:r>
          </w:p>
        </w:tc>
        <w:tc>
          <w:tcPr>
            <w:tcW w:w="708" w:type="dxa"/>
            <w:shd w:val="clear" w:color="auto" w:fill="C4EFCE"/>
            <w:noWrap/>
            <w:vAlign w:val="center"/>
          </w:tcPr>
          <w:p w14:paraId="621FC598" w14:textId="77777777" w:rsidR="001F25B1" w:rsidRDefault="001F25B1" w:rsidP="001F25B1">
            <w:pPr>
              <w:pStyle w:val="P68B1DB1-Normal12"/>
              <w:spacing w:after="0" w:line="240" w:lineRule="auto"/>
              <w:jc w:val="center"/>
              <w:rPr>
                <w:rFonts w:cstheme="minorHAnsi"/>
                <w:noProof/>
              </w:rPr>
            </w:pPr>
            <w:r>
              <w:rPr>
                <w:noProof/>
              </w:rPr>
              <w:t>2024</w:t>
            </w:r>
          </w:p>
        </w:tc>
        <w:tc>
          <w:tcPr>
            <w:tcW w:w="4395" w:type="dxa"/>
            <w:shd w:val="clear" w:color="auto" w:fill="C4EFCE"/>
          </w:tcPr>
          <w:p w14:paraId="77EC3E58" w14:textId="26CD502B" w:rsidR="001F25B1" w:rsidRDefault="001F25B1" w:rsidP="001F25B1">
            <w:pPr>
              <w:pStyle w:val="P68B1DB1-Bodytext1013"/>
              <w:spacing w:after="0" w:line="240" w:lineRule="auto"/>
              <w:jc w:val="both"/>
              <w:rPr>
                <w:rFonts w:cstheme="minorBidi"/>
                <w:noProof/>
              </w:rPr>
            </w:pPr>
            <w:r>
              <w:rPr>
                <w:noProof/>
              </w:rPr>
              <w:t xml:space="preserve">Az általános és középiskolák építésére vagy felújítására vonatkozó szerződéseket alá kell írni. Az igények felmérésén alapul annak eldöntése, hogy mely iskolákat kell felújítani, és hol van szükség új iskolákra.  </w:t>
            </w:r>
          </w:p>
        </w:tc>
      </w:tr>
      <w:tr w:rsidR="00DC5EC6" w14:paraId="37FA4D82" w14:textId="77777777">
        <w:trPr>
          <w:trHeight w:val="640"/>
        </w:trPr>
        <w:tc>
          <w:tcPr>
            <w:tcW w:w="1135" w:type="dxa"/>
            <w:shd w:val="clear" w:color="auto" w:fill="C5EFCE"/>
            <w:vAlign w:val="center"/>
          </w:tcPr>
          <w:p w14:paraId="2889C3DF" w14:textId="77777777" w:rsidR="00DC5EC6" w:rsidRDefault="003245A4">
            <w:pPr>
              <w:pStyle w:val="P68B1DB1-Normal11"/>
              <w:spacing w:after="0" w:line="240" w:lineRule="auto"/>
              <w:jc w:val="center"/>
              <w:rPr>
                <w:noProof/>
              </w:rPr>
            </w:pPr>
            <w:r>
              <w:rPr>
                <w:noProof/>
              </w:rPr>
              <w:t>6.29</w:t>
            </w:r>
          </w:p>
        </w:tc>
        <w:tc>
          <w:tcPr>
            <w:tcW w:w="1276" w:type="dxa"/>
            <w:shd w:val="clear" w:color="auto" w:fill="C4EFCE"/>
            <w:noWrap/>
            <w:vAlign w:val="center"/>
          </w:tcPr>
          <w:p w14:paraId="482C0EE3" w14:textId="77777777" w:rsidR="00DC5EC6" w:rsidRDefault="003245A4">
            <w:pPr>
              <w:pStyle w:val="P68B1DB1-Normal12"/>
              <w:spacing w:after="0" w:line="240" w:lineRule="auto"/>
              <w:jc w:val="center"/>
              <w:rPr>
                <w:rFonts w:cstheme="minorHAnsi"/>
                <w:noProof/>
              </w:rPr>
            </w:pPr>
            <w:r>
              <w:rPr>
                <w:noProof/>
              </w:rPr>
              <w:t>Re-C06-i09</w:t>
            </w:r>
          </w:p>
        </w:tc>
        <w:tc>
          <w:tcPr>
            <w:tcW w:w="1134" w:type="dxa"/>
            <w:shd w:val="clear" w:color="auto" w:fill="C4EFCE"/>
            <w:noWrap/>
            <w:vAlign w:val="center"/>
          </w:tcPr>
          <w:p w14:paraId="5D44023D" w14:textId="77777777" w:rsidR="00DC5EC6" w:rsidRDefault="003245A4">
            <w:pPr>
              <w:pStyle w:val="P68B1DB1-Normal12"/>
              <w:spacing w:after="0" w:line="240" w:lineRule="auto"/>
              <w:jc w:val="center"/>
              <w:rPr>
                <w:rFonts w:cstheme="minorHAnsi"/>
                <w:noProof/>
              </w:rPr>
            </w:pPr>
            <w:r>
              <w:rPr>
                <w:noProof/>
              </w:rPr>
              <w:t>T</w:t>
            </w:r>
          </w:p>
        </w:tc>
        <w:tc>
          <w:tcPr>
            <w:tcW w:w="1701" w:type="dxa"/>
            <w:shd w:val="clear" w:color="auto" w:fill="C4EFCE"/>
            <w:noWrap/>
            <w:vAlign w:val="center"/>
          </w:tcPr>
          <w:p w14:paraId="1516CDF5" w14:textId="77777777" w:rsidR="00DC5EC6" w:rsidRDefault="003245A4">
            <w:pPr>
              <w:pStyle w:val="P68B1DB1-Normal12"/>
              <w:spacing w:after="0" w:line="240" w:lineRule="auto"/>
              <w:jc w:val="center"/>
              <w:rPr>
                <w:rFonts w:cstheme="minorHAnsi"/>
                <w:noProof/>
              </w:rPr>
            </w:pPr>
            <w:r>
              <w:rPr>
                <w:noProof/>
              </w:rPr>
              <w:t>Épített vagy felújított iskolák</w:t>
            </w:r>
          </w:p>
        </w:tc>
        <w:tc>
          <w:tcPr>
            <w:tcW w:w="1275" w:type="dxa"/>
            <w:shd w:val="clear" w:color="auto" w:fill="C4EFCE"/>
            <w:noWrap/>
            <w:vAlign w:val="center"/>
          </w:tcPr>
          <w:p w14:paraId="26E7E3C8" w14:textId="77777777" w:rsidR="00DC5EC6" w:rsidRDefault="00DC5EC6">
            <w:pPr>
              <w:spacing w:after="0" w:line="240" w:lineRule="auto"/>
              <w:jc w:val="center"/>
              <w:rPr>
                <w:rFonts w:cstheme="minorHAnsi"/>
                <w:noProof/>
                <w:sz w:val="16"/>
              </w:rPr>
            </w:pPr>
          </w:p>
        </w:tc>
        <w:tc>
          <w:tcPr>
            <w:tcW w:w="993" w:type="dxa"/>
            <w:shd w:val="clear" w:color="auto" w:fill="C4EFCE"/>
            <w:noWrap/>
            <w:vAlign w:val="center"/>
          </w:tcPr>
          <w:p w14:paraId="291A36D7" w14:textId="0D94A62A" w:rsidR="00DC5EC6" w:rsidRDefault="003245A4">
            <w:pPr>
              <w:pStyle w:val="P68B1DB1-Normal12"/>
              <w:spacing w:after="0" w:line="240" w:lineRule="auto"/>
              <w:jc w:val="center"/>
              <w:rPr>
                <w:rFonts w:cstheme="minorHAnsi"/>
                <w:noProof/>
              </w:rPr>
            </w:pPr>
            <w:r>
              <w:rPr>
                <w:noProof/>
              </w:rPr>
              <w:t>Épített vagy felújított iskolák száma</w:t>
            </w:r>
          </w:p>
        </w:tc>
        <w:tc>
          <w:tcPr>
            <w:tcW w:w="992" w:type="dxa"/>
            <w:shd w:val="clear" w:color="auto" w:fill="C4EFCE"/>
            <w:noWrap/>
            <w:vAlign w:val="center"/>
          </w:tcPr>
          <w:p w14:paraId="6DB69F02" w14:textId="77777777" w:rsidR="00DC5EC6" w:rsidRDefault="003245A4">
            <w:pPr>
              <w:pStyle w:val="P68B1DB1-Normal12"/>
              <w:spacing w:after="0" w:line="240" w:lineRule="auto"/>
              <w:jc w:val="center"/>
              <w:rPr>
                <w:rFonts w:cstheme="minorHAnsi"/>
                <w:noProof/>
              </w:rPr>
            </w:pPr>
            <w:r>
              <w:rPr>
                <w:noProof/>
              </w:rPr>
              <w:t>0</w:t>
            </w:r>
          </w:p>
        </w:tc>
        <w:tc>
          <w:tcPr>
            <w:tcW w:w="850" w:type="dxa"/>
            <w:shd w:val="clear" w:color="auto" w:fill="C4EFCE"/>
            <w:noWrap/>
            <w:vAlign w:val="center"/>
          </w:tcPr>
          <w:p w14:paraId="11FF05D1" w14:textId="77777777" w:rsidR="00DC5EC6" w:rsidRDefault="003245A4">
            <w:pPr>
              <w:pStyle w:val="P68B1DB1-Normal12"/>
              <w:spacing w:after="0" w:line="240" w:lineRule="auto"/>
              <w:jc w:val="center"/>
              <w:rPr>
                <w:rFonts w:cstheme="minorHAnsi"/>
                <w:noProof/>
              </w:rPr>
            </w:pPr>
            <w:r>
              <w:rPr>
                <w:noProof/>
              </w:rPr>
              <w:t>75</w:t>
            </w:r>
          </w:p>
        </w:tc>
        <w:tc>
          <w:tcPr>
            <w:tcW w:w="567" w:type="dxa"/>
            <w:shd w:val="clear" w:color="auto" w:fill="C4EFCE"/>
            <w:noWrap/>
            <w:vAlign w:val="center"/>
          </w:tcPr>
          <w:p w14:paraId="7F8EE097" w14:textId="68C7C1C8" w:rsidR="00DC5EC6" w:rsidRDefault="001F25B1">
            <w:pPr>
              <w:pStyle w:val="P68B1DB1-Normal12"/>
              <w:spacing w:after="0" w:line="240" w:lineRule="auto"/>
              <w:jc w:val="center"/>
              <w:rPr>
                <w:rFonts w:cstheme="minorHAnsi"/>
                <w:noProof/>
              </w:rPr>
            </w:pPr>
            <w:r>
              <w:rPr>
                <w:noProof/>
              </w:rPr>
              <w:t>2. NEGYEDÉV</w:t>
            </w:r>
          </w:p>
        </w:tc>
        <w:tc>
          <w:tcPr>
            <w:tcW w:w="708" w:type="dxa"/>
            <w:shd w:val="clear" w:color="auto" w:fill="C4EFCE"/>
            <w:noWrap/>
            <w:vAlign w:val="center"/>
          </w:tcPr>
          <w:p w14:paraId="274AED81" w14:textId="77777777" w:rsidR="00DC5EC6" w:rsidRDefault="003245A4">
            <w:pPr>
              <w:pStyle w:val="P68B1DB1-Normal12"/>
              <w:spacing w:after="0" w:line="240" w:lineRule="auto"/>
              <w:jc w:val="center"/>
              <w:rPr>
                <w:rFonts w:cstheme="minorHAnsi"/>
                <w:noProof/>
              </w:rPr>
            </w:pPr>
            <w:r>
              <w:rPr>
                <w:noProof/>
              </w:rPr>
              <w:t>2026</w:t>
            </w:r>
          </w:p>
        </w:tc>
        <w:tc>
          <w:tcPr>
            <w:tcW w:w="4395" w:type="dxa"/>
            <w:shd w:val="clear" w:color="auto" w:fill="C4EFCE"/>
          </w:tcPr>
          <w:p w14:paraId="00863007" w14:textId="60A9DB36" w:rsidR="00DC5EC6" w:rsidRDefault="003245A4">
            <w:pPr>
              <w:pStyle w:val="P68B1DB1-Bodytext1013"/>
              <w:spacing w:after="0" w:line="240" w:lineRule="auto"/>
              <w:jc w:val="both"/>
              <w:rPr>
                <w:rFonts w:cstheme="minorBidi"/>
                <w:noProof/>
              </w:rPr>
            </w:pPr>
            <w:r>
              <w:rPr>
                <w:noProof/>
              </w:rPr>
              <w:t xml:space="preserve">75 állami iskolát kell felépíteni vagy felújítani, és használatra késznek kell lennie. Ez magában foglalja az új/felújított iskolák működéséhez szükséges berendezések, például digitális média beszerzését. </w:t>
            </w:r>
          </w:p>
          <w:p w14:paraId="36ED3EEE" w14:textId="41AE783C" w:rsidR="00DC5EC6" w:rsidRDefault="003245A4">
            <w:pPr>
              <w:pStyle w:val="P68B1DB1-Bodytext1013"/>
              <w:spacing w:after="0" w:line="240" w:lineRule="auto"/>
              <w:jc w:val="both"/>
              <w:rPr>
                <w:rFonts w:cstheme="minorHAnsi"/>
                <w:noProof/>
              </w:rPr>
            </w:pPr>
            <w:r>
              <w:rPr>
                <w:noProof/>
              </w:rPr>
              <w:t xml:space="preserve">Az új épületek primerenergia-szükségletének legalább 20%-kal alacsonyabbnak kell lennie a közel nulla energiaigényű épületekre vonatkozó követelményeknél. </w:t>
            </w:r>
          </w:p>
          <w:p w14:paraId="469407C1" w14:textId="77777777" w:rsidR="00DC5EC6" w:rsidRDefault="003245A4">
            <w:pPr>
              <w:pStyle w:val="P68B1DB1-Bodytext1013"/>
              <w:spacing w:after="0" w:line="240" w:lineRule="auto"/>
              <w:jc w:val="both"/>
              <w:rPr>
                <w:rFonts w:cstheme="minorHAnsi"/>
                <w:noProof/>
              </w:rPr>
            </w:pPr>
            <w:r>
              <w:rPr>
                <w:noProof/>
              </w:rPr>
              <w:t>A felújításoknak átlagosan legalább az épületek felújításáról szóló (EU) 2019/786 bizottsági ajánlásban meghatározott közepes mélységű felújításokat kell megvalósítaniuk.</w:t>
            </w:r>
          </w:p>
        </w:tc>
      </w:tr>
    </w:tbl>
    <w:p w14:paraId="710B72CF" w14:textId="77777777" w:rsidR="00DC5EC6" w:rsidRDefault="00DC5EC6">
      <w:pPr>
        <w:spacing w:before="40" w:after="0" w:line="259" w:lineRule="auto"/>
        <w:jc w:val="both"/>
        <w:outlineLvl w:val="2"/>
        <w:rPr>
          <w:rFonts w:ascii="Times New Roman" w:eastAsiaTheme="minorEastAsia" w:hAnsi="Times New Roman" w:cs="Times New Roman"/>
          <w:b/>
          <w:noProof/>
          <w:sz w:val="24"/>
          <w:u w:val="single"/>
        </w:rPr>
      </w:pPr>
    </w:p>
    <w:p w14:paraId="4D8543A1" w14:textId="77777777" w:rsidR="00DC5EC6" w:rsidRDefault="00DC5EC6">
      <w:pPr>
        <w:keepNext/>
        <w:spacing w:before="40" w:after="0" w:line="259" w:lineRule="auto"/>
        <w:jc w:val="both"/>
        <w:outlineLvl w:val="1"/>
        <w:rPr>
          <w:rFonts w:ascii="Times New Roman" w:eastAsiaTheme="minorEastAsia" w:hAnsi="Times New Roman" w:cs="Times New Roman"/>
          <w:b/>
          <w:noProof/>
          <w:sz w:val="24"/>
          <w:u w:val="single"/>
        </w:rPr>
        <w:sectPr w:rsidR="00DC5EC6" w:rsidSect="00EE3DC7">
          <w:headerReference w:type="even" r:id="rId138"/>
          <w:headerReference w:type="default" r:id="rId139"/>
          <w:footerReference w:type="even" r:id="rId140"/>
          <w:footerReference w:type="default" r:id="rId141"/>
          <w:headerReference w:type="first" r:id="rId142"/>
          <w:footerReference w:type="first" r:id="rId143"/>
          <w:pgSz w:w="16839" w:h="11907" w:orient="landscape"/>
          <w:pgMar w:top="1134" w:right="1134" w:bottom="1134" w:left="1134" w:header="567" w:footer="567" w:gutter="0"/>
          <w:cols w:space="720"/>
          <w:docGrid w:linePitch="360"/>
        </w:sectPr>
      </w:pPr>
    </w:p>
    <w:p w14:paraId="20600E2D" w14:textId="00D9014F" w:rsidR="00DC5EC6" w:rsidRDefault="003245A4">
      <w:pPr>
        <w:pStyle w:val="P68B1DB1-Normal3"/>
        <w:keepNext/>
        <w:spacing w:before="40" w:after="0" w:line="259" w:lineRule="auto"/>
        <w:ind w:left="130" w:firstLine="720"/>
        <w:jc w:val="both"/>
        <w:outlineLvl w:val="1"/>
        <w:rPr>
          <w:rFonts w:eastAsiaTheme="minorEastAsia" w:cs="Times New Roman"/>
          <w:smallCaps/>
          <w:noProof/>
        </w:rPr>
      </w:pPr>
      <w:r>
        <w:rPr>
          <w:noProof/>
        </w:rPr>
        <w:t xml:space="preserve">G. 7. </w:t>
      </w:r>
      <w:r w:rsidR="00342815">
        <w:rPr>
          <w:noProof/>
        </w:rPr>
        <w:t>KOMPONENS</w:t>
      </w:r>
      <w:r>
        <w:rPr>
          <w:noProof/>
        </w:rPr>
        <w:t xml:space="preserve">: Infrastruktúra </w:t>
      </w:r>
    </w:p>
    <w:p w14:paraId="200CA25A" w14:textId="77777777" w:rsidR="00DC5EC6" w:rsidRDefault="003245A4">
      <w:pPr>
        <w:pStyle w:val="P68B1DB1-Normal4"/>
        <w:keepNext/>
        <w:spacing w:before="40" w:after="0" w:line="259" w:lineRule="auto"/>
        <w:jc w:val="both"/>
        <w:rPr>
          <w:rFonts w:eastAsiaTheme="minorEastAsia" w:cs="Times New Roman"/>
          <w:noProof/>
        </w:rPr>
      </w:pPr>
      <w:r>
        <w:rPr>
          <w:noProof/>
        </w:rPr>
        <w:t>A portugál helyreállítási és rezilienciaépítési terv e</w:t>
      </w:r>
      <w:r>
        <w:rPr>
          <w:i/>
          <w:noProof/>
        </w:rPr>
        <w:t xml:space="preserve"> </w:t>
      </w:r>
      <w:r>
        <w:rPr>
          <w:noProof/>
        </w:rPr>
        <w:t>komponense az alacsony területi kohézió és a belföldi régiókban működő vállalkozások alacsony versenyképessége jelentette kihívással</w:t>
      </w:r>
      <w:r>
        <w:rPr>
          <w:i/>
          <w:noProof/>
        </w:rPr>
        <w:t xml:space="preserve"> </w:t>
      </w:r>
      <w:r>
        <w:rPr>
          <w:noProof/>
        </w:rPr>
        <w:t xml:space="preserve">foglalkozik, amelyet az úthálózattal való nem megfelelő összeköttetések okoznak. Ez olyan kontextusköltségekhez vezet a vállalkozások számára, mint például az alacsony közúti összeköttetések miatt felmerülő szállítási költségek vagy a képzett munkaerő vonzásának nehézsége. További kihívást jelent a közlekedési ágazat és az üzleti parkok kibocsátásának csökkentése. </w:t>
      </w:r>
    </w:p>
    <w:p w14:paraId="1FBD0D8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területi kohézió növelése és a versenyképesség javítása a szárazföldi régiók gazdasági fejlődésének előmozdítása érdekében. A töltőállomások kiépítése révén célja a közúti közlekedés dekarbonizációjának előmozdítása. </w:t>
      </w:r>
    </w:p>
    <w:p w14:paraId="32BD65D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célból a komponens célja az üzleti parkok fenntarthatóbbá és digitálisabbá tétele, valamint az úthálózathoz való jobb hozzáférés biztosítása. Célja továbbá a közúti közlekedési összeköttetések javítása a közúthálózat bővítése révén, például a hiányzó összeköttetések kezelése révén, többek között az Azori-szigeteken, valamint négy határokon átnyúló összeköttetés biztosítása révén. A nyilvánosan hozzáférhető elektromos járművek töltőállomásai hálózata bővítésének felgyorsítása várhatóan hozzájárul a portugál közúti közlekedési ágazat szénlábnyomának csökkentéséhez és fenntarthatóbbá tételéhez. Ez a beruházás a közúti infrastruktúra bővítését célzó kísérő intézkedés, összhangban a Bizottság DNSH technikai iránymutatásával (2021/C58/01). </w:t>
      </w:r>
    </w:p>
    <w:p w14:paraId="26F8A281" w14:textId="77777777" w:rsidR="00DC5EC6" w:rsidRDefault="003245A4">
      <w:pPr>
        <w:pStyle w:val="P68B1DB1-Normal4"/>
        <w:keepNext/>
        <w:spacing w:before="40" w:after="0" w:line="259" w:lineRule="auto"/>
        <w:jc w:val="both"/>
        <w:rPr>
          <w:rFonts w:eastAsiaTheme="minorEastAsia" w:cs="Times New Roman"/>
          <w:noProof/>
        </w:rPr>
      </w:pPr>
      <w:r>
        <w:rPr>
          <w:noProof/>
        </w:rPr>
        <w:t>A komponens támogatja a beruházásoknak a zöld átállásra való összpontosításáról szóló országspecifikus ajánlás végrehajtását, figyelembe véve a regionális egyenlőtlenségeket (2019. évi 3. és 2020. évi 3. országspecifikus ajánlás), és támogatja a digitális technológiák használatát a vállalkozások versenyképességének fokozása érdekében (2020. évi 2. országspecifikus ajánlás).</w:t>
      </w:r>
    </w:p>
    <w:p w14:paraId="2B7EE7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3E872C3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2B87287" w14:textId="77777777" w:rsidR="00DC5EC6" w:rsidRDefault="003245A4">
      <w:pPr>
        <w:keepNext/>
        <w:spacing w:before="40" w:after="0" w:line="259" w:lineRule="auto"/>
        <w:ind w:left="130" w:firstLine="720"/>
        <w:jc w:val="both"/>
        <w:outlineLvl w:val="2"/>
        <w:rPr>
          <w:rFonts w:ascii="Times New Roman" w:eastAsiaTheme="minorEastAsia" w:hAnsi="Times New Roman" w:cs="Times New Roman"/>
          <w:b/>
          <w:i/>
          <w:noProof/>
          <w:sz w:val="24"/>
          <w:u w:val="single"/>
        </w:rPr>
      </w:pPr>
      <w:r>
        <w:rPr>
          <w:rFonts w:ascii="Times New Roman" w:hAnsi="Times New Roman"/>
          <w:b/>
          <w:noProof/>
          <w:sz w:val="24"/>
          <w:u w:val="single"/>
        </w:rPr>
        <w:t xml:space="preserve">G.1. </w:t>
      </w:r>
      <w:r>
        <w:rPr>
          <w:noProof/>
        </w:rPr>
        <w:tab/>
      </w:r>
      <w:r>
        <w:rPr>
          <w:rFonts w:ascii="Times New Roman" w:hAnsi="Times New Roman"/>
          <w:b/>
          <w:noProof/>
          <w:sz w:val="24"/>
          <w:u w:val="single"/>
        </w:rPr>
        <w:t>Vissza nem térítendő pénzügyi támogatás – a reformok és beruházások ismertetése</w:t>
      </w:r>
    </w:p>
    <w:p w14:paraId="590E8D7E"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RE-C07–i00 beruházás: Az elektromos járművek töltőhálózatának bővítése</w:t>
      </w:r>
    </w:p>
    <w:p w14:paraId="1E56FC8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 közúti közlekedés dekarbonizációjának előmozdítása az elektromos mobilitás előmozdítása révén. </w:t>
      </w:r>
    </w:p>
    <w:p w14:paraId="0A23AF01" w14:textId="62EBFE78" w:rsidR="00DC5EC6" w:rsidRDefault="003245A4">
      <w:pPr>
        <w:pStyle w:val="P68B1DB1-Normal4"/>
        <w:keepNext/>
        <w:spacing w:before="40" w:after="0" w:line="259" w:lineRule="auto"/>
        <w:jc w:val="both"/>
        <w:rPr>
          <w:rFonts w:eastAsiaTheme="minorEastAsia" w:cs="Times New Roman"/>
          <w:noProof/>
        </w:rPr>
      </w:pPr>
      <w:r>
        <w:rPr>
          <w:noProof/>
        </w:rPr>
        <w:t>A beruházás annak biztosítására irányul, hogy 15000 nyilvános elektromos töltőpont működjön Portugáliában. A C07–I02, I03, I04 és I05 szerinti közúti infrastrukturális beruházások kísérő intézkedése, amely az éghajlatváltozás mérséklésével, valamint a környezetszennyezés megelőzésével és csökkentésével kapcsolatos célkitűzések tekintetében biztosítja a DNSH-elvnek való megfelelést. A hálózat bővítésének fő szereplőivé váltak a magánszervezetek. A portugál állam beruházásait a Mobi.E hálózatkezelő platformra összpontosítja, és a piaci hiányosságok kezelésére összpontosítja azáltal, hogy támogatja az olyan régiókban történő beruházásokat, ahol a magánszektor nem biztosítja a szükséges lefedettséget.</w:t>
      </w:r>
    </w:p>
    <w:p w14:paraId="15FD5D8E"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31-én be kell fejezni. </w:t>
      </w:r>
    </w:p>
    <w:p w14:paraId="33FAE029"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RE-C07-i01 beruházás: Üzleti befogadási területek</w:t>
      </w:r>
    </w:p>
    <w:p w14:paraId="3A765AFD"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a vállalkozások fogadási területeinek korszerűsítése, amelyek irodahelyiségként, gyárként és más vállalkozásokként kialakított földterületek. Portugália 2030-ig tartó időszakra vonatkozó nemzeti infrastrukturális terve (PNI 2030) beruházási igényként is azonosította az üzleti parkok korszerűsítését.</w:t>
      </w:r>
    </w:p>
    <w:p w14:paraId="698D6A6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kiválasztott üzleti parkokban végrehajtott olyan beavatkozásokból áll, amelyek magukban foglalják a megújulóenergia-termelési és -tárolási rendszerek előmozdítását, az energiastabilitás javítását célzó kísérleti beavatkozásokat, az elektromos és hidrogéntöltő állomások telepítését, az 5G lefedettség növelését és az aktív tűzmegelőzési intézkedéseket. Ezeket a környezeti fenntarthatóságra és digitalizációra irányuló beavatkozásokat 10 üzleti fogadóterületen kell végrehajtani, amelyeket közbeszerzési eljárás útján választanak ki. </w:t>
      </w:r>
    </w:p>
    <w:p w14:paraId="71390BF3"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végrehajtása várhatóan 2025. december 31-ig fejeződik be.</w:t>
      </w:r>
    </w:p>
    <w:p w14:paraId="348C4B22"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RE-C07–i02 beruházás: Hiányzó összeköttetések és a hálózat kapacitásának növelése</w:t>
      </w:r>
    </w:p>
    <w:p w14:paraId="052B39E3"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a területi kohézió és a versenyképesség javítása az úthálózaton belüli „hiányzó összeköttetések” kezelése révén. Ezek a hiányzó összeköttetések csökkentik az úthálózat teljesítményét, és a vállalkozások versenyképességének csökkenéséhez vezetnek. A beruházás célja továbbá a forgalmi torlódások kezelése, a közúti biztonság és a levegőminőség javítása, valamint a zaj csökkentése az utak közelében.</w:t>
      </w:r>
    </w:p>
    <w:p w14:paraId="6658677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utak építéséből és korszerűsítéséből áll. A beavatkozásoknak magukban kell foglalniuk a városi kereszteződések megszüntetését és a pályakapacitás megfelelőségének biztosítását, a főbb közlekedési folyosókhoz és a multimodális kapcsolódási pontokhoz való hozzáférés javítását. A beavatkozások magukban foglalják a TEN-T hálózat részét képező utak korszerűsítését, például az IP2 Évora keleti elkerülő útját vagy az IP8-ba történő beruházásokat. </w:t>
      </w:r>
    </w:p>
    <w:p w14:paraId="688654A9"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w:t>
      </w:r>
    </w:p>
    <w:p w14:paraId="046AD115" w14:textId="79CA9C50" w:rsidR="00DC5EC6" w:rsidRDefault="003245A4">
      <w:pPr>
        <w:pStyle w:val="P68B1DB1-Normal4"/>
        <w:keepNext/>
        <w:spacing w:before="40" w:after="0" w:line="259" w:lineRule="auto"/>
        <w:jc w:val="both"/>
        <w:rPr>
          <w:rFonts w:eastAsiaTheme="minorEastAsia" w:cs="Times New Roman"/>
          <w:noProof/>
        </w:rPr>
      </w:pPr>
      <w:r>
        <w:rPr>
          <w:noProof/>
        </w:rPr>
        <w:t xml:space="preserve">A felsorolt utak közül 111 kilométert kell megépíteni vagy korszerűsíteni: </w:t>
      </w:r>
    </w:p>
    <w:p w14:paraId="10E3C582"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közúti/vasúti interfész Trofa/Santana területén, beleértve az Ave folyó feletti új hídot; </w:t>
      </w:r>
    </w:p>
    <w:p w14:paraId="0D1CCC85"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EN14: Maia (Via diagonál)/közúti/vasúti interfész Trofa-ban; </w:t>
      </w:r>
    </w:p>
    <w:p w14:paraId="24DEB7F3"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EN4: Atalaia elkerülő út; </w:t>
      </w:r>
    </w:p>
    <w:p w14:paraId="0F43B082"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Penafiel (EN15)/Rans; </w:t>
      </w:r>
    </w:p>
    <w:p w14:paraId="32D72CCA"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IC35: Rangok/Entre-os Rios; </w:t>
      </w:r>
    </w:p>
    <w:p w14:paraId="03DE18C1"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IP2: Évora keleti elkerülő út; </w:t>
      </w:r>
    </w:p>
    <w:p w14:paraId="7A684FA5"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Összeköttetés Baião és Ermida híd között; </w:t>
      </w:r>
    </w:p>
    <w:p w14:paraId="0EC45B3D"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Aveiro-Águeda közúti tengely; </w:t>
      </w:r>
    </w:p>
    <w:p w14:paraId="1DECF506"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EN344: 67 km-től 75 km-ig – Pampilhosa da Serra; </w:t>
      </w:r>
    </w:p>
    <w:p w14:paraId="2680B40F"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EN125: Olhão keleti elkerülő út; </w:t>
      </w:r>
    </w:p>
    <w:p w14:paraId="328864DD"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IC2 (EN1): Meirinhas (136. km)/Pombal (148. km); </w:t>
      </w:r>
    </w:p>
    <w:p w14:paraId="35923BB7"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(EN121): Ferreira do Alentejo/Beja, beleértve a Beringel elkerülő útját; </w:t>
      </w:r>
    </w:p>
    <w:p w14:paraId="4609B59F"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(EN259): STA. Margarida do Sado/Ferreira do Alentejo, beleértve a Figueira de Cavaleiros elkerülő útját; </w:t>
      </w:r>
    </w:p>
    <w:p w14:paraId="7D895BF1"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IP8 (A26): A Sines és az A2 közötti összeköttetés kapacitásának növelése; </w:t>
      </w:r>
    </w:p>
    <w:p w14:paraId="19991BD2" w14:textId="77777777" w:rsidR="00DC5EC6" w:rsidRDefault="003245A4">
      <w:pPr>
        <w:pStyle w:val="P68B1DB1-Normal4"/>
        <w:keepNext/>
        <w:numPr>
          <w:ilvl w:val="0"/>
          <w:numId w:val="22"/>
        </w:numPr>
        <w:spacing w:before="40" w:after="160" w:line="259" w:lineRule="auto"/>
        <w:contextualSpacing/>
        <w:jc w:val="both"/>
        <w:rPr>
          <w:rFonts w:eastAsiaTheme="minorEastAsia" w:cs="Times New Roman"/>
          <w:noProof/>
        </w:rPr>
      </w:pPr>
      <w:r>
        <w:rPr>
          <w:noProof/>
        </w:rPr>
        <w:t xml:space="preserve">EN211 – Quintã/Mesquinhata elkerülő út. </w:t>
      </w:r>
    </w:p>
    <w:p w14:paraId="21CD1717"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CD69178"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RE-C07-i05-RAA beruházás: Logisztikai áramkörök – Az Azori-szigetek regionális hálózata</w:t>
      </w:r>
    </w:p>
    <w:p w14:paraId="5E978CC5"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hogy a nagyobb városközpontokon kívüli gazdasági szereplők támogatása révén megteremtse a kiegyensúlyozottabb gazdasági fejlődés feltételeit. A beavatkozások célja továbbá az utazási távolságok, az utazási idő és a forgalmi torlódások csökkentése.</w:t>
      </w:r>
    </w:p>
    <w:p w14:paraId="77005C2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az Azori-szigetek közúti infrastruktúrájának bővítéséből és korszerűsítéséből áll. Célja, hogy javítsa az egyes szigetek lakossági központjaihoz és gazdasági tevékenységi központjaihoz, valamint a főbb belépési infrastruktúrákhoz való hozzáférést. Célja továbbá, hogy beavatkozzon a fő városközpontokba vezető körutak építésébe, csökkentve a városi átjárók számát. </w:t>
      </w:r>
    </w:p>
    <w:p w14:paraId="63DBFDF0"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 Összesen 34 kilométernyi utat kell megépíteni vagy korszerűsíteni. A következő közúti beavatkozásokat tervezik:</w:t>
      </w:r>
    </w:p>
    <w:p w14:paraId="09A9BBD4"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Santa Maria</w:t>
      </w:r>
    </w:p>
    <w:p w14:paraId="4F976D1C"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Vila do Porto elkerülő út</w:t>
      </w:r>
    </w:p>
    <w:p w14:paraId="7F41B4BE"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Miguel</w:t>
      </w:r>
    </w:p>
    <w:p w14:paraId="16BFDA9B"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Akadálymentesítés javítása Furnas/Povoação –</w:t>
      </w:r>
      <w:r>
        <w:rPr>
          <w:noProof/>
          <w:vertAlign w:val="superscript"/>
        </w:rPr>
        <w:t>1</w:t>
      </w:r>
      <w:r>
        <w:rPr>
          <w:noProof/>
        </w:rPr>
        <w:t xml:space="preserve"> stádium: Furnas-i elkerülő út</w:t>
      </w:r>
    </w:p>
    <w:p w14:paraId="59323044"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Capelas elkerülő út</w:t>
      </w:r>
    </w:p>
    <w:p w14:paraId="7572973D"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São Roque elkerülő út</w:t>
      </w:r>
    </w:p>
    <w:p w14:paraId="4820E6A3"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Portál do Vento elkerülő út</w:t>
      </w:r>
    </w:p>
    <w:p w14:paraId="313CCF36"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Terceira</w:t>
      </w:r>
    </w:p>
    <w:p w14:paraId="04E615D9"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hozzáférhetőség, a mobilitás és a közúti közlekedésbiztonság feltételeinek előmozdítása – kapcsolat a Via Vitorino Nemésio és az Angra Circular között</w:t>
      </w:r>
    </w:p>
    <w:p w14:paraId="09E0E766"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Graciosa</w:t>
      </w:r>
    </w:p>
    <w:p w14:paraId="1419E510"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Az E.R. 3–2. és az E.R. 4–5 közötti kapcsolat</w:t>
      </w:r>
    </w:p>
    <w:p w14:paraId="40754259"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de São Jorge</w:t>
      </w:r>
    </w:p>
    <w:p w14:paraId="6D7F1843"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hozzáférhetőség, a mobilitás és a közúti közlekedésbiztonság feltételeinek előmozdítása – Észak-déli összeköttetés</w:t>
      </w:r>
    </w:p>
    <w:p w14:paraId="3FD2AA91"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Ilha do Pico </w:t>
      </w:r>
    </w:p>
    <w:p w14:paraId="0FE649A1"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Vila da Madalena felé vezető körút építése</w:t>
      </w:r>
    </w:p>
    <w:p w14:paraId="10A36DDF"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Ilha do Faial</w:t>
      </w:r>
    </w:p>
    <w:p w14:paraId="68BAC951" w14:textId="77777777" w:rsidR="00DC5EC6" w:rsidRDefault="003245A4">
      <w:pPr>
        <w:pStyle w:val="P68B1DB1-Normal4"/>
        <w:keepNext/>
        <w:numPr>
          <w:ilvl w:val="1"/>
          <w:numId w:val="25"/>
        </w:numPr>
        <w:spacing w:before="40" w:after="160" w:line="259" w:lineRule="auto"/>
        <w:contextualSpacing/>
        <w:jc w:val="both"/>
        <w:rPr>
          <w:rFonts w:eastAsiaTheme="minorEastAsia" w:cs="Times New Roman"/>
          <w:noProof/>
        </w:rPr>
      </w:pPr>
      <w:r>
        <w:rPr>
          <w:noProof/>
        </w:rPr>
        <w:t>A Cidade da Horta elkerülő út 2.</w:t>
      </w:r>
      <w:r>
        <w:rPr>
          <w:noProof/>
          <w:vertAlign w:val="superscript"/>
        </w:rPr>
        <w:t>szakaszának</w:t>
      </w:r>
      <w:r>
        <w:rPr>
          <w:noProof/>
        </w:rPr>
        <w:t xml:space="preserve"> megépítése</w:t>
      </w:r>
    </w:p>
    <w:p w14:paraId="5A803078" w14:textId="21946209"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144"/>
          <w:headerReference w:type="default" r:id="rId145"/>
          <w:footerReference w:type="even" r:id="rId146"/>
          <w:footerReference w:type="default" r:id="rId147"/>
          <w:headerReference w:type="first" r:id="rId148"/>
          <w:footerReference w:type="first" r:id="rId149"/>
          <w:pgSz w:w="11907" w:h="16839"/>
          <w:pgMar w:top="1134" w:right="1134" w:bottom="1134" w:left="1134" w:header="567" w:footer="567" w:gutter="0"/>
          <w:cols w:space="720"/>
          <w:docGrid w:linePitch="360"/>
        </w:sectPr>
      </w:pPr>
      <w:r>
        <w:rPr>
          <w:noProof/>
        </w:rPr>
        <w:t>A beruházás végrehajtását 2026. június 30-ig be kell fejezni.</w:t>
      </w:r>
    </w:p>
    <w:p w14:paraId="02D059F8"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E182190" w14:textId="77777777" w:rsidR="00DC5EC6" w:rsidRDefault="003245A4">
      <w:pPr>
        <w:pStyle w:val="P68B1DB1-Normal3"/>
        <w:keepNext/>
        <w:spacing w:before="40" w:after="120" w:line="259" w:lineRule="auto"/>
        <w:ind w:left="130" w:firstLine="720"/>
        <w:jc w:val="both"/>
        <w:outlineLvl w:val="2"/>
        <w:rPr>
          <w:rFonts w:eastAsiaTheme="minorEastAsia" w:cs="Times New Roman"/>
          <w:noProof/>
        </w:rPr>
      </w:pPr>
      <w:r>
        <w:rPr>
          <w:noProof/>
        </w:rPr>
        <w:t xml:space="preserve">G.2. </w:t>
      </w:r>
      <w:r>
        <w:rPr>
          <w:noProof/>
        </w:rPr>
        <w:tab/>
        <w:t>Vissza nem térítendő pénzügyi támogatás – a végrehajtáshoz és a nyomon követéshez kapcsolódó mérföldkövek, célok, mutatók és ütemterv</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76204668" w14:textId="77777777">
        <w:trPr>
          <w:trHeight w:val="910"/>
          <w:tblHeader/>
        </w:trPr>
        <w:tc>
          <w:tcPr>
            <w:tcW w:w="1135" w:type="dxa"/>
            <w:vMerge w:val="restart"/>
            <w:shd w:val="clear" w:color="auto" w:fill="BDD6EE"/>
            <w:vAlign w:val="center"/>
            <w:hideMark/>
          </w:tcPr>
          <w:p w14:paraId="10A83D55"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2145A2B9"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07805992" w14:textId="7DA60548"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61F8D8A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229C7BBA"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6843481D"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78326D8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41A1C571"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6EB62E6" w14:textId="77777777">
        <w:trPr>
          <w:trHeight w:val="470"/>
          <w:tblHeader/>
        </w:trPr>
        <w:tc>
          <w:tcPr>
            <w:tcW w:w="1135" w:type="dxa"/>
            <w:vMerge/>
            <w:vAlign w:val="center"/>
            <w:hideMark/>
          </w:tcPr>
          <w:p w14:paraId="4F39F320"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D30E977"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58796813" w14:textId="7999AEB8"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449A85D5"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770D098D"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A3469D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57CE6F65"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2594584D"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470C36F2" w14:textId="72B48074"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3AA4CBDD" w14:textId="5261F903"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F2DB0FA" w14:textId="77777777" w:rsidR="00DC5EC6" w:rsidRDefault="00DC5EC6">
            <w:pPr>
              <w:spacing w:after="0" w:line="240" w:lineRule="auto"/>
              <w:rPr>
                <w:rFonts w:ascii="Times New Roman" w:eastAsia="Times New Roman" w:hAnsi="Times New Roman" w:cs="Times New Roman"/>
                <w:b/>
                <w:noProof/>
                <w:sz w:val="18"/>
              </w:rPr>
            </w:pPr>
          </w:p>
        </w:tc>
      </w:tr>
      <w:tr w:rsidR="00DC5EC6" w14:paraId="7CFEA922" w14:textId="77777777">
        <w:trPr>
          <w:trHeight w:val="300"/>
        </w:trPr>
        <w:tc>
          <w:tcPr>
            <w:tcW w:w="1135" w:type="dxa"/>
            <w:shd w:val="clear" w:color="auto" w:fill="C4EFCE"/>
            <w:vAlign w:val="center"/>
            <w:hideMark/>
          </w:tcPr>
          <w:p w14:paraId="3F3E09F7" w14:textId="77777777" w:rsidR="00DC5EC6" w:rsidRDefault="003245A4">
            <w:pPr>
              <w:pStyle w:val="P68B1DB1-Normal7"/>
              <w:spacing w:after="0" w:line="240" w:lineRule="auto"/>
              <w:jc w:val="center"/>
              <w:rPr>
                <w:rFonts w:eastAsia="Times New Roman" w:cs="Calibri"/>
                <w:noProof/>
              </w:rPr>
            </w:pPr>
            <w:r>
              <w:rPr>
                <w:noProof/>
              </w:rPr>
              <w:t>7.1</w:t>
            </w:r>
          </w:p>
        </w:tc>
        <w:tc>
          <w:tcPr>
            <w:tcW w:w="1276" w:type="dxa"/>
            <w:shd w:val="clear" w:color="auto" w:fill="C4EFCE"/>
            <w:noWrap/>
            <w:vAlign w:val="center"/>
            <w:hideMark/>
          </w:tcPr>
          <w:p w14:paraId="4A111EAC" w14:textId="77777777" w:rsidR="00DC5EC6" w:rsidRDefault="003245A4">
            <w:pPr>
              <w:pStyle w:val="P68B1DB1-Normal8"/>
              <w:spacing w:after="0" w:line="240" w:lineRule="auto"/>
              <w:jc w:val="center"/>
              <w:rPr>
                <w:rFonts w:eastAsia="Times New Roman" w:cs="Calibri"/>
                <w:noProof/>
              </w:rPr>
            </w:pPr>
            <w:r>
              <w:rPr>
                <w:noProof/>
              </w:rPr>
              <w:t>Vissza-C07-i00</w:t>
            </w:r>
          </w:p>
        </w:tc>
        <w:tc>
          <w:tcPr>
            <w:tcW w:w="1134" w:type="dxa"/>
            <w:shd w:val="clear" w:color="auto" w:fill="C4EFCE"/>
            <w:noWrap/>
            <w:vAlign w:val="center"/>
            <w:hideMark/>
          </w:tcPr>
          <w:p w14:paraId="0DD29370"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26EF931" w14:textId="10CF120E" w:rsidR="00DC5EC6" w:rsidRDefault="003245A4">
            <w:pPr>
              <w:pStyle w:val="P68B1DB1-Normal8"/>
              <w:spacing w:after="0" w:line="240" w:lineRule="auto"/>
              <w:jc w:val="center"/>
              <w:rPr>
                <w:rFonts w:eastAsia="Times New Roman" w:cs="Calibri"/>
                <w:noProof/>
              </w:rPr>
            </w:pPr>
            <w:r>
              <w:rPr>
                <w:noProof/>
              </w:rPr>
              <w:t>Elektromos járművek nyilvánosan hozzáférhető töltőállomásai</w:t>
            </w:r>
          </w:p>
        </w:tc>
        <w:tc>
          <w:tcPr>
            <w:tcW w:w="1275" w:type="dxa"/>
            <w:shd w:val="clear" w:color="auto" w:fill="C4EFCE"/>
            <w:noWrap/>
            <w:vAlign w:val="center"/>
            <w:hideMark/>
          </w:tcPr>
          <w:p w14:paraId="565AADE8"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CE86B4"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92" w:type="dxa"/>
            <w:shd w:val="clear" w:color="auto" w:fill="C4EFCE"/>
            <w:noWrap/>
            <w:vAlign w:val="center"/>
            <w:hideMark/>
          </w:tcPr>
          <w:p w14:paraId="61129708" w14:textId="77777777" w:rsidR="00DC5EC6" w:rsidRDefault="003245A4">
            <w:pPr>
              <w:pStyle w:val="P68B1DB1-Normal8"/>
              <w:spacing w:after="0" w:line="240" w:lineRule="auto"/>
              <w:jc w:val="center"/>
              <w:rPr>
                <w:rFonts w:eastAsia="Times New Roman" w:cs="Calibri"/>
                <w:noProof/>
              </w:rPr>
            </w:pPr>
            <w:r>
              <w:rPr>
                <w:noProof/>
              </w:rPr>
              <w:t>3 520</w:t>
            </w:r>
          </w:p>
        </w:tc>
        <w:tc>
          <w:tcPr>
            <w:tcW w:w="709" w:type="dxa"/>
            <w:shd w:val="clear" w:color="auto" w:fill="C4EFCE"/>
            <w:noWrap/>
            <w:vAlign w:val="center"/>
            <w:hideMark/>
          </w:tcPr>
          <w:p w14:paraId="213900A0" w14:textId="77777777" w:rsidR="00DC5EC6" w:rsidRDefault="003245A4">
            <w:pPr>
              <w:pStyle w:val="P68B1DB1-Normal8"/>
              <w:spacing w:after="0" w:line="240" w:lineRule="auto"/>
              <w:jc w:val="center"/>
              <w:rPr>
                <w:rFonts w:eastAsia="Times New Roman" w:cs="Calibri"/>
                <w:noProof/>
              </w:rPr>
            </w:pPr>
            <w:r>
              <w:rPr>
                <w:noProof/>
              </w:rPr>
              <w:t>5 250</w:t>
            </w:r>
          </w:p>
        </w:tc>
        <w:tc>
          <w:tcPr>
            <w:tcW w:w="567" w:type="dxa"/>
            <w:shd w:val="clear" w:color="auto" w:fill="C4EFCE"/>
            <w:noWrap/>
            <w:vAlign w:val="center"/>
            <w:hideMark/>
          </w:tcPr>
          <w:p w14:paraId="22D9B120" w14:textId="7E66520D" w:rsidR="00DC5EC6" w:rsidRDefault="008A61BD">
            <w:pPr>
              <w:pStyle w:val="P68B1DB1-Normal8"/>
              <w:spacing w:after="0" w:line="240" w:lineRule="auto"/>
              <w:jc w:val="center"/>
              <w:rPr>
                <w:rFonts w:eastAsia="Times New Roman" w:cs="Calibri"/>
                <w:noProof/>
              </w:rPr>
            </w:pPr>
            <w:r>
              <w:rPr>
                <w:noProof/>
              </w:rPr>
              <w:t xml:space="preserve">4. </w:t>
            </w:r>
            <w:r w:rsidR="003245A4">
              <w:rPr>
                <w:noProof/>
              </w:rPr>
              <w:t>NEGYEDÉV</w:t>
            </w:r>
          </w:p>
        </w:tc>
        <w:tc>
          <w:tcPr>
            <w:tcW w:w="708" w:type="dxa"/>
            <w:shd w:val="clear" w:color="auto" w:fill="C4EFCE"/>
            <w:noWrap/>
            <w:vAlign w:val="center"/>
            <w:hideMark/>
          </w:tcPr>
          <w:p w14:paraId="146CD88B"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EBBFDA7" w14:textId="72F46DC9" w:rsidR="00DC5EC6" w:rsidRDefault="003245A4">
            <w:pPr>
              <w:pStyle w:val="P68B1DB1-Normal8"/>
              <w:spacing w:after="0" w:line="240" w:lineRule="auto"/>
              <w:jc w:val="both"/>
              <w:rPr>
                <w:rFonts w:eastAsia="Times New Roman" w:cs="Calibri"/>
                <w:noProof/>
              </w:rPr>
            </w:pPr>
            <w:r>
              <w:rPr>
                <w:noProof/>
              </w:rPr>
              <w:t>Az elektromos járművek nyilvánosan hozzáférhető töltőállomásainak száma (a 2021. negyedik negyedévi alapforgatókönyvhöz képest)</w:t>
            </w:r>
          </w:p>
        </w:tc>
      </w:tr>
      <w:tr w:rsidR="008A61BD" w14:paraId="411748AE" w14:textId="77777777">
        <w:trPr>
          <w:trHeight w:val="300"/>
        </w:trPr>
        <w:tc>
          <w:tcPr>
            <w:tcW w:w="1135" w:type="dxa"/>
            <w:shd w:val="clear" w:color="auto" w:fill="C4EFCE"/>
            <w:vAlign w:val="center"/>
            <w:hideMark/>
          </w:tcPr>
          <w:p w14:paraId="50AB89C4" w14:textId="77777777" w:rsidR="008A61BD" w:rsidRDefault="008A61BD" w:rsidP="008A61BD">
            <w:pPr>
              <w:pStyle w:val="P68B1DB1-Normal7"/>
              <w:spacing w:after="0" w:line="240" w:lineRule="auto"/>
              <w:jc w:val="center"/>
              <w:rPr>
                <w:rFonts w:eastAsia="Times New Roman" w:cs="Calibri"/>
                <w:noProof/>
              </w:rPr>
            </w:pPr>
            <w:r>
              <w:rPr>
                <w:noProof/>
              </w:rPr>
              <w:t>7.2</w:t>
            </w:r>
          </w:p>
        </w:tc>
        <w:tc>
          <w:tcPr>
            <w:tcW w:w="1276" w:type="dxa"/>
            <w:shd w:val="clear" w:color="auto" w:fill="C4EFCE"/>
            <w:noWrap/>
            <w:vAlign w:val="center"/>
            <w:hideMark/>
          </w:tcPr>
          <w:p w14:paraId="5FD10D53" w14:textId="77777777" w:rsidR="008A61BD" w:rsidRDefault="008A61BD" w:rsidP="008A61BD">
            <w:pPr>
              <w:pStyle w:val="P68B1DB1-Normal8"/>
              <w:spacing w:after="0" w:line="240" w:lineRule="auto"/>
              <w:jc w:val="center"/>
              <w:rPr>
                <w:rFonts w:eastAsia="Times New Roman" w:cs="Calibri"/>
                <w:noProof/>
              </w:rPr>
            </w:pPr>
            <w:r>
              <w:rPr>
                <w:noProof/>
              </w:rPr>
              <w:t>Vissza-C07-i00</w:t>
            </w:r>
          </w:p>
        </w:tc>
        <w:tc>
          <w:tcPr>
            <w:tcW w:w="1134" w:type="dxa"/>
            <w:shd w:val="clear" w:color="auto" w:fill="C4EFCE"/>
            <w:noWrap/>
            <w:vAlign w:val="center"/>
            <w:hideMark/>
          </w:tcPr>
          <w:p w14:paraId="71F92348"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DCB8434" w14:textId="6A490E0A" w:rsidR="008A61BD" w:rsidRDefault="008A61BD" w:rsidP="008A61BD">
            <w:pPr>
              <w:pStyle w:val="P68B1DB1-Normal8"/>
              <w:spacing w:after="0" w:line="240" w:lineRule="auto"/>
              <w:jc w:val="center"/>
              <w:rPr>
                <w:rFonts w:eastAsia="Times New Roman" w:cs="Calibri"/>
                <w:noProof/>
              </w:rPr>
            </w:pPr>
            <w:r>
              <w:rPr>
                <w:noProof/>
              </w:rPr>
              <w:t>Elektromos járművek nyilvánosan hozzáférhető töltőállomásai</w:t>
            </w:r>
          </w:p>
        </w:tc>
        <w:tc>
          <w:tcPr>
            <w:tcW w:w="1275" w:type="dxa"/>
            <w:shd w:val="clear" w:color="auto" w:fill="C4EFCE"/>
            <w:noWrap/>
            <w:vAlign w:val="center"/>
            <w:hideMark/>
          </w:tcPr>
          <w:p w14:paraId="039BB342"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738A1E7" w14:textId="77777777" w:rsidR="008A61BD" w:rsidRDefault="008A61BD" w:rsidP="008A61BD">
            <w:pPr>
              <w:pStyle w:val="P68B1DB1-Normal8"/>
              <w:spacing w:after="0" w:line="240" w:lineRule="auto"/>
              <w:jc w:val="center"/>
              <w:rPr>
                <w:rFonts w:eastAsia="Times New Roman" w:cs="Calibri"/>
                <w:noProof/>
              </w:rPr>
            </w:pPr>
            <w:r>
              <w:rPr>
                <w:noProof/>
              </w:rPr>
              <w:t xml:space="preserve">Szám </w:t>
            </w:r>
          </w:p>
        </w:tc>
        <w:tc>
          <w:tcPr>
            <w:tcW w:w="992" w:type="dxa"/>
            <w:shd w:val="clear" w:color="auto" w:fill="C4EFCE"/>
            <w:noWrap/>
            <w:vAlign w:val="center"/>
            <w:hideMark/>
          </w:tcPr>
          <w:p w14:paraId="22A7D3DE" w14:textId="77777777" w:rsidR="008A61BD" w:rsidRDefault="008A61BD" w:rsidP="008A61BD">
            <w:pPr>
              <w:pStyle w:val="P68B1DB1-Normal8"/>
              <w:spacing w:after="0" w:line="240" w:lineRule="auto"/>
              <w:jc w:val="center"/>
              <w:rPr>
                <w:rFonts w:eastAsia="Times New Roman" w:cs="Calibri"/>
                <w:noProof/>
              </w:rPr>
            </w:pPr>
            <w:r>
              <w:rPr>
                <w:noProof/>
              </w:rPr>
              <w:t>5 250</w:t>
            </w:r>
          </w:p>
        </w:tc>
        <w:tc>
          <w:tcPr>
            <w:tcW w:w="709" w:type="dxa"/>
            <w:shd w:val="clear" w:color="auto" w:fill="C4EFCE"/>
            <w:noWrap/>
            <w:vAlign w:val="center"/>
            <w:hideMark/>
          </w:tcPr>
          <w:p w14:paraId="1B77A0ED" w14:textId="77777777" w:rsidR="008A61BD" w:rsidRDefault="008A61BD" w:rsidP="008A61BD">
            <w:pPr>
              <w:pStyle w:val="P68B1DB1-Normal8"/>
              <w:spacing w:after="0" w:line="240" w:lineRule="auto"/>
              <w:jc w:val="center"/>
              <w:rPr>
                <w:rFonts w:eastAsia="Times New Roman" w:cs="Calibri"/>
                <w:noProof/>
              </w:rPr>
            </w:pPr>
            <w:r>
              <w:rPr>
                <w:noProof/>
              </w:rPr>
              <w:t>10 450</w:t>
            </w:r>
          </w:p>
        </w:tc>
        <w:tc>
          <w:tcPr>
            <w:tcW w:w="567" w:type="dxa"/>
            <w:shd w:val="clear" w:color="auto" w:fill="C4EFCE"/>
            <w:noWrap/>
            <w:vAlign w:val="center"/>
            <w:hideMark/>
          </w:tcPr>
          <w:p w14:paraId="57655D31" w14:textId="6DE6D11A"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6B50A5F" w14:textId="77777777" w:rsidR="008A61BD" w:rsidRDefault="008A61BD" w:rsidP="008A61BD">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A5BDC17" w14:textId="0FAC8B46" w:rsidR="008A61BD" w:rsidRDefault="008A61BD" w:rsidP="008A61BD">
            <w:pPr>
              <w:pStyle w:val="P68B1DB1-Normal8"/>
              <w:spacing w:after="0" w:line="240" w:lineRule="auto"/>
              <w:jc w:val="both"/>
              <w:rPr>
                <w:rFonts w:eastAsia="Times New Roman" w:cs="Calibri"/>
                <w:noProof/>
              </w:rPr>
            </w:pPr>
            <w:r>
              <w:rPr>
                <w:noProof/>
              </w:rPr>
              <w:t>Az elektromos járművek nyilvánosan hozzáférhető töltőállomásainak száma (a 2022. negyedik negyedévi alapforgatókönyvhöz képest)</w:t>
            </w:r>
          </w:p>
        </w:tc>
      </w:tr>
      <w:tr w:rsidR="008A61BD" w14:paraId="0EAF8566" w14:textId="77777777">
        <w:trPr>
          <w:trHeight w:val="300"/>
        </w:trPr>
        <w:tc>
          <w:tcPr>
            <w:tcW w:w="1135" w:type="dxa"/>
            <w:shd w:val="clear" w:color="auto" w:fill="C4EFCE"/>
            <w:vAlign w:val="center"/>
            <w:hideMark/>
          </w:tcPr>
          <w:p w14:paraId="354C0B63" w14:textId="77777777" w:rsidR="008A61BD" w:rsidRDefault="008A61BD" w:rsidP="008A61BD">
            <w:pPr>
              <w:pStyle w:val="P68B1DB1-Normal7"/>
              <w:spacing w:after="0" w:line="240" w:lineRule="auto"/>
              <w:jc w:val="center"/>
              <w:rPr>
                <w:rFonts w:eastAsia="Times New Roman" w:cs="Calibri"/>
                <w:noProof/>
              </w:rPr>
            </w:pPr>
            <w:r>
              <w:rPr>
                <w:noProof/>
              </w:rPr>
              <w:t>7.3</w:t>
            </w:r>
          </w:p>
        </w:tc>
        <w:tc>
          <w:tcPr>
            <w:tcW w:w="1276" w:type="dxa"/>
            <w:shd w:val="clear" w:color="auto" w:fill="C4EFCE"/>
            <w:noWrap/>
            <w:vAlign w:val="center"/>
            <w:hideMark/>
          </w:tcPr>
          <w:p w14:paraId="415D9614" w14:textId="77777777" w:rsidR="008A61BD" w:rsidRDefault="008A61BD" w:rsidP="008A61BD">
            <w:pPr>
              <w:pStyle w:val="P68B1DB1-Normal8"/>
              <w:spacing w:after="0" w:line="240" w:lineRule="auto"/>
              <w:jc w:val="center"/>
              <w:rPr>
                <w:rFonts w:eastAsia="Times New Roman" w:cs="Calibri"/>
                <w:noProof/>
              </w:rPr>
            </w:pPr>
            <w:r>
              <w:rPr>
                <w:noProof/>
              </w:rPr>
              <w:t>Vissza-C07-i00</w:t>
            </w:r>
          </w:p>
        </w:tc>
        <w:tc>
          <w:tcPr>
            <w:tcW w:w="1134" w:type="dxa"/>
            <w:shd w:val="clear" w:color="auto" w:fill="C4EFCE"/>
            <w:noWrap/>
            <w:vAlign w:val="center"/>
            <w:hideMark/>
          </w:tcPr>
          <w:p w14:paraId="3E535130"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D5E62B3" w14:textId="4AD6DD50" w:rsidR="008A61BD" w:rsidRDefault="008A61BD" w:rsidP="008A61BD">
            <w:pPr>
              <w:pStyle w:val="P68B1DB1-Normal8"/>
              <w:spacing w:after="0" w:line="240" w:lineRule="auto"/>
              <w:jc w:val="center"/>
              <w:rPr>
                <w:rFonts w:eastAsia="Times New Roman" w:cs="Calibri"/>
                <w:noProof/>
              </w:rPr>
            </w:pPr>
            <w:r>
              <w:rPr>
                <w:noProof/>
              </w:rPr>
              <w:t>Elektromos járművek nyilvánosan hozzáférhető töltőállomásai</w:t>
            </w:r>
          </w:p>
        </w:tc>
        <w:tc>
          <w:tcPr>
            <w:tcW w:w="1275" w:type="dxa"/>
            <w:shd w:val="clear" w:color="auto" w:fill="C4EFCE"/>
            <w:noWrap/>
            <w:vAlign w:val="center"/>
            <w:hideMark/>
          </w:tcPr>
          <w:p w14:paraId="48FD32B6"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48F471C" w14:textId="77777777" w:rsidR="008A61BD" w:rsidRDefault="008A61BD" w:rsidP="008A61BD">
            <w:pPr>
              <w:pStyle w:val="P68B1DB1-Normal8"/>
              <w:spacing w:after="0" w:line="240" w:lineRule="auto"/>
              <w:jc w:val="center"/>
              <w:rPr>
                <w:rFonts w:eastAsia="Times New Roman" w:cs="Calibri"/>
                <w:noProof/>
              </w:rPr>
            </w:pPr>
            <w:r>
              <w:rPr>
                <w:noProof/>
              </w:rPr>
              <w:t xml:space="preserve">Szám </w:t>
            </w:r>
          </w:p>
        </w:tc>
        <w:tc>
          <w:tcPr>
            <w:tcW w:w="992" w:type="dxa"/>
            <w:shd w:val="clear" w:color="auto" w:fill="C4EFCE"/>
            <w:noWrap/>
            <w:vAlign w:val="center"/>
            <w:hideMark/>
          </w:tcPr>
          <w:p w14:paraId="77A7D296" w14:textId="77777777" w:rsidR="008A61BD" w:rsidRDefault="008A61BD" w:rsidP="008A61BD">
            <w:pPr>
              <w:pStyle w:val="P68B1DB1-Normal8"/>
              <w:spacing w:after="0" w:line="240" w:lineRule="auto"/>
              <w:jc w:val="center"/>
              <w:rPr>
                <w:rFonts w:eastAsia="Times New Roman" w:cs="Calibri"/>
                <w:noProof/>
              </w:rPr>
            </w:pPr>
            <w:r>
              <w:rPr>
                <w:noProof/>
              </w:rPr>
              <w:t>10 450</w:t>
            </w:r>
          </w:p>
        </w:tc>
        <w:tc>
          <w:tcPr>
            <w:tcW w:w="709" w:type="dxa"/>
            <w:shd w:val="clear" w:color="auto" w:fill="C4EFCE"/>
            <w:noWrap/>
            <w:vAlign w:val="center"/>
            <w:hideMark/>
          </w:tcPr>
          <w:p w14:paraId="7C46C763" w14:textId="77777777" w:rsidR="008A61BD" w:rsidRDefault="008A61BD" w:rsidP="008A61BD">
            <w:pPr>
              <w:pStyle w:val="P68B1DB1-Normal8"/>
              <w:spacing w:after="0" w:line="240" w:lineRule="auto"/>
              <w:jc w:val="center"/>
              <w:rPr>
                <w:rFonts w:eastAsia="Times New Roman" w:cs="Calibri"/>
                <w:noProof/>
              </w:rPr>
            </w:pPr>
            <w:r>
              <w:rPr>
                <w:noProof/>
              </w:rPr>
              <w:t>15 000</w:t>
            </w:r>
          </w:p>
        </w:tc>
        <w:tc>
          <w:tcPr>
            <w:tcW w:w="567" w:type="dxa"/>
            <w:shd w:val="clear" w:color="auto" w:fill="C4EFCE"/>
            <w:noWrap/>
            <w:vAlign w:val="center"/>
            <w:hideMark/>
          </w:tcPr>
          <w:p w14:paraId="425C2DC1" w14:textId="74D5BDBF"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5542AA4"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8F4B423" w14:textId="2FF52C31" w:rsidR="008A61BD" w:rsidRDefault="008A61BD" w:rsidP="008A61BD">
            <w:pPr>
              <w:pStyle w:val="P68B1DB1-Normal8"/>
              <w:spacing w:after="0" w:line="240" w:lineRule="auto"/>
              <w:jc w:val="both"/>
              <w:rPr>
                <w:rFonts w:eastAsia="Times New Roman" w:cs="Calibri"/>
                <w:noProof/>
              </w:rPr>
            </w:pPr>
            <w:r>
              <w:rPr>
                <w:noProof/>
              </w:rPr>
              <w:t>Az elektromos járművek nyilvánosan hozzáférhető töltőállomásainak száma (a 2024. negyedik negyedévi alapforgatókönyvhöz képest)</w:t>
            </w:r>
          </w:p>
        </w:tc>
      </w:tr>
      <w:tr w:rsidR="00DC5EC6" w14:paraId="6CDEF770" w14:textId="77777777">
        <w:trPr>
          <w:trHeight w:val="640"/>
        </w:trPr>
        <w:tc>
          <w:tcPr>
            <w:tcW w:w="1135" w:type="dxa"/>
            <w:shd w:val="clear" w:color="auto" w:fill="C4EFCE"/>
            <w:vAlign w:val="center"/>
            <w:hideMark/>
          </w:tcPr>
          <w:p w14:paraId="7E9D55FE" w14:textId="77777777" w:rsidR="00DC5EC6" w:rsidRDefault="003245A4">
            <w:pPr>
              <w:pStyle w:val="P68B1DB1-Normal7"/>
              <w:spacing w:after="0" w:line="240" w:lineRule="auto"/>
              <w:jc w:val="center"/>
              <w:rPr>
                <w:rFonts w:eastAsia="Times New Roman" w:cs="Calibri"/>
                <w:noProof/>
              </w:rPr>
            </w:pPr>
            <w:r>
              <w:rPr>
                <w:noProof/>
              </w:rPr>
              <w:t>7.4</w:t>
            </w:r>
          </w:p>
        </w:tc>
        <w:tc>
          <w:tcPr>
            <w:tcW w:w="1276" w:type="dxa"/>
            <w:shd w:val="clear" w:color="auto" w:fill="C4EFCE"/>
            <w:noWrap/>
            <w:vAlign w:val="center"/>
            <w:hideMark/>
          </w:tcPr>
          <w:p w14:paraId="74F8FD76" w14:textId="77777777" w:rsidR="00DC5EC6" w:rsidRDefault="003245A4">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0F209261"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F9C461D" w14:textId="77777777" w:rsidR="00DC5EC6" w:rsidRDefault="003245A4">
            <w:pPr>
              <w:pStyle w:val="P68B1DB1-Normal8"/>
              <w:spacing w:after="0" w:line="240" w:lineRule="auto"/>
              <w:jc w:val="center"/>
              <w:rPr>
                <w:rFonts w:eastAsia="Times New Roman" w:cs="Calibri"/>
                <w:noProof/>
              </w:rPr>
            </w:pPr>
            <w:r>
              <w:rPr>
                <w:noProof/>
              </w:rPr>
              <w:t>Üzleti befogadási területek kiválasztása a környezeti fenntarthatóság és a digitalizáció javítását célzó beavatkozásokra</w:t>
            </w:r>
          </w:p>
        </w:tc>
        <w:tc>
          <w:tcPr>
            <w:tcW w:w="1275" w:type="dxa"/>
            <w:shd w:val="clear" w:color="auto" w:fill="C4EFCE"/>
            <w:noWrap/>
            <w:vAlign w:val="center"/>
            <w:hideMark/>
          </w:tcPr>
          <w:p w14:paraId="593AAD30" w14:textId="77777777" w:rsidR="00DC5EC6" w:rsidRDefault="003245A4">
            <w:pPr>
              <w:pStyle w:val="P68B1DB1-Normal8"/>
              <w:spacing w:after="0" w:line="240" w:lineRule="auto"/>
              <w:jc w:val="center"/>
              <w:rPr>
                <w:rFonts w:eastAsia="Times New Roman" w:cs="Calibri"/>
                <w:noProof/>
              </w:rPr>
            </w:pPr>
            <w:r>
              <w:rPr>
                <w:noProof/>
              </w:rPr>
              <w:t>Az üzleti befogadási területek kiválasztását megerősítő nyilvános protokoll aláírása</w:t>
            </w:r>
          </w:p>
        </w:tc>
        <w:tc>
          <w:tcPr>
            <w:tcW w:w="993" w:type="dxa"/>
            <w:shd w:val="clear" w:color="auto" w:fill="C4EFCE"/>
            <w:noWrap/>
            <w:vAlign w:val="center"/>
            <w:hideMark/>
          </w:tcPr>
          <w:p w14:paraId="3B12DE95"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DF1D34B"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2143C3EF"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FC05994" w14:textId="477B2DC3" w:rsidR="00DC5EC6" w:rsidRDefault="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51394D9E" w14:textId="77777777" w:rsidR="00DC5EC6" w:rsidRDefault="003245A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E6391D9" w14:textId="77777777" w:rsidR="00DC5EC6" w:rsidRDefault="003245A4">
            <w:pPr>
              <w:pStyle w:val="P68B1DB1-Normal8"/>
              <w:spacing w:after="0" w:line="240" w:lineRule="auto"/>
              <w:jc w:val="both"/>
              <w:rPr>
                <w:rFonts w:eastAsia="Times New Roman" w:cs="Calibri"/>
                <w:noProof/>
              </w:rPr>
            </w:pPr>
            <w:r>
              <w:rPr>
                <w:noProof/>
              </w:rPr>
              <w:t xml:space="preserve">Az üzleti befogadási területeket versenytárgyalási eljárás keretében kell kiválasztani. A Bizottsághoz egy aláírt nyilvános jegyzőkönyvet kell benyújtani, amely megerősíti, hogy az üzleti befogadási területek kiválasztása megtörtént, és meghatározza a kiválasztott üzleti befogadási területeket. </w:t>
            </w:r>
          </w:p>
        </w:tc>
      </w:tr>
      <w:tr w:rsidR="008A61BD" w14:paraId="0512DFAB" w14:textId="77777777">
        <w:trPr>
          <w:trHeight w:val="420"/>
        </w:trPr>
        <w:tc>
          <w:tcPr>
            <w:tcW w:w="1135" w:type="dxa"/>
            <w:shd w:val="clear" w:color="auto" w:fill="C4EFCE"/>
            <w:vAlign w:val="center"/>
            <w:hideMark/>
          </w:tcPr>
          <w:p w14:paraId="40C77A13" w14:textId="77777777" w:rsidR="008A61BD" w:rsidRDefault="008A61BD" w:rsidP="008A61BD">
            <w:pPr>
              <w:pStyle w:val="P68B1DB1-Normal7"/>
              <w:spacing w:after="0" w:line="240" w:lineRule="auto"/>
              <w:jc w:val="center"/>
              <w:rPr>
                <w:rFonts w:eastAsia="Times New Roman" w:cs="Calibri"/>
                <w:noProof/>
              </w:rPr>
            </w:pPr>
            <w:r>
              <w:rPr>
                <w:noProof/>
              </w:rPr>
              <w:t>7.5</w:t>
            </w:r>
          </w:p>
        </w:tc>
        <w:tc>
          <w:tcPr>
            <w:tcW w:w="1276" w:type="dxa"/>
            <w:shd w:val="clear" w:color="auto" w:fill="C4EFCE"/>
            <w:noWrap/>
            <w:vAlign w:val="center"/>
            <w:hideMark/>
          </w:tcPr>
          <w:p w14:paraId="3FA30471" w14:textId="77777777" w:rsidR="008A61BD" w:rsidRDefault="008A61BD" w:rsidP="008A61BD">
            <w:pPr>
              <w:pStyle w:val="P68B1DB1-Normal8"/>
              <w:spacing w:after="0" w:line="240" w:lineRule="auto"/>
              <w:jc w:val="center"/>
              <w:rPr>
                <w:rFonts w:eastAsia="Times New Roman" w:cs="Calibri"/>
                <w:noProof/>
              </w:rPr>
            </w:pPr>
            <w:r>
              <w:rPr>
                <w:noProof/>
              </w:rPr>
              <w:t>Re-C07-i01</w:t>
            </w:r>
          </w:p>
        </w:tc>
        <w:tc>
          <w:tcPr>
            <w:tcW w:w="1134" w:type="dxa"/>
            <w:shd w:val="clear" w:color="auto" w:fill="C4EFCE"/>
            <w:noWrap/>
            <w:vAlign w:val="center"/>
            <w:hideMark/>
          </w:tcPr>
          <w:p w14:paraId="6BEE3F36"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DFBE47E" w14:textId="77777777" w:rsidR="008A61BD" w:rsidRDefault="008A61BD" w:rsidP="008A61BD">
            <w:pPr>
              <w:pStyle w:val="P68B1DB1-Normal8"/>
              <w:spacing w:after="0" w:line="240" w:lineRule="auto"/>
              <w:jc w:val="center"/>
              <w:rPr>
                <w:rFonts w:eastAsia="Times New Roman" w:cs="Calibri"/>
                <w:noProof/>
              </w:rPr>
            </w:pPr>
            <w:r>
              <w:rPr>
                <w:noProof/>
              </w:rPr>
              <w:t xml:space="preserve">A beavatkozások lezárása a kiválasztott üzleti fogadási területeken </w:t>
            </w:r>
          </w:p>
        </w:tc>
        <w:tc>
          <w:tcPr>
            <w:tcW w:w="1275" w:type="dxa"/>
            <w:shd w:val="clear" w:color="auto" w:fill="C4EFCE"/>
            <w:noWrap/>
            <w:vAlign w:val="center"/>
            <w:hideMark/>
          </w:tcPr>
          <w:p w14:paraId="33798293"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7932235"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2943F2B"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4C482E62" w14:textId="77777777" w:rsidR="008A61BD" w:rsidRDefault="008A61BD" w:rsidP="008A61BD">
            <w:pPr>
              <w:pStyle w:val="P68B1DB1-Normal8"/>
              <w:spacing w:after="0" w:line="240" w:lineRule="auto"/>
              <w:jc w:val="center"/>
              <w:rPr>
                <w:rFonts w:eastAsia="Times New Roman" w:cs="Calibri"/>
                <w:noProof/>
              </w:rPr>
            </w:pPr>
            <w:r>
              <w:rPr>
                <w:noProof/>
              </w:rPr>
              <w:t>10</w:t>
            </w:r>
          </w:p>
        </w:tc>
        <w:tc>
          <w:tcPr>
            <w:tcW w:w="567" w:type="dxa"/>
            <w:shd w:val="clear" w:color="auto" w:fill="C4EFCE"/>
            <w:noWrap/>
            <w:vAlign w:val="center"/>
            <w:hideMark/>
          </w:tcPr>
          <w:p w14:paraId="082856AC" w14:textId="1930ACF2"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E91BBA3"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C3A76A8" w14:textId="77777777" w:rsidR="008A61BD" w:rsidRDefault="008A61BD" w:rsidP="008A61BD">
            <w:pPr>
              <w:pStyle w:val="P68B1DB1-Normal8"/>
              <w:spacing w:after="0" w:line="240" w:lineRule="auto"/>
              <w:jc w:val="both"/>
              <w:rPr>
                <w:rFonts w:eastAsia="Times New Roman" w:cs="Calibri"/>
                <w:noProof/>
              </w:rPr>
            </w:pPr>
            <w:r>
              <w:rPr>
                <w:noProof/>
              </w:rPr>
              <w:t xml:space="preserve">A környezeti fenntarthatóságuk és digitalizációjuk javítását célzó munkálatokkal rendelkező üzleti fogadóterületek száma. </w:t>
            </w:r>
          </w:p>
          <w:p w14:paraId="07D803B5" w14:textId="10D8E79F" w:rsidR="008A61BD" w:rsidRDefault="008A61BD" w:rsidP="008A61BD">
            <w:pPr>
              <w:pStyle w:val="P68B1DB1-Normal8"/>
              <w:spacing w:after="0" w:line="240" w:lineRule="auto"/>
              <w:jc w:val="both"/>
              <w:rPr>
                <w:rFonts w:eastAsia="Times New Roman" w:cs="Calibri"/>
                <w:noProof/>
              </w:rPr>
            </w:pPr>
            <w:r>
              <w:rPr>
                <w:noProof/>
              </w:rPr>
              <w:t>A versenytárgyalási eljárás során kiválasztott, beavatkozásra szánt üzleti fogadóterületek.</w:t>
            </w:r>
          </w:p>
        </w:tc>
      </w:tr>
      <w:tr w:rsidR="008A61BD" w14:paraId="10CFA4E1" w14:textId="77777777">
        <w:trPr>
          <w:trHeight w:val="420"/>
        </w:trPr>
        <w:tc>
          <w:tcPr>
            <w:tcW w:w="1135" w:type="dxa"/>
            <w:shd w:val="clear" w:color="auto" w:fill="C4EFCE"/>
            <w:vAlign w:val="center"/>
            <w:hideMark/>
          </w:tcPr>
          <w:p w14:paraId="6BA90D44" w14:textId="77777777" w:rsidR="008A61BD" w:rsidRDefault="008A61BD" w:rsidP="008A61BD">
            <w:pPr>
              <w:pStyle w:val="P68B1DB1-Normal7"/>
              <w:spacing w:after="0" w:line="240" w:lineRule="auto"/>
              <w:jc w:val="center"/>
              <w:rPr>
                <w:rFonts w:eastAsia="Times New Roman" w:cs="Calibri"/>
                <w:noProof/>
              </w:rPr>
            </w:pPr>
            <w:r>
              <w:rPr>
                <w:noProof/>
              </w:rPr>
              <w:t>7.6</w:t>
            </w:r>
          </w:p>
        </w:tc>
        <w:tc>
          <w:tcPr>
            <w:tcW w:w="1276" w:type="dxa"/>
            <w:shd w:val="clear" w:color="auto" w:fill="C4EFCE"/>
            <w:noWrap/>
            <w:vAlign w:val="center"/>
            <w:hideMark/>
          </w:tcPr>
          <w:p w14:paraId="4F6EE5A3" w14:textId="77777777" w:rsidR="008A61BD" w:rsidRDefault="008A61BD" w:rsidP="008A61BD">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6C6C701C"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715D078" w14:textId="77777777" w:rsidR="008A61BD" w:rsidRDefault="008A61BD" w:rsidP="008A61BD">
            <w:pPr>
              <w:pStyle w:val="P68B1DB1-Normal8"/>
              <w:spacing w:after="0" w:line="240" w:lineRule="auto"/>
              <w:jc w:val="center"/>
              <w:rPr>
                <w:rFonts w:eastAsia="Times New Roman" w:cs="Calibri"/>
                <w:noProof/>
              </w:rPr>
            </w:pPr>
            <w:r>
              <w:rPr>
                <w:noProof/>
              </w:rPr>
              <w:t>1 közúti projektre aláírt szerződés</w:t>
            </w:r>
          </w:p>
        </w:tc>
        <w:tc>
          <w:tcPr>
            <w:tcW w:w="1275" w:type="dxa"/>
            <w:shd w:val="clear" w:color="auto" w:fill="C4EFCE"/>
            <w:noWrap/>
            <w:vAlign w:val="center"/>
            <w:hideMark/>
          </w:tcPr>
          <w:p w14:paraId="3AEB4D75" w14:textId="77777777" w:rsidR="008A61BD" w:rsidRDefault="008A61BD" w:rsidP="008A61BD">
            <w:pPr>
              <w:pStyle w:val="P68B1DB1-Normal8"/>
              <w:spacing w:after="0" w:line="240" w:lineRule="auto"/>
              <w:jc w:val="center"/>
              <w:rPr>
                <w:rFonts w:eastAsia="Times New Roman" w:cs="Calibri"/>
                <w:noProof/>
              </w:rPr>
            </w:pPr>
            <w:r>
              <w:rPr>
                <w:noProof/>
              </w:rPr>
              <w:t>A közúti projekt szerződő felével kötött szerződés</w:t>
            </w:r>
          </w:p>
        </w:tc>
        <w:tc>
          <w:tcPr>
            <w:tcW w:w="993" w:type="dxa"/>
            <w:shd w:val="clear" w:color="auto" w:fill="C4EFCE"/>
            <w:noWrap/>
            <w:vAlign w:val="center"/>
            <w:hideMark/>
          </w:tcPr>
          <w:p w14:paraId="70074E61"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356C703"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31DADF6"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74A7711C" w14:textId="08002DEF"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6AB2898" w14:textId="77777777" w:rsidR="008A61BD" w:rsidRDefault="008A61BD" w:rsidP="008A61BD">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518505D" w14:textId="77777777" w:rsidR="008A61BD" w:rsidRDefault="008A61BD" w:rsidP="008A61BD">
            <w:pPr>
              <w:pStyle w:val="P68B1DB1-Normal8"/>
              <w:spacing w:after="0" w:line="240" w:lineRule="auto"/>
              <w:jc w:val="both"/>
              <w:rPr>
                <w:rFonts w:eastAsia="Times New Roman" w:cs="Calibri"/>
                <w:noProof/>
              </w:rPr>
            </w:pPr>
            <w:r>
              <w:rPr>
                <w:noProof/>
              </w:rPr>
              <w:t>Közbeszerzési eljárást követően a felek aláírják a munkálatok kivitelezésével kapcsolatos kötelezettségeiket szabályozó dokumentumot.</w:t>
            </w:r>
          </w:p>
        </w:tc>
      </w:tr>
      <w:tr w:rsidR="00DC5EC6" w14:paraId="0CFF3903" w14:textId="77777777">
        <w:trPr>
          <w:trHeight w:val="420"/>
        </w:trPr>
        <w:tc>
          <w:tcPr>
            <w:tcW w:w="1135" w:type="dxa"/>
            <w:shd w:val="clear" w:color="auto" w:fill="C4EFCE"/>
            <w:vAlign w:val="center"/>
            <w:hideMark/>
          </w:tcPr>
          <w:p w14:paraId="65D7863A" w14:textId="77777777" w:rsidR="00DC5EC6" w:rsidRDefault="003245A4">
            <w:pPr>
              <w:pStyle w:val="P68B1DB1-Normal7"/>
              <w:spacing w:after="0" w:line="240" w:lineRule="auto"/>
              <w:jc w:val="center"/>
              <w:rPr>
                <w:rFonts w:eastAsia="Times New Roman" w:cs="Calibri"/>
                <w:noProof/>
              </w:rPr>
            </w:pPr>
            <w:r>
              <w:rPr>
                <w:noProof/>
              </w:rPr>
              <w:t>7.7</w:t>
            </w:r>
          </w:p>
        </w:tc>
        <w:tc>
          <w:tcPr>
            <w:tcW w:w="1276" w:type="dxa"/>
            <w:shd w:val="clear" w:color="auto" w:fill="C4EFCE"/>
            <w:noWrap/>
            <w:vAlign w:val="center"/>
            <w:hideMark/>
          </w:tcPr>
          <w:p w14:paraId="184546E3" w14:textId="77777777" w:rsidR="00DC5EC6" w:rsidRDefault="003245A4">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34BD2C29"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53F57D" w14:textId="77777777" w:rsidR="00DC5EC6" w:rsidRDefault="003245A4">
            <w:pPr>
              <w:pStyle w:val="P68B1DB1-Normal8"/>
              <w:spacing w:after="0" w:line="240" w:lineRule="auto"/>
              <w:jc w:val="center"/>
              <w:rPr>
                <w:rFonts w:eastAsia="Times New Roman" w:cs="Calibri"/>
                <w:noProof/>
              </w:rPr>
            </w:pPr>
            <w:r>
              <w:rPr>
                <w:noProof/>
              </w:rPr>
              <w:t>2 közúti projektre aláírt szerződés</w:t>
            </w:r>
          </w:p>
        </w:tc>
        <w:tc>
          <w:tcPr>
            <w:tcW w:w="1275" w:type="dxa"/>
            <w:shd w:val="clear" w:color="auto" w:fill="C4EFCE"/>
            <w:noWrap/>
            <w:vAlign w:val="center"/>
            <w:hideMark/>
          </w:tcPr>
          <w:p w14:paraId="27FD9906" w14:textId="77777777" w:rsidR="00DC5EC6" w:rsidRDefault="003245A4">
            <w:pPr>
              <w:pStyle w:val="P68B1DB1-Normal8"/>
              <w:spacing w:after="0" w:line="240" w:lineRule="auto"/>
              <w:jc w:val="center"/>
              <w:rPr>
                <w:rFonts w:eastAsia="Times New Roman" w:cs="Calibri"/>
                <w:noProof/>
              </w:rPr>
            </w:pPr>
            <w:r>
              <w:rPr>
                <w:noProof/>
              </w:rPr>
              <w:t>A vállalkozóval közúti projektekről szóló szerződés aláírása</w:t>
            </w:r>
          </w:p>
        </w:tc>
        <w:tc>
          <w:tcPr>
            <w:tcW w:w="993" w:type="dxa"/>
            <w:shd w:val="clear" w:color="auto" w:fill="C4EFCE"/>
            <w:noWrap/>
            <w:vAlign w:val="center"/>
            <w:hideMark/>
          </w:tcPr>
          <w:p w14:paraId="46E44223"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DCA1314"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C4AC25B"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0ED99A" w14:textId="4CD85CEA"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73BEB9CA"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C5F3EF7" w14:textId="77777777" w:rsidR="00DC5EC6" w:rsidRDefault="003245A4">
            <w:pPr>
              <w:pStyle w:val="P68B1DB1-Normal8"/>
              <w:spacing w:after="0" w:line="240" w:lineRule="auto"/>
              <w:jc w:val="both"/>
              <w:rPr>
                <w:rFonts w:eastAsia="Times New Roman" w:cs="Calibri"/>
                <w:noProof/>
              </w:rPr>
            </w:pPr>
            <w:r>
              <w:rPr>
                <w:noProof/>
              </w:rPr>
              <w:t>Közbeszerzési eljárást követően a felek aláírják a munkálatok kivitelezésével kapcsolatos kötelezettségeiket szabályozó dokumentumot.</w:t>
            </w:r>
          </w:p>
        </w:tc>
      </w:tr>
      <w:tr w:rsidR="008A61BD" w14:paraId="265A481C" w14:textId="77777777">
        <w:trPr>
          <w:trHeight w:val="420"/>
        </w:trPr>
        <w:tc>
          <w:tcPr>
            <w:tcW w:w="1135" w:type="dxa"/>
            <w:shd w:val="clear" w:color="auto" w:fill="C4EFCE"/>
            <w:vAlign w:val="center"/>
            <w:hideMark/>
          </w:tcPr>
          <w:p w14:paraId="5CB9830A" w14:textId="77777777" w:rsidR="008A61BD" w:rsidRDefault="008A61BD" w:rsidP="008A61BD">
            <w:pPr>
              <w:pStyle w:val="P68B1DB1-Normal7"/>
              <w:spacing w:after="0" w:line="240" w:lineRule="auto"/>
              <w:jc w:val="center"/>
              <w:rPr>
                <w:rFonts w:eastAsia="Times New Roman" w:cs="Calibri"/>
                <w:noProof/>
              </w:rPr>
            </w:pPr>
            <w:r>
              <w:rPr>
                <w:noProof/>
              </w:rPr>
              <w:t>7.8</w:t>
            </w:r>
          </w:p>
        </w:tc>
        <w:tc>
          <w:tcPr>
            <w:tcW w:w="1276" w:type="dxa"/>
            <w:shd w:val="clear" w:color="auto" w:fill="C4EFCE"/>
            <w:noWrap/>
            <w:vAlign w:val="center"/>
            <w:hideMark/>
          </w:tcPr>
          <w:p w14:paraId="53E4F8B7" w14:textId="77777777" w:rsidR="008A61BD" w:rsidRDefault="008A61BD" w:rsidP="008A61BD">
            <w:pPr>
              <w:pStyle w:val="P68B1DB1-Normal8"/>
              <w:spacing w:after="0" w:line="240" w:lineRule="auto"/>
              <w:jc w:val="center"/>
              <w:rPr>
                <w:rFonts w:eastAsia="Times New Roman" w:cs="Calibri"/>
                <w:noProof/>
              </w:rPr>
            </w:pPr>
            <w:r>
              <w:rPr>
                <w:noProof/>
              </w:rPr>
              <w:t>Re-C07-i02</w:t>
            </w:r>
          </w:p>
        </w:tc>
        <w:tc>
          <w:tcPr>
            <w:tcW w:w="1134" w:type="dxa"/>
            <w:shd w:val="clear" w:color="auto" w:fill="C4EFCE"/>
            <w:noWrap/>
            <w:vAlign w:val="center"/>
            <w:hideMark/>
          </w:tcPr>
          <w:p w14:paraId="12265568"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3A730D9" w14:textId="77777777" w:rsidR="008A61BD" w:rsidRDefault="008A61BD" w:rsidP="008A61BD">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2009EC45"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B9DB13" w14:textId="77777777" w:rsidR="008A61BD" w:rsidRDefault="008A61BD" w:rsidP="008A61BD">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701630BB"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58650E" w14:textId="77777777" w:rsidR="008A61BD" w:rsidRDefault="008A61BD" w:rsidP="008A61BD">
            <w:pPr>
              <w:pStyle w:val="P68B1DB1-Normal8"/>
              <w:spacing w:after="0" w:line="240" w:lineRule="auto"/>
              <w:jc w:val="center"/>
              <w:rPr>
                <w:rFonts w:eastAsia="Times New Roman" w:cs="Calibri"/>
                <w:noProof/>
              </w:rPr>
            </w:pPr>
            <w:r>
              <w:rPr>
                <w:noProof/>
              </w:rPr>
              <w:t>111</w:t>
            </w:r>
          </w:p>
        </w:tc>
        <w:tc>
          <w:tcPr>
            <w:tcW w:w="567" w:type="dxa"/>
            <w:shd w:val="clear" w:color="auto" w:fill="C4EFCE"/>
            <w:noWrap/>
            <w:vAlign w:val="center"/>
            <w:hideMark/>
          </w:tcPr>
          <w:p w14:paraId="40298BF3" w14:textId="35D7DD29"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4EAB628"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8015658" w14:textId="77777777" w:rsidR="008A61BD" w:rsidRDefault="008A61BD" w:rsidP="008A61BD">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r w:rsidR="008A61BD" w14:paraId="2261DAAD" w14:textId="77777777">
        <w:trPr>
          <w:trHeight w:val="420"/>
        </w:trPr>
        <w:tc>
          <w:tcPr>
            <w:tcW w:w="1135" w:type="dxa"/>
            <w:shd w:val="clear" w:color="auto" w:fill="C4EFCE"/>
            <w:vAlign w:val="center"/>
            <w:hideMark/>
          </w:tcPr>
          <w:p w14:paraId="4034FC64" w14:textId="77777777" w:rsidR="008A61BD" w:rsidRDefault="008A61BD" w:rsidP="008A61BD">
            <w:pPr>
              <w:pStyle w:val="P68B1DB1-Normal7"/>
              <w:spacing w:after="0" w:line="240" w:lineRule="auto"/>
              <w:jc w:val="center"/>
              <w:rPr>
                <w:rFonts w:eastAsia="Times New Roman" w:cs="Calibri"/>
                <w:noProof/>
              </w:rPr>
            </w:pPr>
            <w:r>
              <w:rPr>
                <w:noProof/>
              </w:rPr>
              <w:t>7.13</w:t>
            </w:r>
          </w:p>
        </w:tc>
        <w:tc>
          <w:tcPr>
            <w:tcW w:w="1276" w:type="dxa"/>
            <w:shd w:val="clear" w:color="auto" w:fill="C4EFCE"/>
            <w:noWrap/>
            <w:vAlign w:val="center"/>
            <w:hideMark/>
          </w:tcPr>
          <w:p w14:paraId="4BC36517" w14:textId="77777777" w:rsidR="008A61BD" w:rsidRDefault="008A61BD" w:rsidP="008A61BD">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209F840"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385815E" w14:textId="77777777" w:rsidR="008A61BD" w:rsidRDefault="008A61BD" w:rsidP="008A61BD">
            <w:pPr>
              <w:pStyle w:val="P68B1DB1-Normal8"/>
              <w:spacing w:after="0" w:line="240" w:lineRule="auto"/>
              <w:jc w:val="center"/>
              <w:rPr>
                <w:rFonts w:eastAsia="Times New Roman" w:cs="Calibri"/>
                <w:noProof/>
              </w:rPr>
            </w:pPr>
            <w:r>
              <w:rPr>
                <w:noProof/>
              </w:rPr>
              <w:t>2 közúti projektre aláírt szerződés</w:t>
            </w:r>
          </w:p>
        </w:tc>
        <w:tc>
          <w:tcPr>
            <w:tcW w:w="1275" w:type="dxa"/>
            <w:shd w:val="clear" w:color="auto" w:fill="C4EFCE"/>
            <w:noWrap/>
            <w:vAlign w:val="center"/>
            <w:hideMark/>
          </w:tcPr>
          <w:p w14:paraId="63C0F659" w14:textId="77777777" w:rsidR="008A61BD" w:rsidRDefault="008A61BD" w:rsidP="008A61BD">
            <w:pPr>
              <w:pStyle w:val="P68B1DB1-Normal8"/>
              <w:spacing w:after="0" w:line="240" w:lineRule="auto"/>
              <w:jc w:val="center"/>
              <w:rPr>
                <w:rFonts w:eastAsia="Times New Roman" w:cs="Calibri"/>
                <w:noProof/>
              </w:rPr>
            </w:pPr>
            <w:r>
              <w:rPr>
                <w:noProof/>
              </w:rPr>
              <w:t xml:space="preserve">A közúti projektek vállalkozójával kötött szerződés </w:t>
            </w:r>
          </w:p>
        </w:tc>
        <w:tc>
          <w:tcPr>
            <w:tcW w:w="993" w:type="dxa"/>
            <w:shd w:val="clear" w:color="auto" w:fill="C4EFCE"/>
            <w:noWrap/>
            <w:vAlign w:val="center"/>
            <w:hideMark/>
          </w:tcPr>
          <w:p w14:paraId="7CB79044"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9267C0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4713E82"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4777E7E1" w14:textId="5661B1A8"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E0776BB" w14:textId="77777777" w:rsidR="008A61BD" w:rsidRDefault="008A61BD" w:rsidP="008A61BD">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6DA65D9A" w14:textId="77777777" w:rsidR="008A61BD" w:rsidRDefault="008A61BD" w:rsidP="008A61BD">
            <w:pPr>
              <w:pStyle w:val="P68B1DB1-Normal8"/>
              <w:spacing w:after="0" w:line="240" w:lineRule="auto"/>
              <w:jc w:val="both"/>
              <w:rPr>
                <w:rFonts w:eastAsia="Times New Roman" w:cs="Calibri"/>
                <w:noProof/>
              </w:rPr>
            </w:pPr>
            <w:r>
              <w:rPr>
                <w:noProof/>
              </w:rPr>
              <w:t>Közbeszerzési eljárást követően a felek aláírják az építési beruházás kivitelezésével kapcsolatos kötelezettségeiket szabályozó dokumentumot.</w:t>
            </w:r>
          </w:p>
        </w:tc>
      </w:tr>
      <w:tr w:rsidR="008A61BD" w14:paraId="0682BEE4" w14:textId="77777777">
        <w:trPr>
          <w:trHeight w:val="401"/>
        </w:trPr>
        <w:tc>
          <w:tcPr>
            <w:tcW w:w="1135" w:type="dxa"/>
            <w:shd w:val="clear" w:color="auto" w:fill="C4EFCE"/>
            <w:vAlign w:val="center"/>
            <w:hideMark/>
          </w:tcPr>
          <w:p w14:paraId="1CA58A5D" w14:textId="77777777" w:rsidR="008A61BD" w:rsidRDefault="008A61BD" w:rsidP="008A61BD">
            <w:pPr>
              <w:pStyle w:val="P68B1DB1-Normal7"/>
              <w:spacing w:after="0" w:line="240" w:lineRule="auto"/>
              <w:jc w:val="center"/>
              <w:rPr>
                <w:rFonts w:eastAsia="Times New Roman" w:cs="Calibri"/>
                <w:noProof/>
              </w:rPr>
            </w:pPr>
            <w:r>
              <w:rPr>
                <w:noProof/>
              </w:rPr>
              <w:t>7.14</w:t>
            </w:r>
          </w:p>
        </w:tc>
        <w:tc>
          <w:tcPr>
            <w:tcW w:w="1276" w:type="dxa"/>
            <w:shd w:val="clear" w:color="auto" w:fill="C4EFCE"/>
            <w:noWrap/>
            <w:vAlign w:val="center"/>
            <w:hideMark/>
          </w:tcPr>
          <w:p w14:paraId="15B9C650" w14:textId="77777777" w:rsidR="008A61BD" w:rsidRDefault="008A61BD" w:rsidP="008A61BD">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12F9B6B5"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E2EC1A" w14:textId="77777777" w:rsidR="008A61BD" w:rsidRDefault="008A61BD" w:rsidP="008A61BD">
            <w:pPr>
              <w:pStyle w:val="P68B1DB1-Normal8"/>
              <w:spacing w:after="0" w:line="240" w:lineRule="auto"/>
              <w:jc w:val="center"/>
              <w:rPr>
                <w:rFonts w:eastAsia="Times New Roman" w:cs="Calibri"/>
                <w:noProof/>
              </w:rPr>
            </w:pPr>
            <w:r>
              <w:rPr>
                <w:noProof/>
              </w:rPr>
              <w:t>8 közúti projektre vonatkozóan aláírt szerződés</w:t>
            </w:r>
          </w:p>
        </w:tc>
        <w:tc>
          <w:tcPr>
            <w:tcW w:w="1275" w:type="dxa"/>
            <w:shd w:val="clear" w:color="auto" w:fill="C4EFCE"/>
            <w:noWrap/>
            <w:vAlign w:val="center"/>
            <w:hideMark/>
          </w:tcPr>
          <w:p w14:paraId="6C884EF6" w14:textId="77777777" w:rsidR="008A61BD" w:rsidRDefault="008A61BD" w:rsidP="008A61BD">
            <w:pPr>
              <w:pStyle w:val="P68B1DB1-Normal8"/>
              <w:spacing w:after="0" w:line="240" w:lineRule="auto"/>
              <w:jc w:val="center"/>
              <w:rPr>
                <w:rFonts w:eastAsia="Times New Roman" w:cs="Calibri"/>
                <w:noProof/>
              </w:rPr>
            </w:pPr>
            <w:r>
              <w:rPr>
                <w:noProof/>
              </w:rPr>
              <w:t xml:space="preserve">A közúti projektek vállalkozójával kötött szerződés </w:t>
            </w:r>
          </w:p>
        </w:tc>
        <w:tc>
          <w:tcPr>
            <w:tcW w:w="993" w:type="dxa"/>
            <w:shd w:val="clear" w:color="auto" w:fill="C4EFCE"/>
            <w:noWrap/>
            <w:vAlign w:val="center"/>
            <w:hideMark/>
          </w:tcPr>
          <w:p w14:paraId="444A2DB0"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CC793F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3F84ABE5"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5FC35485" w14:textId="486EFE65" w:rsidR="008A61BD" w:rsidRDefault="008A61BD" w:rsidP="008A61BD">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38E5478" w14:textId="77777777" w:rsidR="008A61BD" w:rsidRDefault="008A61BD" w:rsidP="008A61BD">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927CA24" w14:textId="1065D024" w:rsidR="008A61BD" w:rsidRDefault="008A61BD" w:rsidP="008A61BD">
            <w:pPr>
              <w:pStyle w:val="P68B1DB1-Normal8"/>
              <w:spacing w:after="0" w:line="240" w:lineRule="auto"/>
              <w:jc w:val="both"/>
              <w:rPr>
                <w:rFonts w:eastAsia="Times New Roman" w:cs="Calibri"/>
                <w:noProof/>
              </w:rPr>
            </w:pPr>
            <w:r>
              <w:rPr>
                <w:noProof/>
              </w:rPr>
              <w:t xml:space="preserve">Közbeszerzési eljárást követően a felek aláírják az építési beruházás kivitelezésével kapcsolatos kötelezettségeiket szabályozó dokumentumot. </w:t>
            </w:r>
          </w:p>
        </w:tc>
      </w:tr>
      <w:tr w:rsidR="001F25B1" w14:paraId="7B5B5CC1" w14:textId="77777777">
        <w:trPr>
          <w:trHeight w:val="420"/>
        </w:trPr>
        <w:tc>
          <w:tcPr>
            <w:tcW w:w="1135" w:type="dxa"/>
            <w:shd w:val="clear" w:color="auto" w:fill="C4EFCE"/>
            <w:vAlign w:val="center"/>
            <w:hideMark/>
          </w:tcPr>
          <w:p w14:paraId="700C397C" w14:textId="77777777" w:rsidR="001F25B1" w:rsidRDefault="001F25B1" w:rsidP="001F25B1">
            <w:pPr>
              <w:pStyle w:val="P68B1DB1-Normal7"/>
              <w:spacing w:after="0" w:line="240" w:lineRule="auto"/>
              <w:jc w:val="center"/>
              <w:rPr>
                <w:rFonts w:eastAsia="Times New Roman" w:cs="Calibri"/>
                <w:noProof/>
              </w:rPr>
            </w:pPr>
            <w:r>
              <w:rPr>
                <w:noProof/>
              </w:rPr>
              <w:t>7.15</w:t>
            </w:r>
          </w:p>
        </w:tc>
        <w:tc>
          <w:tcPr>
            <w:tcW w:w="1276" w:type="dxa"/>
            <w:shd w:val="clear" w:color="auto" w:fill="C4EFCE"/>
            <w:noWrap/>
            <w:vAlign w:val="center"/>
            <w:hideMark/>
          </w:tcPr>
          <w:p w14:paraId="20063F9D" w14:textId="77777777" w:rsidR="001F25B1" w:rsidRDefault="001F25B1" w:rsidP="001F25B1">
            <w:pPr>
              <w:pStyle w:val="P68B1DB1-Normal8"/>
              <w:spacing w:after="0" w:line="240" w:lineRule="auto"/>
              <w:jc w:val="center"/>
              <w:rPr>
                <w:rFonts w:eastAsia="Times New Roman" w:cs="Calibri"/>
                <w:noProof/>
              </w:rPr>
            </w:pPr>
            <w:r>
              <w:rPr>
                <w:noProof/>
              </w:rPr>
              <w:t>Re-C07-i05-RAA</w:t>
            </w:r>
          </w:p>
        </w:tc>
        <w:tc>
          <w:tcPr>
            <w:tcW w:w="1134" w:type="dxa"/>
            <w:shd w:val="clear" w:color="auto" w:fill="C4EFCE"/>
            <w:noWrap/>
            <w:vAlign w:val="center"/>
            <w:hideMark/>
          </w:tcPr>
          <w:p w14:paraId="2AC31D5D" w14:textId="77777777" w:rsidR="001F25B1" w:rsidRDefault="001F25B1" w:rsidP="001F25B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A4A3C86" w14:textId="77777777" w:rsidR="001F25B1" w:rsidRDefault="001F25B1" w:rsidP="001F25B1">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2D009BF3"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B6B86C2" w14:textId="77777777" w:rsidR="001F25B1" w:rsidRDefault="001F25B1" w:rsidP="001F25B1">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371D6CE9" w14:textId="77777777" w:rsidR="001F25B1" w:rsidRDefault="001F25B1" w:rsidP="001F25B1">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EE7F577" w14:textId="77777777" w:rsidR="001F25B1" w:rsidRDefault="001F25B1" w:rsidP="001F25B1">
            <w:pPr>
              <w:pStyle w:val="P68B1DB1-Normal8"/>
              <w:spacing w:after="0" w:line="240" w:lineRule="auto"/>
              <w:jc w:val="center"/>
              <w:rPr>
                <w:rFonts w:eastAsia="Times New Roman" w:cs="Calibri"/>
                <w:noProof/>
              </w:rPr>
            </w:pPr>
            <w:r>
              <w:rPr>
                <w:noProof/>
              </w:rPr>
              <w:t>34.38</w:t>
            </w:r>
          </w:p>
        </w:tc>
        <w:tc>
          <w:tcPr>
            <w:tcW w:w="567" w:type="dxa"/>
            <w:shd w:val="clear" w:color="auto" w:fill="C4EFCE"/>
            <w:noWrap/>
            <w:vAlign w:val="center"/>
            <w:hideMark/>
          </w:tcPr>
          <w:p w14:paraId="23C0D9BB" w14:textId="14918BAA"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386DAC62" w14:textId="196BF008" w:rsidR="001F25B1" w:rsidRDefault="001F25B1" w:rsidP="001F25B1">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1595695" w14:textId="77777777" w:rsidR="001F25B1" w:rsidRDefault="001F25B1" w:rsidP="001F25B1">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bl>
    <w:p w14:paraId="215FEBDE"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50"/>
          <w:headerReference w:type="default" r:id="rId151"/>
          <w:footerReference w:type="even" r:id="rId152"/>
          <w:footerReference w:type="default" r:id="rId153"/>
          <w:headerReference w:type="first" r:id="rId154"/>
          <w:footerReference w:type="first" r:id="rId155"/>
          <w:pgSz w:w="16839" w:h="11907" w:orient="landscape"/>
          <w:pgMar w:top="1134" w:right="1134" w:bottom="1134" w:left="1134" w:header="567" w:footer="567" w:gutter="0"/>
          <w:cols w:space="720"/>
          <w:docGrid w:linePitch="360"/>
        </w:sectPr>
      </w:pPr>
    </w:p>
    <w:p w14:paraId="5FFBA500" w14:textId="77777777" w:rsidR="00DC5EC6" w:rsidRDefault="003245A4">
      <w:pPr>
        <w:pStyle w:val="P68B1DB1-Normal3"/>
        <w:keepNext/>
        <w:spacing w:before="240" w:after="0" w:line="259" w:lineRule="auto"/>
        <w:ind w:left="851"/>
        <w:jc w:val="both"/>
        <w:outlineLvl w:val="3"/>
        <w:rPr>
          <w:rFonts w:eastAsiaTheme="minorEastAsia" w:cs="Times New Roman"/>
          <w:noProof/>
        </w:rPr>
      </w:pPr>
      <w:r>
        <w:rPr>
          <w:noProof/>
        </w:rPr>
        <w:t>G.3. A hitelhez kapcsolódó reformok és beruházások ismertetése</w:t>
      </w:r>
    </w:p>
    <w:p w14:paraId="5DC9AA23"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RE-C07–i03 beruházás: Határokon átnyúló összeköttetések</w:t>
      </w:r>
    </w:p>
    <w:p w14:paraId="1C90E8F1"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a határokon átnyúló mobilitás fejlesztésének ösztönzése és a vállalatok versenyképességének javítása, például a munkaerő mobilitásának előmozdítása révén. A nagy kapacitású folyosók megerősítésének célja továbbá az infrastruktúra – például a Sanabriai nagysebességű vasútvonal vagy a bragançai repülőtér – közös használatának lehetővé tétele, valamint a közúti biztonság javítása.</w:t>
      </w:r>
    </w:p>
    <w:p w14:paraId="7E45326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közúti infrastruktúra létrehozását és korszerűsítését foglalja magában a Spanyolországgal való határokon átnyúló összeköttetések megerősítése érdekében. </w:t>
      </w:r>
    </w:p>
    <w:p w14:paraId="3FAC676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 </w:t>
      </w:r>
    </w:p>
    <w:p w14:paraId="54069761" w14:textId="73841A5B" w:rsidR="00DC5EC6" w:rsidRDefault="003245A4">
      <w:pPr>
        <w:pStyle w:val="P68B1DB1-Normal4"/>
        <w:keepNext/>
        <w:spacing w:before="40" w:after="0" w:line="259" w:lineRule="auto"/>
        <w:jc w:val="both"/>
        <w:rPr>
          <w:rFonts w:eastAsiaTheme="minorEastAsia" w:cs="Times New Roman"/>
          <w:noProof/>
        </w:rPr>
      </w:pPr>
      <w:r>
        <w:rPr>
          <w:noProof/>
        </w:rPr>
        <w:t>A felsorolt utak közül 30 kilométert kell megépíteni vagy korszerűsíteni:</w:t>
      </w:r>
    </w:p>
    <w:p w14:paraId="1BEA4559"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EN103: Vinhais/Bragança (elkerülő);</w:t>
      </w:r>
    </w:p>
    <w:p w14:paraId="05732A66"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Bragança és Puebla de Sanabria (Spanyolország) közötti kapcsolat;</w:t>
      </w:r>
    </w:p>
    <w:p w14:paraId="2E2E2DF9"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Nemzetközi híd a Sever folyó felett;</w:t>
      </w:r>
    </w:p>
    <w:p w14:paraId="3CA675A9" w14:textId="77777777" w:rsidR="00DC5EC6" w:rsidRDefault="003245A4">
      <w:pPr>
        <w:pStyle w:val="P68B1DB1-Normal4"/>
        <w:keepNext/>
        <w:numPr>
          <w:ilvl w:val="0"/>
          <w:numId w:val="23"/>
        </w:numPr>
        <w:spacing w:before="40" w:after="160" w:line="259" w:lineRule="auto"/>
        <w:contextualSpacing/>
        <w:jc w:val="both"/>
        <w:rPr>
          <w:rFonts w:eastAsiaTheme="minorEastAsia" w:cs="Times New Roman"/>
          <w:noProof/>
        </w:rPr>
      </w:pPr>
      <w:r>
        <w:rPr>
          <w:noProof/>
        </w:rPr>
        <w:t>Híd Alcoutim – Saluncar de Guadiana (Spanyolország).</w:t>
      </w:r>
    </w:p>
    <w:p w14:paraId="58FCA3D1"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F25777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RE-C07–i04 beruházás: Üzleti befogadási területek – Útvonal-hozzáférés</w:t>
      </w:r>
    </w:p>
    <w:p w14:paraId="0B64272F"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intézkedések célja az üzleti parkok versenyképességének javítása közúti hálózati összekapcsoltságuk javítása révén, hozzájárulva a vidéki területek újraiparosításához.</w:t>
      </w:r>
    </w:p>
    <w:p w14:paraId="1C3FF6B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közúti infrastruktúra bővítésére és korszerűsítésére irányuló beruházásokból áll. Kiegészíti a RE-CCT-C7-I1 beruházást, amelynek célja az üzleti parkok korszerűsítése. </w:t>
      </w:r>
    </w:p>
    <w:p w14:paraId="5CE9812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DNSH-megfelelést kísérő intézkedésként a C07–I0 beruházás (az elektromos járművek töltési hálózatának bővítése) biztosítja. Minden olyan útprojektet, amely valószínűleg jelentős negatív hatást gyakorol a környezetre, a 2011/92/EU irányelv szerinti környezeti hatásvizsgálatnak (KHV) kell alávetni annak biztosítása érdekében, hogy a DNSH-elvnek való megfelelés beépüljön a projektbe, és az infrastruktúra építésének, üzemeltetésének és leszerelésének szakaszában szigorúan teljesüljön. </w:t>
      </w:r>
    </w:p>
    <w:p w14:paraId="050BD257" w14:textId="4CB0EAD2" w:rsidR="00DC5EC6" w:rsidRDefault="003245A4">
      <w:pPr>
        <w:pStyle w:val="P68B1DB1-Normal4"/>
        <w:keepNext/>
        <w:spacing w:before="40" w:after="0" w:line="259" w:lineRule="auto"/>
        <w:jc w:val="both"/>
        <w:rPr>
          <w:rFonts w:eastAsiaTheme="minorEastAsia" w:cs="Times New Roman"/>
          <w:noProof/>
        </w:rPr>
      </w:pPr>
      <w:r>
        <w:rPr>
          <w:noProof/>
        </w:rPr>
        <w:t>A felsorolt utak közül 42 kilométert kell megépíteni vagy korszerűsíteni:</w:t>
      </w:r>
    </w:p>
    <w:p w14:paraId="3191170B"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Csatlakozás a mundãoi ipari parkhoz: az EN229 Viseu/Sátão szabványban szereplő korlátozások megszüntetése; </w:t>
      </w:r>
    </w:p>
    <w:p w14:paraId="262DC6C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Csatlakozás a mundãoi ipari parkhoz: EN229 – korábbi IP5/Mundão ipari park; </w:t>
      </w:r>
    </w:p>
    <w:p w14:paraId="452EB813"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 Riachos ipari övezethez való hozzáférés; </w:t>
      </w:r>
    </w:p>
    <w:p w14:paraId="2C588233"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IC8 (Ansião) belépése a Camporês-i üzleti parkba; </w:t>
      </w:r>
    </w:p>
    <w:p w14:paraId="5A87BB70"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EN10–4: Setúbal/Mitrena; </w:t>
      </w:r>
    </w:p>
    <w:p w14:paraId="242E9A85"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Csatlakozás a Fontiscos ipari parkjához és az Ermida csomópont (Santo Tirso) rehabilitációja; </w:t>
      </w:r>
    </w:p>
    <w:p w14:paraId="2AEAAA33"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A8-as összekapcsolása a Torres Vedras-i Palhagueiras ipari parkkal; </w:t>
      </w:r>
    </w:p>
    <w:p w14:paraId="07901DC1"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Az A11 összekapcsolása a Cabeça de Porca (Felgueiras) ipari övezetével;</w:t>
      </w:r>
    </w:p>
    <w:p w14:paraId="3ED2239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EN114 szabvány összekapcsolása a Rio Maior ipari övezettel; </w:t>
      </w:r>
    </w:p>
    <w:p w14:paraId="1EAB633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Jobb hozzáférés a Lavagueiras üzleti helyszínéhez (Castelo de Paiva); </w:t>
      </w:r>
    </w:p>
    <w:p w14:paraId="30092FC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A Campo Maior ipari terület megközelíthetőségének javítása;</w:t>
      </w:r>
    </w:p>
    <w:p w14:paraId="6B7A00F6"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EN248 (Arruda dos Vinhos) elkerülő út; </w:t>
      </w:r>
    </w:p>
    <w:p w14:paraId="4283D541"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Aljustrel elkerülő út – A bányászati területhez és az üzleti helyszínhez való hozzáférés javítása; </w:t>
      </w:r>
    </w:p>
    <w:p w14:paraId="5698EA11"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Via do Tâmega az EN210 (Celorico de Basto) elkerülő útról; </w:t>
      </w:r>
    </w:p>
    <w:p w14:paraId="435864A5"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Az IC2 összekapcsolása a Casarão ipari parkkal; </w:t>
      </w:r>
    </w:p>
    <w:p w14:paraId="3119D8F2"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Rio Lima új kereszteződése az EN203 – Deocriste és EN202 – Nogueira között; </w:t>
      </w:r>
    </w:p>
    <w:p w14:paraId="47A48EEF"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Körforgalom az EN246 szabvány szerint a Portalegre ipari övezethez való hozzáféréshez; </w:t>
      </w:r>
    </w:p>
    <w:p w14:paraId="0F0C4A8F"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 xml:space="preserve">Hozzáférés az Aveparkhoz – Taipasi Tudományos és Technológiai Park (Guimarães); </w:t>
      </w:r>
    </w:p>
    <w:p w14:paraId="6594FA5B" w14:textId="77777777" w:rsidR="00DC5EC6" w:rsidRDefault="003245A4">
      <w:pPr>
        <w:pStyle w:val="P68B1DB1-Normal4"/>
        <w:keepNext/>
        <w:numPr>
          <w:ilvl w:val="0"/>
          <w:numId w:val="24"/>
        </w:numPr>
        <w:spacing w:before="40" w:after="160" w:line="259" w:lineRule="auto"/>
        <w:contextualSpacing/>
        <w:jc w:val="both"/>
        <w:rPr>
          <w:rFonts w:eastAsiaTheme="minorEastAsia" w:cs="Times New Roman"/>
          <w:noProof/>
        </w:rPr>
      </w:pPr>
      <w:r>
        <w:rPr>
          <w:noProof/>
        </w:rPr>
        <w:t>Hozzáférés a Vale do Neiva ipari övezethez az A28 csomópontban.</w:t>
      </w:r>
    </w:p>
    <w:p w14:paraId="1F556DE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529BEBFB"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B27D11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28DDE69"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BF3640">
          <w:headerReference w:type="even" r:id="rId156"/>
          <w:headerReference w:type="default" r:id="rId157"/>
          <w:footerReference w:type="even" r:id="rId158"/>
          <w:footerReference w:type="default" r:id="rId159"/>
          <w:headerReference w:type="first" r:id="rId160"/>
          <w:footerReference w:type="first" r:id="rId161"/>
          <w:type w:val="continuous"/>
          <w:pgSz w:w="11907" w:h="16839" w:code="9"/>
          <w:pgMar w:top="1134" w:right="1134" w:bottom="1134" w:left="1134" w:header="567" w:footer="567" w:gutter="0"/>
          <w:cols w:space="720"/>
          <w:docGrid w:linePitch="360"/>
        </w:sectPr>
      </w:pPr>
    </w:p>
    <w:p w14:paraId="6299134D" w14:textId="7FD7908A"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G.4. Hitel – a végrehajtáshoz és a nyomon követéshez kapcsolódó mérföldkövek, célok, mutatók és ütemterv</w:t>
      </w:r>
    </w:p>
    <w:p w14:paraId="2F2CB9FD" w14:textId="77777777" w:rsidR="00DC5EC6" w:rsidRDefault="00DC5EC6">
      <w:pPr>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36A011EF" w14:textId="77777777">
        <w:trPr>
          <w:trHeight w:val="910"/>
          <w:tblHeader/>
        </w:trPr>
        <w:tc>
          <w:tcPr>
            <w:tcW w:w="1135" w:type="dxa"/>
            <w:vMerge w:val="restart"/>
            <w:shd w:val="clear" w:color="auto" w:fill="BDD6EE"/>
            <w:vAlign w:val="center"/>
            <w:hideMark/>
          </w:tcPr>
          <w:p w14:paraId="44FD47D0"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43B8D62C"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24FD272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1ED31254"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2272E53A"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2CD0AB34"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5C44A828"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50F3DE3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E3E0C94" w14:textId="77777777">
        <w:trPr>
          <w:trHeight w:val="470"/>
          <w:tblHeader/>
        </w:trPr>
        <w:tc>
          <w:tcPr>
            <w:tcW w:w="1135" w:type="dxa"/>
            <w:vMerge/>
            <w:vAlign w:val="center"/>
            <w:hideMark/>
          </w:tcPr>
          <w:p w14:paraId="35DCDBA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4E2BF93"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39DC4F8E" w14:textId="77777777"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3E4DCD1"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DF81CCA"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02752337"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62D4A070"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121BD005"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50080670" w14:textId="5C1FEBAC"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5EEBE07C" w14:textId="4FA11CB2"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1A0FE12C" w14:textId="77777777" w:rsidR="00DC5EC6" w:rsidRDefault="00DC5EC6">
            <w:pPr>
              <w:spacing w:after="0" w:line="240" w:lineRule="auto"/>
              <w:rPr>
                <w:rFonts w:ascii="Times New Roman" w:eastAsia="Times New Roman" w:hAnsi="Times New Roman" w:cs="Times New Roman"/>
                <w:b/>
                <w:noProof/>
                <w:sz w:val="18"/>
              </w:rPr>
            </w:pPr>
          </w:p>
        </w:tc>
      </w:tr>
      <w:tr w:rsidR="00DC5EC6" w14:paraId="59915854" w14:textId="77777777">
        <w:trPr>
          <w:trHeight w:val="503"/>
          <w:tblHeader/>
        </w:trPr>
        <w:tc>
          <w:tcPr>
            <w:tcW w:w="1135" w:type="dxa"/>
            <w:shd w:val="clear" w:color="auto" w:fill="C4EFCE"/>
            <w:vAlign w:val="center"/>
            <w:hideMark/>
          </w:tcPr>
          <w:p w14:paraId="01EFD0C3" w14:textId="77777777" w:rsidR="00DC5EC6" w:rsidRDefault="003245A4">
            <w:pPr>
              <w:pStyle w:val="P68B1DB1-Normal7"/>
              <w:spacing w:after="0" w:line="240" w:lineRule="auto"/>
              <w:jc w:val="center"/>
              <w:rPr>
                <w:rFonts w:eastAsia="Times New Roman" w:cs="Calibri"/>
                <w:noProof/>
              </w:rPr>
            </w:pPr>
            <w:r>
              <w:rPr>
                <w:noProof/>
              </w:rPr>
              <w:t>7.9</w:t>
            </w:r>
          </w:p>
        </w:tc>
        <w:tc>
          <w:tcPr>
            <w:tcW w:w="1276" w:type="dxa"/>
            <w:shd w:val="clear" w:color="auto" w:fill="C4EFCE"/>
            <w:noWrap/>
            <w:vAlign w:val="center"/>
            <w:hideMark/>
          </w:tcPr>
          <w:p w14:paraId="68287771" w14:textId="77777777" w:rsidR="00DC5EC6" w:rsidRDefault="003245A4">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737B2981"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6F42995" w14:textId="77777777" w:rsidR="00DC5EC6" w:rsidRDefault="003245A4">
            <w:pPr>
              <w:pStyle w:val="P68B1DB1-Normal8"/>
              <w:spacing w:after="0" w:line="240" w:lineRule="auto"/>
              <w:jc w:val="center"/>
              <w:rPr>
                <w:rFonts w:eastAsia="Times New Roman" w:cs="Calibri"/>
                <w:noProof/>
              </w:rPr>
            </w:pPr>
            <w:r>
              <w:rPr>
                <w:noProof/>
              </w:rPr>
              <w:t>Az első környezeti hatásvizsgálat lezárult</w:t>
            </w:r>
          </w:p>
        </w:tc>
        <w:tc>
          <w:tcPr>
            <w:tcW w:w="1275" w:type="dxa"/>
            <w:shd w:val="clear" w:color="auto" w:fill="C4EFCE"/>
            <w:noWrap/>
            <w:vAlign w:val="center"/>
            <w:hideMark/>
          </w:tcPr>
          <w:p w14:paraId="6FEC0C5F" w14:textId="77777777" w:rsidR="00DC5EC6" w:rsidRDefault="003245A4">
            <w:pPr>
              <w:pStyle w:val="P68B1DB1-Normal8"/>
              <w:spacing w:after="0" w:line="240" w:lineRule="auto"/>
              <w:jc w:val="center"/>
              <w:rPr>
                <w:rFonts w:eastAsia="Times New Roman" w:cs="Calibri"/>
                <w:noProof/>
              </w:rPr>
            </w:pPr>
            <w:r>
              <w:rPr>
                <w:noProof/>
              </w:rPr>
              <w:t>A környezeti hatásvizsgálat befejezése</w:t>
            </w:r>
          </w:p>
        </w:tc>
        <w:tc>
          <w:tcPr>
            <w:tcW w:w="993" w:type="dxa"/>
            <w:shd w:val="clear" w:color="auto" w:fill="C4EFCE"/>
            <w:noWrap/>
            <w:vAlign w:val="center"/>
            <w:hideMark/>
          </w:tcPr>
          <w:p w14:paraId="4DA39125"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704235E"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4CD8858"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BF45E7A" w14:textId="5CBAE6A8" w:rsidR="00DC5EC6" w:rsidRDefault="001F25B1">
            <w:pPr>
              <w:pStyle w:val="P68B1DB1-Normal8"/>
              <w:spacing w:after="0" w:line="240" w:lineRule="auto"/>
              <w:jc w:val="center"/>
              <w:rPr>
                <w:rFonts w:eastAsia="Times New Roman" w:cs="Calibri"/>
                <w:noProof/>
              </w:rPr>
            </w:pPr>
            <w:r>
              <w:rPr>
                <w:noProof/>
              </w:rPr>
              <w:t>3. NEGYEDÉV</w:t>
            </w:r>
          </w:p>
        </w:tc>
        <w:tc>
          <w:tcPr>
            <w:tcW w:w="708" w:type="dxa"/>
            <w:shd w:val="clear" w:color="auto" w:fill="C4EFCE"/>
            <w:noWrap/>
            <w:vAlign w:val="center"/>
            <w:hideMark/>
          </w:tcPr>
          <w:p w14:paraId="58D9453C"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242039D" w14:textId="77777777" w:rsidR="00DC5EC6" w:rsidRDefault="003245A4">
            <w:pPr>
              <w:pStyle w:val="P68B1DB1-Normal8"/>
              <w:spacing w:after="0" w:line="240" w:lineRule="auto"/>
              <w:jc w:val="both"/>
              <w:rPr>
                <w:rFonts w:eastAsia="Times New Roman" w:cs="Calibri"/>
                <w:noProof/>
              </w:rPr>
            </w:pPr>
            <w:r>
              <w:rPr>
                <w:noProof/>
              </w:rPr>
              <w:t>Egy útprojekt környezeti hatásvizsgálata befejeződött.</w:t>
            </w:r>
          </w:p>
        </w:tc>
      </w:tr>
      <w:tr w:rsidR="00DC5EC6" w14:paraId="18BA168D" w14:textId="77777777">
        <w:trPr>
          <w:trHeight w:val="420"/>
          <w:tblHeader/>
        </w:trPr>
        <w:tc>
          <w:tcPr>
            <w:tcW w:w="1135" w:type="dxa"/>
            <w:shd w:val="clear" w:color="auto" w:fill="C4EFCE"/>
            <w:vAlign w:val="center"/>
            <w:hideMark/>
          </w:tcPr>
          <w:p w14:paraId="37F6747E" w14:textId="77777777" w:rsidR="00DC5EC6" w:rsidRDefault="003245A4">
            <w:pPr>
              <w:pStyle w:val="P68B1DB1-Normal7"/>
              <w:spacing w:after="0" w:line="240" w:lineRule="auto"/>
              <w:jc w:val="center"/>
              <w:rPr>
                <w:rFonts w:eastAsia="Times New Roman" w:cs="Calibri"/>
                <w:noProof/>
              </w:rPr>
            </w:pPr>
            <w:r>
              <w:rPr>
                <w:noProof/>
              </w:rPr>
              <w:t>7.10</w:t>
            </w:r>
          </w:p>
        </w:tc>
        <w:tc>
          <w:tcPr>
            <w:tcW w:w="1276" w:type="dxa"/>
            <w:shd w:val="clear" w:color="auto" w:fill="C4EFCE"/>
            <w:noWrap/>
            <w:vAlign w:val="center"/>
            <w:hideMark/>
          </w:tcPr>
          <w:p w14:paraId="04DFE7C9" w14:textId="77777777" w:rsidR="00DC5EC6" w:rsidRDefault="003245A4">
            <w:pPr>
              <w:pStyle w:val="P68B1DB1-Normal8"/>
              <w:spacing w:after="0" w:line="240" w:lineRule="auto"/>
              <w:jc w:val="center"/>
              <w:rPr>
                <w:rFonts w:eastAsia="Times New Roman" w:cs="Calibri"/>
                <w:noProof/>
              </w:rPr>
            </w:pPr>
            <w:r>
              <w:rPr>
                <w:noProof/>
              </w:rPr>
              <w:t>Re-C07-i03</w:t>
            </w:r>
          </w:p>
        </w:tc>
        <w:tc>
          <w:tcPr>
            <w:tcW w:w="1134" w:type="dxa"/>
            <w:shd w:val="clear" w:color="auto" w:fill="C4EFCE"/>
            <w:noWrap/>
            <w:vAlign w:val="center"/>
            <w:hideMark/>
          </w:tcPr>
          <w:p w14:paraId="1CCBAD9D"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D01E3A" w14:textId="77777777" w:rsidR="00DC5EC6" w:rsidRDefault="003245A4">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672467C4"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ADBC17"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7615C227"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BC63F7D" w14:textId="77777777" w:rsidR="00DC5EC6" w:rsidRDefault="003245A4">
            <w:pPr>
              <w:pStyle w:val="P68B1DB1-Normal8"/>
              <w:spacing w:after="0" w:line="240" w:lineRule="auto"/>
              <w:jc w:val="center"/>
              <w:rPr>
                <w:rFonts w:eastAsia="Times New Roman" w:cs="Calibri"/>
                <w:noProof/>
              </w:rPr>
            </w:pPr>
            <w:r>
              <w:rPr>
                <w:noProof/>
              </w:rPr>
              <w:t>30</w:t>
            </w:r>
          </w:p>
        </w:tc>
        <w:tc>
          <w:tcPr>
            <w:tcW w:w="567" w:type="dxa"/>
            <w:shd w:val="clear" w:color="auto" w:fill="C4EFCE"/>
            <w:noWrap/>
            <w:vAlign w:val="center"/>
            <w:hideMark/>
          </w:tcPr>
          <w:p w14:paraId="3F7E78D9" w14:textId="47ADEDB7" w:rsidR="00DC5EC6" w:rsidRDefault="001F25B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1EEFFE2"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8DB863F" w14:textId="77777777" w:rsidR="00DC5EC6" w:rsidRDefault="003245A4">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r w:rsidR="001F25B1" w14:paraId="5BBC378C" w14:textId="77777777">
        <w:trPr>
          <w:trHeight w:val="420"/>
          <w:tblHeader/>
        </w:trPr>
        <w:tc>
          <w:tcPr>
            <w:tcW w:w="1135" w:type="dxa"/>
            <w:shd w:val="clear" w:color="auto" w:fill="C4EFCE"/>
            <w:vAlign w:val="center"/>
            <w:hideMark/>
          </w:tcPr>
          <w:p w14:paraId="35FFD5D9" w14:textId="77777777" w:rsidR="001F25B1" w:rsidRDefault="001F25B1" w:rsidP="001F25B1">
            <w:pPr>
              <w:pStyle w:val="P68B1DB1-Normal7"/>
              <w:spacing w:after="0" w:line="240" w:lineRule="auto"/>
              <w:jc w:val="center"/>
              <w:rPr>
                <w:rFonts w:eastAsia="Times New Roman" w:cs="Calibri"/>
                <w:noProof/>
              </w:rPr>
            </w:pPr>
            <w:r>
              <w:rPr>
                <w:noProof/>
              </w:rPr>
              <w:t>7.11</w:t>
            </w:r>
          </w:p>
        </w:tc>
        <w:tc>
          <w:tcPr>
            <w:tcW w:w="1276" w:type="dxa"/>
            <w:shd w:val="clear" w:color="auto" w:fill="C4EFCE"/>
            <w:noWrap/>
            <w:vAlign w:val="center"/>
            <w:hideMark/>
          </w:tcPr>
          <w:p w14:paraId="32BBA945" w14:textId="77777777" w:rsidR="001F25B1" w:rsidRDefault="001F25B1" w:rsidP="001F25B1">
            <w:pPr>
              <w:pStyle w:val="P68B1DB1-Normal8"/>
              <w:spacing w:after="0" w:line="240" w:lineRule="auto"/>
              <w:jc w:val="center"/>
              <w:rPr>
                <w:rFonts w:eastAsia="Times New Roman" w:cs="Calibri"/>
                <w:noProof/>
              </w:rPr>
            </w:pPr>
            <w:r>
              <w:rPr>
                <w:noProof/>
              </w:rPr>
              <w:t>Újra-C07–i04</w:t>
            </w:r>
          </w:p>
        </w:tc>
        <w:tc>
          <w:tcPr>
            <w:tcW w:w="1134" w:type="dxa"/>
            <w:shd w:val="clear" w:color="auto" w:fill="C4EFCE"/>
            <w:noWrap/>
            <w:vAlign w:val="center"/>
            <w:hideMark/>
          </w:tcPr>
          <w:p w14:paraId="645981D3" w14:textId="77777777" w:rsidR="001F25B1" w:rsidRDefault="001F25B1" w:rsidP="001F25B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8D6599C" w14:textId="77777777" w:rsidR="001F25B1" w:rsidRDefault="001F25B1" w:rsidP="001F25B1">
            <w:pPr>
              <w:pStyle w:val="P68B1DB1-Normal8"/>
              <w:spacing w:after="0" w:line="240" w:lineRule="auto"/>
              <w:jc w:val="center"/>
              <w:rPr>
                <w:rFonts w:eastAsia="Times New Roman" w:cs="Calibri"/>
                <w:noProof/>
              </w:rPr>
            </w:pPr>
            <w:r>
              <w:rPr>
                <w:noProof/>
              </w:rPr>
              <w:t>10 közúti projektre aláírt szerződés</w:t>
            </w:r>
          </w:p>
        </w:tc>
        <w:tc>
          <w:tcPr>
            <w:tcW w:w="1275" w:type="dxa"/>
            <w:shd w:val="clear" w:color="auto" w:fill="C4EFCE"/>
            <w:noWrap/>
            <w:vAlign w:val="center"/>
            <w:hideMark/>
          </w:tcPr>
          <w:p w14:paraId="3238AD55" w14:textId="77777777" w:rsidR="001F25B1" w:rsidRDefault="001F25B1" w:rsidP="001F25B1">
            <w:pPr>
              <w:pStyle w:val="P68B1DB1-Normal8"/>
              <w:spacing w:after="0" w:line="240" w:lineRule="auto"/>
              <w:jc w:val="center"/>
              <w:rPr>
                <w:rFonts w:eastAsia="Times New Roman" w:cs="Calibri"/>
                <w:noProof/>
              </w:rPr>
            </w:pPr>
            <w:r>
              <w:rPr>
                <w:noProof/>
              </w:rPr>
              <w:t>A közúti projektek vállalkozójával kötött szerződés</w:t>
            </w:r>
          </w:p>
        </w:tc>
        <w:tc>
          <w:tcPr>
            <w:tcW w:w="993" w:type="dxa"/>
            <w:shd w:val="clear" w:color="auto" w:fill="C4EFCE"/>
            <w:noWrap/>
            <w:vAlign w:val="center"/>
            <w:hideMark/>
          </w:tcPr>
          <w:p w14:paraId="435E72CA"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9669237"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0F0411DD"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2A2E0282" w14:textId="48A0C127"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42230A0C" w14:textId="77777777" w:rsidR="001F25B1" w:rsidRDefault="001F25B1" w:rsidP="001F25B1">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55453983" w14:textId="77777777" w:rsidR="001F25B1" w:rsidRDefault="001F25B1" w:rsidP="001F25B1">
            <w:pPr>
              <w:pStyle w:val="P68B1DB1-Normal8"/>
              <w:spacing w:after="0" w:line="240" w:lineRule="auto"/>
              <w:jc w:val="both"/>
              <w:rPr>
                <w:rFonts w:eastAsia="Times New Roman" w:cs="Calibri"/>
                <w:noProof/>
              </w:rPr>
            </w:pPr>
            <w:r>
              <w:rPr>
                <w:noProof/>
              </w:rPr>
              <w:t>Közbeszerzési eljárást követően a felek aláírják az építési beruházás kivitelezésével kapcsolatos kötelezettségeiket szabályozó dokumentumot.</w:t>
            </w:r>
          </w:p>
        </w:tc>
      </w:tr>
      <w:tr w:rsidR="00DC5EC6" w14:paraId="10AD745D" w14:textId="77777777">
        <w:trPr>
          <w:trHeight w:val="420"/>
          <w:tblHeader/>
        </w:trPr>
        <w:tc>
          <w:tcPr>
            <w:tcW w:w="1135" w:type="dxa"/>
            <w:shd w:val="clear" w:color="auto" w:fill="C4EFCE"/>
            <w:vAlign w:val="center"/>
            <w:hideMark/>
          </w:tcPr>
          <w:p w14:paraId="5EABD158" w14:textId="77777777" w:rsidR="00DC5EC6" w:rsidRDefault="003245A4">
            <w:pPr>
              <w:pStyle w:val="P68B1DB1-Normal7"/>
              <w:spacing w:after="0" w:line="240" w:lineRule="auto"/>
              <w:jc w:val="center"/>
              <w:rPr>
                <w:rFonts w:eastAsia="Times New Roman" w:cs="Calibri"/>
                <w:noProof/>
              </w:rPr>
            </w:pPr>
            <w:r>
              <w:rPr>
                <w:noProof/>
              </w:rPr>
              <w:t>7.12</w:t>
            </w:r>
          </w:p>
        </w:tc>
        <w:tc>
          <w:tcPr>
            <w:tcW w:w="1276" w:type="dxa"/>
            <w:shd w:val="clear" w:color="auto" w:fill="C4EFCE"/>
            <w:noWrap/>
            <w:vAlign w:val="center"/>
            <w:hideMark/>
          </w:tcPr>
          <w:p w14:paraId="008B14DC" w14:textId="77777777" w:rsidR="00DC5EC6" w:rsidRDefault="003245A4">
            <w:pPr>
              <w:pStyle w:val="P68B1DB1-Normal8"/>
              <w:spacing w:after="0" w:line="240" w:lineRule="auto"/>
              <w:jc w:val="center"/>
              <w:rPr>
                <w:rFonts w:eastAsia="Times New Roman" w:cs="Calibri"/>
                <w:noProof/>
              </w:rPr>
            </w:pPr>
            <w:r>
              <w:rPr>
                <w:noProof/>
              </w:rPr>
              <w:t>Újra-C07–i04</w:t>
            </w:r>
          </w:p>
        </w:tc>
        <w:tc>
          <w:tcPr>
            <w:tcW w:w="1134" w:type="dxa"/>
            <w:shd w:val="clear" w:color="auto" w:fill="C4EFCE"/>
            <w:noWrap/>
            <w:vAlign w:val="center"/>
            <w:hideMark/>
          </w:tcPr>
          <w:p w14:paraId="72ABE102"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6E4068F" w14:textId="77777777" w:rsidR="00DC5EC6" w:rsidRDefault="003245A4">
            <w:pPr>
              <w:pStyle w:val="P68B1DB1-Normal8"/>
              <w:spacing w:after="0" w:line="240" w:lineRule="auto"/>
              <w:jc w:val="center"/>
              <w:rPr>
                <w:rFonts w:eastAsia="Times New Roman" w:cs="Calibri"/>
                <w:noProof/>
              </w:rPr>
            </w:pPr>
            <w:r>
              <w:rPr>
                <w:noProof/>
              </w:rPr>
              <w:t>Épített vagy rehabilitált utak</w:t>
            </w:r>
          </w:p>
        </w:tc>
        <w:tc>
          <w:tcPr>
            <w:tcW w:w="1275" w:type="dxa"/>
            <w:shd w:val="clear" w:color="auto" w:fill="C4EFCE"/>
            <w:noWrap/>
            <w:vAlign w:val="center"/>
            <w:hideMark/>
          </w:tcPr>
          <w:p w14:paraId="34DC727E"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8211DC0"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797EF748"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6E18FA0" w14:textId="77777777" w:rsidR="00DC5EC6" w:rsidRDefault="003245A4">
            <w:pPr>
              <w:pStyle w:val="P68B1DB1-Normal8"/>
              <w:spacing w:after="0" w:line="240" w:lineRule="auto"/>
              <w:jc w:val="center"/>
              <w:rPr>
                <w:rFonts w:eastAsia="Times New Roman" w:cs="Calibri"/>
                <w:noProof/>
              </w:rPr>
            </w:pPr>
            <w:r>
              <w:rPr>
                <w:noProof/>
              </w:rPr>
              <w:t>42</w:t>
            </w:r>
          </w:p>
        </w:tc>
        <w:tc>
          <w:tcPr>
            <w:tcW w:w="567" w:type="dxa"/>
            <w:shd w:val="clear" w:color="auto" w:fill="C4EFCE"/>
            <w:noWrap/>
            <w:vAlign w:val="center"/>
            <w:hideMark/>
          </w:tcPr>
          <w:p w14:paraId="664FBA60" w14:textId="34ED8F69" w:rsidR="00DC5EC6" w:rsidRDefault="001F25B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BADD922"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6FA22C" w14:textId="77777777" w:rsidR="00DC5EC6" w:rsidRDefault="003245A4">
            <w:pPr>
              <w:pStyle w:val="P68B1DB1-Normal8"/>
              <w:spacing w:after="0" w:line="240" w:lineRule="auto"/>
              <w:jc w:val="both"/>
              <w:rPr>
                <w:rFonts w:eastAsia="Times New Roman" w:cs="Calibri"/>
                <w:noProof/>
              </w:rPr>
            </w:pPr>
            <w:r>
              <w:rPr>
                <w:noProof/>
              </w:rPr>
              <w:t>A pályázat műszaki előírásainak megfelelően épített vagy rehabilitált utak km-ben, amelyek teljes mértékben magukban foglalják a környezeti hatásvizsgálat eredményeit és feltételeit.</w:t>
            </w:r>
          </w:p>
        </w:tc>
      </w:tr>
    </w:tbl>
    <w:p w14:paraId="7B849270" w14:textId="77777777" w:rsidR="00DC5EC6" w:rsidRDefault="00DC5EC6">
      <w:pPr>
        <w:spacing w:before="40" w:after="0" w:line="259" w:lineRule="auto"/>
        <w:jc w:val="both"/>
        <w:rPr>
          <w:rFonts w:ascii="Times New Roman" w:eastAsiaTheme="minorEastAsia" w:hAnsi="Times New Roman" w:cs="Times New Roman"/>
          <w:noProof/>
          <w:sz w:val="24"/>
        </w:rPr>
      </w:pPr>
    </w:p>
    <w:p w14:paraId="29354AB7" w14:textId="77777777" w:rsidR="00DC5EC6" w:rsidRDefault="00DC5EC6">
      <w:pPr>
        <w:spacing w:before="40" w:after="0" w:line="259" w:lineRule="auto"/>
        <w:jc w:val="both"/>
        <w:rPr>
          <w:rFonts w:ascii="Times New Roman" w:eastAsiaTheme="minorEastAsia" w:hAnsi="Times New Roman" w:cs="Times New Roman"/>
          <w:noProof/>
          <w:sz w:val="24"/>
        </w:rPr>
      </w:pPr>
    </w:p>
    <w:p w14:paraId="179A26C8"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FD562E">
          <w:headerReference w:type="even" r:id="rId162"/>
          <w:headerReference w:type="default" r:id="rId163"/>
          <w:footerReference w:type="even" r:id="rId164"/>
          <w:footerReference w:type="default" r:id="rId165"/>
          <w:headerReference w:type="first" r:id="rId166"/>
          <w:footerReference w:type="first" r:id="rId167"/>
          <w:pgSz w:w="16839" w:h="11907" w:orient="landscape"/>
          <w:pgMar w:top="1134" w:right="1134" w:bottom="1134" w:left="1134" w:header="567" w:footer="567" w:gutter="0"/>
          <w:cols w:space="720"/>
          <w:docGrid w:linePitch="360"/>
        </w:sectPr>
      </w:pPr>
    </w:p>
    <w:p w14:paraId="77E856F9" w14:textId="340BF861"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H. 8. </w:t>
      </w:r>
      <w:r w:rsidR="00342815">
        <w:rPr>
          <w:noProof/>
        </w:rPr>
        <w:t>KOMPONENS</w:t>
      </w:r>
      <w:r>
        <w:rPr>
          <w:noProof/>
        </w:rPr>
        <w:t>: Erdők</w:t>
      </w:r>
    </w:p>
    <w:p w14:paraId="275D788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a következő kihívásokkal foglalkozik: a vidéki területek társadalmi-gazdasági és demográfiai hanyatlása, a tüzek megelőzését vagy a biológiai sokféleség védelmét szolgáló aktív kezelés nélküli kiterjedt területek megléte, valamint a földek rendkívül szétaprózódott magántulajdona. A lakosság jelentős városközpontokba való elvándorlása és a vidéki népesség fokozatos elöregedése a vidéki területek és a hagyományos elsődleges gazdasági ágazatok elhagyásához vezetett. Ez a nem tervezett és kezeletlen erdőterületek fokozatos bővüléséhez és magas üzemanyag-terheléshez vezetett. Ezek a területek erősen ki vannak téve a vidéki tűzvészek veszélyének, ami emberéleteket követelhet, jelentős károkat okozhat a földben és a vagyonban, valamint az erdők, valamint az ott előállított áruk és szolgáltatások pusztulásához vezethet. Portugália Dél-Európa országa, ahol a vidéki területeken a legnagyobb a leégett területek aránya és a legtöbb tűzeset átlagos. Az Európai Erdőtűz-információs Rendszer (EFFIS) szerint 2015 és 2019 között évente átlagosan mintegy 169000 hektárt égettek el. </w:t>
      </w:r>
    </w:p>
    <w:p w14:paraId="47E6C13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Ennek a komponensnek a célkitűzései a következők: </w:t>
      </w:r>
    </w:p>
    <w:p w14:paraId="7A8F4ED1" w14:textId="6664DD94"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a veszélyeztetett és nagy környezeti értékű mezőgazdasági és erdészeti területek aktív tervezésének és kezelésének előmozdítása; </w:t>
      </w:r>
    </w:p>
    <w:p w14:paraId="66CFA115"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a biológiai sokféleség védelme a mezőgazdasági és erdészeti ökoszisztémák helyreállításának támogatásával, különösen az elégetett területeken; </w:t>
      </w:r>
    </w:p>
    <w:p w14:paraId="466397E4"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 xml:space="preserve">hozzájárulás a területi kohézióhoz és a munkahelyteremtéshez a vidéki területek gazdasági tevékenységeinek újjáélesztése révén; és </w:t>
      </w:r>
    </w:p>
    <w:p w14:paraId="75C6E9EE" w14:textId="77777777" w:rsidR="00DC5EC6" w:rsidRDefault="003245A4">
      <w:pPr>
        <w:pStyle w:val="P68B1DB1-Normal4"/>
        <w:keepNext/>
        <w:numPr>
          <w:ilvl w:val="0"/>
          <w:numId w:val="25"/>
        </w:numPr>
        <w:spacing w:before="40" w:after="160" w:line="259" w:lineRule="auto"/>
        <w:contextualSpacing/>
        <w:jc w:val="both"/>
        <w:rPr>
          <w:rFonts w:eastAsiaTheme="minorEastAsia" w:cs="Times New Roman"/>
          <w:noProof/>
        </w:rPr>
      </w:pPr>
      <w:r>
        <w:rPr>
          <w:noProof/>
        </w:rPr>
        <w:t>e területek ellenálló képességének növelése a tűzveszély hatékony és eredményes tűzmegelőzés révén történő csökkentésével, tűz esetén pedig a károk hatékony és eredményes tűzoltás révén történő csökkentésével.</w:t>
      </w:r>
    </w:p>
    <w:p w14:paraId="6B094313" w14:textId="77777777" w:rsidR="00DC5EC6" w:rsidRDefault="003245A4">
      <w:pPr>
        <w:pStyle w:val="P68B1DB1-Normal4"/>
        <w:keepNext/>
        <w:spacing w:before="40" w:after="0" w:line="259" w:lineRule="auto"/>
        <w:jc w:val="both"/>
        <w:rPr>
          <w:rFonts w:eastAsiaTheme="minorEastAsia" w:cs="Times New Roman"/>
          <w:noProof/>
        </w:rPr>
      </w:pPr>
      <w:r>
        <w:rPr>
          <w:noProof/>
        </w:rPr>
        <w:t>A komponens hozzájárul az államháztartás minőségének javításáról szóló országspecifikus ajánlás végrehajtásához azáltal, hogy prioritásként kezeli a növekedést ösztönző kiadásokat (2019. évi 1. országspecifikus ajánlás). A vidéki ingatlanok nyilvántartásának korszerűsítéséhez kapcsolódó közkiadások előmozdítanák azok megfelelő kezelését, és esetleg dinamikusabbá tennék a gazdasági tevékenységet a vidéki területeken. Emellett a komponens jelentősen hozzájárul a beruházásoknak a zöld és digitális átállásra való összpontosítására vonatkozó országspecifikus ajánlások végrehajtásához, figyelembe véve a regionális egyenlőtlenségeket (2019. évi 3. országspecifikus ajánlás és 2020. évi 3. országspecifikus ajánlás).</w:t>
      </w:r>
    </w:p>
    <w:p w14:paraId="5D5F143B" w14:textId="77777777" w:rsidR="00DC5EC6" w:rsidRDefault="003245A4">
      <w:pPr>
        <w:pStyle w:val="P68B1DB1-Normal4"/>
        <w:keepNext/>
        <w:spacing w:before="40" w:after="0" w:line="259" w:lineRule="auto"/>
        <w:jc w:val="both"/>
        <w:rPr>
          <w:rFonts w:eastAsiaTheme="minorEastAsia" w:cs="Times New Roman"/>
          <w:noProof/>
        </w:rPr>
      </w:pPr>
      <w:r>
        <w:rPr>
          <w:noProof/>
        </w:rPr>
        <w:t>Ez a komponens várhatóan hozzájárul mind a zöld, mind a digitális átálláshoz. Ami a zöld dimenziót illeti, a komponens közvetlenül hozzájárul az éghajlatváltozáshoz való alkalmazkodáshoz, mivel célja a vidéki területek tűzzel szembeni ellenálló képességének növelése. Ezen túlmenően e területek aktív fenntartható kezelése hozzájárul a talajerózió megelőzéséhez, az invazív fajok és kártevők elleni védekezéshez, valamint az erdők szénmegkötéséhez. Végezetül, ami a digitális dimenziót illeti, a földtulajdoni kataszteri rendszerre, a felszínborítás nyomon követésére szolgáló rendszerre (SMOS), többek között a LiDAR-ra (fényfelderítés és hatótávolság) és a nagy felbontású műholdas képekre vonatkozó tervezett intézkedések kiemelésre kerülnek, mivel előmozdítják az e-kormányzatot és a digitális közszolgáltatásokat.</w:t>
      </w:r>
    </w:p>
    <w:p w14:paraId="2397FDAB" w14:textId="5B73F43F"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0A6E08A8" w14:textId="3A4EBA7F" w:rsidR="00DC5EC6" w:rsidRDefault="00DC5EC6">
      <w:pPr>
        <w:keepNext/>
        <w:spacing w:before="40" w:after="0" w:line="259" w:lineRule="auto"/>
        <w:jc w:val="both"/>
        <w:rPr>
          <w:rFonts w:ascii="Times New Roman" w:eastAsiaTheme="minorEastAsia" w:hAnsi="Times New Roman" w:cs="Times New Roman"/>
          <w:noProof/>
          <w:sz w:val="24"/>
        </w:rPr>
      </w:pPr>
    </w:p>
    <w:p w14:paraId="79556D14" w14:textId="5D469B64" w:rsidR="00DC5EC6" w:rsidRDefault="00DC5EC6">
      <w:pPr>
        <w:keepNext/>
        <w:spacing w:before="40" w:after="0" w:line="259" w:lineRule="auto"/>
        <w:jc w:val="both"/>
        <w:rPr>
          <w:rFonts w:ascii="Times New Roman" w:eastAsiaTheme="minorEastAsia" w:hAnsi="Times New Roman" w:cs="Times New Roman"/>
          <w:noProof/>
          <w:sz w:val="24"/>
        </w:rPr>
      </w:pPr>
    </w:p>
    <w:p w14:paraId="78C4205E"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8EB419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4412298"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H.1. Vissza nem térítendő pénzügyi támogatás – a reformok és beruházások ismertetése</w:t>
      </w:r>
    </w:p>
    <w:p w14:paraId="21D8CCAE"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RE-r19 reform: Tájátalakítás a veszélyeztetett erdőterületeken </w:t>
      </w:r>
    </w:p>
    <w:p w14:paraId="1530F02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hogy a vidéki tüzek megelőzése, valamint az éghajlati és gazdasági reziliencia növelése érdekében átalakítsa a kezeletlen monokultúrákkal és magas tűzveszélyes területekkel rendelkező veszélyeztetett erdőterületek táját. </w:t>
      </w:r>
    </w:p>
    <w:p w14:paraId="117AB45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Ezt a reformot az RE-C08-i01 beruházáson keresztül kell végrehajtani (A tájkép átalakítása a veszélyeztetett erdőterületeken). A reform négy egymást kiegészítő intézkedésből áll, amelyek az alábbiakban kerülnek ismertetésre: </w:t>
      </w:r>
    </w:p>
    <w:p w14:paraId="2B64ED62" w14:textId="2E148AA3"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a tervezési és irányítási programok (PRGP); </w:t>
      </w:r>
    </w:p>
    <w:p w14:paraId="59F38D89" w14:textId="240A2AF0"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az integrált tájgazdálkodási terület (AIGP);</w:t>
      </w:r>
    </w:p>
    <w:p w14:paraId="6F899ECD" w14:textId="77777777"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integrált támogatási program az erdőterületeken található vidéki falvak számára (Village Gated Community); és </w:t>
      </w:r>
    </w:p>
    <w:p w14:paraId="0D9E1D1B" w14:textId="77777777" w:rsidR="00DC5EC6" w:rsidRDefault="003245A4">
      <w:pPr>
        <w:pStyle w:val="P68B1DB1-Normal4"/>
        <w:keepNext/>
        <w:numPr>
          <w:ilvl w:val="0"/>
          <w:numId w:val="26"/>
        </w:numPr>
        <w:spacing w:before="40" w:after="160" w:line="259" w:lineRule="auto"/>
        <w:contextualSpacing/>
        <w:jc w:val="both"/>
        <w:rPr>
          <w:rFonts w:eastAsiaTheme="minorEastAsia" w:cs="Times New Roman"/>
          <w:noProof/>
        </w:rPr>
      </w:pPr>
      <w:r>
        <w:rPr>
          <w:noProof/>
        </w:rPr>
        <w:t xml:space="preserve">az </w:t>
      </w:r>
      <w:r>
        <w:rPr>
          <w:i/>
          <w:noProof/>
        </w:rPr>
        <w:t>Emparcelar para Ordenar</w:t>
      </w:r>
      <w:r>
        <w:rPr>
          <w:noProof/>
        </w:rPr>
        <w:t xml:space="preserve"> program. </w:t>
      </w:r>
    </w:p>
    <w:p w14:paraId="05CF4764" w14:textId="77777777" w:rsidR="00DC5EC6" w:rsidRDefault="003245A4">
      <w:pPr>
        <w:pStyle w:val="P68B1DB1-Normal4"/>
        <w:keepNext/>
        <w:spacing w:before="40" w:after="0" w:line="259" w:lineRule="auto"/>
        <w:jc w:val="both"/>
        <w:rPr>
          <w:rFonts w:eastAsiaTheme="minorEastAsia" w:cs="Times New Roman"/>
          <w:noProof/>
        </w:rPr>
      </w:pPr>
      <w:r>
        <w:rPr>
          <w:noProof/>
        </w:rPr>
        <w:t>A reform a tájátalakítási programra (programa de Transformação</w:t>
      </w:r>
      <w:r>
        <w:rPr>
          <w:i/>
          <w:noProof/>
        </w:rPr>
        <w:t>da paisagem – PTP</w:t>
      </w:r>
      <w:r>
        <w:rPr>
          <w:noProof/>
        </w:rPr>
        <w:t>) épül és támogatja azt a szükséges jogi kerettel. Ez a jogi keret magában foglalja legalább a tájképeknek a tájrendezési és -gazdálkodási programok (PRGP) és az integrált tájgazdálkodási területek (AIGP-k) révén történő átalakítására vonatkozó jogszabályokat, a tájtervezési és -gazdálkodási programok, valamint az integrált tájgazdálkodási területek hatálya alá tartozó veszélyeztetett területek kijelölésének jóváhagyására irányuló jogszabályokat, valamint az erdészeti területeken a vidéki területek kötelező földbirtoklására vonatkozó jogszabályokat.</w:t>
      </w:r>
    </w:p>
    <w:p w14:paraId="7BF26BBD" w14:textId="77777777" w:rsidR="00DC5EC6" w:rsidRDefault="003245A4">
      <w:pPr>
        <w:pStyle w:val="P68B1DB1-Normal4"/>
        <w:keepNext/>
        <w:spacing w:after="0" w:line="259" w:lineRule="auto"/>
        <w:jc w:val="both"/>
        <w:rPr>
          <w:rFonts w:eastAsiaTheme="minorEastAsia" w:cs="Times New Roman"/>
          <w:noProof/>
        </w:rPr>
      </w:pPr>
      <w:r>
        <w:rPr>
          <w:noProof/>
        </w:rPr>
        <w:t xml:space="preserve">A reform végrehajtását 2021. szeptember 30-ig be kell fejezni. </w:t>
      </w:r>
    </w:p>
    <w:p w14:paraId="1E1C3C81"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RE-r20 reform: Az ingatlan-nyilvántartási rendszer és a felszínborítás-ellenőrző rendszer átszervezése</w:t>
      </w:r>
    </w:p>
    <w:p w14:paraId="3C49EAAB"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a többfunkciós ingatlan-nyilvántartás hiányának megszüntetése a földtulajdon határainak azonosítására és ellenőrzésére, valamint a földtulajdon ezt követő bejegyzésére szolgáló rendszer bevezetésével és fejlesztésével. Ez lehetővé teszi a terület koherens, naprakész és holisztikus szemléletét, amely növeli a föld értékét a tulajdonosai számára, és lehetővé teszi az állam számára, hogy konkrét, fenntartható és több ágazatra kiterjedő közpolitikákat dolgozzon ki.</w:t>
      </w:r>
    </w:p>
    <w:p w14:paraId="7ABC78BC" w14:textId="760D1E29" w:rsidR="00DC5EC6" w:rsidRDefault="003245A4">
      <w:pPr>
        <w:pStyle w:val="P68B1DB1-Normal4"/>
        <w:keepNext/>
        <w:spacing w:before="40" w:after="0" w:line="259" w:lineRule="auto"/>
        <w:jc w:val="both"/>
        <w:rPr>
          <w:rFonts w:eastAsiaTheme="minorEastAsia" w:cs="Times New Roman"/>
          <w:noProof/>
        </w:rPr>
      </w:pPr>
      <w:r>
        <w:rPr>
          <w:noProof/>
        </w:rPr>
        <w:t>A reform a felszínborítás-megfigyelési rendszer (SMOS) üzembe helyezéséből és a BUPi (digitális ingatlan-nyilvántartás) platform fejlesztéséből áll, amely az ingatlanokra vonatkozó georeferencia-információkat tartalmazó fizikai és virtuális számláló, amely összesíti a nyilvántartásba vételükhöz szükséges információkat, és megkönnyíti a polgárok és az ingatlan-nyilvántartás hatálya alá tartozó közigazgatási szervek közötti interakciót. A reform létrehozza továbbá az RE-C08–i02 beruházások működőképessé tételéhez szükséges jogi keretet: Vidéki ingatlan-nyilvántartás és földborítás-ellenőrző rendszer. A reform a következőket foglalja magában:</w:t>
      </w:r>
    </w:p>
    <w:p w14:paraId="2B70C39A"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az egyszerűsített kataszteri információs rendszer – az egyszerűsített nemzeti kataszteri információs rendszer kiterjesztését és a BUPi platform fejlesztését nyomon követő állami szerv – bővítését célzó missziós struktúra létrehozásáról szóló törvény elfogadása; </w:t>
      </w:r>
    </w:p>
    <w:p w14:paraId="200CB5CD"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az egyszerűsített kataszteri információs rendszer szervezeti és fejlesztési modelljének működtetésére és finanszírozására szolgáló rendszert létrehozó jogi aktus elfogadása; </w:t>
      </w:r>
    </w:p>
    <w:p w14:paraId="22A73E8F" w14:textId="704AFECE"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törvény elfogadása az ingatlan-nyilvántartás jogi rendszerének jóváhagyásáról, a nemzeti kataszteri információs rendszer létrehozásáról, az egyszerűsített kataszteri információs rendszerrel összehangoltan, és a kataszteri chartát az ingatlan-nyilvántartásban szereplő nemzeti földtérképként rögzíti;</w:t>
      </w:r>
    </w:p>
    <w:p w14:paraId="0517B990"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a 9-A/2017. (XI. 3.) rendelet módosításáról szóló jogi aktus elfogadása,</w:t>
      </w:r>
      <w:r>
        <w:rPr>
          <w:noProof/>
        </w:rPr>
        <w:footnoteReference w:id="39"/>
      </w:r>
      <w:r>
        <w:rPr>
          <w:noProof/>
        </w:rPr>
        <w:t xml:space="preserve"> amely tisztázza az egyszerűsített kataszteri információs rendszer és a BUPi platform működését, és intézkedéseket fogad el a földszerkezet, valamint a mezőgazdasági és vegyes földterületek tulajdonjogának azonnali azonosítására; és</w:t>
      </w:r>
    </w:p>
    <w:p w14:paraId="15E59400"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a vidéki földterületek rendkívüli nyilvántartási rendszerének létrehozásáról és az ingatlan-nyilvántartásról szóló törvény módosításáról szóló törvényjavaslat kidolgozása.</w:t>
      </w:r>
    </w:p>
    <w:p w14:paraId="236B79E0"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2022. december 31-ig be kell fejezni.</w:t>
      </w:r>
    </w:p>
    <w:p w14:paraId="6D2F50DA"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RE-r21 reform: A vidéki tűzvészek megelőzése és leküzdése</w:t>
      </w:r>
    </w:p>
    <w:p w14:paraId="4B3DAA2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vidéki tüzek megelőzése és az ellenük való küzdelem javítása az üzemanyag-gazdálkodási szünetek elsődleges hálózatának létrehozása, valamint a vidéki tüzek kezeléséért és az ellenük való védelemért felelős szervek megerősítése révén. </w:t>
      </w:r>
    </w:p>
    <w:p w14:paraId="17B5E78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a következőkből áll:  </w:t>
      </w:r>
    </w:p>
    <w:p w14:paraId="3880BAFB"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 vidéki tüzek integrált kezelésére vonatkozó nemzeti tervet (PNGIFR) jóváhagyó jogi aktus elfogadása; </w:t>
      </w:r>
    </w:p>
    <w:p w14:paraId="3D91EFD9"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 vidéki tüzek integrált irányítási rendszerének (SIGIFR) létrehozásáról szóló törvény elfogadása; és </w:t>
      </w:r>
    </w:p>
    <w:p w14:paraId="22AB284F" w14:textId="77777777" w:rsidR="00DC5EC6" w:rsidRDefault="003245A4">
      <w:pPr>
        <w:pStyle w:val="P68B1DB1-Normal4"/>
        <w:keepNext/>
        <w:numPr>
          <w:ilvl w:val="0"/>
          <w:numId w:val="40"/>
        </w:numPr>
        <w:spacing w:before="40" w:after="160" w:line="259" w:lineRule="auto"/>
        <w:contextualSpacing/>
        <w:jc w:val="both"/>
        <w:rPr>
          <w:rFonts w:eastAsiaTheme="minorEastAsia" w:cs="Times New Roman"/>
          <w:noProof/>
        </w:rPr>
      </w:pPr>
      <w:r>
        <w:rPr>
          <w:noProof/>
        </w:rPr>
        <w:t xml:space="preserve">a vidéki tüzek integrált kezelésére vonatkozó nemzeti terv nemzeti cselekvési programját jóváhagyó jogi aktus elfogadása. </w:t>
      </w:r>
    </w:p>
    <w:p w14:paraId="1B361553" w14:textId="49B20966" w:rsidR="00DC5EC6" w:rsidRDefault="003245A4">
      <w:pPr>
        <w:pStyle w:val="P68B1DB1-Normal4"/>
        <w:keepNext/>
        <w:spacing w:before="40" w:after="0" w:line="259" w:lineRule="auto"/>
        <w:jc w:val="both"/>
        <w:rPr>
          <w:rFonts w:eastAsiaTheme="minorEastAsia" w:cs="Times New Roman"/>
          <w:noProof/>
        </w:rPr>
      </w:pPr>
      <w:r>
        <w:rPr>
          <w:noProof/>
        </w:rPr>
        <w:t xml:space="preserve">A vidéki tüzek integrált irányítási rendszere (SIGIFR) nemzeti szinten makropolitikákat és stratégiai iránymutatásokat biztosít, amelyek hozzájárulnak a vidéki tüzek kockázatának csökkentéséhez, valamint a vidéki területek tulajdonosai, felhasználói, valamint közvetlen és közvetett kedvezményezettjei magatartásának megváltoztatásához. A rendszernek meg kell határoznia a minisztériumok közötti koordinációs modelleket, meghatározva a SIGIFR-en belüli egyes szervezetek hatásköreit és tevékenységi körét, és nagyobb elszámoltathatóságot biztosítva a döntéshozatali folyamat különböző szereplőinek. Meghatározza az irányítás, a nyomon követés és az értékelés modelljét, amely hozzájárul a közpolitikák és -programok folyamatos javításához. </w:t>
      </w:r>
    </w:p>
    <w:p w14:paraId="04DCD497" w14:textId="77777777" w:rsidR="00DC5EC6" w:rsidRDefault="003245A4">
      <w:pPr>
        <w:pStyle w:val="P68B1DB1-Normal4"/>
        <w:keepNext/>
        <w:spacing w:before="40" w:after="0" w:line="259" w:lineRule="auto"/>
        <w:jc w:val="both"/>
        <w:rPr>
          <w:rFonts w:eastAsiaTheme="minorEastAsia" w:cs="Times New Roman"/>
          <w:noProof/>
        </w:rPr>
      </w:pPr>
      <w:r>
        <w:rPr>
          <w:noProof/>
        </w:rPr>
        <w:t>Vidéki tűzvédelmi információs rendszert kell létrehozni a SIGIFR-ből származó valamennyi vonatkozó műszaki információ összesítése és terjesztése érdekében. Ezenkívül kockázatmegelőzésen és -minimalizáláson alapuló modellt kell meghatároznia, akár figyelemfelkeltő tevékenységek, akár regionális védelmi hálózatok létrehozása révén, amelyben az üzemanyag-gazdálkodás vezető szerepet játszik a szankciórendszerben.</w:t>
      </w:r>
    </w:p>
    <w:p w14:paraId="26D46A9E"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szeptember 30-ig be kell fejezni.</w:t>
      </w:r>
    </w:p>
    <w:p w14:paraId="3E0AE6FF"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RE-C08-i01 beruházás: Tájátalakítás a veszélyeztetett erdőterületeken</w:t>
      </w:r>
    </w:p>
    <w:p w14:paraId="434C95EF"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hogy növelje a veszélyeztetett területek ellenálló képességét az éghajlatváltozással kapcsolatos kockázatokkal, különösen a vidéki tűzvészekkel és a biológiai sokféleség csökkenésével szemben, valamint előmozdítsa a fenntartható növekedést és a területi kohéziót. Ezeket a célkitűzéseket a táj átalakításával, a mezőgazdasági földterületek átlagos méretének növelésével, a földhasználat megváltoztatásával és az új gazdasági tevékenységek tervezésével kell elérni.</w:t>
      </w:r>
    </w:p>
    <w:p w14:paraId="6C20CEB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következő programokból áll: </w:t>
      </w:r>
    </w:p>
    <w:p w14:paraId="41A7E521" w14:textId="77777777"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a tájtervezési és -gazdálkodási programok (PRGP-k), amelyek megtervezik a kívánatos tájat, és közép- és hosszú távú átállási mátrixot határoznak meg, amelyet a végrehajtását biztosító finanszírozási modell támogat; </w:t>
      </w:r>
    </w:p>
    <w:p w14:paraId="2E501077" w14:textId="077FC262"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az integrált tájgazdálkodási területek, amelyek növelik a gazdálkodás alatt álló erdőterület méretét, megszakításokat hoznak létre a tengeri fenyőtermesztők és az eukaliptusz kiterjedt területein, és rendelkeznek az eukaliptusz területeinek más fajokkal, különösen őshonos fajokkal való felváltásáról annak érdekében, hogy olyan lépték jöjjön létre, amely elősegíti a tüzekkel szembeni ellenálló képességet és a természeti tőke hasznosítását, valamint megteremti a beavatkozások programozását, a működési modellt, a kiosztandó pénzügyi forrásokat, valamint az irányítási és nyomonkövetési rendszert meghatározó integrált tájgazdálkodási műveletek (OIGP-k) kidolgozásához szükséges feltételeket; </w:t>
      </w:r>
    </w:p>
    <w:p w14:paraId="6E47BE1A" w14:textId="77777777"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az erdei területeken található vidéki falvak integrált támogatási programja, amely a vidéki falvak környékén a földhasználat és a használat megváltoztatásának, valamint az üzemanyag-gazdálkodásnak a biztosítását célzó intézkedéseket támogat; és</w:t>
      </w:r>
    </w:p>
    <w:p w14:paraId="5154E281" w14:textId="7B63E210" w:rsidR="00DC5EC6" w:rsidRDefault="003245A4">
      <w:pPr>
        <w:pStyle w:val="P68B1DB1-Normal4"/>
        <w:keepNext/>
        <w:numPr>
          <w:ilvl w:val="0"/>
          <w:numId w:val="36"/>
        </w:numPr>
        <w:spacing w:before="40" w:after="160" w:line="259" w:lineRule="auto"/>
        <w:contextualSpacing/>
        <w:jc w:val="both"/>
        <w:rPr>
          <w:rFonts w:eastAsiaTheme="minorEastAsia" w:cs="Times New Roman"/>
          <w:noProof/>
        </w:rPr>
      </w:pPr>
      <w:r>
        <w:rPr>
          <w:noProof/>
        </w:rPr>
        <w:t xml:space="preserve">az </w:t>
      </w:r>
      <w:r>
        <w:rPr>
          <w:i/>
          <w:noProof/>
        </w:rPr>
        <w:t>Emparcelar para</w:t>
      </w:r>
      <w:r>
        <w:rPr>
          <w:noProof/>
        </w:rPr>
        <w:t xml:space="preserve"> Ordenar program, amely növeli a vidéki ingatlanok átlagos méretét, és ezáltal hozzájárul az ott telepített vagy telepítendő gazdaságok életképességéhez és gazdasági fenntarthatóságához.</w:t>
      </w:r>
    </w:p>
    <w:p w14:paraId="408260D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szeptember 30-ig be kell fejezni. </w:t>
      </w:r>
    </w:p>
    <w:p w14:paraId="64C9896B"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RE-C08–i02 beruházás: Vidéki ingatlan-nyilvántartás és földborítás-ellenőrző rendszer</w:t>
      </w:r>
    </w:p>
    <w:p w14:paraId="22A9B6FF"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hogy a terület „b”</w:t>
      </w:r>
      <w:r>
        <w:rPr>
          <w:noProof/>
          <w:bdr w:val="none" w:sz="0" w:space="0" w:color="auto" w:frame="1"/>
        </w:rPr>
        <w:t xml:space="preserve">úttal kapcsolatos tudásbázisát biztosítsa a portugál állam számára, különös tekintettel a vidéki ingatlanok típusára és határaira, lehetővé téve a földtulajdonosok azonosítását. Ez elengedhetetlen a terület megszállásával és használatával kapcsolatos döntések tervezéséhez, irányításához és támogatásához. </w:t>
      </w:r>
    </w:p>
    <w:p w14:paraId="63DE2868" w14:textId="6BEEED40"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BUPi platform fejlesztéséből és a felszínborítás-megfigyelési rendszerre (SMOS) vonatkozó referenciatérképek elkészítéséből áll, beleértve a földterületek digitális háromdimenziós ábrázolását a fényfelderítés és -tartomány (LiDAR) lefedettség révén, a növényzeti térképeket, a biomassza- és famennyiségi térképeket, a felszínborítottsági és felhasználási térképeket, valamint a műholdas képborítást. Ezek az intézkedések kiegészítik egymást, és lehetővé teszik a BUPi platform teljes körű működőképessé tételét, miközben biztosítják a kataszteri geometriával, az ingatlan-nyilvántartással és az adómátrixokkal kapcsolatos, jelenleg különböző hatóságok – többek között a Tributary and Customs Authority, a Nyilvántartási és Közjegyzői Ügyek Intézete és a Területi Főigazgatóság – által kezelt különböző információs rendszerek interoperabilitását. A polgároknak, a vállalkozásoknak és valamennyi hatóságnak egyedi azonosító számot (NIP) kell beszerezniük ingatlanaikhoz, beleértve a határaikra és jellemzőikre vonatkozó információkat is. A fent említett intézkedések sikeres végrehajtásának biztosítása érdekében a beruházásnak magában kell foglalnia az önkormányzatok, a hivatalvezetők és az adóhatóságok meghatalmazott műszaki munkatársainak képzését is. </w:t>
      </w:r>
    </w:p>
    <w:p w14:paraId="5CC0FA7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március 31-ig be kell fejezni. </w:t>
      </w:r>
    </w:p>
    <w:p w14:paraId="72559B84"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RE-C08–i03 beruházás: Tüzelőanyag-gazdálkodási szünetek – elsődleges hálózat</w:t>
      </w:r>
    </w:p>
    <w:p w14:paraId="593C138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hogy az üzemanyag-gazdálkodási szünetek elsődleges hálózatán (RPFGC) keresztül horizontális fennakadásokat teremtsen a tájon. Ez a hálózat elszigeteli a tűzeseteket, védi a kommunikációs útvonalakat, a szociális infrastruktúrákat és felszereléseket, csökkenti a tüzek által elpusztított átlagos területet a táj felosztásával, elősegíti a tűzoltási tevékenységeket, és menekülési útvonalak kialakítása révén biztosítja a tűzoltók biztonságát. </w:t>
      </w:r>
    </w:p>
    <w:p w14:paraId="70C7317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következő intézkedéseket foglalja magában: </w:t>
      </w:r>
    </w:p>
    <w:p w14:paraId="24C24867" w14:textId="045052BF"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az elsődleges tüzelőanyag-gazdálkodás strukturáló hálózatába tartozó földterületek feltérképezése és földhasználat-értékelése;</w:t>
      </w:r>
    </w:p>
    <w:p w14:paraId="7E5F956F" w14:textId="1DA906D0"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 tulajdonosok azonosítása, a kompenzáció szintjének értékelése és kiszámítása, valamint egyéb olyan elemek, amelyek a földtulajdonosok közműbejelentéséhez, a megállapodások megkötéséhez és a kapcsolódó kompenzációk kifizetéséhez vezetnek</w:t>
      </w:r>
    </w:p>
    <w:p w14:paraId="25DDFC97" w14:textId="481096AD"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 szolgalmi terület kialakításába bevont vidéki területek georeferencia szerinti grafikus ábrázolásának a BUPi platformjába való felvétele a későbbi különleges nyilvántartásba vételi eljárások lehetővé tétele érdekében; és</w:t>
      </w:r>
    </w:p>
    <w:p w14:paraId="502FE4AD" w14:textId="77777777" w:rsidR="00DC5EC6" w:rsidRDefault="003245A4">
      <w:pPr>
        <w:pStyle w:val="P68B1DB1-Normal4"/>
        <w:keepNext/>
        <w:numPr>
          <w:ilvl w:val="0"/>
          <w:numId w:val="37"/>
        </w:numPr>
        <w:spacing w:before="40" w:after="160" w:line="259" w:lineRule="auto"/>
        <w:contextualSpacing/>
        <w:jc w:val="both"/>
        <w:rPr>
          <w:rFonts w:eastAsiaTheme="minorEastAsia" w:cs="Times New Roman"/>
          <w:noProof/>
        </w:rPr>
      </w:pPr>
      <w:r>
        <w:rPr>
          <w:noProof/>
        </w:rPr>
        <w:t>az elsődleges tüzelőanyag-gazdálkodási hálózat megvalósítása nemzeti szinten szünetel.</w:t>
      </w:r>
    </w:p>
    <w:p w14:paraId="5864A70C" w14:textId="76764FD1" w:rsidR="00DC5EC6" w:rsidRDefault="00DC5EC6">
      <w:pPr>
        <w:keepNext/>
        <w:spacing w:before="40" w:after="0" w:line="259" w:lineRule="auto"/>
        <w:jc w:val="both"/>
        <w:rPr>
          <w:rFonts w:ascii="Times New Roman" w:eastAsiaTheme="minorEastAsia" w:hAnsi="Times New Roman" w:cs="Times New Roman"/>
          <w:noProof/>
          <w:sz w:val="24"/>
        </w:rPr>
      </w:pPr>
    </w:p>
    <w:p w14:paraId="28696E4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6FB83105"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RE-C08–i04 beruházás: A vidéki tűzvészek megelőzésének és leküzdésének eszközei</w:t>
      </w:r>
    </w:p>
    <w:p w14:paraId="083D727F" w14:textId="5A761AE0" w:rsidR="00DC5EC6" w:rsidRDefault="003245A4">
      <w:pPr>
        <w:pStyle w:val="P68B1DB1-Normal4"/>
        <w:keepNext/>
        <w:spacing w:before="40" w:after="0" w:line="259" w:lineRule="auto"/>
        <w:jc w:val="both"/>
        <w:rPr>
          <w:rFonts w:eastAsiaTheme="minorEastAsia" w:cs="Times New Roman"/>
          <w:noProof/>
        </w:rPr>
      </w:pPr>
      <w:r>
        <w:rPr>
          <w:noProof/>
        </w:rPr>
        <w:t xml:space="preserve">Ezen intézkedés célja a vidéki tüzek megelőzésében és leküzdésében részt vevő állami szervek megerősítése. Konkrétabban, ennek az intézkedésnek ki kell használnia a portugál légierő, valamint a Természet- és Erdővédelmi Intézet (ICNF) kapacitását az infrastruktúra és a felszerelések tekintetében annak érdekében, hogy növelje hatékonyságukat és hatékonyságukat a vidéki tüzek megelőzése és leküzdése terén. Ezen túlmenően ez az intézkedés a Portugál Tengeri Intézet és a légköri radarhálózat (IPMA) szabványosítása és korszerűsítése révén javítja a kockázatértékelést. </w:t>
      </w:r>
    </w:p>
    <w:p w14:paraId="385E3858" w14:textId="14B08B85"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két könnyű és kilenc közepes tűzoltó helikopter beszerzéséből, új épületek építéséből és meglévő épületek felújításából (üzemeltetési központ és karbantartó hangár), a tűzoltáshoz szükséges járművek, gépek és berendezések – például egyéni védőeszközök, tűzoltó járművek, buldóterek és traktorok – beszerzéséből, valamint a meteorológiai radarhálózat szabványosításából és korszerűsítéséből áll. </w:t>
      </w:r>
    </w:p>
    <w:p w14:paraId="11A46961"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Különösen a DNSH műszaki iránymutatásnak (2021/C58/01) való megfelelés biztosítása érdekében a beszerzendő járműveknek, gépeknek és berendezéseknek kibocsátásmentesnek kell lenniük. Amennyiben nincsenek kibocsátásmentes alternatívák, a megvásárolandó járműveknek, gépeknek és berendezéseknek az ágazatban elérhető legjobb környezeti teljesítményszinteket kell képviselniük.</w:t>
      </w:r>
    </w:p>
    <w:p w14:paraId="6B6B66CF"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1253F25C"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RE-C08–i05 beruházás: Több erdészeti program</w:t>
      </w:r>
    </w:p>
    <w:p w14:paraId="39858146" w14:textId="591325CE"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 tűzmegelőzési és tűzoltási rendszer korszerűsítése, a tűzoltási modellről a megelőzési modellre való áttérés, valamint az erdészeti ágazatban működő erdészeti termelői szervezetek és kompetenciaközpontok tevékenységének megerősítése a szakemberek bevonása és az összes érintett szereplő műszaki képesítésének javítása révén. </w:t>
      </w:r>
    </w:p>
    <w:p w14:paraId="51BD29B4"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következő intézkedésekből áll:</w:t>
      </w:r>
    </w:p>
    <w:p w14:paraId="60F5BEF9" w14:textId="77777777"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a „Biztonságos falu” és a „Biztonságos emberek” programok kiterjesztése, amelyek célja a lakosság kockázatos magatartásának megelőzését célzó figyelemfelhívó intézkedések, az önvédelmi intézkedések és az evakuálási tervek szimulációjának előmozdítása a helyi hatóságokkal együttműködésben; </w:t>
      </w:r>
    </w:p>
    <w:p w14:paraId="4EAC3577" w14:textId="313E43B8"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a nemzeti vészhelyzeti és polgári védelmi hatóság (ANEPC) és a nemzeti csendőrség (GNR) operatív reagálási képességének megerősítése a vidéki tüzek elleni küzdelemben, különösen járművek és egyéni védőeszközök vásárlása, a meglévő infrastruktúrák felújítása és új regionális és szubregionális ANEPC-struktúrák létrehozása révén;</w:t>
      </w:r>
    </w:p>
    <w:p w14:paraId="3F8BFC5C" w14:textId="77777777"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 xml:space="preserve">képzés és képesítés biztosítása a tűzoltásban részt vevő operatív személyzet és az OPF technikusai számára; és </w:t>
      </w:r>
    </w:p>
    <w:p w14:paraId="785D1F00" w14:textId="6F05047A" w:rsidR="00DC5EC6" w:rsidRDefault="003245A4">
      <w:pPr>
        <w:pStyle w:val="P68B1DB1-Normal4"/>
        <w:keepNext/>
        <w:numPr>
          <w:ilvl w:val="0"/>
          <w:numId w:val="27"/>
        </w:numPr>
        <w:spacing w:before="40" w:after="160" w:line="259" w:lineRule="auto"/>
        <w:contextualSpacing/>
        <w:jc w:val="both"/>
        <w:rPr>
          <w:rFonts w:eastAsiaTheme="minorEastAsia" w:cs="Times New Roman"/>
          <w:noProof/>
        </w:rPr>
      </w:pPr>
      <w:r>
        <w:rPr>
          <w:noProof/>
        </w:rPr>
        <w:t>az erdőtulajdonosok szervezeteinek és kompetenciaközpontjainak megerősítése az erdészeti erőforrások fenntarthatósága szempontjából alapvető fontosságú területeken.</w:t>
      </w:r>
    </w:p>
    <w:p w14:paraId="277B2B14" w14:textId="06CF270D"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69B9600" w14:textId="77777777"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168"/>
          <w:headerReference w:type="default" r:id="rId169"/>
          <w:footerReference w:type="even" r:id="rId170"/>
          <w:footerReference w:type="default" r:id="rId171"/>
          <w:headerReference w:type="first" r:id="rId172"/>
          <w:footerReference w:type="first" r:id="rId173"/>
          <w:pgSz w:w="11907" w:h="16839"/>
          <w:pgMar w:top="1134" w:right="1134" w:bottom="1134" w:left="1134" w:header="567" w:footer="567" w:gutter="0"/>
          <w:cols w:space="720"/>
          <w:docGrid w:linePitch="360"/>
        </w:sectPr>
      </w:pPr>
      <w:r>
        <w:rPr>
          <w:noProof/>
        </w:rPr>
        <w:t xml:space="preserve"> </w:t>
      </w:r>
    </w:p>
    <w:p w14:paraId="6A15D49E"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H.2. Vissza nem térítendő pénzügyi támogatás – a végrehajtáshoz és a nyomon követéshez kapcsolódó mérföldkövek, célok, mutatók és ütemterv</w:t>
      </w:r>
    </w:p>
    <w:p w14:paraId="628AB07A"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245"/>
        <w:gridCol w:w="1107"/>
        <w:gridCol w:w="1658"/>
        <w:gridCol w:w="1244"/>
        <w:gridCol w:w="971"/>
        <w:gridCol w:w="970"/>
        <w:gridCol w:w="603"/>
        <w:gridCol w:w="649"/>
        <w:gridCol w:w="694"/>
        <w:gridCol w:w="4204"/>
      </w:tblGrid>
      <w:tr w:rsidR="00DC5EC6" w14:paraId="23FD5241" w14:textId="77777777">
        <w:trPr>
          <w:trHeight w:val="910"/>
          <w:tblHeader/>
          <w:jc w:val="center"/>
        </w:trPr>
        <w:tc>
          <w:tcPr>
            <w:tcW w:w="1114" w:type="dxa"/>
            <w:vMerge w:val="restart"/>
            <w:shd w:val="clear" w:color="auto" w:fill="BDD6EE"/>
            <w:vAlign w:val="center"/>
            <w:hideMark/>
          </w:tcPr>
          <w:p w14:paraId="7DA1148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45" w:type="dxa"/>
            <w:vMerge w:val="restart"/>
            <w:shd w:val="clear" w:color="auto" w:fill="BDD6EE"/>
            <w:vAlign w:val="center"/>
            <w:hideMark/>
          </w:tcPr>
          <w:p w14:paraId="279E7C6E"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07" w:type="dxa"/>
            <w:vMerge w:val="restart"/>
            <w:shd w:val="clear" w:color="auto" w:fill="BDD6EE"/>
            <w:vAlign w:val="center"/>
            <w:hideMark/>
          </w:tcPr>
          <w:p w14:paraId="061850B8" w14:textId="5E5DB946" w:rsidR="00DC5EC6" w:rsidRDefault="003245A4">
            <w:pPr>
              <w:pStyle w:val="P68B1DB1-Normal6"/>
              <w:spacing w:after="0" w:line="240" w:lineRule="auto"/>
              <w:jc w:val="center"/>
              <w:rPr>
                <w:rFonts w:eastAsia="Times New Roman" w:cs="Times New Roman"/>
                <w:noProof/>
                <w:sz w:val="14"/>
              </w:rPr>
            </w:pPr>
            <w:r>
              <w:rPr>
                <w:noProof/>
              </w:rPr>
              <w:t>Mérföldkő/Cél</w:t>
            </w:r>
          </w:p>
        </w:tc>
        <w:tc>
          <w:tcPr>
            <w:tcW w:w="1658" w:type="dxa"/>
            <w:vMerge w:val="restart"/>
            <w:shd w:val="clear" w:color="auto" w:fill="BDD6EE"/>
            <w:vAlign w:val="center"/>
            <w:hideMark/>
          </w:tcPr>
          <w:p w14:paraId="6DDD64A1"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44" w:type="dxa"/>
            <w:vMerge w:val="restart"/>
            <w:shd w:val="clear" w:color="auto" w:fill="BDD6EE"/>
            <w:vAlign w:val="center"/>
            <w:hideMark/>
          </w:tcPr>
          <w:p w14:paraId="616A60C2"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544" w:type="dxa"/>
            <w:gridSpan w:val="3"/>
            <w:shd w:val="clear" w:color="auto" w:fill="BDD6EE"/>
            <w:vAlign w:val="center"/>
            <w:hideMark/>
          </w:tcPr>
          <w:p w14:paraId="490EDE7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343" w:type="dxa"/>
            <w:gridSpan w:val="2"/>
            <w:shd w:val="clear" w:color="auto" w:fill="BDD6EE"/>
            <w:vAlign w:val="center"/>
            <w:hideMark/>
          </w:tcPr>
          <w:p w14:paraId="5A78B1C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204" w:type="dxa"/>
            <w:vMerge w:val="restart"/>
            <w:shd w:val="clear" w:color="auto" w:fill="BDD6EE"/>
            <w:vAlign w:val="center"/>
            <w:hideMark/>
          </w:tcPr>
          <w:p w14:paraId="6349DF03"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2A0BDCBA" w14:textId="77777777">
        <w:trPr>
          <w:trHeight w:val="470"/>
          <w:tblHeader/>
          <w:jc w:val="center"/>
        </w:trPr>
        <w:tc>
          <w:tcPr>
            <w:tcW w:w="1114" w:type="dxa"/>
            <w:vMerge/>
            <w:vAlign w:val="center"/>
            <w:hideMark/>
          </w:tcPr>
          <w:p w14:paraId="48494B20" w14:textId="77777777" w:rsidR="00DC5EC6" w:rsidRDefault="00DC5EC6">
            <w:pPr>
              <w:spacing w:after="0" w:line="240" w:lineRule="auto"/>
              <w:rPr>
                <w:rFonts w:ascii="Times New Roman" w:eastAsia="Times New Roman" w:hAnsi="Times New Roman" w:cs="Times New Roman"/>
                <w:b/>
                <w:noProof/>
                <w:sz w:val="18"/>
              </w:rPr>
            </w:pPr>
          </w:p>
        </w:tc>
        <w:tc>
          <w:tcPr>
            <w:tcW w:w="1245" w:type="dxa"/>
            <w:vMerge/>
            <w:vAlign w:val="center"/>
            <w:hideMark/>
          </w:tcPr>
          <w:p w14:paraId="3ED3D75A" w14:textId="77777777" w:rsidR="00DC5EC6" w:rsidRDefault="00DC5EC6">
            <w:pPr>
              <w:spacing w:after="0" w:line="240" w:lineRule="auto"/>
              <w:rPr>
                <w:rFonts w:ascii="Times New Roman" w:eastAsia="Times New Roman" w:hAnsi="Times New Roman" w:cs="Times New Roman"/>
                <w:b/>
                <w:noProof/>
                <w:sz w:val="18"/>
              </w:rPr>
            </w:pPr>
          </w:p>
        </w:tc>
        <w:tc>
          <w:tcPr>
            <w:tcW w:w="1107" w:type="dxa"/>
            <w:vMerge/>
            <w:vAlign w:val="center"/>
            <w:hideMark/>
          </w:tcPr>
          <w:p w14:paraId="5FF97188" w14:textId="3E0237B4" w:rsidR="00DC5EC6" w:rsidRDefault="00DC5EC6">
            <w:pPr>
              <w:spacing w:after="0" w:line="240" w:lineRule="auto"/>
              <w:jc w:val="center"/>
              <w:rPr>
                <w:rFonts w:ascii="Times New Roman" w:eastAsia="Times New Roman" w:hAnsi="Times New Roman" w:cs="Times New Roman"/>
                <w:b/>
                <w:noProof/>
                <w:sz w:val="14"/>
              </w:rPr>
            </w:pPr>
          </w:p>
        </w:tc>
        <w:tc>
          <w:tcPr>
            <w:tcW w:w="1658" w:type="dxa"/>
            <w:vMerge/>
            <w:vAlign w:val="center"/>
            <w:hideMark/>
          </w:tcPr>
          <w:p w14:paraId="7F856670" w14:textId="77777777" w:rsidR="00DC5EC6" w:rsidRDefault="00DC5EC6">
            <w:pPr>
              <w:spacing w:after="0" w:line="240" w:lineRule="auto"/>
              <w:rPr>
                <w:rFonts w:ascii="Times New Roman" w:eastAsia="Times New Roman" w:hAnsi="Times New Roman" w:cs="Times New Roman"/>
                <w:b/>
                <w:noProof/>
                <w:sz w:val="18"/>
              </w:rPr>
            </w:pPr>
          </w:p>
        </w:tc>
        <w:tc>
          <w:tcPr>
            <w:tcW w:w="1244" w:type="dxa"/>
            <w:vMerge/>
            <w:vAlign w:val="center"/>
            <w:hideMark/>
          </w:tcPr>
          <w:p w14:paraId="3BB7D671" w14:textId="77777777" w:rsidR="00DC5EC6" w:rsidRDefault="00DC5EC6">
            <w:pPr>
              <w:spacing w:after="0" w:line="240" w:lineRule="auto"/>
              <w:rPr>
                <w:rFonts w:ascii="Times New Roman" w:eastAsia="Times New Roman" w:hAnsi="Times New Roman" w:cs="Times New Roman"/>
                <w:b/>
                <w:noProof/>
                <w:sz w:val="18"/>
              </w:rPr>
            </w:pPr>
          </w:p>
        </w:tc>
        <w:tc>
          <w:tcPr>
            <w:tcW w:w="971" w:type="dxa"/>
            <w:shd w:val="clear" w:color="auto" w:fill="BDD6EE"/>
            <w:vAlign w:val="center"/>
            <w:hideMark/>
          </w:tcPr>
          <w:p w14:paraId="16AA7B5B"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70" w:type="dxa"/>
            <w:shd w:val="clear" w:color="auto" w:fill="BDD6EE"/>
            <w:vAlign w:val="center"/>
            <w:hideMark/>
          </w:tcPr>
          <w:p w14:paraId="254AFE6B"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03" w:type="dxa"/>
            <w:shd w:val="clear" w:color="auto" w:fill="BDD6EE"/>
            <w:vAlign w:val="center"/>
            <w:hideMark/>
          </w:tcPr>
          <w:p w14:paraId="490F16BA" w14:textId="77777777" w:rsidR="00DC5EC6" w:rsidRDefault="003245A4">
            <w:pPr>
              <w:pStyle w:val="P68B1DB1-Normal6"/>
              <w:spacing w:after="0" w:line="240" w:lineRule="auto"/>
              <w:jc w:val="center"/>
              <w:rPr>
                <w:rFonts w:eastAsia="Times New Roman" w:cs="Times New Roman"/>
                <w:noProof/>
              </w:rPr>
            </w:pPr>
            <w:r>
              <w:rPr>
                <w:noProof/>
              </w:rPr>
              <w:t>Cél</w:t>
            </w:r>
          </w:p>
        </w:tc>
        <w:tc>
          <w:tcPr>
            <w:tcW w:w="649" w:type="dxa"/>
            <w:shd w:val="clear" w:color="auto" w:fill="BDD6EE"/>
            <w:vAlign w:val="center"/>
            <w:hideMark/>
          </w:tcPr>
          <w:p w14:paraId="62E7BED3" w14:textId="00177300" w:rsidR="00DC5EC6" w:rsidRDefault="001F25B1">
            <w:pPr>
              <w:pStyle w:val="P68B1DB1-Normal6"/>
              <w:spacing w:after="0" w:line="240" w:lineRule="auto"/>
              <w:jc w:val="center"/>
              <w:rPr>
                <w:rFonts w:eastAsia="Times New Roman" w:cs="Times New Roman"/>
                <w:noProof/>
              </w:rPr>
            </w:pPr>
            <w:r>
              <w:rPr>
                <w:noProof/>
              </w:rPr>
              <w:t>Negyedév</w:t>
            </w:r>
          </w:p>
        </w:tc>
        <w:tc>
          <w:tcPr>
            <w:tcW w:w="694" w:type="dxa"/>
            <w:shd w:val="clear" w:color="auto" w:fill="BDD6EE"/>
            <w:vAlign w:val="center"/>
            <w:hideMark/>
          </w:tcPr>
          <w:p w14:paraId="6F909C03" w14:textId="1EA37B74" w:rsidR="00DC5EC6" w:rsidRDefault="003245A4">
            <w:pPr>
              <w:pStyle w:val="P68B1DB1-Normal6"/>
              <w:spacing w:after="0" w:line="240" w:lineRule="auto"/>
              <w:jc w:val="center"/>
              <w:rPr>
                <w:rFonts w:eastAsia="Times New Roman" w:cs="Times New Roman"/>
                <w:noProof/>
              </w:rPr>
            </w:pPr>
            <w:r>
              <w:rPr>
                <w:noProof/>
              </w:rPr>
              <w:t>Év</w:t>
            </w:r>
          </w:p>
        </w:tc>
        <w:tc>
          <w:tcPr>
            <w:tcW w:w="4204" w:type="dxa"/>
            <w:vMerge/>
            <w:vAlign w:val="center"/>
            <w:hideMark/>
          </w:tcPr>
          <w:p w14:paraId="19BE067E" w14:textId="77777777" w:rsidR="00DC5EC6" w:rsidRDefault="00DC5EC6">
            <w:pPr>
              <w:spacing w:after="0" w:line="240" w:lineRule="auto"/>
              <w:rPr>
                <w:rFonts w:ascii="Times New Roman" w:eastAsia="Times New Roman" w:hAnsi="Times New Roman" w:cs="Times New Roman"/>
                <w:b/>
                <w:noProof/>
                <w:sz w:val="18"/>
              </w:rPr>
            </w:pPr>
          </w:p>
        </w:tc>
      </w:tr>
      <w:tr w:rsidR="00DC5EC6" w14:paraId="6DA303CE" w14:textId="77777777">
        <w:trPr>
          <w:trHeight w:val="640"/>
          <w:jc w:val="center"/>
        </w:trPr>
        <w:tc>
          <w:tcPr>
            <w:tcW w:w="1114" w:type="dxa"/>
            <w:shd w:val="clear" w:color="auto" w:fill="C4EFCE"/>
            <w:vAlign w:val="center"/>
            <w:hideMark/>
          </w:tcPr>
          <w:p w14:paraId="241F93F4" w14:textId="77777777" w:rsidR="00DC5EC6" w:rsidRDefault="003245A4">
            <w:pPr>
              <w:pStyle w:val="P68B1DB1-Normal7"/>
              <w:spacing w:after="0" w:line="240" w:lineRule="auto"/>
              <w:jc w:val="center"/>
              <w:rPr>
                <w:rFonts w:eastAsia="Times New Roman" w:cs="Calibri"/>
                <w:noProof/>
              </w:rPr>
            </w:pPr>
            <w:r>
              <w:rPr>
                <w:noProof/>
              </w:rPr>
              <w:t>8.1</w:t>
            </w:r>
          </w:p>
        </w:tc>
        <w:tc>
          <w:tcPr>
            <w:tcW w:w="1245" w:type="dxa"/>
            <w:shd w:val="clear" w:color="auto" w:fill="C4EFCE"/>
            <w:noWrap/>
            <w:vAlign w:val="center"/>
            <w:hideMark/>
          </w:tcPr>
          <w:p w14:paraId="6A7BBCF2" w14:textId="77777777" w:rsidR="00DC5EC6" w:rsidRDefault="003245A4">
            <w:pPr>
              <w:pStyle w:val="P68B1DB1-Normal8"/>
              <w:spacing w:after="0" w:line="240" w:lineRule="auto"/>
              <w:jc w:val="center"/>
              <w:rPr>
                <w:rFonts w:eastAsia="Times New Roman" w:cs="Calibri"/>
                <w:noProof/>
              </w:rPr>
            </w:pPr>
            <w:r>
              <w:rPr>
                <w:noProof/>
              </w:rPr>
              <w:t>Újra-C08-i01</w:t>
            </w:r>
          </w:p>
        </w:tc>
        <w:tc>
          <w:tcPr>
            <w:tcW w:w="1107" w:type="dxa"/>
            <w:shd w:val="clear" w:color="auto" w:fill="C4EFCE"/>
            <w:noWrap/>
            <w:vAlign w:val="center"/>
            <w:hideMark/>
          </w:tcPr>
          <w:p w14:paraId="280C90CB"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051B7F69" w14:textId="382A7EDD" w:rsidR="00DC5EC6" w:rsidRDefault="003245A4">
            <w:pPr>
              <w:pStyle w:val="P68B1DB1-Normal8"/>
              <w:spacing w:after="0" w:line="240" w:lineRule="auto"/>
              <w:jc w:val="center"/>
              <w:rPr>
                <w:rFonts w:eastAsia="Times New Roman" w:cs="Calibri"/>
                <w:noProof/>
              </w:rPr>
            </w:pPr>
            <w:r>
              <w:rPr>
                <w:noProof/>
              </w:rPr>
              <w:t>Tájtervezési és -gazdálkodási programok (PRGP) kidolgozása a veszélyeztetettként meghatározott területeken.</w:t>
            </w:r>
          </w:p>
        </w:tc>
        <w:tc>
          <w:tcPr>
            <w:tcW w:w="1244" w:type="dxa"/>
            <w:shd w:val="clear" w:color="auto" w:fill="C4EFCE"/>
            <w:noWrap/>
            <w:vAlign w:val="center"/>
            <w:hideMark/>
          </w:tcPr>
          <w:p w14:paraId="0AF39373"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D6C4E03" w14:textId="77777777" w:rsidR="00DC5EC6" w:rsidRDefault="003245A4">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7EF99B82" w14:textId="77777777" w:rsidR="00DC5EC6" w:rsidRDefault="003245A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8CFC2F0" w14:textId="77777777" w:rsidR="00DC5EC6" w:rsidRDefault="003245A4">
            <w:pPr>
              <w:pStyle w:val="P68B1DB1-Normal8"/>
              <w:spacing w:after="0" w:line="240" w:lineRule="auto"/>
              <w:jc w:val="center"/>
              <w:rPr>
                <w:rFonts w:eastAsia="Times New Roman" w:cs="Calibri"/>
                <w:noProof/>
              </w:rPr>
            </w:pPr>
            <w:r>
              <w:rPr>
                <w:noProof/>
              </w:rPr>
              <w:t>20</w:t>
            </w:r>
          </w:p>
        </w:tc>
        <w:tc>
          <w:tcPr>
            <w:tcW w:w="649" w:type="dxa"/>
            <w:shd w:val="clear" w:color="auto" w:fill="C4EFCE"/>
            <w:noWrap/>
            <w:vAlign w:val="center"/>
            <w:hideMark/>
          </w:tcPr>
          <w:p w14:paraId="65763CA3" w14:textId="3B1B2866"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0401360D" w14:textId="77777777"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D83355D" w14:textId="03A571B2" w:rsidR="00DC5EC6" w:rsidRDefault="003245A4">
            <w:pPr>
              <w:pStyle w:val="P68B1DB1-Normal8"/>
              <w:spacing w:after="0" w:line="240" w:lineRule="auto"/>
              <w:rPr>
                <w:rFonts w:eastAsia="Times New Roman" w:cs="Calibri"/>
                <w:noProof/>
              </w:rPr>
            </w:pPr>
            <w:r>
              <w:rPr>
                <w:noProof/>
              </w:rPr>
              <w:t>20 homogén veszélyeztetett területre vagy súlyos tüzek által érintett területekre vonatkozó tájrendezési és -gazdálkodási programok (PRGP-k) jóváhagyása, figyelembe véve a portugál anyaország tájegységeinek chartáját és a területrendezési politikára vonatkozó nemzeti program területi modelljét.</w:t>
            </w:r>
          </w:p>
        </w:tc>
      </w:tr>
      <w:tr w:rsidR="00DC5EC6" w14:paraId="08B19252" w14:textId="77777777">
        <w:trPr>
          <w:trHeight w:val="640"/>
          <w:jc w:val="center"/>
        </w:trPr>
        <w:tc>
          <w:tcPr>
            <w:tcW w:w="1114" w:type="dxa"/>
            <w:shd w:val="clear" w:color="auto" w:fill="C4EFCE"/>
            <w:vAlign w:val="center"/>
            <w:hideMark/>
          </w:tcPr>
          <w:p w14:paraId="21D5D991" w14:textId="77777777" w:rsidR="00DC5EC6" w:rsidRDefault="003245A4">
            <w:pPr>
              <w:pStyle w:val="P68B1DB1-Normal7"/>
              <w:spacing w:after="0" w:line="240" w:lineRule="auto"/>
              <w:jc w:val="center"/>
              <w:rPr>
                <w:rFonts w:eastAsia="Times New Roman" w:cs="Calibri"/>
                <w:noProof/>
              </w:rPr>
            </w:pPr>
            <w:r>
              <w:rPr>
                <w:noProof/>
              </w:rPr>
              <w:t>8.2</w:t>
            </w:r>
          </w:p>
        </w:tc>
        <w:tc>
          <w:tcPr>
            <w:tcW w:w="1245" w:type="dxa"/>
            <w:shd w:val="clear" w:color="auto" w:fill="C4EFCE"/>
            <w:noWrap/>
            <w:vAlign w:val="center"/>
            <w:hideMark/>
          </w:tcPr>
          <w:p w14:paraId="24086087" w14:textId="77777777" w:rsidR="00DC5EC6" w:rsidRDefault="003245A4">
            <w:pPr>
              <w:pStyle w:val="P68B1DB1-Normal8"/>
              <w:spacing w:after="0" w:line="240" w:lineRule="auto"/>
              <w:jc w:val="center"/>
              <w:rPr>
                <w:rFonts w:eastAsia="Times New Roman" w:cs="Calibri"/>
                <w:noProof/>
              </w:rPr>
            </w:pPr>
            <w:r>
              <w:rPr>
                <w:noProof/>
              </w:rPr>
              <w:t>Újra-C08-i01</w:t>
            </w:r>
          </w:p>
        </w:tc>
        <w:tc>
          <w:tcPr>
            <w:tcW w:w="1107" w:type="dxa"/>
            <w:shd w:val="clear" w:color="auto" w:fill="C4EFCE"/>
            <w:noWrap/>
            <w:vAlign w:val="center"/>
            <w:hideMark/>
          </w:tcPr>
          <w:p w14:paraId="706BCE24"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2D036A2" w14:textId="77777777" w:rsidR="00DC5EC6" w:rsidRDefault="003245A4">
            <w:pPr>
              <w:pStyle w:val="P68B1DB1-Normal8"/>
              <w:spacing w:after="0" w:line="240" w:lineRule="auto"/>
              <w:jc w:val="center"/>
              <w:rPr>
                <w:rFonts w:eastAsia="Times New Roman" w:cs="Calibri"/>
                <w:noProof/>
              </w:rPr>
            </w:pPr>
            <w:r>
              <w:rPr>
                <w:noProof/>
              </w:rPr>
              <w:t xml:space="preserve"> Az integrált tájvédelmi műveletek közzététele a Diário da Republicában</w:t>
            </w:r>
          </w:p>
        </w:tc>
        <w:tc>
          <w:tcPr>
            <w:tcW w:w="1244" w:type="dxa"/>
            <w:shd w:val="clear" w:color="auto" w:fill="C4EFCE"/>
            <w:noWrap/>
            <w:vAlign w:val="center"/>
            <w:hideMark/>
          </w:tcPr>
          <w:p w14:paraId="38CCD2EC"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4C47B22" w14:textId="77777777" w:rsidR="00DC5EC6" w:rsidRDefault="003245A4">
            <w:pPr>
              <w:pStyle w:val="P68B1DB1-Normal8"/>
              <w:spacing w:after="0" w:line="240" w:lineRule="auto"/>
              <w:jc w:val="center"/>
              <w:rPr>
                <w:rFonts w:eastAsia="Times New Roman" w:cs="Calibri"/>
                <w:noProof/>
              </w:rPr>
            </w:pPr>
            <w:r>
              <w:rPr>
                <w:noProof/>
              </w:rPr>
              <w:t xml:space="preserve">Szám </w:t>
            </w:r>
          </w:p>
        </w:tc>
        <w:tc>
          <w:tcPr>
            <w:tcW w:w="970" w:type="dxa"/>
            <w:shd w:val="clear" w:color="auto" w:fill="C4EFCE"/>
            <w:noWrap/>
            <w:vAlign w:val="center"/>
            <w:hideMark/>
          </w:tcPr>
          <w:p w14:paraId="20B48133" w14:textId="77777777" w:rsidR="00DC5EC6" w:rsidRDefault="003245A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7CD3DB2" w14:textId="77777777" w:rsidR="00DC5EC6" w:rsidRDefault="003245A4">
            <w:pPr>
              <w:pStyle w:val="P68B1DB1-Normal8"/>
              <w:spacing w:after="0" w:line="240" w:lineRule="auto"/>
              <w:jc w:val="center"/>
              <w:rPr>
                <w:rFonts w:eastAsia="Times New Roman" w:cs="Calibri"/>
                <w:noProof/>
              </w:rPr>
            </w:pPr>
            <w:r>
              <w:rPr>
                <w:noProof/>
              </w:rPr>
              <w:t>60</w:t>
            </w:r>
          </w:p>
        </w:tc>
        <w:tc>
          <w:tcPr>
            <w:tcW w:w="649" w:type="dxa"/>
            <w:shd w:val="clear" w:color="auto" w:fill="C4EFCE"/>
            <w:noWrap/>
            <w:vAlign w:val="center"/>
            <w:hideMark/>
          </w:tcPr>
          <w:p w14:paraId="27C4AA09" w14:textId="028F7A44"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3EBBE2FA" w14:textId="77777777"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48FF6424" w14:textId="6CE9F794" w:rsidR="00DC5EC6" w:rsidRDefault="003245A4">
            <w:pPr>
              <w:pStyle w:val="P68B1DB1-Normal8"/>
              <w:spacing w:after="0" w:line="240" w:lineRule="auto"/>
              <w:jc w:val="both"/>
              <w:rPr>
                <w:rFonts w:eastAsia="Times New Roman" w:cs="Calibri"/>
                <w:noProof/>
              </w:rPr>
            </w:pPr>
            <w:r>
              <w:rPr>
                <w:noProof/>
              </w:rPr>
              <w:t>60 integrált tájgazdálkodási művelet jóváhagyása és közzététele a Diário da Republicában, amely meghatározza a beavatkozások programozását, a működési modellt, a kiosztandó pénzügyi forrásokat, valamint az irányítási és monitoringrendszert.</w:t>
            </w:r>
          </w:p>
        </w:tc>
      </w:tr>
      <w:tr w:rsidR="00DC5EC6" w14:paraId="329EC401" w14:textId="77777777">
        <w:trPr>
          <w:trHeight w:val="640"/>
          <w:jc w:val="center"/>
        </w:trPr>
        <w:tc>
          <w:tcPr>
            <w:tcW w:w="1114" w:type="dxa"/>
            <w:shd w:val="clear" w:color="auto" w:fill="C4EFCE"/>
            <w:vAlign w:val="center"/>
          </w:tcPr>
          <w:p w14:paraId="53F8B0D6" w14:textId="3B182909" w:rsidR="00DC5EC6" w:rsidRDefault="003245A4">
            <w:pPr>
              <w:pStyle w:val="P68B1DB1-Normal7"/>
              <w:spacing w:after="0" w:line="240" w:lineRule="auto"/>
              <w:jc w:val="center"/>
              <w:rPr>
                <w:rFonts w:eastAsia="Times New Roman" w:cs="Calibri"/>
                <w:noProof/>
              </w:rPr>
            </w:pPr>
            <w:r>
              <w:rPr>
                <w:noProof/>
              </w:rPr>
              <w:t>8.3</w:t>
            </w:r>
          </w:p>
        </w:tc>
        <w:tc>
          <w:tcPr>
            <w:tcW w:w="1245" w:type="dxa"/>
            <w:shd w:val="clear" w:color="auto" w:fill="C4EFCE"/>
            <w:noWrap/>
            <w:vAlign w:val="center"/>
          </w:tcPr>
          <w:p w14:paraId="06A4D24B" w14:textId="4C714727" w:rsidR="00DC5EC6" w:rsidRDefault="003245A4">
            <w:pPr>
              <w:pStyle w:val="P68B1DB1-Normal8"/>
              <w:spacing w:after="0" w:line="240" w:lineRule="auto"/>
              <w:jc w:val="center"/>
              <w:rPr>
                <w:rFonts w:eastAsia="Times New Roman" w:cs="Calibri"/>
                <w:noProof/>
              </w:rPr>
            </w:pPr>
            <w:r>
              <w:rPr>
                <w:noProof/>
              </w:rPr>
              <w:t>Újra-C08-i01</w:t>
            </w:r>
          </w:p>
        </w:tc>
        <w:tc>
          <w:tcPr>
            <w:tcW w:w="1107" w:type="dxa"/>
            <w:shd w:val="clear" w:color="auto" w:fill="C4EFCE"/>
            <w:noWrap/>
            <w:vAlign w:val="center"/>
          </w:tcPr>
          <w:p w14:paraId="7C2444D5" w14:textId="2C0F19C6"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tcPr>
          <w:p w14:paraId="1671AB6C" w14:textId="1A1E7B04" w:rsidR="00DC5EC6" w:rsidRDefault="003245A4">
            <w:pPr>
              <w:pStyle w:val="P68B1DB1-Normal8"/>
              <w:spacing w:after="0" w:line="240" w:lineRule="auto"/>
              <w:jc w:val="center"/>
              <w:rPr>
                <w:rFonts w:eastAsia="Times New Roman" w:cs="Calibri"/>
                <w:noProof/>
              </w:rPr>
            </w:pPr>
            <w:r>
              <w:rPr>
                <w:noProof/>
              </w:rPr>
              <w:t>Üzemanyag-gazdálkodási projektekkel rendelkező falvak</w:t>
            </w:r>
          </w:p>
        </w:tc>
        <w:tc>
          <w:tcPr>
            <w:tcW w:w="1244" w:type="dxa"/>
            <w:shd w:val="clear" w:color="auto" w:fill="C4EFCE"/>
            <w:noWrap/>
            <w:vAlign w:val="center"/>
          </w:tcPr>
          <w:p w14:paraId="21CA1472" w14:textId="77777777" w:rsidR="00DC5EC6" w:rsidRDefault="00DC5EC6">
            <w:pPr>
              <w:spacing w:after="0" w:line="240" w:lineRule="auto"/>
              <w:jc w:val="center"/>
              <w:rPr>
                <w:rFonts w:ascii="Calibri" w:eastAsia="Times New Roman" w:hAnsi="Calibri" w:cs="Calibri"/>
                <w:noProof/>
                <w:sz w:val="16"/>
              </w:rPr>
            </w:pPr>
          </w:p>
        </w:tc>
        <w:tc>
          <w:tcPr>
            <w:tcW w:w="971" w:type="dxa"/>
            <w:shd w:val="clear" w:color="auto" w:fill="C4EFCE"/>
            <w:noWrap/>
            <w:vAlign w:val="center"/>
          </w:tcPr>
          <w:p w14:paraId="607F1475" w14:textId="08DA1B44" w:rsidR="00DC5EC6" w:rsidRDefault="003245A4">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tcPr>
          <w:p w14:paraId="0640AB71" w14:textId="57A5038A" w:rsidR="00DC5EC6" w:rsidRDefault="003245A4">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tcPr>
          <w:p w14:paraId="79FDC6D8" w14:textId="763F7A06" w:rsidR="00DC5EC6" w:rsidRDefault="003245A4">
            <w:pPr>
              <w:pStyle w:val="P68B1DB1-Normal8"/>
              <w:spacing w:after="0" w:line="240" w:lineRule="auto"/>
              <w:jc w:val="center"/>
              <w:rPr>
                <w:rFonts w:eastAsia="Times New Roman" w:cs="Calibri"/>
                <w:noProof/>
              </w:rPr>
            </w:pPr>
            <w:r>
              <w:rPr>
                <w:noProof/>
              </w:rPr>
              <w:t>800</w:t>
            </w:r>
          </w:p>
        </w:tc>
        <w:tc>
          <w:tcPr>
            <w:tcW w:w="649" w:type="dxa"/>
            <w:shd w:val="clear" w:color="auto" w:fill="C4EFCE"/>
            <w:noWrap/>
            <w:vAlign w:val="center"/>
          </w:tcPr>
          <w:p w14:paraId="17C24089" w14:textId="753369CE"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tcPr>
          <w:p w14:paraId="1232892F" w14:textId="34EB17F1"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tcPr>
          <w:p w14:paraId="37C59981" w14:textId="3E460BC7" w:rsidR="00DC5EC6" w:rsidRDefault="003245A4">
            <w:pPr>
              <w:pStyle w:val="P68B1DB1-Normal8"/>
              <w:spacing w:after="0" w:line="240" w:lineRule="auto"/>
              <w:jc w:val="both"/>
              <w:rPr>
                <w:rFonts w:eastAsia="Times New Roman" w:cs="Calibri"/>
                <w:noProof/>
              </w:rPr>
            </w:pPr>
            <w:r>
              <w:rPr>
                <w:noProof/>
              </w:rPr>
              <w:t>Az üzemanyag-gazdálkodási projektek finanszírozásának konkrét feltételeit meghatározó szerződések megkötése a Környezetvédelmi Alap és a kedvezményezettek (települések, települések közötti közösségek, helyi fejlesztési szövetségek) között legalább 800, erdőterületen található vidéki faluban (falui közösség).</w:t>
            </w:r>
          </w:p>
        </w:tc>
      </w:tr>
      <w:tr w:rsidR="00DC5EC6" w14:paraId="2D19B3CD" w14:textId="77777777">
        <w:trPr>
          <w:trHeight w:val="1071"/>
          <w:jc w:val="center"/>
        </w:trPr>
        <w:tc>
          <w:tcPr>
            <w:tcW w:w="1114" w:type="dxa"/>
            <w:shd w:val="clear" w:color="auto" w:fill="C4EFCE"/>
            <w:vAlign w:val="center"/>
            <w:hideMark/>
          </w:tcPr>
          <w:p w14:paraId="77EE0E64" w14:textId="2B83FFE6" w:rsidR="00DC5EC6" w:rsidRDefault="003245A4">
            <w:pPr>
              <w:pStyle w:val="P68B1DB1-Normal7"/>
              <w:spacing w:line="240" w:lineRule="auto"/>
              <w:jc w:val="center"/>
              <w:rPr>
                <w:rFonts w:eastAsia="Times New Roman" w:cs="Calibri"/>
                <w:noProof/>
              </w:rPr>
            </w:pPr>
            <w:r>
              <w:rPr>
                <w:noProof/>
              </w:rPr>
              <w:t>8.20</w:t>
            </w:r>
          </w:p>
        </w:tc>
        <w:tc>
          <w:tcPr>
            <w:tcW w:w="1245" w:type="dxa"/>
            <w:shd w:val="clear" w:color="auto" w:fill="C4EFCE"/>
            <w:noWrap/>
            <w:vAlign w:val="center"/>
            <w:hideMark/>
          </w:tcPr>
          <w:p w14:paraId="12596242" w14:textId="4917A96D" w:rsidR="00DC5EC6" w:rsidRDefault="003245A4">
            <w:pPr>
              <w:pStyle w:val="P68B1DB1-Normal8"/>
              <w:spacing w:line="240" w:lineRule="auto"/>
              <w:jc w:val="center"/>
              <w:rPr>
                <w:rFonts w:eastAsia="Times New Roman" w:cs="Calibri"/>
                <w:noProof/>
              </w:rPr>
            </w:pPr>
            <w:r>
              <w:rPr>
                <w:noProof/>
              </w:rPr>
              <w:t xml:space="preserve">Újra-C08-i01  </w:t>
            </w:r>
          </w:p>
        </w:tc>
        <w:tc>
          <w:tcPr>
            <w:tcW w:w="1107" w:type="dxa"/>
            <w:shd w:val="clear" w:color="auto" w:fill="C4EFCE"/>
            <w:noWrap/>
            <w:vAlign w:val="center"/>
            <w:hideMark/>
          </w:tcPr>
          <w:p w14:paraId="09B3E4E1" w14:textId="791D055D" w:rsidR="00DC5EC6" w:rsidRDefault="003245A4">
            <w:pPr>
              <w:pStyle w:val="P68B1DB1-Normal8"/>
              <w:spacing w:line="240" w:lineRule="auto"/>
              <w:jc w:val="center"/>
              <w:rPr>
                <w:rFonts w:eastAsia="Times New Roman" w:cs="Calibri"/>
                <w:noProof/>
              </w:rPr>
            </w:pPr>
            <w:r>
              <w:rPr>
                <w:noProof/>
              </w:rPr>
              <w:t>T</w:t>
            </w:r>
          </w:p>
        </w:tc>
        <w:tc>
          <w:tcPr>
            <w:tcW w:w="1658" w:type="dxa"/>
            <w:shd w:val="clear" w:color="auto" w:fill="C4EFCE"/>
            <w:noWrap/>
            <w:vAlign w:val="center"/>
            <w:hideMark/>
          </w:tcPr>
          <w:p w14:paraId="750617A0" w14:textId="59CDDFE4" w:rsidR="00DC5EC6" w:rsidRDefault="003245A4">
            <w:pPr>
              <w:pStyle w:val="P68B1DB1-Normal8"/>
              <w:spacing w:line="240" w:lineRule="auto"/>
              <w:jc w:val="center"/>
              <w:rPr>
                <w:rFonts w:eastAsia="Times New Roman" w:cs="Calibri"/>
                <w:noProof/>
              </w:rPr>
            </w:pPr>
            <w:r>
              <w:rPr>
                <w:noProof/>
              </w:rPr>
              <w:t>A birtokrendezési intézkedések végrehajtása – „Emparcelar para Ordenar” program</w:t>
            </w:r>
          </w:p>
        </w:tc>
        <w:tc>
          <w:tcPr>
            <w:tcW w:w="1244" w:type="dxa"/>
            <w:shd w:val="clear" w:color="auto" w:fill="C4EFCE"/>
            <w:noWrap/>
            <w:vAlign w:val="center"/>
            <w:hideMark/>
          </w:tcPr>
          <w:p w14:paraId="2D5E51B8" w14:textId="4EF5F8CD" w:rsidR="00DC5EC6" w:rsidRDefault="00DC5EC6">
            <w:pPr>
              <w:spacing w:line="240" w:lineRule="auto"/>
              <w:jc w:val="center"/>
              <w:rPr>
                <w:rFonts w:ascii="Calibri" w:eastAsia="Times New Roman" w:hAnsi="Calibri" w:cs="Calibri"/>
                <w:noProof/>
                <w:sz w:val="16"/>
              </w:rPr>
            </w:pPr>
          </w:p>
        </w:tc>
        <w:tc>
          <w:tcPr>
            <w:tcW w:w="971" w:type="dxa"/>
            <w:shd w:val="clear" w:color="auto" w:fill="C4EFCE"/>
            <w:noWrap/>
            <w:vAlign w:val="center"/>
            <w:hideMark/>
          </w:tcPr>
          <w:p w14:paraId="2B246C1B" w14:textId="4F4C8370" w:rsidR="00DC5EC6" w:rsidRDefault="003245A4">
            <w:pPr>
              <w:pStyle w:val="P68B1DB1-Normal8"/>
              <w:spacing w:line="240" w:lineRule="auto"/>
              <w:jc w:val="center"/>
              <w:rPr>
                <w:rFonts w:eastAsia="Times New Roman" w:cs="Calibri"/>
                <w:noProof/>
              </w:rPr>
            </w:pPr>
            <w:r>
              <w:rPr>
                <w:noProof/>
              </w:rPr>
              <w:t>Szám</w:t>
            </w:r>
          </w:p>
        </w:tc>
        <w:tc>
          <w:tcPr>
            <w:tcW w:w="970" w:type="dxa"/>
            <w:shd w:val="clear" w:color="auto" w:fill="C4EFCE"/>
            <w:noWrap/>
            <w:vAlign w:val="center"/>
            <w:hideMark/>
          </w:tcPr>
          <w:p w14:paraId="74A9FCD5" w14:textId="23127662" w:rsidR="00DC5EC6" w:rsidRDefault="003245A4">
            <w:pPr>
              <w:pStyle w:val="P68B1DB1-Normal8"/>
              <w:spacing w:line="240" w:lineRule="auto"/>
              <w:jc w:val="center"/>
              <w:rPr>
                <w:rFonts w:eastAsia="Times New Roman" w:cs="Calibri"/>
                <w:noProof/>
              </w:rPr>
            </w:pPr>
            <w:r>
              <w:rPr>
                <w:noProof/>
              </w:rPr>
              <w:t>0</w:t>
            </w:r>
          </w:p>
        </w:tc>
        <w:tc>
          <w:tcPr>
            <w:tcW w:w="603" w:type="dxa"/>
            <w:shd w:val="clear" w:color="auto" w:fill="C4EFCE"/>
            <w:noWrap/>
            <w:vAlign w:val="center"/>
            <w:hideMark/>
          </w:tcPr>
          <w:p w14:paraId="6F1E20D5" w14:textId="263A4976" w:rsidR="00DC5EC6" w:rsidRDefault="003245A4">
            <w:pPr>
              <w:pStyle w:val="P68B1DB1-Normal8"/>
              <w:spacing w:line="240" w:lineRule="auto"/>
              <w:jc w:val="center"/>
              <w:rPr>
                <w:rFonts w:eastAsia="Times New Roman" w:cs="Calibri"/>
                <w:noProof/>
              </w:rPr>
            </w:pPr>
            <w:r>
              <w:rPr>
                <w:noProof/>
              </w:rPr>
              <w:t>2 000</w:t>
            </w:r>
          </w:p>
        </w:tc>
        <w:tc>
          <w:tcPr>
            <w:tcW w:w="649" w:type="dxa"/>
            <w:shd w:val="clear" w:color="auto" w:fill="C4EFCE"/>
            <w:noWrap/>
            <w:vAlign w:val="center"/>
            <w:hideMark/>
          </w:tcPr>
          <w:p w14:paraId="56EBFD99" w14:textId="580A2DD7" w:rsidR="00DC5EC6" w:rsidRDefault="008A61BD">
            <w:pPr>
              <w:pStyle w:val="P68B1DB1-Normal8"/>
              <w:spacing w:line="240" w:lineRule="auto"/>
              <w:jc w:val="center"/>
              <w:rPr>
                <w:rFonts w:eastAsia="Calibri" w:cs="Calibri"/>
                <w:noProof/>
              </w:rPr>
            </w:pPr>
            <w:r>
              <w:rPr>
                <w:noProof/>
              </w:rPr>
              <w:t xml:space="preserve">3. </w:t>
            </w:r>
            <w:r w:rsidR="003245A4">
              <w:rPr>
                <w:noProof/>
              </w:rPr>
              <w:t>NEGYEDÉV</w:t>
            </w:r>
          </w:p>
        </w:tc>
        <w:tc>
          <w:tcPr>
            <w:tcW w:w="694" w:type="dxa"/>
            <w:shd w:val="clear" w:color="auto" w:fill="C4EFCE"/>
            <w:noWrap/>
            <w:vAlign w:val="center"/>
            <w:hideMark/>
          </w:tcPr>
          <w:p w14:paraId="692AA7BC" w14:textId="77912856" w:rsidR="00DC5EC6" w:rsidRDefault="003245A4">
            <w:pPr>
              <w:pStyle w:val="P68B1DB1-Normal8"/>
              <w:spacing w:line="240" w:lineRule="auto"/>
              <w:jc w:val="center"/>
              <w:rPr>
                <w:rFonts w:eastAsia="Calibri" w:cs="Calibri"/>
                <w:noProof/>
              </w:rPr>
            </w:pPr>
            <w:r>
              <w:rPr>
                <w:noProof/>
              </w:rPr>
              <w:t>2025</w:t>
            </w:r>
          </w:p>
        </w:tc>
        <w:tc>
          <w:tcPr>
            <w:tcW w:w="4204" w:type="dxa"/>
            <w:shd w:val="clear" w:color="auto" w:fill="C4EFCE"/>
            <w:vAlign w:val="center"/>
            <w:hideMark/>
          </w:tcPr>
          <w:p w14:paraId="2CE69ECE" w14:textId="4E9E3716" w:rsidR="00DC5EC6" w:rsidRDefault="003245A4">
            <w:pPr>
              <w:pStyle w:val="P68B1DB1-Normal8"/>
              <w:spacing w:line="240" w:lineRule="auto"/>
              <w:jc w:val="both"/>
              <w:rPr>
                <w:rFonts w:eastAsia="Times New Roman" w:cs="Calibri"/>
                <w:noProof/>
              </w:rPr>
            </w:pPr>
            <w:r>
              <w:rPr>
                <w:noProof/>
              </w:rPr>
              <w:t>Az „Emparcelar para Ordenar” program keretében 2000 hektárnyi vidéki területet kell újraparcellázni.</w:t>
            </w:r>
          </w:p>
        </w:tc>
      </w:tr>
      <w:tr w:rsidR="00DC5EC6" w14:paraId="166CE461" w14:textId="77777777">
        <w:trPr>
          <w:trHeight w:val="1393"/>
          <w:jc w:val="center"/>
        </w:trPr>
        <w:tc>
          <w:tcPr>
            <w:tcW w:w="1114" w:type="dxa"/>
            <w:shd w:val="clear" w:color="auto" w:fill="C4EFCE"/>
            <w:vAlign w:val="center"/>
            <w:hideMark/>
          </w:tcPr>
          <w:p w14:paraId="22FEDCD3" w14:textId="77777777" w:rsidR="00DC5EC6" w:rsidRDefault="003245A4">
            <w:pPr>
              <w:pStyle w:val="P68B1DB1-Normal7"/>
              <w:spacing w:after="0" w:line="240" w:lineRule="auto"/>
              <w:jc w:val="center"/>
              <w:rPr>
                <w:rFonts w:eastAsia="Times New Roman" w:cs="Calibri"/>
                <w:noProof/>
              </w:rPr>
            </w:pPr>
            <w:r>
              <w:rPr>
                <w:noProof/>
              </w:rPr>
              <w:t>8.4</w:t>
            </w:r>
          </w:p>
        </w:tc>
        <w:tc>
          <w:tcPr>
            <w:tcW w:w="1245" w:type="dxa"/>
            <w:shd w:val="clear" w:color="auto" w:fill="C4EFCE"/>
            <w:noWrap/>
            <w:vAlign w:val="center"/>
            <w:hideMark/>
          </w:tcPr>
          <w:p w14:paraId="266A4745" w14:textId="77777777" w:rsidR="00DC5EC6" w:rsidRDefault="003245A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563CF9E2"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7C4B2871" w14:textId="77777777" w:rsidR="00DC5EC6" w:rsidRDefault="003245A4">
            <w:pPr>
              <w:pStyle w:val="P68B1DB1-Normal8"/>
              <w:spacing w:after="0" w:line="240" w:lineRule="auto"/>
              <w:jc w:val="center"/>
              <w:rPr>
                <w:rFonts w:eastAsia="Times New Roman" w:cs="Calibri"/>
                <w:noProof/>
              </w:rPr>
            </w:pPr>
            <w:r>
              <w:rPr>
                <w:noProof/>
              </w:rPr>
              <w:t>Előrelépés a BUPi 2.0 platform felé</w:t>
            </w:r>
          </w:p>
        </w:tc>
        <w:tc>
          <w:tcPr>
            <w:tcW w:w="1244" w:type="dxa"/>
            <w:shd w:val="clear" w:color="auto" w:fill="C4EFCE"/>
            <w:noWrap/>
            <w:vAlign w:val="center"/>
            <w:hideMark/>
          </w:tcPr>
          <w:p w14:paraId="6A5B72FB" w14:textId="77777777" w:rsidR="00DC5EC6" w:rsidRDefault="003245A4">
            <w:pPr>
              <w:pStyle w:val="P68B1DB1-Normal8"/>
              <w:spacing w:after="0" w:line="240" w:lineRule="auto"/>
              <w:jc w:val="center"/>
              <w:rPr>
                <w:rFonts w:eastAsia="Times New Roman" w:cs="Calibri"/>
                <w:noProof/>
              </w:rPr>
            </w:pPr>
            <w:r>
              <w:rPr>
                <w:noProof/>
              </w:rPr>
              <w:t>A BUPi 2.0 platform üzembe helyezése</w:t>
            </w:r>
          </w:p>
        </w:tc>
        <w:tc>
          <w:tcPr>
            <w:tcW w:w="971" w:type="dxa"/>
            <w:shd w:val="clear" w:color="auto" w:fill="C4EFCE"/>
            <w:noWrap/>
            <w:vAlign w:val="center"/>
            <w:hideMark/>
          </w:tcPr>
          <w:p w14:paraId="5156F1CE"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F8757E3"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6435018"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6F647E22" w14:textId="608EE01F"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7D47E13F" w14:textId="77777777" w:rsidR="00DC5EC6" w:rsidRDefault="003245A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9993AAD" w14:textId="77777777" w:rsidR="00DC5EC6" w:rsidRDefault="003245A4">
            <w:pPr>
              <w:pStyle w:val="P68B1DB1-Normal8"/>
              <w:spacing w:after="0" w:line="240" w:lineRule="auto"/>
              <w:jc w:val="both"/>
              <w:rPr>
                <w:rFonts w:eastAsia="Times New Roman" w:cs="Calibri"/>
                <w:noProof/>
              </w:rPr>
            </w:pPr>
            <w:r>
              <w:rPr>
                <w:noProof/>
              </w:rPr>
              <w:t xml:space="preserve">A felhőalapú BUPi 2.0 platform biztosítása, amely korszerűsíti és bővíti a kísérleti BUPi projektben már meglévő funkciókat. A BUPi 2.0 biztosítja a különböző hatóságok, köztük az adó- és vámhatóságok által jelenleg irányított különböző rendszerek nemzeti szintű lefedettségét és interoperabilitását. A BUPi 2.0-nak lehetővé kell tennie az egyedi ingatlanazonosító számok fokozatos bevezetését. </w:t>
            </w:r>
          </w:p>
        </w:tc>
      </w:tr>
      <w:tr w:rsidR="008A61BD" w14:paraId="4E3E25CA" w14:textId="77777777">
        <w:trPr>
          <w:trHeight w:val="640"/>
          <w:jc w:val="center"/>
        </w:trPr>
        <w:tc>
          <w:tcPr>
            <w:tcW w:w="1114" w:type="dxa"/>
            <w:shd w:val="clear" w:color="auto" w:fill="C4EFCE"/>
            <w:vAlign w:val="center"/>
            <w:hideMark/>
          </w:tcPr>
          <w:p w14:paraId="6A82156F" w14:textId="77777777" w:rsidR="008A61BD" w:rsidRDefault="008A61BD" w:rsidP="008A61BD">
            <w:pPr>
              <w:pStyle w:val="P68B1DB1-Normal7"/>
              <w:spacing w:after="0" w:line="240" w:lineRule="auto"/>
              <w:jc w:val="center"/>
              <w:rPr>
                <w:rFonts w:eastAsia="Times New Roman" w:cs="Calibri"/>
                <w:noProof/>
              </w:rPr>
            </w:pPr>
            <w:r>
              <w:rPr>
                <w:noProof/>
              </w:rPr>
              <w:t>8.5</w:t>
            </w:r>
          </w:p>
        </w:tc>
        <w:tc>
          <w:tcPr>
            <w:tcW w:w="1245" w:type="dxa"/>
            <w:shd w:val="clear" w:color="auto" w:fill="C4EFCE"/>
            <w:noWrap/>
            <w:vAlign w:val="center"/>
            <w:hideMark/>
          </w:tcPr>
          <w:p w14:paraId="1B7D2602" w14:textId="77777777" w:rsidR="008A61BD" w:rsidRDefault="008A61BD" w:rsidP="008A61BD">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2B27D6AC"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6343F3" w14:textId="77777777" w:rsidR="008A61BD" w:rsidRDefault="008A61BD" w:rsidP="008A61BD">
            <w:pPr>
              <w:pStyle w:val="P68B1DB1-Normal8"/>
              <w:spacing w:after="0" w:line="240" w:lineRule="auto"/>
              <w:jc w:val="center"/>
              <w:rPr>
                <w:rFonts w:eastAsia="Times New Roman" w:cs="Calibri"/>
                <w:noProof/>
              </w:rPr>
            </w:pPr>
            <w:r>
              <w:rPr>
                <w:noProof/>
              </w:rPr>
              <w:t xml:space="preserve">BUPi-képzés </w:t>
            </w:r>
          </w:p>
        </w:tc>
        <w:tc>
          <w:tcPr>
            <w:tcW w:w="1244" w:type="dxa"/>
            <w:shd w:val="clear" w:color="auto" w:fill="C4EFCE"/>
            <w:noWrap/>
            <w:vAlign w:val="center"/>
            <w:hideMark/>
          </w:tcPr>
          <w:p w14:paraId="2532955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0984988" w14:textId="77777777" w:rsidR="008A61BD" w:rsidRDefault="008A61BD" w:rsidP="008A61BD">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0D49A3DA"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D1F9392" w14:textId="77777777" w:rsidR="008A61BD" w:rsidRDefault="008A61BD" w:rsidP="008A61BD">
            <w:pPr>
              <w:pStyle w:val="P68B1DB1-Normal8"/>
              <w:spacing w:after="0" w:line="240" w:lineRule="auto"/>
              <w:jc w:val="center"/>
              <w:rPr>
                <w:rFonts w:eastAsia="Times New Roman" w:cs="Calibri"/>
                <w:noProof/>
              </w:rPr>
            </w:pPr>
            <w:r>
              <w:rPr>
                <w:noProof/>
              </w:rPr>
              <w:t>10</w:t>
            </w:r>
          </w:p>
        </w:tc>
        <w:tc>
          <w:tcPr>
            <w:tcW w:w="649" w:type="dxa"/>
            <w:shd w:val="clear" w:color="auto" w:fill="C4EFCE"/>
            <w:noWrap/>
            <w:vAlign w:val="center"/>
            <w:hideMark/>
          </w:tcPr>
          <w:p w14:paraId="1F6D3CC8" w14:textId="65C67639"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3CC177FC" w14:textId="77777777" w:rsidR="008A61BD" w:rsidRDefault="008A61BD" w:rsidP="008A61BD">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6E9D6ED2" w14:textId="26B42C5F" w:rsidR="008A61BD" w:rsidRDefault="008A61BD" w:rsidP="008A61BD">
            <w:pPr>
              <w:pStyle w:val="P68B1DB1-Normal8"/>
              <w:spacing w:after="0" w:line="240" w:lineRule="auto"/>
              <w:jc w:val="both"/>
              <w:rPr>
                <w:rFonts w:eastAsia="Times New Roman" w:cs="Calibri"/>
                <w:noProof/>
              </w:rPr>
            </w:pPr>
            <w:r>
              <w:rPr>
                <w:noProof/>
              </w:rPr>
              <w:t xml:space="preserve">A grafikai ábrázolási eljárásokat (RGG) végző nemzeti képesítéssel rendelkező technikusoknak, a Nyilvántartási és Közjegyzői Intézet (IRN) személyzetének, az adóhatóságok alkalmazottainak, az ingatlan-nyilvántartási technikusoknak és a </w:t>
            </w:r>
          </w:p>
          <w:p w14:paraId="6524C248" w14:textId="33C64846" w:rsidR="008A61BD" w:rsidRDefault="008A61BD" w:rsidP="008A61BD">
            <w:pPr>
              <w:pStyle w:val="P68B1DB1-Normal8"/>
              <w:spacing w:after="0" w:line="240" w:lineRule="auto"/>
              <w:jc w:val="both"/>
              <w:rPr>
                <w:rFonts w:eastAsia="Times New Roman" w:cs="Calibri"/>
                <w:noProof/>
              </w:rPr>
            </w:pPr>
            <w:r>
              <w:rPr>
                <w:noProof/>
              </w:rPr>
              <w:t xml:space="preserve">Terület és a nyilvántartó tisztviselők. </w:t>
            </w:r>
          </w:p>
        </w:tc>
      </w:tr>
      <w:tr w:rsidR="00DC5EC6" w14:paraId="0E25F039" w14:textId="77777777">
        <w:trPr>
          <w:trHeight w:val="640"/>
          <w:jc w:val="center"/>
        </w:trPr>
        <w:tc>
          <w:tcPr>
            <w:tcW w:w="1114" w:type="dxa"/>
            <w:shd w:val="clear" w:color="auto" w:fill="C4EFCE"/>
            <w:vAlign w:val="center"/>
            <w:hideMark/>
          </w:tcPr>
          <w:p w14:paraId="413C83DC" w14:textId="77777777" w:rsidR="00DC5EC6" w:rsidRDefault="003245A4">
            <w:pPr>
              <w:pStyle w:val="P68B1DB1-Normal7"/>
              <w:spacing w:after="0" w:line="240" w:lineRule="auto"/>
              <w:jc w:val="center"/>
              <w:rPr>
                <w:rFonts w:eastAsia="Times New Roman" w:cs="Calibri"/>
                <w:noProof/>
              </w:rPr>
            </w:pPr>
            <w:r>
              <w:rPr>
                <w:noProof/>
              </w:rPr>
              <w:t>8.6</w:t>
            </w:r>
          </w:p>
        </w:tc>
        <w:tc>
          <w:tcPr>
            <w:tcW w:w="1245" w:type="dxa"/>
            <w:shd w:val="clear" w:color="auto" w:fill="C4EFCE"/>
            <w:noWrap/>
            <w:vAlign w:val="center"/>
            <w:hideMark/>
          </w:tcPr>
          <w:p w14:paraId="499B61B8" w14:textId="77777777" w:rsidR="00DC5EC6" w:rsidRDefault="003245A4">
            <w:pPr>
              <w:pStyle w:val="P68B1DB1-Normal8"/>
              <w:spacing w:after="0" w:line="240" w:lineRule="auto"/>
              <w:jc w:val="center"/>
              <w:rPr>
                <w:rFonts w:eastAsia="Times New Roman" w:cs="Calibri"/>
                <w:noProof/>
              </w:rPr>
            </w:pPr>
            <w:r>
              <w:rPr>
                <w:noProof/>
              </w:rPr>
              <w:t>Re-C08-i02</w:t>
            </w:r>
          </w:p>
        </w:tc>
        <w:tc>
          <w:tcPr>
            <w:tcW w:w="1107" w:type="dxa"/>
            <w:shd w:val="clear" w:color="auto" w:fill="C4EFCE"/>
            <w:noWrap/>
            <w:vAlign w:val="center"/>
            <w:hideMark/>
          </w:tcPr>
          <w:p w14:paraId="69009EAB"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7D3E341" w14:textId="2C7A5E6B" w:rsidR="00DC5EC6" w:rsidRDefault="003245A4">
            <w:pPr>
              <w:pStyle w:val="P68B1DB1-Normal8"/>
              <w:spacing w:after="0" w:line="240" w:lineRule="auto"/>
              <w:jc w:val="center"/>
              <w:rPr>
                <w:rFonts w:eastAsia="Times New Roman" w:cs="Calibri"/>
                <w:noProof/>
              </w:rPr>
            </w:pPr>
            <w:r>
              <w:rPr>
                <w:noProof/>
              </w:rPr>
              <w:t>Referenciatérkép készítése a felszínborítás nyomon követésére szolgáló rendszerhez (SMOS)</w:t>
            </w:r>
          </w:p>
        </w:tc>
        <w:tc>
          <w:tcPr>
            <w:tcW w:w="1244" w:type="dxa"/>
            <w:shd w:val="clear" w:color="auto" w:fill="C4EFCE"/>
            <w:noWrap/>
            <w:vAlign w:val="center"/>
            <w:hideMark/>
          </w:tcPr>
          <w:p w14:paraId="76C22C58" w14:textId="6D8505C9" w:rsidR="00DC5EC6" w:rsidRDefault="003245A4">
            <w:pPr>
              <w:pStyle w:val="P68B1DB1-Normal8"/>
              <w:spacing w:after="0" w:line="240" w:lineRule="auto"/>
              <w:jc w:val="center"/>
              <w:rPr>
                <w:rFonts w:eastAsia="Times New Roman" w:cs="Calibri"/>
                <w:noProof/>
              </w:rPr>
            </w:pPr>
            <w:r>
              <w:rPr>
                <w:noProof/>
              </w:rPr>
              <w:t>Referenciatérkép készítése a felszínborítás nyomon követésére szolgáló rendszerhez (SMOS)</w:t>
            </w:r>
          </w:p>
        </w:tc>
        <w:tc>
          <w:tcPr>
            <w:tcW w:w="971" w:type="dxa"/>
            <w:shd w:val="clear" w:color="auto" w:fill="C4EFCE"/>
            <w:noWrap/>
            <w:vAlign w:val="center"/>
            <w:hideMark/>
          </w:tcPr>
          <w:p w14:paraId="122C3637"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970" w:type="dxa"/>
            <w:shd w:val="clear" w:color="auto" w:fill="C4EFCE"/>
            <w:noWrap/>
            <w:vAlign w:val="center"/>
            <w:hideMark/>
          </w:tcPr>
          <w:p w14:paraId="45289467"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40D204A4"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5408DD85" w14:textId="17875CD6"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73271E44" w14:textId="77777777"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3EC10692" w14:textId="1DF93F1F" w:rsidR="00DC5EC6" w:rsidRDefault="003245A4">
            <w:pPr>
              <w:pStyle w:val="P68B1DB1-Normal8"/>
              <w:spacing w:after="0" w:line="240" w:lineRule="auto"/>
              <w:jc w:val="both"/>
              <w:rPr>
                <w:rFonts w:eastAsia="Times New Roman" w:cs="Calibri"/>
                <w:noProof/>
              </w:rPr>
            </w:pPr>
            <w:r>
              <w:rPr>
                <w:noProof/>
              </w:rPr>
              <w:t>Referenciatérkép készítése a felszínborítás-megfigyelési rendszer (SMOS) számára, beleértve i. a 2023. évi felszínborítottsági és használati térképek (COS) közzétételét a felelős hatóságok által hitelesített információk alapján, amelyek bemutatják az ország földrajzi képviseletét, és információt nyújtanak a földhasználatról és a használatról, valamint a termények és az erdősítés típusairól, ii. a földterület digitális háromdimenziós ábrázolásáról a fényfelderítésen és hatótávolságon (LiDAR) keresztül, iii. vegetációs térképek, iv. biomassza- és famennyiségi térképek, valamint v. műholdas lefedettség.</w:t>
            </w:r>
          </w:p>
        </w:tc>
      </w:tr>
      <w:tr w:rsidR="00DC5EC6" w14:paraId="3C27D691" w14:textId="77777777">
        <w:trPr>
          <w:trHeight w:val="640"/>
          <w:jc w:val="center"/>
        </w:trPr>
        <w:tc>
          <w:tcPr>
            <w:tcW w:w="1114" w:type="dxa"/>
            <w:shd w:val="clear" w:color="auto" w:fill="C4EFCE"/>
            <w:vAlign w:val="center"/>
            <w:hideMark/>
          </w:tcPr>
          <w:p w14:paraId="607D84BC" w14:textId="77777777" w:rsidR="00DC5EC6" w:rsidRDefault="003245A4">
            <w:pPr>
              <w:pStyle w:val="P68B1DB1-Normal7"/>
              <w:spacing w:after="0" w:line="240" w:lineRule="auto"/>
              <w:jc w:val="center"/>
              <w:rPr>
                <w:rFonts w:eastAsia="Times New Roman" w:cs="Calibri"/>
                <w:noProof/>
              </w:rPr>
            </w:pPr>
            <w:r>
              <w:rPr>
                <w:noProof/>
              </w:rPr>
              <w:t>8.7</w:t>
            </w:r>
          </w:p>
        </w:tc>
        <w:tc>
          <w:tcPr>
            <w:tcW w:w="1245" w:type="dxa"/>
            <w:shd w:val="clear" w:color="auto" w:fill="C4EFCE"/>
            <w:noWrap/>
            <w:vAlign w:val="center"/>
            <w:hideMark/>
          </w:tcPr>
          <w:p w14:paraId="4A5A0BD2" w14:textId="77777777" w:rsidR="00DC5EC6" w:rsidRDefault="003245A4">
            <w:pPr>
              <w:pStyle w:val="P68B1DB1-Normal8"/>
              <w:spacing w:after="0" w:line="240" w:lineRule="auto"/>
              <w:jc w:val="center"/>
              <w:rPr>
                <w:rFonts w:eastAsia="Times New Roman" w:cs="Calibri"/>
                <w:noProof/>
              </w:rPr>
            </w:pPr>
            <w:r>
              <w:rPr>
                <w:noProof/>
              </w:rPr>
              <w:t>Újra-C08-i03</w:t>
            </w:r>
          </w:p>
        </w:tc>
        <w:tc>
          <w:tcPr>
            <w:tcW w:w="1107" w:type="dxa"/>
            <w:shd w:val="clear" w:color="auto" w:fill="C4EFCE"/>
            <w:noWrap/>
            <w:vAlign w:val="center"/>
            <w:hideMark/>
          </w:tcPr>
          <w:p w14:paraId="7B8443DD"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C2C678E" w14:textId="799E37C6" w:rsidR="00DC5EC6" w:rsidRDefault="003245A4">
            <w:pPr>
              <w:pStyle w:val="P68B1DB1-Normal8"/>
              <w:spacing w:after="0" w:line="240" w:lineRule="auto"/>
              <w:jc w:val="center"/>
              <w:rPr>
                <w:rFonts w:eastAsia="Times New Roman" w:cs="Calibri"/>
                <w:noProof/>
              </w:rPr>
            </w:pPr>
            <w:r>
              <w:rPr>
                <w:noProof/>
              </w:rPr>
              <w:t>Az elsődleges tüzelőanyag-gazdálkodással kapcsolatos szerkezeti hálózatra (RPFGC) vonatkozó szerződés közzététele</w:t>
            </w:r>
          </w:p>
        </w:tc>
        <w:tc>
          <w:tcPr>
            <w:tcW w:w="1244" w:type="dxa"/>
            <w:shd w:val="clear" w:color="auto" w:fill="C4EFCE"/>
            <w:noWrap/>
            <w:vAlign w:val="center"/>
            <w:hideMark/>
          </w:tcPr>
          <w:p w14:paraId="6E8D6636" w14:textId="1EBD3616" w:rsidR="00DC5EC6" w:rsidRDefault="003245A4">
            <w:pPr>
              <w:pStyle w:val="P68B1DB1-Normal8"/>
              <w:spacing w:after="0" w:line="240" w:lineRule="auto"/>
              <w:jc w:val="center"/>
              <w:rPr>
                <w:rFonts w:eastAsia="Times New Roman" w:cs="Calibri"/>
                <w:noProof/>
              </w:rPr>
            </w:pPr>
            <w:r>
              <w:rPr>
                <w:noProof/>
              </w:rPr>
              <w:t xml:space="preserve">A BASE.govban az „elsődleges tüzelőanyag-gazdálkodással kapcsolatos hiányosságok” (RPFGC) strukturáló hálózat (RPFGC) szerződésének közzététele </w:t>
            </w:r>
          </w:p>
        </w:tc>
        <w:tc>
          <w:tcPr>
            <w:tcW w:w="971" w:type="dxa"/>
            <w:shd w:val="clear" w:color="auto" w:fill="C4EFCE"/>
            <w:noWrap/>
            <w:vAlign w:val="center"/>
            <w:hideMark/>
          </w:tcPr>
          <w:p w14:paraId="4197053A"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9B05337"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5C755A51"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1D16C080" w14:textId="2B65678B"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0CE3B7A2" w14:textId="77777777" w:rsidR="00DC5EC6" w:rsidRDefault="003245A4">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708801F" w14:textId="314FDF93" w:rsidR="00DC5EC6" w:rsidRDefault="003245A4">
            <w:pPr>
              <w:pStyle w:val="P68B1DB1-Normal8"/>
              <w:spacing w:after="0" w:line="240" w:lineRule="auto"/>
              <w:jc w:val="both"/>
              <w:rPr>
                <w:rFonts w:eastAsia="Times New Roman" w:cs="Calibri"/>
                <w:noProof/>
              </w:rPr>
            </w:pPr>
            <w:r>
              <w:rPr>
                <w:noProof/>
              </w:rPr>
              <w:t xml:space="preserve">Az illetékes hatóság által odaítélt szerződésnek az elsődleges tüzelőanyag-kezelési szakreagálási hálózat (RPFGC) megvalósítására irányuló szerződésnek a tűzjárványok elszigetelése érdekében a tájon történő horizontális megszakítások létrehozása érdekében. </w:t>
            </w:r>
          </w:p>
        </w:tc>
      </w:tr>
      <w:tr w:rsidR="00DC5EC6" w14:paraId="2117A862" w14:textId="77777777">
        <w:trPr>
          <w:trHeight w:val="300"/>
          <w:jc w:val="center"/>
        </w:trPr>
        <w:tc>
          <w:tcPr>
            <w:tcW w:w="1114" w:type="dxa"/>
            <w:shd w:val="clear" w:color="auto" w:fill="C4EFCE"/>
            <w:vAlign w:val="center"/>
            <w:hideMark/>
          </w:tcPr>
          <w:p w14:paraId="5F5F4015" w14:textId="77777777" w:rsidR="00DC5EC6" w:rsidRDefault="003245A4">
            <w:pPr>
              <w:pStyle w:val="P68B1DB1-Normal7"/>
              <w:spacing w:after="0" w:line="240" w:lineRule="auto"/>
              <w:jc w:val="center"/>
              <w:rPr>
                <w:rFonts w:eastAsia="Times New Roman" w:cs="Calibri"/>
                <w:noProof/>
              </w:rPr>
            </w:pPr>
            <w:r>
              <w:rPr>
                <w:noProof/>
              </w:rPr>
              <w:t>8.8</w:t>
            </w:r>
          </w:p>
        </w:tc>
        <w:tc>
          <w:tcPr>
            <w:tcW w:w="1245" w:type="dxa"/>
            <w:shd w:val="clear" w:color="auto" w:fill="C4EFCE"/>
            <w:noWrap/>
            <w:vAlign w:val="center"/>
            <w:hideMark/>
          </w:tcPr>
          <w:p w14:paraId="642A4370" w14:textId="77777777" w:rsidR="00DC5EC6" w:rsidRDefault="003245A4">
            <w:pPr>
              <w:pStyle w:val="P68B1DB1-Normal8"/>
              <w:spacing w:after="0" w:line="240" w:lineRule="auto"/>
              <w:jc w:val="center"/>
              <w:rPr>
                <w:rFonts w:eastAsia="Times New Roman" w:cs="Calibri"/>
                <w:noProof/>
              </w:rPr>
            </w:pPr>
            <w:r>
              <w:rPr>
                <w:noProof/>
              </w:rPr>
              <w:t>Újra-C08-i03</w:t>
            </w:r>
          </w:p>
        </w:tc>
        <w:tc>
          <w:tcPr>
            <w:tcW w:w="1107" w:type="dxa"/>
            <w:shd w:val="clear" w:color="auto" w:fill="C4EFCE"/>
            <w:noWrap/>
            <w:vAlign w:val="center"/>
            <w:hideMark/>
          </w:tcPr>
          <w:p w14:paraId="446A0969"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2F7E64D" w14:textId="77777777" w:rsidR="00DC5EC6" w:rsidRDefault="003245A4">
            <w:pPr>
              <w:pStyle w:val="P68B1DB1-Normal8"/>
              <w:spacing w:after="0" w:line="240" w:lineRule="auto"/>
              <w:jc w:val="center"/>
              <w:rPr>
                <w:rFonts w:eastAsia="Times New Roman" w:cs="Calibri"/>
                <w:noProof/>
              </w:rPr>
            </w:pPr>
            <w:r>
              <w:rPr>
                <w:noProof/>
              </w:rPr>
              <w:t>Meghatározott szolgalmi terület</w:t>
            </w:r>
          </w:p>
        </w:tc>
        <w:tc>
          <w:tcPr>
            <w:tcW w:w="1244" w:type="dxa"/>
            <w:shd w:val="clear" w:color="auto" w:fill="C4EFCE"/>
            <w:noWrap/>
            <w:vAlign w:val="center"/>
            <w:hideMark/>
          </w:tcPr>
          <w:p w14:paraId="6B4AD3B0"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0A7FE39" w14:textId="77777777" w:rsidR="00DC5EC6" w:rsidRDefault="003245A4">
            <w:pPr>
              <w:pStyle w:val="P68B1DB1-Normal8"/>
              <w:spacing w:after="0" w:line="240" w:lineRule="auto"/>
              <w:jc w:val="center"/>
              <w:rPr>
                <w:rFonts w:eastAsia="Times New Roman" w:cs="Calibri"/>
                <w:noProof/>
              </w:rPr>
            </w:pPr>
            <w:r>
              <w:rPr>
                <w:noProof/>
              </w:rPr>
              <w:t>ha</w:t>
            </w:r>
          </w:p>
        </w:tc>
        <w:tc>
          <w:tcPr>
            <w:tcW w:w="970" w:type="dxa"/>
            <w:shd w:val="clear" w:color="auto" w:fill="C4EFCE"/>
            <w:noWrap/>
            <w:vAlign w:val="center"/>
            <w:hideMark/>
          </w:tcPr>
          <w:p w14:paraId="37D0B124" w14:textId="77777777" w:rsidR="00DC5EC6" w:rsidRDefault="003245A4">
            <w:pPr>
              <w:pStyle w:val="P68B1DB1-Normal8"/>
              <w:spacing w:after="0" w:line="240" w:lineRule="auto"/>
              <w:jc w:val="center"/>
              <w:rPr>
                <w:rFonts w:eastAsia="Times New Roman" w:cs="Calibri"/>
                <w:noProof/>
              </w:rPr>
            </w:pPr>
            <w:r>
              <w:rPr>
                <w:noProof/>
              </w:rPr>
              <w:t> 0</w:t>
            </w:r>
          </w:p>
        </w:tc>
        <w:tc>
          <w:tcPr>
            <w:tcW w:w="603" w:type="dxa"/>
            <w:shd w:val="clear" w:color="auto" w:fill="C4EFCE"/>
            <w:noWrap/>
            <w:vAlign w:val="center"/>
            <w:hideMark/>
          </w:tcPr>
          <w:p w14:paraId="5C288326" w14:textId="77777777" w:rsidR="00DC5EC6" w:rsidRDefault="003245A4">
            <w:pPr>
              <w:pStyle w:val="P68B1DB1-Normal8"/>
              <w:spacing w:after="0" w:line="240" w:lineRule="auto"/>
              <w:jc w:val="center"/>
              <w:rPr>
                <w:rFonts w:eastAsia="Times New Roman" w:cs="Calibri"/>
                <w:noProof/>
              </w:rPr>
            </w:pPr>
            <w:r>
              <w:rPr>
                <w:noProof/>
              </w:rPr>
              <w:t>21 727</w:t>
            </w:r>
          </w:p>
        </w:tc>
        <w:tc>
          <w:tcPr>
            <w:tcW w:w="649" w:type="dxa"/>
            <w:shd w:val="clear" w:color="auto" w:fill="C4EFCE"/>
            <w:noWrap/>
            <w:vAlign w:val="center"/>
            <w:hideMark/>
          </w:tcPr>
          <w:p w14:paraId="193C372D" w14:textId="261D9394"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361D822E" w14:textId="50E1ABB3" w:rsidR="00DC5EC6" w:rsidRDefault="003245A4">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050DA219" w14:textId="1156CC5A" w:rsidR="00DC5EC6" w:rsidRDefault="003245A4">
            <w:pPr>
              <w:pStyle w:val="P68B1DB1-Normal8"/>
              <w:spacing w:after="0" w:line="240" w:lineRule="auto"/>
              <w:jc w:val="both"/>
              <w:rPr>
                <w:rFonts w:eastAsia="Times New Roman" w:cs="Calibri"/>
                <w:noProof/>
              </w:rPr>
            </w:pPr>
            <w:r>
              <w:rPr>
                <w:noProof/>
              </w:rPr>
              <w:t>Tüzelőanyag-gazdálkodási szünetek elsődleges hálózatában (RPFGC) kialakított szolgalmi terület</w:t>
            </w:r>
          </w:p>
          <w:p w14:paraId="2517E778" w14:textId="6DC1028B" w:rsidR="00DC5EC6" w:rsidRDefault="003245A4">
            <w:pPr>
              <w:pStyle w:val="P68B1DB1-Normal8"/>
              <w:spacing w:after="0" w:line="240" w:lineRule="auto"/>
              <w:jc w:val="both"/>
              <w:rPr>
                <w:rFonts w:eastAsia="Times New Roman" w:cs="Calibri"/>
                <w:noProof/>
              </w:rPr>
            </w:pPr>
            <w:r>
              <w:rPr>
                <w:noProof/>
              </w:rPr>
              <w:t>Ezt a földterületet be kell vonni a BUPi platformba, hogy lehetővé váljon a későbbi különleges nyilvántartásba vételi eljárás.</w:t>
            </w:r>
          </w:p>
        </w:tc>
      </w:tr>
      <w:tr w:rsidR="008A61BD" w14:paraId="392C2D5D" w14:textId="77777777">
        <w:trPr>
          <w:trHeight w:val="430"/>
          <w:jc w:val="center"/>
        </w:trPr>
        <w:tc>
          <w:tcPr>
            <w:tcW w:w="1114" w:type="dxa"/>
            <w:shd w:val="clear" w:color="auto" w:fill="C4EFCE"/>
            <w:vAlign w:val="center"/>
            <w:hideMark/>
          </w:tcPr>
          <w:p w14:paraId="23A37D83" w14:textId="77777777" w:rsidR="008A61BD" w:rsidRDefault="008A61BD" w:rsidP="008A61BD">
            <w:pPr>
              <w:pStyle w:val="P68B1DB1-Normal7"/>
              <w:spacing w:after="0" w:line="240" w:lineRule="auto"/>
              <w:jc w:val="center"/>
              <w:rPr>
                <w:rFonts w:eastAsia="Times New Roman" w:cs="Calibri"/>
                <w:noProof/>
              </w:rPr>
            </w:pPr>
            <w:r>
              <w:rPr>
                <w:noProof/>
              </w:rPr>
              <w:t>8.9</w:t>
            </w:r>
          </w:p>
        </w:tc>
        <w:tc>
          <w:tcPr>
            <w:tcW w:w="1245" w:type="dxa"/>
            <w:shd w:val="clear" w:color="auto" w:fill="C4EFCE"/>
            <w:noWrap/>
            <w:vAlign w:val="center"/>
            <w:hideMark/>
          </w:tcPr>
          <w:p w14:paraId="5212D01F" w14:textId="77777777" w:rsidR="008A61BD" w:rsidRDefault="008A61BD" w:rsidP="008A61BD">
            <w:pPr>
              <w:pStyle w:val="P68B1DB1-Normal8"/>
              <w:spacing w:after="0" w:line="240" w:lineRule="auto"/>
              <w:jc w:val="center"/>
              <w:rPr>
                <w:rFonts w:eastAsia="Times New Roman" w:cs="Calibri"/>
                <w:noProof/>
              </w:rPr>
            </w:pPr>
            <w:r>
              <w:rPr>
                <w:noProof/>
              </w:rPr>
              <w:t>Újra-C08-i03</w:t>
            </w:r>
          </w:p>
        </w:tc>
        <w:tc>
          <w:tcPr>
            <w:tcW w:w="1107" w:type="dxa"/>
            <w:shd w:val="clear" w:color="auto" w:fill="C4EFCE"/>
            <w:noWrap/>
            <w:vAlign w:val="center"/>
            <w:hideMark/>
          </w:tcPr>
          <w:p w14:paraId="36C724AE"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0D704E0" w14:textId="17A8A212" w:rsidR="008A61BD" w:rsidRDefault="008A61BD" w:rsidP="008A61BD">
            <w:pPr>
              <w:pStyle w:val="P68B1DB1-Normal8"/>
              <w:spacing w:after="0" w:line="240" w:lineRule="auto"/>
              <w:jc w:val="center"/>
              <w:rPr>
                <w:rFonts w:eastAsia="Times New Roman" w:cs="Calibri"/>
                <w:noProof/>
              </w:rPr>
            </w:pPr>
            <w:r>
              <w:rPr>
                <w:noProof/>
              </w:rPr>
              <w:t>Az elsődleges tüzelőanyag-gazdálkodási hiányosságok stratégiai hálózatának (RPFGC) megvalósítása</w:t>
            </w:r>
          </w:p>
        </w:tc>
        <w:tc>
          <w:tcPr>
            <w:tcW w:w="1244" w:type="dxa"/>
            <w:shd w:val="clear" w:color="auto" w:fill="C4EFCE"/>
            <w:noWrap/>
            <w:vAlign w:val="center"/>
            <w:hideMark/>
          </w:tcPr>
          <w:p w14:paraId="23E2BACD"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4C251181"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451D6332" w14:textId="77777777" w:rsidR="008A61BD" w:rsidRDefault="008A61BD" w:rsidP="008A61BD">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13734D22" w14:textId="77777777" w:rsidR="008A61BD" w:rsidRDefault="008A61BD" w:rsidP="008A61BD">
            <w:pPr>
              <w:pStyle w:val="P68B1DB1-Normal8"/>
              <w:spacing w:after="0" w:line="240" w:lineRule="auto"/>
              <w:jc w:val="center"/>
              <w:rPr>
                <w:rFonts w:eastAsia="Times New Roman" w:cs="Calibri"/>
                <w:noProof/>
              </w:rPr>
            </w:pPr>
            <w:r>
              <w:rPr>
                <w:noProof/>
              </w:rPr>
              <w:t>37 500</w:t>
            </w:r>
          </w:p>
        </w:tc>
        <w:tc>
          <w:tcPr>
            <w:tcW w:w="649" w:type="dxa"/>
            <w:shd w:val="clear" w:color="auto" w:fill="C4EFCE"/>
            <w:noWrap/>
            <w:vAlign w:val="center"/>
            <w:hideMark/>
          </w:tcPr>
          <w:p w14:paraId="4962CE45" w14:textId="362837BF"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6E8FFA64"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485B98D" w14:textId="3D8CF93E" w:rsidR="008A61BD" w:rsidRDefault="008A61BD" w:rsidP="008A61BD">
            <w:pPr>
              <w:pStyle w:val="P68B1DB1-Normal8"/>
              <w:spacing w:after="0" w:line="240" w:lineRule="auto"/>
              <w:jc w:val="both"/>
              <w:rPr>
                <w:rFonts w:eastAsia="Times New Roman" w:cs="Calibri"/>
                <w:noProof/>
              </w:rPr>
            </w:pPr>
            <w:r>
              <w:rPr>
                <w:noProof/>
              </w:rPr>
              <w:t>Az üzemanyag-gazdálkodási szünetek elsődleges hálózatának (RPFGC) megvalósított területe (ha) – horizontális megszakítások (tüzelőanyag-gazdálkodási sávok) létrehozása a tájon a tűzjárványok elszigetelése érdekében.</w:t>
            </w:r>
          </w:p>
        </w:tc>
      </w:tr>
      <w:tr w:rsidR="00DC5EC6" w14:paraId="13D047D8" w14:textId="77777777">
        <w:trPr>
          <w:trHeight w:val="430"/>
          <w:jc w:val="center"/>
        </w:trPr>
        <w:tc>
          <w:tcPr>
            <w:tcW w:w="1114" w:type="dxa"/>
            <w:shd w:val="clear" w:color="auto" w:fill="C4EFCE"/>
            <w:vAlign w:val="center"/>
            <w:hideMark/>
          </w:tcPr>
          <w:p w14:paraId="6ED52C23" w14:textId="77777777" w:rsidR="00DC5EC6" w:rsidRDefault="003245A4">
            <w:pPr>
              <w:pStyle w:val="P68B1DB1-Normal7"/>
              <w:spacing w:after="0" w:line="240" w:lineRule="auto"/>
              <w:jc w:val="center"/>
              <w:rPr>
                <w:rFonts w:eastAsia="Times New Roman" w:cs="Calibri"/>
                <w:noProof/>
              </w:rPr>
            </w:pPr>
            <w:r>
              <w:rPr>
                <w:noProof/>
              </w:rPr>
              <w:t>8.10</w:t>
            </w:r>
          </w:p>
        </w:tc>
        <w:tc>
          <w:tcPr>
            <w:tcW w:w="1245" w:type="dxa"/>
            <w:shd w:val="clear" w:color="auto" w:fill="C4EFCE"/>
            <w:noWrap/>
            <w:vAlign w:val="center"/>
            <w:hideMark/>
          </w:tcPr>
          <w:p w14:paraId="030B3560" w14:textId="77777777" w:rsidR="00DC5EC6" w:rsidRDefault="003245A4">
            <w:pPr>
              <w:pStyle w:val="P68B1DB1-Normal8"/>
              <w:spacing w:after="0" w:line="240" w:lineRule="auto"/>
              <w:jc w:val="center"/>
              <w:rPr>
                <w:rFonts w:eastAsia="Times New Roman" w:cs="Calibri"/>
                <w:noProof/>
              </w:rPr>
            </w:pPr>
            <w:r>
              <w:rPr>
                <w:noProof/>
              </w:rPr>
              <w:t>Újra-C08–i04</w:t>
            </w:r>
          </w:p>
        </w:tc>
        <w:tc>
          <w:tcPr>
            <w:tcW w:w="1107" w:type="dxa"/>
            <w:shd w:val="clear" w:color="auto" w:fill="C4EFCE"/>
            <w:noWrap/>
            <w:vAlign w:val="center"/>
            <w:hideMark/>
          </w:tcPr>
          <w:p w14:paraId="600B64B0" w14:textId="77777777" w:rsidR="00DC5EC6" w:rsidRDefault="003245A4">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022925A" w14:textId="77777777" w:rsidR="00DC5EC6" w:rsidRDefault="003245A4">
            <w:pPr>
              <w:pStyle w:val="P68B1DB1-Normal8"/>
              <w:spacing w:after="0" w:line="240" w:lineRule="auto"/>
              <w:jc w:val="center"/>
              <w:rPr>
                <w:rFonts w:eastAsia="Times New Roman" w:cs="Calibri"/>
                <w:noProof/>
              </w:rPr>
            </w:pPr>
            <w:r>
              <w:rPr>
                <w:noProof/>
              </w:rPr>
              <w:t>Járművek, gépek és berendezések szállítása</w:t>
            </w:r>
          </w:p>
        </w:tc>
        <w:tc>
          <w:tcPr>
            <w:tcW w:w="1244" w:type="dxa"/>
            <w:shd w:val="clear" w:color="auto" w:fill="C4EFCE"/>
            <w:noWrap/>
            <w:vAlign w:val="center"/>
            <w:hideMark/>
          </w:tcPr>
          <w:p w14:paraId="39554C14" w14:textId="77777777" w:rsidR="00DC5EC6" w:rsidRDefault="003245A4">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18547CC0" w14:textId="77777777" w:rsidR="00DC5EC6" w:rsidRDefault="003245A4">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7C429149" w14:textId="77777777" w:rsidR="00DC5EC6" w:rsidRDefault="003245A4">
            <w:pPr>
              <w:pStyle w:val="P68B1DB1-Normal8"/>
              <w:spacing w:after="0" w:line="240" w:lineRule="auto"/>
              <w:jc w:val="center"/>
              <w:rPr>
                <w:rFonts w:eastAsia="Times New Roman" w:cs="Calibri"/>
                <w:noProof/>
              </w:rPr>
            </w:pPr>
            <w:r>
              <w:rPr>
                <w:noProof/>
              </w:rPr>
              <w:t>0 </w:t>
            </w:r>
          </w:p>
        </w:tc>
        <w:tc>
          <w:tcPr>
            <w:tcW w:w="603" w:type="dxa"/>
            <w:shd w:val="clear" w:color="auto" w:fill="C4EFCE"/>
            <w:noWrap/>
            <w:vAlign w:val="center"/>
            <w:hideMark/>
          </w:tcPr>
          <w:p w14:paraId="20CC9EEC" w14:textId="77777777" w:rsidR="00DC5EC6" w:rsidRDefault="003245A4">
            <w:pPr>
              <w:pStyle w:val="P68B1DB1-Normal8"/>
              <w:spacing w:after="0" w:line="240" w:lineRule="auto"/>
              <w:jc w:val="center"/>
              <w:rPr>
                <w:rFonts w:eastAsia="Times New Roman" w:cs="Calibri"/>
                <w:noProof/>
              </w:rPr>
            </w:pPr>
            <w:r>
              <w:rPr>
                <w:noProof/>
              </w:rPr>
              <w:t>179</w:t>
            </w:r>
          </w:p>
        </w:tc>
        <w:tc>
          <w:tcPr>
            <w:tcW w:w="649" w:type="dxa"/>
            <w:shd w:val="clear" w:color="auto" w:fill="C4EFCE"/>
            <w:noWrap/>
            <w:vAlign w:val="center"/>
            <w:hideMark/>
          </w:tcPr>
          <w:p w14:paraId="64F991E2" w14:textId="63A3265B"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hideMark/>
          </w:tcPr>
          <w:p w14:paraId="555E763F" w14:textId="77777777" w:rsidR="00DC5EC6" w:rsidRDefault="003245A4">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23EB455A" w14:textId="77777777" w:rsidR="00DC5EC6" w:rsidRDefault="003245A4">
            <w:pPr>
              <w:pStyle w:val="P68B1DB1-Normal8"/>
              <w:spacing w:after="0" w:line="240" w:lineRule="auto"/>
              <w:jc w:val="both"/>
              <w:rPr>
                <w:rFonts w:eastAsia="Times New Roman" w:cs="Calibri"/>
                <w:noProof/>
              </w:rPr>
            </w:pPr>
            <w:r>
              <w:rPr>
                <w:noProof/>
              </w:rPr>
              <w:t>Tűzvédelmi és tűzvédelmi járművek, gépek és berendezések szállítása, miután megerősítést nyert, hogy megfelelnek a műszaki leírásnak és az egyéb szerződéses követelményeknek, a pályázati eljárásnak megfelelően.</w:t>
            </w:r>
          </w:p>
        </w:tc>
      </w:tr>
      <w:tr w:rsidR="008A61BD" w14:paraId="487ADD74" w14:textId="77777777">
        <w:trPr>
          <w:trHeight w:val="1109"/>
          <w:jc w:val="center"/>
        </w:trPr>
        <w:tc>
          <w:tcPr>
            <w:tcW w:w="1114" w:type="dxa"/>
            <w:shd w:val="clear" w:color="auto" w:fill="C4EFCE"/>
            <w:vAlign w:val="center"/>
            <w:hideMark/>
          </w:tcPr>
          <w:p w14:paraId="3860DB26" w14:textId="77777777" w:rsidR="008A61BD" w:rsidRDefault="008A61BD" w:rsidP="008A61BD">
            <w:pPr>
              <w:pStyle w:val="P68B1DB1-Normal7"/>
              <w:spacing w:after="0" w:line="240" w:lineRule="auto"/>
              <w:jc w:val="center"/>
              <w:rPr>
                <w:rFonts w:eastAsia="Times New Roman" w:cs="Calibri"/>
                <w:noProof/>
              </w:rPr>
            </w:pPr>
            <w:r>
              <w:rPr>
                <w:noProof/>
              </w:rPr>
              <w:t>8.11</w:t>
            </w:r>
          </w:p>
        </w:tc>
        <w:tc>
          <w:tcPr>
            <w:tcW w:w="1245" w:type="dxa"/>
            <w:shd w:val="clear" w:color="auto" w:fill="C4EFCE"/>
            <w:noWrap/>
            <w:vAlign w:val="center"/>
            <w:hideMark/>
          </w:tcPr>
          <w:p w14:paraId="76C404B0" w14:textId="77777777" w:rsidR="008A61BD" w:rsidRDefault="008A61BD" w:rsidP="008A61BD">
            <w:pPr>
              <w:pStyle w:val="P68B1DB1-Normal8"/>
              <w:spacing w:after="0" w:line="240" w:lineRule="auto"/>
              <w:jc w:val="center"/>
              <w:rPr>
                <w:rFonts w:eastAsia="Times New Roman" w:cs="Calibri"/>
                <w:noProof/>
              </w:rPr>
            </w:pPr>
            <w:r>
              <w:rPr>
                <w:noProof/>
              </w:rPr>
              <w:t>Újra-C08–i04</w:t>
            </w:r>
          </w:p>
        </w:tc>
        <w:tc>
          <w:tcPr>
            <w:tcW w:w="1107" w:type="dxa"/>
            <w:shd w:val="clear" w:color="auto" w:fill="C4EFCE"/>
            <w:noWrap/>
            <w:vAlign w:val="center"/>
            <w:hideMark/>
          </w:tcPr>
          <w:p w14:paraId="58F4C381"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0FD1789" w14:textId="77777777" w:rsidR="008A61BD" w:rsidRDefault="008A61BD" w:rsidP="008A61BD">
            <w:pPr>
              <w:pStyle w:val="P68B1DB1-Normal8"/>
              <w:spacing w:after="0" w:line="240" w:lineRule="auto"/>
              <w:jc w:val="center"/>
              <w:rPr>
                <w:rFonts w:eastAsia="Times New Roman" w:cs="Calibri"/>
                <w:noProof/>
              </w:rPr>
            </w:pPr>
            <w:r>
              <w:rPr>
                <w:noProof/>
              </w:rPr>
              <w:t>Könnyű és közepes tűzoltó helikopterek szállítása</w:t>
            </w:r>
          </w:p>
        </w:tc>
        <w:tc>
          <w:tcPr>
            <w:tcW w:w="1244" w:type="dxa"/>
            <w:shd w:val="clear" w:color="auto" w:fill="C4EFCE"/>
            <w:noWrap/>
            <w:vAlign w:val="center"/>
            <w:hideMark/>
          </w:tcPr>
          <w:p w14:paraId="487CBD48"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74765D2D" w14:textId="77777777" w:rsidR="008A61BD" w:rsidRDefault="008A61BD" w:rsidP="008A61BD">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7BE1885F"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16399CA0" w14:textId="64428CEC" w:rsidR="008A61BD" w:rsidRDefault="008A61BD" w:rsidP="008A61BD">
            <w:pPr>
              <w:pStyle w:val="P68B1DB1-Normal8"/>
              <w:spacing w:after="0" w:line="240" w:lineRule="auto"/>
              <w:jc w:val="center"/>
              <w:rPr>
                <w:rFonts w:eastAsia="Calibri" w:cs="Calibri"/>
                <w:noProof/>
              </w:rPr>
            </w:pPr>
            <w:r>
              <w:rPr>
                <w:noProof/>
              </w:rPr>
              <w:t>11</w:t>
            </w:r>
          </w:p>
        </w:tc>
        <w:tc>
          <w:tcPr>
            <w:tcW w:w="649" w:type="dxa"/>
            <w:shd w:val="clear" w:color="auto" w:fill="C4EFCE"/>
            <w:noWrap/>
            <w:vAlign w:val="center"/>
            <w:hideMark/>
          </w:tcPr>
          <w:p w14:paraId="3B3A6032" w14:textId="3F4C119E"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49892F3C"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2EE5FF2B" w14:textId="7512F60A" w:rsidR="008A61BD" w:rsidRDefault="008A61BD" w:rsidP="008A61BD">
            <w:pPr>
              <w:pStyle w:val="P68B1DB1-Normal8"/>
              <w:spacing w:after="0" w:line="240" w:lineRule="auto"/>
              <w:jc w:val="both"/>
              <w:rPr>
                <w:rFonts w:eastAsia="Times New Roman" w:cs="Calibri"/>
                <w:noProof/>
              </w:rPr>
            </w:pPr>
            <w:r>
              <w:rPr>
                <w:noProof/>
              </w:rPr>
              <w:t>Két könnyű tűzoltó helikopter (HEBL) és kilenc közepes tűzoltó helikopter (HEBM) szállítása, miután megerősítést nyert, hogy azok megfelelnek a műszaki előírásoknak és az egyéb szerződéses követelményeknek. A célnak ki kell terjednie a helikopterek használatára és karbantartására szolgáló épületek és infrastruktúra építésére és/vagy felújítására is.</w:t>
            </w:r>
          </w:p>
        </w:tc>
      </w:tr>
      <w:tr w:rsidR="008A61BD" w14:paraId="3D57C30A" w14:textId="77777777">
        <w:trPr>
          <w:trHeight w:val="1602"/>
          <w:jc w:val="center"/>
        </w:trPr>
        <w:tc>
          <w:tcPr>
            <w:tcW w:w="1114" w:type="dxa"/>
            <w:shd w:val="clear" w:color="auto" w:fill="C4EFCE"/>
            <w:vAlign w:val="center"/>
            <w:hideMark/>
          </w:tcPr>
          <w:p w14:paraId="2C8E73E6" w14:textId="77777777" w:rsidR="008A61BD" w:rsidRDefault="008A61BD" w:rsidP="008A61BD">
            <w:pPr>
              <w:pStyle w:val="P68B1DB1-Normal7"/>
              <w:spacing w:after="0" w:line="240" w:lineRule="auto"/>
              <w:jc w:val="center"/>
              <w:rPr>
                <w:rFonts w:eastAsia="Times New Roman" w:cs="Calibri"/>
                <w:noProof/>
              </w:rPr>
            </w:pPr>
            <w:r>
              <w:rPr>
                <w:noProof/>
              </w:rPr>
              <w:t>8.12</w:t>
            </w:r>
          </w:p>
        </w:tc>
        <w:tc>
          <w:tcPr>
            <w:tcW w:w="1245" w:type="dxa"/>
            <w:shd w:val="clear" w:color="auto" w:fill="C4EFCE"/>
            <w:noWrap/>
            <w:vAlign w:val="center"/>
            <w:hideMark/>
          </w:tcPr>
          <w:p w14:paraId="70010057" w14:textId="77777777" w:rsidR="008A61BD" w:rsidRDefault="008A61BD" w:rsidP="008A61BD">
            <w:pPr>
              <w:pStyle w:val="P68B1DB1-Normal8"/>
              <w:spacing w:after="0" w:line="240" w:lineRule="auto"/>
              <w:jc w:val="center"/>
              <w:rPr>
                <w:rFonts w:eastAsia="Times New Roman" w:cs="Calibri"/>
                <w:noProof/>
              </w:rPr>
            </w:pPr>
            <w:r>
              <w:rPr>
                <w:noProof/>
              </w:rPr>
              <w:t>Újra-C08–i04</w:t>
            </w:r>
          </w:p>
        </w:tc>
        <w:tc>
          <w:tcPr>
            <w:tcW w:w="1107" w:type="dxa"/>
            <w:shd w:val="clear" w:color="auto" w:fill="C4EFCE"/>
            <w:noWrap/>
            <w:vAlign w:val="center"/>
            <w:hideMark/>
          </w:tcPr>
          <w:p w14:paraId="7176F5E0"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7BC37E58" w14:textId="77777777" w:rsidR="008A61BD" w:rsidRDefault="008A61BD" w:rsidP="008A61BD">
            <w:pPr>
              <w:pStyle w:val="P68B1DB1-Normal8"/>
              <w:spacing w:after="0" w:line="240" w:lineRule="auto"/>
              <w:jc w:val="center"/>
              <w:rPr>
                <w:rFonts w:eastAsia="Times New Roman" w:cs="Calibri"/>
                <w:noProof/>
              </w:rPr>
            </w:pPr>
            <w:r>
              <w:rPr>
                <w:noProof/>
              </w:rPr>
              <w:t xml:space="preserve">Kettős polarizációs radarok felszerelése </w:t>
            </w:r>
          </w:p>
        </w:tc>
        <w:tc>
          <w:tcPr>
            <w:tcW w:w="1244" w:type="dxa"/>
            <w:shd w:val="clear" w:color="auto" w:fill="C4EFCE"/>
            <w:noWrap/>
            <w:vAlign w:val="center"/>
            <w:hideMark/>
          </w:tcPr>
          <w:p w14:paraId="15D2EC6F"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57C5188B" w14:textId="77777777" w:rsidR="008A61BD" w:rsidRDefault="008A61BD" w:rsidP="008A61BD">
            <w:pPr>
              <w:pStyle w:val="P68B1DB1-Normal8"/>
              <w:spacing w:after="0" w:line="240" w:lineRule="auto"/>
              <w:jc w:val="center"/>
              <w:rPr>
                <w:rFonts w:eastAsia="Times New Roman" w:cs="Calibri"/>
                <w:noProof/>
              </w:rPr>
            </w:pPr>
            <w:r>
              <w:rPr>
                <w:noProof/>
              </w:rPr>
              <w:t xml:space="preserve"> Szám</w:t>
            </w:r>
          </w:p>
        </w:tc>
        <w:tc>
          <w:tcPr>
            <w:tcW w:w="970" w:type="dxa"/>
            <w:shd w:val="clear" w:color="auto" w:fill="C4EFCE"/>
            <w:noWrap/>
            <w:vAlign w:val="center"/>
            <w:hideMark/>
          </w:tcPr>
          <w:p w14:paraId="3F4B6B81"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B6819FD" w14:textId="77777777" w:rsidR="008A61BD" w:rsidRDefault="008A61BD" w:rsidP="008A61BD">
            <w:pPr>
              <w:pStyle w:val="P68B1DB1-Normal8"/>
              <w:spacing w:after="0" w:line="240" w:lineRule="auto"/>
              <w:jc w:val="center"/>
              <w:rPr>
                <w:rFonts w:eastAsia="Times New Roman" w:cs="Calibri"/>
                <w:noProof/>
              </w:rPr>
            </w:pPr>
            <w:r>
              <w:rPr>
                <w:noProof/>
              </w:rPr>
              <w:t>2</w:t>
            </w:r>
          </w:p>
        </w:tc>
        <w:tc>
          <w:tcPr>
            <w:tcW w:w="649" w:type="dxa"/>
            <w:shd w:val="clear" w:color="auto" w:fill="C4EFCE"/>
            <w:noWrap/>
            <w:vAlign w:val="center"/>
            <w:hideMark/>
          </w:tcPr>
          <w:p w14:paraId="73B9EEDA" w14:textId="4F398B18"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3F0D0945" w14:textId="77777777" w:rsidR="008A61BD" w:rsidRDefault="008A61BD" w:rsidP="008A61BD">
            <w:pPr>
              <w:pStyle w:val="P68B1DB1-Normal8"/>
              <w:spacing w:after="0" w:line="240" w:lineRule="auto"/>
              <w:jc w:val="center"/>
              <w:rPr>
                <w:rFonts w:eastAsia="Times New Roman" w:cs="Calibri"/>
                <w:noProof/>
              </w:rPr>
            </w:pPr>
            <w:r>
              <w:rPr>
                <w:noProof/>
              </w:rPr>
              <w:t>2023</w:t>
            </w:r>
          </w:p>
        </w:tc>
        <w:tc>
          <w:tcPr>
            <w:tcW w:w="4204" w:type="dxa"/>
            <w:shd w:val="clear" w:color="auto" w:fill="C4EFCE"/>
            <w:vAlign w:val="center"/>
            <w:hideMark/>
          </w:tcPr>
          <w:p w14:paraId="72298171" w14:textId="77777777" w:rsidR="008A61BD" w:rsidRDefault="008A61BD" w:rsidP="008A61BD">
            <w:pPr>
              <w:pStyle w:val="P68B1DB1-Normal8"/>
              <w:spacing w:after="0" w:line="240" w:lineRule="auto"/>
              <w:jc w:val="both"/>
              <w:rPr>
                <w:rFonts w:eastAsia="Times New Roman" w:cs="Calibri"/>
                <w:noProof/>
              </w:rPr>
            </w:pPr>
            <w:r>
              <w:rPr>
                <w:noProof/>
              </w:rPr>
              <w:t>Két kettős polarizációs radar telepítése a szükséges számítástechnikai és archiváló rendszerrel, két villámdetektorral és két időjárási meteorológiai állomással. A telepítést annak megerősítését követően fejezték be, hogy megfelelnek a műszaki leírásnak és az egyéb szerződéses követelményeknek.</w:t>
            </w:r>
          </w:p>
        </w:tc>
      </w:tr>
      <w:tr w:rsidR="008A61BD" w14:paraId="28363569" w14:textId="77777777">
        <w:trPr>
          <w:trHeight w:val="430"/>
          <w:jc w:val="center"/>
        </w:trPr>
        <w:tc>
          <w:tcPr>
            <w:tcW w:w="1114" w:type="dxa"/>
            <w:shd w:val="clear" w:color="auto" w:fill="C4EFCE"/>
            <w:vAlign w:val="center"/>
            <w:hideMark/>
          </w:tcPr>
          <w:p w14:paraId="6AE21B31" w14:textId="77777777" w:rsidR="008A61BD" w:rsidRDefault="008A61BD" w:rsidP="008A61BD">
            <w:pPr>
              <w:pStyle w:val="P68B1DB1-Normal7"/>
              <w:spacing w:after="0" w:line="240" w:lineRule="auto"/>
              <w:jc w:val="center"/>
              <w:rPr>
                <w:rFonts w:eastAsia="Times New Roman" w:cs="Calibri"/>
                <w:noProof/>
              </w:rPr>
            </w:pPr>
            <w:r>
              <w:rPr>
                <w:noProof/>
              </w:rPr>
              <w:t>8.13</w:t>
            </w:r>
          </w:p>
        </w:tc>
        <w:tc>
          <w:tcPr>
            <w:tcW w:w="1245" w:type="dxa"/>
            <w:shd w:val="clear" w:color="auto" w:fill="C4EFCE"/>
            <w:noWrap/>
            <w:vAlign w:val="center"/>
            <w:hideMark/>
          </w:tcPr>
          <w:p w14:paraId="7F3A085B" w14:textId="77777777" w:rsidR="008A61BD" w:rsidRDefault="008A61BD" w:rsidP="008A61BD">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705F7814"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198E7C32" w14:textId="77777777" w:rsidR="008A61BD" w:rsidRDefault="008A61BD" w:rsidP="008A61BD">
            <w:pPr>
              <w:pStyle w:val="P68B1DB1-Normal8"/>
              <w:spacing w:after="0" w:line="240" w:lineRule="auto"/>
              <w:jc w:val="center"/>
              <w:rPr>
                <w:rFonts w:eastAsia="Times New Roman" w:cs="Calibri"/>
                <w:noProof/>
              </w:rPr>
            </w:pPr>
            <w:r>
              <w:rPr>
                <w:noProof/>
              </w:rPr>
              <w:t>A Belügyminisztérium (MAI) szervezeteinek megerősítése járművekkel és operatív berendezésekkel</w:t>
            </w:r>
          </w:p>
        </w:tc>
        <w:tc>
          <w:tcPr>
            <w:tcW w:w="1244" w:type="dxa"/>
            <w:shd w:val="clear" w:color="auto" w:fill="C4EFCE"/>
            <w:noWrap/>
            <w:vAlign w:val="center"/>
            <w:hideMark/>
          </w:tcPr>
          <w:p w14:paraId="0A3F576B"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3B0961C3"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71F85106"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5E49558E" w14:textId="77777777" w:rsidR="008A61BD" w:rsidRDefault="008A61BD" w:rsidP="008A61BD">
            <w:pPr>
              <w:pStyle w:val="P68B1DB1-Normal8"/>
              <w:spacing w:after="0" w:line="240" w:lineRule="auto"/>
              <w:jc w:val="center"/>
              <w:rPr>
                <w:rFonts w:eastAsia="Times New Roman" w:cs="Calibri"/>
                <w:noProof/>
              </w:rPr>
            </w:pPr>
            <w:r>
              <w:rPr>
                <w:noProof/>
              </w:rPr>
              <w:t>62</w:t>
            </w:r>
          </w:p>
        </w:tc>
        <w:tc>
          <w:tcPr>
            <w:tcW w:w="649" w:type="dxa"/>
            <w:shd w:val="clear" w:color="auto" w:fill="C4EFCE"/>
            <w:noWrap/>
            <w:vAlign w:val="center"/>
            <w:hideMark/>
          </w:tcPr>
          <w:p w14:paraId="3E640486" w14:textId="64380ADB"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1E0E5DA7" w14:textId="77777777" w:rsidR="008A61BD" w:rsidRDefault="008A61BD" w:rsidP="008A61BD">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hideMark/>
          </w:tcPr>
          <w:p w14:paraId="282B8265" w14:textId="17A1E554" w:rsidR="008A61BD" w:rsidRDefault="008A61BD" w:rsidP="008A61BD">
            <w:pPr>
              <w:pStyle w:val="P68B1DB1-Normal8"/>
              <w:spacing w:after="0" w:line="240" w:lineRule="auto"/>
              <w:jc w:val="both"/>
              <w:rPr>
                <w:rFonts w:eastAsia="Times New Roman" w:cs="Calibri"/>
                <w:noProof/>
              </w:rPr>
            </w:pPr>
            <w:r>
              <w:rPr>
                <w:noProof/>
              </w:rPr>
              <w:t xml:space="preserve">62 MAI-szervezet (ANEPC, GNR és tűzoltóság) megerősítése a tűzoltásban, az új járművekben és az operatív berendezésekben részt vevő operatív személyzet képzésével és képesítésével, legalább 35 000 000 EUR értékben. </w:t>
            </w:r>
          </w:p>
        </w:tc>
      </w:tr>
      <w:tr w:rsidR="001F25B1" w14:paraId="57E6AB3E" w14:textId="77777777">
        <w:trPr>
          <w:trHeight w:val="430"/>
          <w:jc w:val="center"/>
        </w:trPr>
        <w:tc>
          <w:tcPr>
            <w:tcW w:w="1114" w:type="dxa"/>
            <w:shd w:val="clear" w:color="auto" w:fill="C4EFCE"/>
            <w:vAlign w:val="center"/>
            <w:hideMark/>
          </w:tcPr>
          <w:p w14:paraId="42ABB305" w14:textId="77777777" w:rsidR="001F25B1" w:rsidRDefault="001F25B1" w:rsidP="001F25B1">
            <w:pPr>
              <w:pStyle w:val="P68B1DB1-Normal7"/>
              <w:spacing w:after="0" w:line="240" w:lineRule="auto"/>
              <w:jc w:val="center"/>
              <w:rPr>
                <w:rFonts w:eastAsia="Times New Roman" w:cs="Calibri"/>
                <w:noProof/>
              </w:rPr>
            </w:pPr>
            <w:r>
              <w:rPr>
                <w:noProof/>
              </w:rPr>
              <w:t>8.14</w:t>
            </w:r>
          </w:p>
        </w:tc>
        <w:tc>
          <w:tcPr>
            <w:tcW w:w="1245" w:type="dxa"/>
            <w:shd w:val="clear" w:color="auto" w:fill="C4EFCE"/>
            <w:noWrap/>
            <w:vAlign w:val="center"/>
            <w:hideMark/>
          </w:tcPr>
          <w:p w14:paraId="4FFF914B" w14:textId="77777777" w:rsidR="001F25B1" w:rsidRDefault="001F25B1" w:rsidP="001F25B1">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1A75D938" w14:textId="77777777" w:rsidR="001F25B1" w:rsidRDefault="001F25B1" w:rsidP="001F25B1">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361AED32" w14:textId="77777777" w:rsidR="001F25B1" w:rsidRDefault="001F25B1" w:rsidP="001F25B1">
            <w:pPr>
              <w:pStyle w:val="P68B1DB1-Normal8"/>
              <w:spacing w:after="0" w:line="240" w:lineRule="auto"/>
              <w:jc w:val="center"/>
              <w:rPr>
                <w:rFonts w:eastAsia="Times New Roman" w:cs="Calibri"/>
                <w:noProof/>
              </w:rPr>
            </w:pPr>
            <w:r>
              <w:rPr>
                <w:noProof/>
              </w:rPr>
              <w:t>A nemzeti vészhelyzeti és polgári védelmi hatóság (ANEPC) regionális és szubregionális struktúráinak létrehozása</w:t>
            </w:r>
          </w:p>
        </w:tc>
        <w:tc>
          <w:tcPr>
            <w:tcW w:w="1244" w:type="dxa"/>
            <w:shd w:val="clear" w:color="auto" w:fill="C4EFCE"/>
            <w:noWrap/>
            <w:vAlign w:val="center"/>
            <w:hideMark/>
          </w:tcPr>
          <w:p w14:paraId="420A6551"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23DD9936" w14:textId="77777777" w:rsidR="001F25B1" w:rsidRDefault="001F25B1" w:rsidP="001F25B1">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074B7CB8" w14:textId="77777777" w:rsidR="001F25B1" w:rsidRDefault="001F25B1" w:rsidP="001F25B1">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75FC58FC" w14:textId="77777777" w:rsidR="001F25B1" w:rsidRDefault="001F25B1" w:rsidP="001F25B1">
            <w:pPr>
              <w:pStyle w:val="P68B1DB1-Normal8"/>
              <w:spacing w:after="0" w:line="240" w:lineRule="auto"/>
              <w:jc w:val="center"/>
              <w:rPr>
                <w:rFonts w:eastAsia="Times New Roman" w:cs="Calibri"/>
                <w:noProof/>
              </w:rPr>
            </w:pPr>
            <w:r>
              <w:rPr>
                <w:noProof/>
              </w:rPr>
              <w:t>6</w:t>
            </w:r>
          </w:p>
        </w:tc>
        <w:tc>
          <w:tcPr>
            <w:tcW w:w="649" w:type="dxa"/>
            <w:shd w:val="clear" w:color="auto" w:fill="C4EFCE"/>
            <w:noWrap/>
            <w:vAlign w:val="center"/>
            <w:hideMark/>
          </w:tcPr>
          <w:p w14:paraId="6CEEB9F3" w14:textId="11BAFA40" w:rsidR="001F25B1" w:rsidRDefault="001F25B1" w:rsidP="001F25B1">
            <w:pPr>
              <w:pStyle w:val="P68B1DB1-Normal8"/>
              <w:spacing w:after="0" w:line="240" w:lineRule="auto"/>
              <w:jc w:val="center"/>
              <w:rPr>
                <w:rFonts w:eastAsia="Times New Roman" w:cs="Calibri"/>
                <w:noProof/>
              </w:rPr>
            </w:pPr>
            <w:r>
              <w:rPr>
                <w:noProof/>
              </w:rPr>
              <w:t>2. NEGYEDÉV</w:t>
            </w:r>
          </w:p>
        </w:tc>
        <w:tc>
          <w:tcPr>
            <w:tcW w:w="694" w:type="dxa"/>
            <w:shd w:val="clear" w:color="auto" w:fill="C4EFCE"/>
            <w:noWrap/>
            <w:vAlign w:val="center"/>
            <w:hideMark/>
          </w:tcPr>
          <w:p w14:paraId="1D60899A" w14:textId="77777777" w:rsidR="001F25B1" w:rsidRDefault="001F25B1" w:rsidP="001F25B1">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B8BA932" w14:textId="77777777" w:rsidR="001F25B1" w:rsidRDefault="001F25B1" w:rsidP="001F25B1">
            <w:pPr>
              <w:pStyle w:val="P68B1DB1-Normal8"/>
              <w:spacing w:after="0" w:line="240" w:lineRule="auto"/>
              <w:jc w:val="both"/>
              <w:rPr>
                <w:rFonts w:eastAsia="Times New Roman" w:cs="Calibri"/>
                <w:noProof/>
              </w:rPr>
            </w:pPr>
            <w:r>
              <w:rPr>
                <w:noProof/>
              </w:rPr>
              <w:t>Két regionális és négy szubregionális vészhelyzeti és polgári védelmi parancsnokság működésének megkezdése (a 2019. április 1-jei 45/2019. sz. törvényerejű rendeletben meghatározottak szerint)</w:t>
            </w:r>
          </w:p>
        </w:tc>
      </w:tr>
      <w:tr w:rsidR="00DC5EC6" w14:paraId="1BD51647" w14:textId="77777777">
        <w:trPr>
          <w:trHeight w:val="430"/>
          <w:jc w:val="center"/>
        </w:trPr>
        <w:tc>
          <w:tcPr>
            <w:tcW w:w="1114" w:type="dxa"/>
            <w:shd w:val="clear" w:color="auto" w:fill="C4EFCE"/>
            <w:vAlign w:val="center"/>
          </w:tcPr>
          <w:p w14:paraId="735E7B4B" w14:textId="650A0E03" w:rsidR="00DC5EC6" w:rsidRDefault="003245A4">
            <w:pPr>
              <w:pStyle w:val="P68B1DB1-Normal7"/>
              <w:spacing w:after="0" w:line="240" w:lineRule="auto"/>
              <w:jc w:val="center"/>
              <w:rPr>
                <w:rFonts w:eastAsia="Times New Roman" w:cs="Calibri"/>
                <w:noProof/>
              </w:rPr>
            </w:pPr>
            <w:r>
              <w:rPr>
                <w:noProof/>
              </w:rPr>
              <w:t>8.21</w:t>
            </w:r>
          </w:p>
        </w:tc>
        <w:tc>
          <w:tcPr>
            <w:tcW w:w="1245" w:type="dxa"/>
            <w:shd w:val="clear" w:color="auto" w:fill="C4EFCE"/>
            <w:noWrap/>
            <w:vAlign w:val="center"/>
          </w:tcPr>
          <w:p w14:paraId="0AACDDC4" w14:textId="25407601" w:rsidR="00DC5EC6" w:rsidRDefault="003245A4">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tcPr>
          <w:p w14:paraId="24C462E0" w14:textId="4B2BBB0B"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tcPr>
          <w:p w14:paraId="1D11E778" w14:textId="31BAF8A5" w:rsidR="00DC5EC6" w:rsidRDefault="003245A4">
            <w:pPr>
              <w:pStyle w:val="P68B1DB1-Normal8"/>
              <w:spacing w:after="0" w:line="240" w:lineRule="auto"/>
              <w:jc w:val="center"/>
              <w:rPr>
                <w:rFonts w:eastAsia="Times New Roman" w:cs="Calibri"/>
                <w:noProof/>
              </w:rPr>
            </w:pPr>
            <w:r>
              <w:rPr>
                <w:noProof/>
              </w:rPr>
              <w:t>Figyelemfelhívó kampány kidolgozása a kockázatos magatartás megelőzése érdekében</w:t>
            </w:r>
          </w:p>
        </w:tc>
        <w:tc>
          <w:tcPr>
            <w:tcW w:w="1244" w:type="dxa"/>
            <w:shd w:val="clear" w:color="auto" w:fill="C4EFCE"/>
            <w:noWrap/>
            <w:vAlign w:val="center"/>
          </w:tcPr>
          <w:p w14:paraId="52E9B3FE" w14:textId="580495C0" w:rsidR="00DC5EC6" w:rsidRDefault="003245A4">
            <w:pPr>
              <w:pStyle w:val="P68B1DB1-Normal8"/>
              <w:spacing w:after="0" w:line="240" w:lineRule="auto"/>
              <w:jc w:val="center"/>
              <w:rPr>
                <w:rFonts w:eastAsia="Times New Roman" w:cs="Calibri"/>
                <w:noProof/>
              </w:rPr>
            </w:pPr>
            <w:r>
              <w:rPr>
                <w:noProof/>
              </w:rPr>
              <w:t>A figyelemfelhívó kampány megszüntetése</w:t>
            </w:r>
          </w:p>
        </w:tc>
        <w:tc>
          <w:tcPr>
            <w:tcW w:w="971" w:type="dxa"/>
            <w:shd w:val="clear" w:color="auto" w:fill="C4EFCE"/>
            <w:noWrap/>
            <w:vAlign w:val="center"/>
          </w:tcPr>
          <w:p w14:paraId="6AAB0976" w14:textId="77777777" w:rsidR="00DC5EC6" w:rsidRDefault="00DC5EC6">
            <w:pPr>
              <w:spacing w:after="0" w:line="240" w:lineRule="auto"/>
              <w:jc w:val="center"/>
              <w:rPr>
                <w:rFonts w:ascii="Calibri" w:eastAsia="Times New Roman" w:hAnsi="Calibri" w:cs="Calibri"/>
                <w:noProof/>
                <w:sz w:val="16"/>
              </w:rPr>
            </w:pPr>
          </w:p>
        </w:tc>
        <w:tc>
          <w:tcPr>
            <w:tcW w:w="970" w:type="dxa"/>
            <w:shd w:val="clear" w:color="auto" w:fill="C4EFCE"/>
            <w:noWrap/>
            <w:vAlign w:val="center"/>
          </w:tcPr>
          <w:p w14:paraId="3E96ED2D" w14:textId="77777777" w:rsidR="00DC5EC6" w:rsidRDefault="00DC5EC6">
            <w:pPr>
              <w:spacing w:after="0" w:line="240" w:lineRule="auto"/>
              <w:jc w:val="center"/>
              <w:rPr>
                <w:rFonts w:ascii="Calibri" w:eastAsia="Times New Roman" w:hAnsi="Calibri" w:cs="Calibri"/>
                <w:noProof/>
                <w:sz w:val="16"/>
              </w:rPr>
            </w:pPr>
          </w:p>
        </w:tc>
        <w:tc>
          <w:tcPr>
            <w:tcW w:w="603" w:type="dxa"/>
            <w:shd w:val="clear" w:color="auto" w:fill="C4EFCE"/>
            <w:noWrap/>
            <w:vAlign w:val="center"/>
          </w:tcPr>
          <w:p w14:paraId="3F15B41C" w14:textId="77777777" w:rsidR="00DC5EC6" w:rsidRDefault="00DC5EC6">
            <w:pPr>
              <w:spacing w:after="0" w:line="240" w:lineRule="auto"/>
              <w:jc w:val="center"/>
              <w:rPr>
                <w:rFonts w:ascii="Calibri" w:eastAsia="Times New Roman" w:hAnsi="Calibri" w:cs="Calibri"/>
                <w:noProof/>
                <w:sz w:val="16"/>
              </w:rPr>
            </w:pPr>
          </w:p>
        </w:tc>
        <w:tc>
          <w:tcPr>
            <w:tcW w:w="649" w:type="dxa"/>
            <w:shd w:val="clear" w:color="auto" w:fill="C4EFCE"/>
            <w:noWrap/>
            <w:vAlign w:val="center"/>
          </w:tcPr>
          <w:p w14:paraId="3EAB6B11" w14:textId="48F282A8" w:rsidR="00DC5EC6" w:rsidRDefault="008A61BD">
            <w:pPr>
              <w:pStyle w:val="P68B1DB1-Normal8"/>
              <w:spacing w:after="0" w:line="240" w:lineRule="auto"/>
              <w:jc w:val="center"/>
              <w:rPr>
                <w:rFonts w:eastAsia="Times New Roman" w:cs="Calibri"/>
                <w:noProof/>
              </w:rPr>
            </w:pPr>
            <w:r>
              <w:rPr>
                <w:noProof/>
              </w:rPr>
              <w:t>1.</w:t>
            </w:r>
            <w:r w:rsidR="003245A4">
              <w:rPr>
                <w:noProof/>
              </w:rPr>
              <w:t>NEGYEDÉV</w:t>
            </w:r>
          </w:p>
        </w:tc>
        <w:tc>
          <w:tcPr>
            <w:tcW w:w="694" w:type="dxa"/>
            <w:shd w:val="clear" w:color="auto" w:fill="C4EFCE"/>
            <w:noWrap/>
            <w:vAlign w:val="center"/>
          </w:tcPr>
          <w:p w14:paraId="51373D4C" w14:textId="4B225C32" w:rsidR="00DC5EC6" w:rsidRDefault="003245A4">
            <w:pPr>
              <w:pStyle w:val="P68B1DB1-Normal8"/>
              <w:spacing w:after="0" w:line="240" w:lineRule="auto"/>
              <w:jc w:val="center"/>
              <w:rPr>
                <w:rFonts w:eastAsia="Times New Roman" w:cs="Calibri"/>
                <w:noProof/>
              </w:rPr>
            </w:pPr>
            <w:r>
              <w:rPr>
                <w:noProof/>
              </w:rPr>
              <w:t>2024</w:t>
            </w:r>
          </w:p>
        </w:tc>
        <w:tc>
          <w:tcPr>
            <w:tcW w:w="4204" w:type="dxa"/>
            <w:shd w:val="clear" w:color="auto" w:fill="C4EFCE"/>
            <w:vAlign w:val="center"/>
          </w:tcPr>
          <w:p w14:paraId="4F376972" w14:textId="22BF7B73" w:rsidR="00DC5EC6" w:rsidRDefault="003245A4">
            <w:pPr>
              <w:pStyle w:val="P68B1DB1-Normal8"/>
              <w:spacing w:after="0" w:line="240" w:lineRule="auto"/>
              <w:jc w:val="both"/>
              <w:rPr>
                <w:rFonts w:eastAsia="Times New Roman" w:cs="Calibri"/>
                <w:noProof/>
              </w:rPr>
            </w:pPr>
            <w:r>
              <w:rPr>
                <w:noProof/>
              </w:rPr>
              <w:t>Figyelemfelhívó és tájékoztató kampány kidolgozása a „Biztonságos falu” és a „Biztonságos emberek” programok keretében a lakosság kockázatos magatartásának megelőzése érdekében</w:t>
            </w:r>
          </w:p>
        </w:tc>
      </w:tr>
      <w:tr w:rsidR="001F25B1" w14:paraId="238DE77F" w14:textId="77777777">
        <w:trPr>
          <w:trHeight w:val="509"/>
          <w:jc w:val="center"/>
        </w:trPr>
        <w:tc>
          <w:tcPr>
            <w:tcW w:w="1114" w:type="dxa"/>
            <w:shd w:val="clear" w:color="auto" w:fill="C4EFCE"/>
            <w:vAlign w:val="center"/>
            <w:hideMark/>
          </w:tcPr>
          <w:p w14:paraId="47445FAF" w14:textId="77777777" w:rsidR="001F25B1" w:rsidRDefault="001F25B1" w:rsidP="001F25B1">
            <w:pPr>
              <w:pStyle w:val="P68B1DB1-Normal7"/>
              <w:spacing w:after="0" w:line="240" w:lineRule="auto"/>
              <w:jc w:val="center"/>
              <w:rPr>
                <w:rFonts w:eastAsia="Times New Roman" w:cs="Calibri"/>
                <w:noProof/>
              </w:rPr>
            </w:pPr>
            <w:r>
              <w:rPr>
                <w:noProof/>
              </w:rPr>
              <w:t>8.15</w:t>
            </w:r>
          </w:p>
        </w:tc>
        <w:tc>
          <w:tcPr>
            <w:tcW w:w="1245" w:type="dxa"/>
            <w:shd w:val="clear" w:color="auto" w:fill="C4EFCE"/>
            <w:noWrap/>
            <w:vAlign w:val="center"/>
            <w:hideMark/>
          </w:tcPr>
          <w:p w14:paraId="2517A793" w14:textId="77777777" w:rsidR="001F25B1" w:rsidRDefault="001F25B1" w:rsidP="001F25B1">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17847491" w14:textId="77777777" w:rsidR="001F25B1" w:rsidRDefault="001F25B1" w:rsidP="001F25B1">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4F78A110" w14:textId="38D2100B" w:rsidR="001F25B1" w:rsidRDefault="001F25B1" w:rsidP="001F25B1">
            <w:pPr>
              <w:pStyle w:val="P68B1DB1-Normal8"/>
              <w:spacing w:after="0" w:line="240" w:lineRule="auto"/>
              <w:jc w:val="center"/>
              <w:rPr>
                <w:rFonts w:eastAsia="Times New Roman" w:cs="Calibri"/>
                <w:noProof/>
              </w:rPr>
            </w:pPr>
            <w:r>
              <w:rPr>
                <w:noProof/>
              </w:rPr>
              <w:t>A Természetvédelmi és Erdészeti Intézet bevezető jelentésének közzététele, I.P.</w:t>
            </w:r>
          </w:p>
        </w:tc>
        <w:tc>
          <w:tcPr>
            <w:tcW w:w="1244" w:type="dxa"/>
            <w:shd w:val="clear" w:color="auto" w:fill="C4EFCE"/>
            <w:noWrap/>
            <w:vAlign w:val="center"/>
            <w:hideMark/>
          </w:tcPr>
          <w:p w14:paraId="61C7BA1A" w14:textId="00CFABEF" w:rsidR="001F25B1" w:rsidRDefault="001F25B1" w:rsidP="001F25B1">
            <w:pPr>
              <w:pStyle w:val="P68B1DB1-Normal8"/>
              <w:spacing w:after="0" w:line="240" w:lineRule="auto"/>
              <w:jc w:val="center"/>
              <w:rPr>
                <w:rFonts w:eastAsia="Times New Roman" w:cs="Calibri"/>
                <w:noProof/>
              </w:rPr>
            </w:pPr>
            <w:r>
              <w:rPr>
                <w:noProof/>
              </w:rPr>
              <w:t xml:space="preserve"> Jelentés közzététele a Természetvédelmi és Erdészeti Intézet (I.P.), valamint az erdőtulajdonosok szervezetei (OPF) és a kompetenciaközpontok közötti programszerződésekről</w:t>
            </w:r>
          </w:p>
        </w:tc>
        <w:tc>
          <w:tcPr>
            <w:tcW w:w="971" w:type="dxa"/>
            <w:shd w:val="clear" w:color="auto" w:fill="C4EFCE"/>
            <w:noWrap/>
            <w:vAlign w:val="center"/>
            <w:hideMark/>
          </w:tcPr>
          <w:p w14:paraId="463B68BD"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702DE6B6"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BF8BBF8" w14:textId="77777777" w:rsidR="001F25B1" w:rsidRDefault="001F25B1" w:rsidP="001F25B1">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004FE9A5" w14:textId="0C875302" w:rsidR="001F25B1" w:rsidRDefault="001F25B1" w:rsidP="001F25B1">
            <w:pPr>
              <w:pStyle w:val="P68B1DB1-Normal8"/>
              <w:spacing w:after="0" w:line="240" w:lineRule="auto"/>
              <w:jc w:val="center"/>
              <w:rPr>
                <w:rFonts w:eastAsia="Times New Roman" w:cs="Calibri"/>
                <w:noProof/>
              </w:rPr>
            </w:pPr>
            <w:r>
              <w:rPr>
                <w:noProof/>
              </w:rPr>
              <w:t>2. NEGYEDÉV</w:t>
            </w:r>
          </w:p>
        </w:tc>
        <w:tc>
          <w:tcPr>
            <w:tcW w:w="694" w:type="dxa"/>
            <w:shd w:val="clear" w:color="auto" w:fill="C4EFCE"/>
            <w:noWrap/>
            <w:vAlign w:val="center"/>
            <w:hideMark/>
          </w:tcPr>
          <w:p w14:paraId="14C31C89" w14:textId="77777777" w:rsidR="001F25B1" w:rsidRDefault="001F25B1" w:rsidP="001F25B1">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1C2A7317" w14:textId="72498C86" w:rsidR="001F25B1" w:rsidRDefault="001F25B1" w:rsidP="001F25B1">
            <w:pPr>
              <w:pStyle w:val="P68B1DB1-Normal8"/>
              <w:spacing w:after="0" w:line="240" w:lineRule="auto"/>
              <w:jc w:val="both"/>
              <w:rPr>
                <w:rFonts w:eastAsia="Times New Roman" w:cs="Calibri"/>
                <w:noProof/>
              </w:rPr>
            </w:pPr>
            <w:r>
              <w:rPr>
                <w:noProof/>
              </w:rPr>
              <w:t>A jelentés részletesen ismerteti a Természetvédelmi és Erdészeti Intézet (I.P.), valamint az erdőtulajdonosok szervezetei (OPF-ek) és a kompetenciaközpontok közötti programszerződéseket, beleértve az évente elérendő célkitűzésekre és célokra vonatkozó információkat is. Az első jelentést követően a programszerződések végrehajtását és előrehaladását minden félévben közzé kell tenni.</w:t>
            </w:r>
          </w:p>
        </w:tc>
      </w:tr>
      <w:tr w:rsidR="008A61BD" w14:paraId="306EF906" w14:textId="77777777">
        <w:trPr>
          <w:trHeight w:val="2243"/>
          <w:jc w:val="center"/>
        </w:trPr>
        <w:tc>
          <w:tcPr>
            <w:tcW w:w="1114" w:type="dxa"/>
            <w:shd w:val="clear" w:color="auto" w:fill="C4EFCE"/>
            <w:vAlign w:val="center"/>
            <w:hideMark/>
          </w:tcPr>
          <w:p w14:paraId="66DD3540" w14:textId="77777777" w:rsidR="008A61BD" w:rsidRDefault="008A61BD" w:rsidP="008A61BD">
            <w:pPr>
              <w:pStyle w:val="P68B1DB1-Normal7"/>
              <w:spacing w:after="0" w:line="240" w:lineRule="auto"/>
              <w:jc w:val="center"/>
              <w:rPr>
                <w:rFonts w:eastAsia="Times New Roman" w:cs="Calibri"/>
                <w:noProof/>
              </w:rPr>
            </w:pPr>
            <w:r>
              <w:rPr>
                <w:noProof/>
              </w:rPr>
              <w:t>8.16</w:t>
            </w:r>
          </w:p>
        </w:tc>
        <w:tc>
          <w:tcPr>
            <w:tcW w:w="1245" w:type="dxa"/>
            <w:shd w:val="clear" w:color="auto" w:fill="C4EFCE"/>
            <w:noWrap/>
            <w:vAlign w:val="center"/>
            <w:hideMark/>
          </w:tcPr>
          <w:p w14:paraId="4F50D588" w14:textId="77777777" w:rsidR="008A61BD" w:rsidRDefault="008A61BD" w:rsidP="008A61BD">
            <w:pPr>
              <w:pStyle w:val="P68B1DB1-Normal8"/>
              <w:spacing w:after="0" w:line="240" w:lineRule="auto"/>
              <w:jc w:val="center"/>
              <w:rPr>
                <w:rFonts w:eastAsia="Times New Roman" w:cs="Calibri"/>
                <w:noProof/>
              </w:rPr>
            </w:pPr>
            <w:r>
              <w:rPr>
                <w:noProof/>
              </w:rPr>
              <w:t>Újra-C08-i05</w:t>
            </w:r>
          </w:p>
        </w:tc>
        <w:tc>
          <w:tcPr>
            <w:tcW w:w="1107" w:type="dxa"/>
            <w:shd w:val="clear" w:color="auto" w:fill="C4EFCE"/>
            <w:noWrap/>
            <w:vAlign w:val="center"/>
            <w:hideMark/>
          </w:tcPr>
          <w:p w14:paraId="6B1C90DB" w14:textId="77777777" w:rsidR="008A61BD" w:rsidRDefault="008A61BD" w:rsidP="008A61BD">
            <w:pPr>
              <w:pStyle w:val="P68B1DB1-Normal8"/>
              <w:spacing w:after="0" w:line="240" w:lineRule="auto"/>
              <w:jc w:val="center"/>
              <w:rPr>
                <w:rFonts w:eastAsia="Times New Roman" w:cs="Calibri"/>
                <w:noProof/>
              </w:rPr>
            </w:pPr>
            <w:r>
              <w:rPr>
                <w:noProof/>
              </w:rPr>
              <w:t>T</w:t>
            </w:r>
          </w:p>
        </w:tc>
        <w:tc>
          <w:tcPr>
            <w:tcW w:w="1658" w:type="dxa"/>
            <w:shd w:val="clear" w:color="auto" w:fill="C4EFCE"/>
            <w:noWrap/>
            <w:vAlign w:val="center"/>
            <w:hideMark/>
          </w:tcPr>
          <w:p w14:paraId="41EE0237" w14:textId="77777777" w:rsidR="008A61BD" w:rsidRDefault="008A61BD" w:rsidP="008A61BD">
            <w:pPr>
              <w:pStyle w:val="P68B1DB1-Normal8"/>
              <w:spacing w:after="0" w:line="240" w:lineRule="auto"/>
              <w:jc w:val="center"/>
              <w:rPr>
                <w:rFonts w:eastAsia="Times New Roman" w:cs="Calibri"/>
                <w:noProof/>
              </w:rPr>
            </w:pPr>
            <w:r>
              <w:rPr>
                <w:noProof/>
              </w:rPr>
              <w:t xml:space="preserve">Nemzeti képzési program végrehajtása </w:t>
            </w:r>
          </w:p>
        </w:tc>
        <w:tc>
          <w:tcPr>
            <w:tcW w:w="1244" w:type="dxa"/>
            <w:shd w:val="clear" w:color="auto" w:fill="C4EFCE"/>
            <w:noWrap/>
            <w:vAlign w:val="center"/>
            <w:hideMark/>
          </w:tcPr>
          <w:p w14:paraId="62D7DE1B"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1" w:type="dxa"/>
            <w:shd w:val="clear" w:color="auto" w:fill="C4EFCE"/>
            <w:noWrap/>
            <w:vAlign w:val="center"/>
            <w:hideMark/>
          </w:tcPr>
          <w:p w14:paraId="0E70A1C1" w14:textId="77777777" w:rsidR="008A61BD" w:rsidRDefault="008A61BD" w:rsidP="008A61BD">
            <w:pPr>
              <w:pStyle w:val="P68B1DB1-Normal8"/>
              <w:spacing w:after="0" w:line="240" w:lineRule="auto"/>
              <w:jc w:val="center"/>
              <w:rPr>
                <w:rFonts w:eastAsia="Times New Roman" w:cs="Calibri"/>
                <w:noProof/>
              </w:rPr>
            </w:pPr>
            <w:r>
              <w:rPr>
                <w:noProof/>
              </w:rPr>
              <w:t>Szám</w:t>
            </w:r>
          </w:p>
        </w:tc>
        <w:tc>
          <w:tcPr>
            <w:tcW w:w="970" w:type="dxa"/>
            <w:shd w:val="clear" w:color="auto" w:fill="C4EFCE"/>
            <w:noWrap/>
            <w:vAlign w:val="center"/>
            <w:hideMark/>
          </w:tcPr>
          <w:p w14:paraId="11FA2AD4" w14:textId="77777777" w:rsidR="008A61BD" w:rsidRDefault="008A61BD" w:rsidP="008A61BD">
            <w:pPr>
              <w:pStyle w:val="P68B1DB1-Normal8"/>
              <w:spacing w:after="0" w:line="240" w:lineRule="auto"/>
              <w:jc w:val="center"/>
              <w:rPr>
                <w:rFonts w:eastAsia="Times New Roman" w:cs="Calibri"/>
                <w:noProof/>
              </w:rPr>
            </w:pPr>
            <w:r>
              <w:rPr>
                <w:noProof/>
              </w:rPr>
              <w:t>0</w:t>
            </w:r>
          </w:p>
        </w:tc>
        <w:tc>
          <w:tcPr>
            <w:tcW w:w="603" w:type="dxa"/>
            <w:shd w:val="clear" w:color="auto" w:fill="C4EFCE"/>
            <w:noWrap/>
            <w:vAlign w:val="center"/>
            <w:hideMark/>
          </w:tcPr>
          <w:p w14:paraId="4549C5F5" w14:textId="77777777" w:rsidR="008A61BD" w:rsidRDefault="008A61BD" w:rsidP="008A61BD">
            <w:pPr>
              <w:pStyle w:val="P68B1DB1-Normal8"/>
              <w:spacing w:after="0" w:line="240" w:lineRule="auto"/>
              <w:jc w:val="center"/>
              <w:rPr>
                <w:rFonts w:eastAsia="Times New Roman" w:cs="Calibri"/>
                <w:noProof/>
              </w:rPr>
            </w:pPr>
            <w:r>
              <w:rPr>
                <w:noProof/>
              </w:rPr>
              <w:t>150</w:t>
            </w:r>
          </w:p>
        </w:tc>
        <w:tc>
          <w:tcPr>
            <w:tcW w:w="649" w:type="dxa"/>
            <w:shd w:val="clear" w:color="auto" w:fill="C4EFCE"/>
            <w:noWrap/>
            <w:vAlign w:val="center"/>
            <w:hideMark/>
          </w:tcPr>
          <w:p w14:paraId="3A3C11A9" w14:textId="33572AA0"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2D7E4914" w14:textId="77777777" w:rsidR="008A61BD" w:rsidRDefault="008A61BD" w:rsidP="008A61BD">
            <w:pPr>
              <w:pStyle w:val="P68B1DB1-Normal8"/>
              <w:spacing w:after="0" w:line="240" w:lineRule="auto"/>
              <w:jc w:val="center"/>
              <w:rPr>
                <w:rFonts w:eastAsia="Times New Roman" w:cs="Calibri"/>
                <w:noProof/>
              </w:rPr>
            </w:pPr>
            <w:r>
              <w:rPr>
                <w:noProof/>
              </w:rPr>
              <w:t>2025</w:t>
            </w:r>
          </w:p>
        </w:tc>
        <w:tc>
          <w:tcPr>
            <w:tcW w:w="4204" w:type="dxa"/>
            <w:shd w:val="clear" w:color="auto" w:fill="C4EFCE"/>
            <w:vAlign w:val="center"/>
            <w:hideMark/>
          </w:tcPr>
          <w:p w14:paraId="60C63F15" w14:textId="2481ACA9" w:rsidR="008A61BD" w:rsidRDefault="008A61BD" w:rsidP="008A61BD">
            <w:pPr>
              <w:pStyle w:val="P68B1DB1-Normal8"/>
              <w:spacing w:after="0" w:line="240" w:lineRule="auto"/>
              <w:jc w:val="both"/>
              <w:rPr>
                <w:rFonts w:eastAsia="Times New Roman" w:cs="Calibri"/>
                <w:noProof/>
              </w:rPr>
            </w:pPr>
            <w:r>
              <w:rPr>
                <w:noProof/>
              </w:rPr>
              <w:t>Az erdészeti termelői szervezetek 150 technikusának legalább 684 óra időtartamú képzésben kell részesülnie. A képzésnek a következő témákra kell összpontosítania: szervezetirányítás, a vidéki tüzek megelőzése, ellenőrzött tűzmentesítés, növényegészségügy, fenntartható erdőgazdálkodás tanúsítása, erdőterületek multifunkcionalitása, nem fás erdészeti termékek, ökoszisztéma-szolgáltatások díjazása, biológiai sokféleség, erdészeti infrastruktúra, erdészeti projektek, erdőleltár vagy földnyilvántartás.</w:t>
            </w:r>
          </w:p>
        </w:tc>
      </w:tr>
      <w:tr w:rsidR="00DC5EC6" w14:paraId="69BDF293" w14:textId="77777777">
        <w:trPr>
          <w:trHeight w:val="840"/>
          <w:jc w:val="center"/>
        </w:trPr>
        <w:tc>
          <w:tcPr>
            <w:tcW w:w="1114" w:type="dxa"/>
            <w:shd w:val="clear" w:color="auto" w:fill="C4EFCE"/>
            <w:vAlign w:val="center"/>
            <w:hideMark/>
          </w:tcPr>
          <w:p w14:paraId="2C542057" w14:textId="77777777" w:rsidR="00DC5EC6" w:rsidRDefault="003245A4">
            <w:pPr>
              <w:pStyle w:val="P68B1DB1-Normal7"/>
              <w:spacing w:after="0" w:line="240" w:lineRule="auto"/>
              <w:jc w:val="center"/>
              <w:rPr>
                <w:rFonts w:eastAsia="Times New Roman" w:cs="Calibri"/>
                <w:noProof/>
              </w:rPr>
            </w:pPr>
            <w:r>
              <w:rPr>
                <w:noProof/>
              </w:rPr>
              <w:t>8.17</w:t>
            </w:r>
          </w:p>
        </w:tc>
        <w:tc>
          <w:tcPr>
            <w:tcW w:w="1245" w:type="dxa"/>
            <w:shd w:val="clear" w:color="auto" w:fill="C4EFCE"/>
            <w:noWrap/>
            <w:vAlign w:val="center"/>
            <w:hideMark/>
          </w:tcPr>
          <w:p w14:paraId="3269762F" w14:textId="77777777" w:rsidR="00DC5EC6" w:rsidRDefault="003245A4">
            <w:pPr>
              <w:pStyle w:val="P68B1DB1-Normal8"/>
              <w:spacing w:after="0" w:line="240" w:lineRule="auto"/>
              <w:jc w:val="center"/>
              <w:rPr>
                <w:rFonts w:eastAsia="Times New Roman" w:cs="Calibri"/>
                <w:noProof/>
              </w:rPr>
            </w:pPr>
            <w:r>
              <w:rPr>
                <w:noProof/>
              </w:rPr>
              <w:t>Re-C08-r19</w:t>
            </w:r>
          </w:p>
        </w:tc>
        <w:tc>
          <w:tcPr>
            <w:tcW w:w="1107" w:type="dxa"/>
            <w:shd w:val="clear" w:color="auto" w:fill="C4EFCE"/>
            <w:noWrap/>
            <w:vAlign w:val="center"/>
            <w:hideMark/>
          </w:tcPr>
          <w:p w14:paraId="12E7B4FB"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5E16B4BC" w14:textId="77777777" w:rsidR="00DC5EC6" w:rsidRDefault="003245A4">
            <w:pPr>
              <w:pStyle w:val="P68B1DB1-Normal8"/>
              <w:spacing w:after="0" w:line="240" w:lineRule="auto"/>
              <w:jc w:val="center"/>
              <w:rPr>
                <w:rFonts w:eastAsia="Times New Roman" w:cs="Calibri"/>
                <w:noProof/>
              </w:rPr>
            </w:pPr>
            <w:r>
              <w:rPr>
                <w:noProof/>
              </w:rPr>
              <w:t xml:space="preserve">A vidéki földterületek erdészeti területeken történő kötelező birtoklására vonatkozó jogi keret </w:t>
            </w:r>
          </w:p>
        </w:tc>
        <w:tc>
          <w:tcPr>
            <w:tcW w:w="1244" w:type="dxa"/>
            <w:shd w:val="clear" w:color="auto" w:fill="C4EFCE"/>
            <w:noWrap/>
            <w:vAlign w:val="center"/>
            <w:hideMark/>
          </w:tcPr>
          <w:p w14:paraId="7E669474" w14:textId="77777777" w:rsidR="00DC5EC6" w:rsidRDefault="003245A4">
            <w:pPr>
              <w:pStyle w:val="P68B1DB1-Normal8"/>
              <w:spacing w:after="0" w:line="240" w:lineRule="auto"/>
              <w:jc w:val="center"/>
              <w:rPr>
                <w:rFonts w:eastAsia="Times New Roman" w:cs="Calibri"/>
                <w:noProof/>
              </w:rPr>
            </w:pPr>
            <w:r>
              <w:rPr>
                <w:noProof/>
              </w:rPr>
              <w:t>Az erdészeti területeken a vidéki földterületek kötelező birtoklására vonatkozó jogi keret hatálybalépése.</w:t>
            </w:r>
          </w:p>
        </w:tc>
        <w:tc>
          <w:tcPr>
            <w:tcW w:w="971" w:type="dxa"/>
            <w:shd w:val="clear" w:color="auto" w:fill="C4EFCE"/>
            <w:noWrap/>
            <w:vAlign w:val="center"/>
            <w:hideMark/>
          </w:tcPr>
          <w:p w14:paraId="405A1B1B"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5BCEA31D"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154743E"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3FFC26CB" w14:textId="5951C07B"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47692365" w14:textId="77777777" w:rsidR="00DC5EC6" w:rsidRDefault="003245A4">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201F1AD9" w14:textId="77777777" w:rsidR="00DC5EC6" w:rsidRDefault="003245A4">
            <w:pPr>
              <w:pStyle w:val="P68B1DB1-Normal8"/>
              <w:spacing w:after="0" w:line="240" w:lineRule="auto"/>
              <w:jc w:val="both"/>
              <w:rPr>
                <w:rFonts w:eastAsia="Times New Roman" w:cs="Calibri"/>
                <w:noProof/>
              </w:rPr>
            </w:pPr>
            <w:r>
              <w:rPr>
                <w:noProof/>
              </w:rPr>
              <w:t xml:space="preserve">Az erdészeti területeken a vidéki földterületek kötelező birtoklását végrehajtó jogi keret hatálybalépése. A kötelező földbirtoklást kizárólag akkor kell alkalmazni, ha a földtulajdonos nem fejezi ki elkötelezettségét az integrált tájgazdálkodási területre (AIGP) vonatkozó integrált tájgazdálkodási műveletben (OIGP) meghatározott tevékenységek végrehajtása iránt, amennyiben ingatlana található. </w:t>
            </w:r>
          </w:p>
          <w:p w14:paraId="477BB2F7" w14:textId="77777777" w:rsidR="00DC5EC6" w:rsidRDefault="00DC5EC6">
            <w:pPr>
              <w:spacing w:after="0" w:line="240" w:lineRule="auto"/>
              <w:jc w:val="both"/>
              <w:rPr>
                <w:rFonts w:ascii="Calibri" w:eastAsia="Times New Roman" w:hAnsi="Calibri" w:cs="Calibri"/>
                <w:noProof/>
                <w:sz w:val="16"/>
              </w:rPr>
            </w:pPr>
          </w:p>
          <w:p w14:paraId="277FB7E1" w14:textId="6455B7DE" w:rsidR="00DC5EC6" w:rsidRDefault="003245A4">
            <w:pPr>
              <w:pStyle w:val="P68B1DB1-Normal8"/>
              <w:spacing w:after="0" w:line="240" w:lineRule="auto"/>
              <w:jc w:val="both"/>
              <w:rPr>
                <w:rFonts w:eastAsia="Times New Roman" w:cs="Calibri"/>
                <w:noProof/>
              </w:rPr>
            </w:pPr>
            <w:r>
              <w:rPr>
                <w:noProof/>
              </w:rPr>
              <w:t>A november 5-i 68/2020. sz. törvény felhatalmazza a kormányt a 31/2014. (május 30.) törvény módosítására (a föld-, területrendezésre és területrendezésre vonatkozó közrend általános alapjait határozza meg) a kötelező földbirtoklás jogi szabályozásának jóváhagyása érdekében.</w:t>
            </w:r>
          </w:p>
        </w:tc>
      </w:tr>
      <w:tr w:rsidR="008A61BD" w14:paraId="233038E2" w14:textId="77777777">
        <w:trPr>
          <w:trHeight w:val="2388"/>
          <w:jc w:val="center"/>
        </w:trPr>
        <w:tc>
          <w:tcPr>
            <w:tcW w:w="1114" w:type="dxa"/>
            <w:shd w:val="clear" w:color="auto" w:fill="C4EFCE"/>
            <w:vAlign w:val="center"/>
            <w:hideMark/>
          </w:tcPr>
          <w:p w14:paraId="0E2ACB3B" w14:textId="77777777" w:rsidR="008A61BD" w:rsidRDefault="008A61BD" w:rsidP="008A61BD">
            <w:pPr>
              <w:pStyle w:val="P68B1DB1-Normal7"/>
              <w:spacing w:after="0" w:line="240" w:lineRule="auto"/>
              <w:jc w:val="center"/>
              <w:rPr>
                <w:rFonts w:eastAsia="Times New Roman" w:cs="Calibri"/>
                <w:noProof/>
              </w:rPr>
            </w:pPr>
            <w:r>
              <w:rPr>
                <w:noProof/>
              </w:rPr>
              <w:t>8.18</w:t>
            </w:r>
          </w:p>
        </w:tc>
        <w:tc>
          <w:tcPr>
            <w:tcW w:w="1245" w:type="dxa"/>
            <w:shd w:val="clear" w:color="auto" w:fill="C4EFCE"/>
            <w:noWrap/>
            <w:vAlign w:val="center"/>
            <w:hideMark/>
          </w:tcPr>
          <w:p w14:paraId="1AC3438B" w14:textId="77777777" w:rsidR="008A61BD" w:rsidRDefault="008A61BD" w:rsidP="008A61BD">
            <w:pPr>
              <w:pStyle w:val="P68B1DB1-Normal8"/>
              <w:spacing w:after="0" w:line="240" w:lineRule="auto"/>
              <w:jc w:val="center"/>
              <w:rPr>
                <w:rFonts w:eastAsia="Times New Roman" w:cs="Calibri"/>
                <w:noProof/>
              </w:rPr>
            </w:pPr>
            <w:r>
              <w:rPr>
                <w:noProof/>
              </w:rPr>
              <w:t>Re-C08-r20</w:t>
            </w:r>
          </w:p>
        </w:tc>
        <w:tc>
          <w:tcPr>
            <w:tcW w:w="1107" w:type="dxa"/>
            <w:shd w:val="clear" w:color="auto" w:fill="C4EFCE"/>
            <w:noWrap/>
            <w:vAlign w:val="center"/>
            <w:hideMark/>
          </w:tcPr>
          <w:p w14:paraId="5002EC4F" w14:textId="77777777" w:rsidR="008A61BD" w:rsidRDefault="008A61BD" w:rsidP="008A61BD">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1B30711D" w14:textId="77777777" w:rsidR="008A61BD" w:rsidRDefault="008A61BD" w:rsidP="008A61BD">
            <w:pPr>
              <w:pStyle w:val="P68B1DB1-Normal8"/>
              <w:spacing w:after="0" w:line="240" w:lineRule="auto"/>
              <w:jc w:val="center"/>
              <w:rPr>
                <w:rFonts w:eastAsia="Times New Roman" w:cs="Calibri"/>
                <w:noProof/>
              </w:rPr>
            </w:pPr>
            <w:r>
              <w:rPr>
                <w:noProof/>
              </w:rPr>
              <w:t>Felszínborítás-ellenőrző rendszer (SMOS)</w:t>
            </w:r>
          </w:p>
        </w:tc>
        <w:tc>
          <w:tcPr>
            <w:tcW w:w="1244" w:type="dxa"/>
            <w:shd w:val="clear" w:color="auto" w:fill="C4EFCE"/>
            <w:noWrap/>
            <w:vAlign w:val="center"/>
            <w:hideMark/>
          </w:tcPr>
          <w:p w14:paraId="2C7013EB" w14:textId="1DC9A7AA" w:rsidR="008A61BD" w:rsidRDefault="008A61BD" w:rsidP="008A61BD">
            <w:pPr>
              <w:pStyle w:val="P68B1DB1-Normal8"/>
              <w:spacing w:after="0" w:line="240" w:lineRule="auto"/>
              <w:jc w:val="center"/>
              <w:rPr>
                <w:rFonts w:eastAsia="Times New Roman" w:cs="Calibri"/>
                <w:noProof/>
              </w:rPr>
            </w:pPr>
            <w:r>
              <w:rPr>
                <w:noProof/>
              </w:rPr>
              <w:t>A felszínborítás-ellenőrző rendszer (SMOS) üzembe helyezése</w:t>
            </w:r>
          </w:p>
        </w:tc>
        <w:tc>
          <w:tcPr>
            <w:tcW w:w="971" w:type="dxa"/>
            <w:shd w:val="clear" w:color="auto" w:fill="C4EFCE"/>
            <w:noWrap/>
            <w:vAlign w:val="center"/>
            <w:hideMark/>
          </w:tcPr>
          <w:p w14:paraId="62B8E28E"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69D846A9"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291BC2DF" w14:textId="77777777" w:rsidR="008A61BD" w:rsidRDefault="008A61BD" w:rsidP="008A61BD">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290FBA0F" w14:textId="460CC5F0" w:rsidR="008A61BD" w:rsidRDefault="008A61BD" w:rsidP="008A61BD">
            <w:pPr>
              <w:pStyle w:val="P68B1DB1-Normal8"/>
              <w:spacing w:after="0" w:line="240" w:lineRule="auto"/>
              <w:jc w:val="center"/>
              <w:rPr>
                <w:rFonts w:eastAsia="Times New Roman" w:cs="Calibri"/>
                <w:noProof/>
              </w:rPr>
            </w:pPr>
            <w:r>
              <w:rPr>
                <w:noProof/>
              </w:rPr>
              <w:t>4. NEGYEDÉV</w:t>
            </w:r>
          </w:p>
        </w:tc>
        <w:tc>
          <w:tcPr>
            <w:tcW w:w="694" w:type="dxa"/>
            <w:shd w:val="clear" w:color="auto" w:fill="C4EFCE"/>
            <w:noWrap/>
            <w:vAlign w:val="center"/>
            <w:hideMark/>
          </w:tcPr>
          <w:p w14:paraId="5B618B25" w14:textId="77777777" w:rsidR="008A61BD" w:rsidRDefault="008A61BD" w:rsidP="008A61BD">
            <w:pPr>
              <w:pStyle w:val="P68B1DB1-Normal8"/>
              <w:spacing w:after="0" w:line="240" w:lineRule="auto"/>
              <w:jc w:val="center"/>
              <w:rPr>
                <w:rFonts w:eastAsia="Times New Roman" w:cs="Calibri"/>
                <w:noProof/>
              </w:rPr>
            </w:pPr>
            <w:r>
              <w:rPr>
                <w:noProof/>
              </w:rPr>
              <w:t>2022</w:t>
            </w:r>
          </w:p>
        </w:tc>
        <w:tc>
          <w:tcPr>
            <w:tcW w:w="4204" w:type="dxa"/>
            <w:shd w:val="clear" w:color="auto" w:fill="C4EFCE"/>
            <w:vAlign w:val="center"/>
            <w:hideMark/>
          </w:tcPr>
          <w:p w14:paraId="4823DF09" w14:textId="7F190947" w:rsidR="008A61BD" w:rsidRDefault="008A61BD" w:rsidP="008A61BD">
            <w:pPr>
              <w:pStyle w:val="P68B1DB1-Normal8"/>
              <w:spacing w:after="0" w:line="240" w:lineRule="auto"/>
              <w:jc w:val="both"/>
              <w:rPr>
                <w:rFonts w:eastAsia="Times New Roman" w:cs="Calibri"/>
                <w:noProof/>
              </w:rPr>
            </w:pPr>
            <w:r>
              <w:rPr>
                <w:noProof/>
              </w:rPr>
              <w:t xml:space="preserve">A felszínborítás-megfigyelési rendszer (SMOS) üzembe helyezése, amely magában foglalja a LiDAR Coverage-t, a digitális terepmodellt, a termény- és növényzetmodellt, a növényeket és a vegetációtérképeket, a felszínborítási térképeket és a műholdas képborítást. </w:t>
            </w:r>
          </w:p>
        </w:tc>
      </w:tr>
      <w:tr w:rsidR="00DC5EC6" w14:paraId="538F72C3" w14:textId="77777777">
        <w:trPr>
          <w:trHeight w:val="3977"/>
          <w:jc w:val="center"/>
        </w:trPr>
        <w:tc>
          <w:tcPr>
            <w:tcW w:w="1114" w:type="dxa"/>
            <w:shd w:val="clear" w:color="auto" w:fill="C4EFCE"/>
            <w:vAlign w:val="center"/>
            <w:hideMark/>
          </w:tcPr>
          <w:p w14:paraId="0C02FD10" w14:textId="77777777" w:rsidR="00DC5EC6" w:rsidRDefault="003245A4">
            <w:pPr>
              <w:pStyle w:val="P68B1DB1-Normal7"/>
              <w:spacing w:after="0" w:line="240" w:lineRule="auto"/>
              <w:jc w:val="center"/>
              <w:rPr>
                <w:rFonts w:eastAsia="Times New Roman" w:cs="Calibri"/>
                <w:noProof/>
              </w:rPr>
            </w:pPr>
            <w:r>
              <w:rPr>
                <w:noProof/>
              </w:rPr>
              <w:t>8.19</w:t>
            </w:r>
          </w:p>
        </w:tc>
        <w:tc>
          <w:tcPr>
            <w:tcW w:w="1245" w:type="dxa"/>
            <w:shd w:val="clear" w:color="auto" w:fill="C4EFCE"/>
            <w:noWrap/>
            <w:vAlign w:val="center"/>
            <w:hideMark/>
          </w:tcPr>
          <w:p w14:paraId="69B302CF" w14:textId="77777777" w:rsidR="00DC5EC6" w:rsidRDefault="003245A4">
            <w:pPr>
              <w:pStyle w:val="P68B1DB1-Normal8"/>
              <w:spacing w:after="0" w:line="240" w:lineRule="auto"/>
              <w:jc w:val="center"/>
              <w:rPr>
                <w:rFonts w:eastAsia="Times New Roman" w:cs="Calibri"/>
                <w:noProof/>
              </w:rPr>
            </w:pPr>
            <w:r>
              <w:rPr>
                <w:noProof/>
              </w:rPr>
              <w:t>Re-C08-r21</w:t>
            </w:r>
          </w:p>
        </w:tc>
        <w:tc>
          <w:tcPr>
            <w:tcW w:w="1107" w:type="dxa"/>
            <w:shd w:val="clear" w:color="auto" w:fill="C4EFCE"/>
            <w:noWrap/>
            <w:vAlign w:val="center"/>
            <w:hideMark/>
          </w:tcPr>
          <w:p w14:paraId="137FC1A7" w14:textId="77777777" w:rsidR="00DC5EC6" w:rsidRDefault="003245A4">
            <w:pPr>
              <w:pStyle w:val="P68B1DB1-Normal8"/>
              <w:spacing w:after="0" w:line="240" w:lineRule="auto"/>
              <w:jc w:val="center"/>
              <w:rPr>
                <w:rFonts w:eastAsia="Times New Roman" w:cs="Calibri"/>
                <w:noProof/>
              </w:rPr>
            </w:pPr>
            <w:r>
              <w:rPr>
                <w:noProof/>
              </w:rPr>
              <w:t>M</w:t>
            </w:r>
          </w:p>
        </w:tc>
        <w:tc>
          <w:tcPr>
            <w:tcW w:w="1658" w:type="dxa"/>
            <w:shd w:val="clear" w:color="auto" w:fill="C4EFCE"/>
            <w:noWrap/>
            <w:vAlign w:val="center"/>
            <w:hideMark/>
          </w:tcPr>
          <w:p w14:paraId="2734E036" w14:textId="77777777" w:rsidR="00DC5EC6" w:rsidRDefault="003245A4">
            <w:pPr>
              <w:pStyle w:val="P68B1DB1-Normal8"/>
              <w:spacing w:after="0" w:line="240" w:lineRule="auto"/>
              <w:jc w:val="center"/>
              <w:rPr>
                <w:rFonts w:eastAsia="Times New Roman" w:cs="Calibri"/>
                <w:noProof/>
              </w:rPr>
            </w:pPr>
            <w:r>
              <w:rPr>
                <w:noProof/>
              </w:rPr>
              <w:t>A vidéki tűzvészek integrált irányítási rendszerének létrehozásáról szóló törvény (SGIFR)</w:t>
            </w:r>
          </w:p>
        </w:tc>
        <w:tc>
          <w:tcPr>
            <w:tcW w:w="1244" w:type="dxa"/>
            <w:shd w:val="clear" w:color="auto" w:fill="C4EFCE"/>
            <w:noWrap/>
            <w:vAlign w:val="center"/>
            <w:hideMark/>
          </w:tcPr>
          <w:p w14:paraId="328A4877" w14:textId="77777777" w:rsidR="00DC5EC6" w:rsidRDefault="003245A4">
            <w:pPr>
              <w:pStyle w:val="P68B1DB1-Normal8"/>
              <w:spacing w:after="0" w:line="240" w:lineRule="auto"/>
              <w:jc w:val="center"/>
              <w:rPr>
                <w:rFonts w:eastAsia="Times New Roman" w:cs="Calibri"/>
                <w:noProof/>
              </w:rPr>
            </w:pPr>
            <w:r>
              <w:rPr>
                <w:noProof/>
              </w:rPr>
              <w:t>A vidéki tűzvészek integrált irányítási rendszerének (SIGIFR) létrehozásáról és működési szabályairól szóló törvény hatálybalépése.</w:t>
            </w:r>
          </w:p>
        </w:tc>
        <w:tc>
          <w:tcPr>
            <w:tcW w:w="971" w:type="dxa"/>
            <w:shd w:val="clear" w:color="auto" w:fill="C4EFCE"/>
            <w:noWrap/>
            <w:vAlign w:val="center"/>
            <w:hideMark/>
          </w:tcPr>
          <w:p w14:paraId="7E0AD6B1" w14:textId="77777777" w:rsidR="00DC5EC6" w:rsidRDefault="003245A4">
            <w:pPr>
              <w:pStyle w:val="P68B1DB1-Normal8"/>
              <w:spacing w:after="0" w:line="240" w:lineRule="auto"/>
              <w:jc w:val="center"/>
              <w:rPr>
                <w:rFonts w:eastAsia="Times New Roman" w:cs="Calibri"/>
                <w:noProof/>
              </w:rPr>
            </w:pPr>
            <w:r>
              <w:rPr>
                <w:noProof/>
              </w:rPr>
              <w:t> </w:t>
            </w:r>
          </w:p>
        </w:tc>
        <w:tc>
          <w:tcPr>
            <w:tcW w:w="970" w:type="dxa"/>
            <w:shd w:val="clear" w:color="auto" w:fill="C4EFCE"/>
            <w:noWrap/>
            <w:vAlign w:val="center"/>
            <w:hideMark/>
          </w:tcPr>
          <w:p w14:paraId="00DB3FDD" w14:textId="77777777" w:rsidR="00DC5EC6" w:rsidRDefault="003245A4">
            <w:pPr>
              <w:pStyle w:val="P68B1DB1-Normal8"/>
              <w:spacing w:after="0" w:line="240" w:lineRule="auto"/>
              <w:jc w:val="center"/>
              <w:rPr>
                <w:rFonts w:eastAsia="Times New Roman" w:cs="Calibri"/>
                <w:noProof/>
              </w:rPr>
            </w:pPr>
            <w:r>
              <w:rPr>
                <w:noProof/>
              </w:rPr>
              <w:t> </w:t>
            </w:r>
          </w:p>
        </w:tc>
        <w:tc>
          <w:tcPr>
            <w:tcW w:w="603" w:type="dxa"/>
            <w:shd w:val="clear" w:color="auto" w:fill="C4EFCE"/>
            <w:noWrap/>
            <w:vAlign w:val="center"/>
            <w:hideMark/>
          </w:tcPr>
          <w:p w14:paraId="762DA2A0" w14:textId="77777777" w:rsidR="00DC5EC6" w:rsidRDefault="003245A4">
            <w:pPr>
              <w:pStyle w:val="P68B1DB1-Normal8"/>
              <w:spacing w:after="0" w:line="240" w:lineRule="auto"/>
              <w:jc w:val="center"/>
              <w:rPr>
                <w:rFonts w:eastAsia="Times New Roman" w:cs="Calibri"/>
                <w:noProof/>
              </w:rPr>
            </w:pPr>
            <w:r>
              <w:rPr>
                <w:noProof/>
              </w:rPr>
              <w:t> </w:t>
            </w:r>
          </w:p>
        </w:tc>
        <w:tc>
          <w:tcPr>
            <w:tcW w:w="649" w:type="dxa"/>
            <w:shd w:val="clear" w:color="auto" w:fill="C4EFCE"/>
            <w:noWrap/>
            <w:vAlign w:val="center"/>
            <w:hideMark/>
          </w:tcPr>
          <w:p w14:paraId="4FC4CDCF" w14:textId="69DEF547" w:rsidR="00DC5EC6" w:rsidRDefault="008A61BD">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94" w:type="dxa"/>
            <w:shd w:val="clear" w:color="auto" w:fill="C4EFCE"/>
            <w:noWrap/>
            <w:vAlign w:val="center"/>
            <w:hideMark/>
          </w:tcPr>
          <w:p w14:paraId="4C1862FA" w14:textId="77777777" w:rsidR="00DC5EC6" w:rsidRDefault="003245A4">
            <w:pPr>
              <w:pStyle w:val="P68B1DB1-Normal8"/>
              <w:spacing w:after="0" w:line="240" w:lineRule="auto"/>
              <w:jc w:val="center"/>
              <w:rPr>
                <w:rFonts w:eastAsia="Times New Roman" w:cs="Calibri"/>
                <w:noProof/>
              </w:rPr>
            </w:pPr>
            <w:r>
              <w:rPr>
                <w:noProof/>
              </w:rPr>
              <w:t>2021</w:t>
            </w:r>
          </w:p>
        </w:tc>
        <w:tc>
          <w:tcPr>
            <w:tcW w:w="4204" w:type="dxa"/>
            <w:shd w:val="clear" w:color="auto" w:fill="C4EFCE"/>
            <w:vAlign w:val="center"/>
            <w:hideMark/>
          </w:tcPr>
          <w:p w14:paraId="1830D13D" w14:textId="77777777" w:rsidR="00DC5EC6" w:rsidRDefault="003245A4">
            <w:pPr>
              <w:pStyle w:val="P68B1DB1-Normal8"/>
              <w:spacing w:after="0" w:line="240" w:lineRule="auto"/>
              <w:jc w:val="both"/>
              <w:rPr>
                <w:rFonts w:eastAsia="Times New Roman" w:cs="Calibri"/>
                <w:noProof/>
              </w:rPr>
            </w:pPr>
            <w:r>
              <w:rPr>
                <w:noProof/>
              </w:rPr>
              <w:t xml:space="preserve">A vidéki tüzek integrált irányítási rendszere (SGIFR) nemzeti szinten makropolitikákat és stratégiai iránymutatásokat tartalmaz, amelyek hozzájárulnak a vidéki tüzek kockázatának csökkentéséhez, valamint a vidéki területek tulajdonosai, felhasználói, valamint közvetlen és közvetett kedvezményezettjei magatartásának megváltoztatásához. A rendszer minisztériumok közötti koordinációs modelleket határoz meg, meghatározva a SIGIFR-en belüli egyes szervezetek hatásköreit és tevékenységi körét. </w:t>
            </w:r>
          </w:p>
          <w:p w14:paraId="5E99F66C" w14:textId="3F1EB5CA" w:rsidR="00DC5EC6" w:rsidRDefault="003245A4">
            <w:pPr>
              <w:pStyle w:val="P68B1DB1-Normal8"/>
              <w:spacing w:after="0" w:line="240" w:lineRule="auto"/>
              <w:jc w:val="both"/>
              <w:rPr>
                <w:rFonts w:eastAsia="Times New Roman" w:cs="Calibri"/>
                <w:noProof/>
              </w:rPr>
            </w:pPr>
            <w:r>
              <w:rPr>
                <w:noProof/>
              </w:rPr>
              <w:t>Meghatározza az integrált vidéki tűzvédelmi tervezés különböző eszközeinek tartalmát nemzeti, regionális, szubregionális és települési szinten. Vidéki tűzvédelmi információs rendszert hoznak létre a SIGIFR-ből származó valamennyi releváns műszaki információ összesítése és terjesztése érdekében, és egyértelmű kötelezettségvállalás van egy kockázatmegelőzésen és -minimalizáláson alapuló modell meghatározása iránt, akár figyelemfelhívó tevékenységek, akár regionális védelmi hálózatok létrehozása révén, amelyben az üzemanyag-gazdálkodás vezető szerepet játszik a szankciórendszerben. Végül meghatározza az irányítás, a nyomon követés és az értékelés modelljét, amely hozzájárul a közpolitikák és -programok folyamatos javításához.</w:t>
            </w:r>
          </w:p>
        </w:tc>
      </w:tr>
    </w:tbl>
    <w:p w14:paraId="57422AFC"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49777E8"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174"/>
          <w:headerReference w:type="default" r:id="rId175"/>
          <w:footerReference w:type="even" r:id="rId176"/>
          <w:footerReference w:type="default" r:id="rId177"/>
          <w:headerReference w:type="first" r:id="rId178"/>
          <w:footerReference w:type="first" r:id="rId179"/>
          <w:pgSz w:w="16839" w:h="11907" w:orient="landscape"/>
          <w:pgMar w:top="1134" w:right="1134" w:bottom="1134" w:left="1134" w:header="567" w:footer="567" w:gutter="0"/>
          <w:cols w:space="720"/>
          <w:docGrid w:linePitch="360"/>
        </w:sectPr>
      </w:pPr>
    </w:p>
    <w:p w14:paraId="31DFC5DD" w14:textId="3E51059A"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I. 9. </w:t>
      </w:r>
      <w:r w:rsidR="00342815">
        <w:rPr>
          <w:noProof/>
        </w:rPr>
        <w:t>KOMPONENS</w:t>
      </w:r>
      <w:r>
        <w:rPr>
          <w:noProof/>
        </w:rPr>
        <w:t>: Vízgazdálkodás</w:t>
      </w:r>
    </w:p>
    <w:p w14:paraId="70B68D2B" w14:textId="77777777" w:rsidR="00DC5EC6" w:rsidRDefault="003245A4">
      <w:pPr>
        <w:pStyle w:val="P68B1DB1-Normal4"/>
        <w:keepNext/>
        <w:spacing w:before="40" w:after="0" w:line="259" w:lineRule="auto"/>
        <w:jc w:val="both"/>
        <w:rPr>
          <w:rFonts w:eastAsiaTheme="minorEastAsia" w:cs="Times New Roman"/>
          <w:i/>
          <w:noProof/>
        </w:rPr>
      </w:pPr>
      <w:r>
        <w:rPr>
          <w:noProof/>
        </w:rPr>
        <w:t>A komponens a következő kihívásokkal foglalkozik: a vízellátást biztosító tárolórendszerekre nehezedő nagy nyomás kezelése és a vízhatékonyság javítása a várható éves csapadékcsökkenés, az aszályok nagyobb gyakorisága, a szezonalitás és a vízszivárgás növekedése által okozott korlátok ellensúlyozása érdekében</w:t>
      </w:r>
    </w:p>
    <w:p w14:paraId="26529B5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vízhiány enyhítése, valamint a legnagyobb aszályproblémával küzdő és az Algarve, Alentejo és Madeira vízellátását biztosító hatékony beavatkozást igénylő régiók ellenálló képességének biztosítása. </w:t>
      </w:r>
    </w:p>
    <w:p w14:paraId="4A1D2D18" w14:textId="77777777" w:rsidR="00DC5EC6" w:rsidRDefault="003245A4">
      <w:pPr>
        <w:pStyle w:val="P68B1DB1-Normal4"/>
        <w:keepNext/>
        <w:spacing w:before="40" w:after="0" w:line="259" w:lineRule="auto"/>
        <w:jc w:val="both"/>
        <w:rPr>
          <w:rFonts w:eastAsiaTheme="minorEastAsia" w:cs="Times New Roman"/>
          <w:noProof/>
        </w:rPr>
      </w:pPr>
      <w:r>
        <w:rPr>
          <w:noProof/>
        </w:rPr>
        <w:t>A vízzel szembeni ellenálló képesség növelése kiemelkedő fontosságú e három régió fejlődése szempontjából, ami az idegenforgalom és az ökoszisztémák (különösen Algarve és Madeira), a mezőgazdaság (Alentejo és Madeira), a gazdasági tevékenységek átalakítása (Alentejo) és az öntözési szükségletek és az emberi fogyasztás (Madeira) együttes nyomásának való megfelelés szempontjából is alapvető fontosságú.</w:t>
      </w:r>
    </w:p>
    <w:p w14:paraId="5C57D42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hozzájárul az éghajlatvédelmi átállással kapcsolatos beruházásokról szóló országspecifikus ajánlás (2020. évi 3. országspecifikus ajánlás) megvalósításához. </w:t>
      </w:r>
    </w:p>
    <w:p w14:paraId="30738FC0"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 xml:space="preserve">I.1. </w:t>
      </w:r>
      <w:r>
        <w:rPr>
          <w:noProof/>
        </w:rPr>
        <w:tab/>
        <w:t>Vissza nem térítendő pénzügyi támogatás – a reformok és beruházások ismertetése</w:t>
      </w:r>
    </w:p>
    <w:p w14:paraId="5C5E8493"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RE-C09-i01 beruházás: Algarve vízhatékonysági regionális terv</w:t>
      </w:r>
    </w:p>
    <w:p w14:paraId="3110F4B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hogy választ adjon az algarvei vízhiányra, amely az éghajlatváltozás miatt tovább súlyosbodik. Válaszra van szükség a gazdasági tevékenység folytatásához és fejlesztéséhez, valamint az algarvei gazdaság diverzifikációjához. </w:t>
      </w:r>
    </w:p>
    <w:p w14:paraId="7288C6E0" w14:textId="77777777" w:rsidR="00DC5EC6" w:rsidRDefault="003245A4">
      <w:pPr>
        <w:pStyle w:val="P68B1DB1-Normal4"/>
        <w:keepNext/>
        <w:spacing w:before="40" w:after="0" w:line="259" w:lineRule="auto"/>
        <w:jc w:val="both"/>
        <w:rPr>
          <w:rFonts w:eastAsiaTheme="minorEastAsia" w:cs="Times New Roman"/>
          <w:noProof/>
        </w:rPr>
      </w:pPr>
      <w:r>
        <w:rPr>
          <w:noProof/>
        </w:rPr>
        <w:t>A beruházásnak olyan intézkedésekből kell állnia, amelyek hatékonyabb öntözési technológiák révén csökkentik Algarve városi és mezőgazdasági ágazatában a vízveszteséget, valamint előmozdítják a kezelt szennyvíz újrafelhasználását. Az ellátás szintjén az intézkedéseknek mérlegelniük kell a meglévő kapacitás kihasználását és a meglévő tározók ellenálló képességének javítását azáltal, hogy növelik az Odeleite-tározóba irányuló beáramlást a Guadiana folyón történő vízkivétel, a stratégiai tartalékok megerősítése és sótalanító telepítése révén. Ezeknek az új vízforrásoknak ki kell egészíteniük a meglévő felhasználást az éghajlatváltozás előre látható hatásaival való szembenézés érdekében. Emellett a nyomon követés, az engedélyezés és a végrehajtás fokozását célzó intézkedéseket is tartalmaz.</w:t>
      </w:r>
    </w:p>
    <w:p w14:paraId="04427AA3" w14:textId="77777777" w:rsidR="00DC5EC6" w:rsidRDefault="003245A4">
      <w:pPr>
        <w:pStyle w:val="P68B1DB1-Normal4"/>
        <w:keepNext/>
        <w:spacing w:before="40" w:after="0" w:line="259" w:lineRule="auto"/>
        <w:jc w:val="both"/>
        <w:rPr>
          <w:rFonts w:eastAsiaTheme="minorEastAsia" w:cs="Times New Roman"/>
          <w:noProof/>
        </w:rPr>
      </w:pPr>
      <w:r>
        <w:rPr>
          <w:noProof/>
        </w:rPr>
        <w:t>Ez az intézkedés várhatóan nem sérti jelentősen az (EU) 2020/852 rendelet 17. cikke értelmében vett környezeti célkitűzéseket, figyelembe véve az intézkedés leírását és a helyreállítási és rezilienciaépítési tervben a DNSH technikai iránymutatással (2021/C58/01) összhangban meghatározott enyhítő lépéseket, valamint a Portugália által teljesítendő mérföldköveket és célokat. Minden olyan projektet, amely valószínűleg jelentős hatást gyakorol a környezetre, környezeti hatásvizsgálatnak (KHV) kell alávetni, amelyet az egyes köz- és magánprojektek környezetre gyakorolt hatásainak vizsgálatáról szóló, 2011. december 13-i 2011/92/EU európai parlamenti és tanácsi irányelvvel, valamint a vízpolitika terén a közösségi fellépés kereteinek meghatározásáról szóló 2000/60/EK európai parlamenti és tanácsi irányelvvel, vagy röviden az uniós vízügyi keretirányelvvel összefüggésben kell elvégezni, beleértve a szükséges mérséklési intézkedések végrehajtását, biztosítva a DNSH technikai iránymutatásnak (2021/C58/01) való megfelelést. 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w:t>
      </w:r>
    </w:p>
    <w:p w14:paraId="05676B0D" w14:textId="77777777" w:rsidR="00DC5EC6" w:rsidRDefault="003245A4">
      <w:pPr>
        <w:pStyle w:val="P68B1DB1-Normal17"/>
        <w:keepNext/>
        <w:autoSpaceDE w:val="0"/>
        <w:autoSpaceDN w:val="0"/>
        <w:spacing w:before="40" w:after="40" w:line="240" w:lineRule="auto"/>
        <w:jc w:val="both"/>
        <w:rPr>
          <w:rFonts w:ascii="Times New Roman" w:eastAsia="Times New Roman" w:hAnsi="Times New Roman" w:cs="Times New Roman"/>
          <w:noProof/>
        </w:rPr>
      </w:pPr>
      <w:r>
        <w:rPr>
          <w:rFonts w:ascii="Times New Roman" w:hAnsi="Times New Roman"/>
          <w:noProof/>
        </w:rPr>
        <w:t>Vízkivétel esetén az illetékes hatóság a 2000/60/EK víz-keretirányelv követelményeivel összhangban megfelelő engedélyt ad ki, amelyben meghatározza az állapotromlás elkerülésére és annak biztosítására vonatkozó feltételeket, hogy az érintett víztestek jó ökológiai állapotban maradjanak.</w:t>
      </w:r>
      <w:r>
        <w:rPr>
          <w:rFonts w:ascii="Segoe UI" w:hAnsi="Segoe UI"/>
          <w:noProof/>
        </w:rPr>
        <w:t xml:space="preserve"> </w:t>
      </w:r>
    </w:p>
    <w:p w14:paraId="6B828F29" w14:textId="6F5CF201" w:rsidR="00DC5EC6" w:rsidRDefault="003245A4">
      <w:pPr>
        <w:pStyle w:val="P68B1DB1-Normal4"/>
        <w:keepNext/>
        <w:autoSpaceDE w:val="0"/>
        <w:autoSpaceDN w:val="0"/>
        <w:spacing w:before="40" w:after="40" w:line="240" w:lineRule="auto"/>
        <w:jc w:val="both"/>
        <w:rPr>
          <w:rFonts w:eastAsiaTheme="minorEastAsia" w:cs="Times New Roman"/>
          <w:noProof/>
        </w:rPr>
      </w:pPr>
      <w:r>
        <w:rPr>
          <w:noProof/>
        </w:rPr>
        <w:t>A beruházás végrehajtását 2026. június 30-ig be kell fejezni.</w:t>
      </w:r>
    </w:p>
    <w:p w14:paraId="0ABB1601" w14:textId="221BFC68"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RE-C09–i02 beruházás: A Crato hidraulikus többcélú vállalata, tervezési szakasz</w:t>
      </w:r>
    </w:p>
    <w:p w14:paraId="5CCA52C3" w14:textId="77777777" w:rsidR="00DC5EC6" w:rsidRDefault="003245A4">
      <w:pPr>
        <w:pStyle w:val="P68B1DB1-Normal4"/>
        <w:keepNext/>
        <w:spacing w:before="40" w:after="0" w:line="259" w:lineRule="auto"/>
        <w:jc w:val="both"/>
        <w:rPr>
          <w:rFonts w:eastAsia="Times New Roman" w:cs="Times New Roman"/>
          <w:noProof/>
        </w:rPr>
      </w:pPr>
      <w:r>
        <w:rPr>
          <w:noProof/>
        </w:rPr>
        <w:t xml:space="preserve">Ezen intézkedés célja az ivóvízellátás biztosítása, a régió elsivatagosodásának megakadályozása, a mezőgazdaság diverzifikálása és a térség energiatermelésének átalakításához való hozzájárulás. Az intézkedés a következő lépésekből áll: gát építése a Crato-völgyben az emberi fogyasztásra és a mezőgazdasági átalakításra szánt víz biztosítása érdekében, előnyben részesítve az úszó fotovoltaikus panelek telepítését (amelyeket a Helyreállítási és Rezilienciaépítési Eszközön kívüli eszközökkel szerelnek fel a víztükröbe) és a tervezett minivízerőműből autonóm módon történő villamosenergia-termeléshez. </w:t>
      </w:r>
    </w:p>
    <w:p w14:paraId="07D1FD53" w14:textId="0A00FDE9" w:rsidR="00DC5EC6" w:rsidRDefault="003245A4">
      <w:pPr>
        <w:pStyle w:val="P68B1DB1-Normal4"/>
        <w:keepNext/>
        <w:spacing w:before="40" w:after="0" w:line="259" w:lineRule="auto"/>
        <w:jc w:val="both"/>
        <w:rPr>
          <w:rFonts w:eastAsiaTheme="minorEastAsia" w:cs="Times New Roman"/>
          <w:noProof/>
        </w:rPr>
      </w:pPr>
      <w:r>
        <w:rPr>
          <w:noProof/>
        </w:rPr>
        <w:t>Például 75 MW beépített kapacitás esetén a fotovoltaikus erőmű a következő terület jelenlegi energiaszükségletének több mint 60%-át fedezné:</w:t>
      </w:r>
    </w:p>
    <w:p w14:paraId="6FC26120" w14:textId="354A61C0" w:rsidR="00DC5EC6" w:rsidRDefault="003245A4">
      <w:pPr>
        <w:pStyle w:val="P68B1DB1-Normal4"/>
        <w:keepNext/>
        <w:spacing w:before="40" w:after="0" w:line="259" w:lineRule="auto"/>
        <w:jc w:val="both"/>
        <w:rPr>
          <w:rFonts w:eastAsia="Times New Roman" w:cs="Times New Roman"/>
          <w:noProof/>
        </w:rPr>
      </w:pPr>
      <w:r>
        <w:rPr>
          <w:noProof/>
        </w:rPr>
        <w:t>redundancia biztosítása és a szén-dioxid-kibocsátás évi több mint 80000 tonnával történő csökkentése.A létrehozandó tavi terület – 7,24 km 2 –</w:t>
      </w:r>
      <w:r>
        <w:rPr>
          <w:noProof/>
          <w:vertAlign w:val="superscript"/>
        </w:rPr>
        <w:t>és</w:t>
      </w:r>
      <w:r>
        <w:rPr>
          <w:noProof/>
        </w:rPr>
        <w:t xml:space="preserve"> a fotovoltaikus panelek telepítésére használható maximális terület 20%-a. </w:t>
      </w:r>
    </w:p>
    <w:p w14:paraId="4647CC73" w14:textId="7E6C724D" w:rsidR="00DC5EC6" w:rsidRDefault="003245A4">
      <w:pPr>
        <w:pStyle w:val="P68B1DB1-Normal4"/>
        <w:keepNext/>
        <w:spacing w:before="40" w:after="0" w:line="259" w:lineRule="auto"/>
        <w:jc w:val="both"/>
        <w:rPr>
          <w:rFonts w:eastAsia="Times New Roman" w:cs="Times New Roman"/>
          <w:noProof/>
        </w:rPr>
      </w:pPr>
      <w:r>
        <w:rPr>
          <w:noProof/>
        </w:rPr>
        <w:t>Hozzá kell járulnia továbbá a mezőgazdasági tevékenység diverzifikálásához és ahhoz, hogy az ország e demográfiai szempontból hátrányos helyzetű térségébe vonzza a lakosságot, miközben fenntartja a hatékony vízgazdálkodási rendszert.</w:t>
      </w:r>
    </w:p>
    <w:p w14:paraId="4B7B386F" w14:textId="2169FF6B" w:rsidR="00DC5EC6" w:rsidRDefault="003245A4">
      <w:pPr>
        <w:pStyle w:val="P68B1DB1-Normal4"/>
        <w:widowControl w:val="0"/>
        <w:spacing w:after="120" w:line="307" w:lineRule="exact"/>
        <w:jc w:val="both"/>
        <w:rPr>
          <w:rFonts w:eastAsia="Calibri" w:cs="Times New Roman"/>
          <w:noProof/>
        </w:rPr>
      </w:pPr>
      <w:r>
        <w:rPr>
          <w:noProof/>
        </w:rPr>
        <w:t>A fejlesztés a Tagus vízgyűjtőjében, a Guadiana vízgyűjtőjének határához közeli övezetben található. A beruházásnak a következő lépéseket kell tartalmaznia:</w:t>
      </w:r>
    </w:p>
    <w:p w14:paraId="5130E04D" w14:textId="772268AC" w:rsidR="00DC5EC6" w:rsidRDefault="003245A4">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Gát</w:t>
      </w:r>
      <w:r>
        <w:rPr>
          <w:noProof/>
        </w:rPr>
        <w:t>: A 248 m-es (48 m magas) tengerszint feletti magasságú, 7,24 km</w:t>
      </w:r>
      <w:r>
        <w:rPr>
          <w:noProof/>
          <w:vertAlign w:val="superscript"/>
        </w:rPr>
        <w:t>2</w:t>
      </w:r>
      <w:r>
        <w:rPr>
          <w:noProof/>
        </w:rPr>
        <w:t>db elárasztott területtel, 116,1 hm</w:t>
      </w:r>
      <w:r>
        <w:rPr>
          <w:noProof/>
          <w:vertAlign w:val="superscript"/>
        </w:rPr>
        <w:t xml:space="preserve">3 </w:t>
      </w:r>
      <w:r>
        <w:rPr>
          <w:noProof/>
        </w:rPr>
        <w:t>tárolókapacitással és évi 57,83 hm</w:t>
      </w:r>
      <w:r>
        <w:rPr>
          <w:noProof/>
          <w:vertAlign w:val="superscript"/>
        </w:rPr>
        <w:t>3</w:t>
      </w:r>
      <w:r>
        <w:rPr>
          <w:noProof/>
        </w:rPr>
        <w:t>/év átlagos térfogattal rendelkező, 50,3 hm</w:t>
      </w:r>
      <w:r>
        <w:rPr>
          <w:noProof/>
          <w:vertAlign w:val="superscript"/>
        </w:rPr>
        <w:t>3</w:t>
      </w:r>
      <w:r>
        <w:rPr>
          <w:noProof/>
        </w:rPr>
        <w:t xml:space="preserve"> /év víztározó létesítése, ami elengedhetetlen az ellátás redundanciájának biztosításához, azaz elegendő víz Alter do Chão, Avis, Crato, Fronteira, Gavião, Nisa, Ponte de Sor és Sousel lakosságának (körülbelül 55000 fő) kiszolgálásához.</w:t>
      </w:r>
    </w:p>
    <w:p w14:paraId="5B19CBFA" w14:textId="77777777" w:rsidR="00DC5EC6" w:rsidRDefault="003245A4">
      <w:pPr>
        <w:pStyle w:val="P68B1DB1-Normal4"/>
        <w:widowControl w:val="0"/>
        <w:numPr>
          <w:ilvl w:val="0"/>
          <w:numId w:val="28"/>
        </w:numPr>
        <w:spacing w:before="40" w:after="120" w:line="307" w:lineRule="exact"/>
        <w:ind w:left="714" w:hanging="357"/>
        <w:jc w:val="both"/>
        <w:rPr>
          <w:rFonts w:eastAsia="Calibri" w:cs="Times New Roman"/>
          <w:noProof/>
        </w:rPr>
      </w:pPr>
      <w:r>
        <w:rPr>
          <w:noProof/>
          <w:shd w:val="clear" w:color="auto" w:fill="FFFFFF"/>
        </w:rPr>
        <w:t>Mini-hidrovíz</w:t>
      </w:r>
      <w:r>
        <w:rPr>
          <w:noProof/>
        </w:rPr>
        <w:t>: A vízáramok energiafelhasználása a völgy folyásán lévő völgyben, a gát magasságából adódó esés kihasználásával. Beépített teljesítménye 1,0 MW.</w:t>
      </w:r>
    </w:p>
    <w:p w14:paraId="7ECAF144" w14:textId="604696DD" w:rsidR="00DC5EC6" w:rsidRDefault="003245A4">
      <w:pPr>
        <w:pStyle w:val="P68B1DB1-Normal4"/>
        <w:widowControl w:val="0"/>
        <w:numPr>
          <w:ilvl w:val="0"/>
          <w:numId w:val="28"/>
        </w:numPr>
        <w:spacing w:before="40" w:after="0" w:line="302" w:lineRule="exact"/>
        <w:ind w:left="714" w:hanging="357"/>
        <w:jc w:val="both"/>
        <w:rPr>
          <w:rFonts w:eastAsia="Calibri" w:cs="Times New Roman"/>
          <w:noProof/>
        </w:rPr>
      </w:pPr>
      <w:r>
        <w:rPr>
          <w:noProof/>
        </w:rPr>
        <w:t>A</w:t>
      </w:r>
      <w:r>
        <w:rPr>
          <w:noProof/>
          <w:shd w:val="clear" w:color="auto" w:fill="FFFFFF"/>
        </w:rPr>
        <w:t>Póvoa e Meadas duzzasztógát ellátásának megerősítésére szolgáló rendszer a Pisão dam -ből</w:t>
      </w:r>
      <w:r>
        <w:rPr>
          <w:noProof/>
        </w:rPr>
        <w:t>: Alter do Chão, Avis, Crato, Fronteira, Gavião, Nisa, Ponte de Sor és Sousel települések városi fogyasztási szükségleteinek kielégítése érdekében a létrehozandó tározóból a Póvoa e Meadasban található szennyvíztisztító telephez való csatlakozás.</w:t>
      </w:r>
    </w:p>
    <w:p w14:paraId="4A96B4C4" w14:textId="77777777" w:rsidR="00DC5EC6" w:rsidRDefault="003245A4">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A meglévő mezőgazdasági területeket támogató öntözési infrastruktúra:</w:t>
      </w:r>
      <w:r>
        <w:rPr>
          <w:b/>
          <w:noProof/>
          <w:shd w:val="clear" w:color="auto" w:fill="FFFFFF"/>
        </w:rPr>
        <w:t xml:space="preserve"> </w:t>
      </w:r>
      <w:r>
        <w:rPr>
          <w:noProof/>
          <w:shd w:val="clear" w:color="auto" w:fill="FFFFFF"/>
        </w:rPr>
        <w:t xml:space="preserve">ez </w:t>
      </w:r>
      <w:r>
        <w:rPr>
          <w:noProof/>
        </w:rPr>
        <w:t>magában foglalja az öntözőállomásokat, a csatornákat, a kiegyensúlyozó tározókat és elosztó hálózatokat, az öntözőhálózatokat és a mezőgazdasági hozzáférés javítását, és várhatóan 5078 hektárnyi új öntözőtömböket (Alter do Chão, Avis, Crato, Fronteira és Sousel) hoz létre. Az öntözőterületet 100 hektárnál nem nagyobb területű tételekre kell osztani.</w:t>
      </w:r>
    </w:p>
    <w:p w14:paraId="12A18ECF" w14:textId="58490B1B" w:rsidR="00DC5EC6" w:rsidRDefault="003245A4">
      <w:pPr>
        <w:pStyle w:val="P68B1DB1-Normal4"/>
        <w:widowControl w:val="0"/>
        <w:numPr>
          <w:ilvl w:val="0"/>
          <w:numId w:val="28"/>
        </w:numPr>
        <w:tabs>
          <w:tab w:val="left" w:pos="708"/>
        </w:tabs>
        <w:spacing w:before="237" w:after="131" w:line="307" w:lineRule="exact"/>
        <w:ind w:left="714" w:hanging="357"/>
        <w:jc w:val="both"/>
        <w:rPr>
          <w:rFonts w:eastAsia="Calibri" w:cs="Times New Roman"/>
          <w:noProof/>
        </w:rPr>
      </w:pPr>
      <w:r>
        <w:rPr>
          <w:noProof/>
          <w:shd w:val="clear" w:color="auto" w:fill="FFFFFF"/>
        </w:rPr>
        <w:t>Fotovoltaikus napenergia-</w:t>
      </w:r>
      <w:r>
        <w:rPr>
          <w:b/>
          <w:noProof/>
          <w:shd w:val="clear" w:color="auto" w:fill="FFFFFF"/>
        </w:rPr>
        <w:t xml:space="preserve"> </w:t>
      </w:r>
      <w:r>
        <w:rPr>
          <w:noProof/>
        </w:rPr>
        <w:t>erőmű (naplemezek, inverterek, úszó eszközök, kis- és középfeszültségű vezetékek): fotovoltaikus panelek beépítése a tározó víztükrébe. A finanszírozást a helyreállítási és rezilienciaépítési terven kívül kell nyújtani.</w:t>
      </w:r>
    </w:p>
    <w:p w14:paraId="5AF0593D" w14:textId="7BA9A102" w:rsidR="00DC5EC6" w:rsidRDefault="003245A4">
      <w:pPr>
        <w:pStyle w:val="P68B1DB1-Normal4"/>
        <w:spacing w:before="40" w:after="0" w:line="259" w:lineRule="auto"/>
        <w:jc w:val="both"/>
        <w:rPr>
          <w:rFonts w:eastAsiaTheme="minorEastAsia" w:cs="Times New Roman"/>
          <w:noProof/>
        </w:rPr>
      </w:pPr>
      <w:r>
        <w:rPr>
          <w:noProof/>
        </w:rPr>
        <w:t xml:space="preserve">Ez az intézkedés nem sértheti jelentősen az (EU) 2020/852 rendelet 17. cikke értelmében vett környezeti célkitűzéseket, figyelembe véve az intézkedés leírását és a helyreállítási és rezilienciaépítési tervben a DNSH technikai iránymutatással (2021/C58/01) összhangban meghatározott enyhítő lépéseket, valamint a Portugália által teljesítendő mérföldköveket és célokat. Bizonyítani kell az alkalmazandó jogi rendelkezéseknek való teljes körű és érdemi megfelelést. A környezeti hatásvizsgálat tervezetének nyilvános konzultáció céljából történő közzétételekor annak tartalmaznia kell 1) az alapforgatókönyv szerinti (beruházás nélküli) és a beruházást követő, az érintett víztestben várható vízáramlást, teljes mértékben figyelembe véve az éghajlatváltozás káros hatásait a rendelkezésre álló legjobb tudományos előrejelzések alapján, beleértve a valószínűsíthető legkedvezőtlenebb forgatókönyvet is; és 2) a beruházás céljának indoklása a potenciálisan kisebb környezeti hatással járó alternatívákhoz képest, mind céljaik (öntözött területek kiterjedése a fenntartható vidék regenerációjával szemben), mind pedig eszközeik (a vízigény csökkentése és természetalapú megoldások) tekintetében. Minden olyan projektet, amely valószínűleg jelentős hatást gyakorol a környezetre, környezeti hatásvizsgálatnak (KHV) kell alávetni, amelyet a 2011/92/EU irányelvvel összhangban kell elvégezni, valamint a 2000/60/EK irányelvvel összefüggésben releváns értékeléseket kell végezni, beleértve a szükséges mérséklési intézkedések végrehajtását, biztosítva a DNSH technikai iránymutatásnak (2021/C58/01) való megfelelést. </w:t>
      </w:r>
    </w:p>
    <w:p w14:paraId="519C6249" w14:textId="77777777" w:rsidR="00DC5EC6" w:rsidRDefault="003245A4">
      <w:pPr>
        <w:pStyle w:val="P68B1DB1-Normal4"/>
        <w:spacing w:before="40" w:after="0" w:line="259" w:lineRule="auto"/>
        <w:jc w:val="both"/>
        <w:rPr>
          <w:rFonts w:eastAsiaTheme="minorEastAsia" w:cs="Times New Roman"/>
          <w:noProof/>
        </w:rPr>
      </w:pPr>
      <w:r>
        <w:rPr>
          <w:noProof/>
        </w:rPr>
        <w:t>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w:t>
      </w:r>
    </w:p>
    <w:p w14:paraId="77735E49" w14:textId="77777777" w:rsidR="00DC5EC6" w:rsidRDefault="003245A4">
      <w:pPr>
        <w:pStyle w:val="P68B1DB1-Normal4"/>
        <w:spacing w:before="40" w:after="0" w:line="259" w:lineRule="auto"/>
        <w:jc w:val="both"/>
        <w:rPr>
          <w:rFonts w:eastAsiaTheme="minorEastAsia" w:cs="Times New Roman"/>
          <w:noProof/>
        </w:rPr>
      </w:pPr>
      <w:r>
        <w:rPr>
          <w:noProof/>
        </w:rPr>
        <w:t>A környezeti hatásvizsgálatnak a legfrissebb, átfogó és legpontosabb adatokon kell alapulnia, beleértve a hidromorfológiai elváltozásokra különösen érzékeny biológiai minőségi elemekre, valamint a víztestnek az új tevékenységek eredményeként várható állapotára vonatkozó nyomonkövetési adatokat is. Értékeli különösen az új projektnek a vízgyűjtő területén meglévő vagy tervezett egyéb infrastruktúrákkal együtt kifejtett összesített hatásait.</w:t>
      </w:r>
    </w:p>
    <w:p w14:paraId="3A356255" w14:textId="77777777" w:rsidR="00DC5EC6" w:rsidRDefault="003245A4">
      <w:pPr>
        <w:pStyle w:val="P68B1DB1-Normal4"/>
        <w:spacing w:before="40" w:after="0" w:line="259" w:lineRule="auto"/>
        <w:jc w:val="both"/>
        <w:rPr>
          <w:rFonts w:eastAsiaTheme="minorEastAsia" w:cs="Times New Roman"/>
          <w:noProof/>
        </w:rPr>
      </w:pPr>
      <w:r>
        <w:rPr>
          <w:noProof/>
        </w:rPr>
        <w:t>A 2000/60/EK irányelvnek való megfelelés érdekében az ugyanazon vízgyűjtő területén található víztestek állapotára, valamint a víztől közvetlenül függő védett élőhelyekre és fajokra gyakorolt valamennyi lehetséges hatás értékelése alapján bizonyítani kell, hogy az intézkedés:</w:t>
      </w:r>
    </w:p>
    <w:p w14:paraId="4E8790D8" w14:textId="77777777" w:rsidR="00DC5EC6" w:rsidRDefault="003245A4">
      <w:pPr>
        <w:pStyle w:val="P68B1DB1-Normal4"/>
        <w:spacing w:before="40" w:after="0" w:line="259" w:lineRule="auto"/>
        <w:jc w:val="both"/>
        <w:rPr>
          <w:rFonts w:eastAsiaTheme="minorEastAsia" w:cs="Times New Roman"/>
          <w:noProof/>
        </w:rPr>
      </w:pPr>
      <w:r>
        <w:rPr>
          <w:noProof/>
        </w:rPr>
        <w:t xml:space="preserve">nem gyakorol jelentős vagy visszafordíthatatlan hatást az érintett víztestekre, és nem akadályozza meg azt a konkrét víztestet, amelyre vonatkozik, vagy az ugyanabban a vízgyűjtőben található más víztesteket abban, hogy 2025 negyedik negyedévére jó állapotot vagy potenciált érjenek el; és </w:t>
      </w:r>
    </w:p>
    <w:p w14:paraId="41CC86CF" w14:textId="77777777" w:rsidR="00DC5EC6" w:rsidRDefault="003245A4">
      <w:pPr>
        <w:pStyle w:val="P68B1DB1-Normal4"/>
        <w:spacing w:before="40" w:after="0" w:line="259" w:lineRule="auto"/>
        <w:jc w:val="both"/>
        <w:rPr>
          <w:rFonts w:eastAsiaTheme="minorEastAsia" w:cs="Times New Roman"/>
          <w:noProof/>
        </w:rPr>
      </w:pPr>
      <w:r>
        <w:rPr>
          <w:noProof/>
        </w:rPr>
        <w:t>nem gyakorol jelentős negatív hatást a víztől közvetlenül függő védett élőhelyekre és fajokra.</w:t>
      </w:r>
    </w:p>
    <w:p w14:paraId="5E5C92F5" w14:textId="0CA8BF50" w:rsidR="00DC5EC6" w:rsidRDefault="003245A4">
      <w:pPr>
        <w:pStyle w:val="P68B1DB1-Normal4"/>
        <w:keepNext/>
        <w:spacing w:before="40" w:after="0" w:line="259" w:lineRule="auto"/>
        <w:jc w:val="both"/>
        <w:rPr>
          <w:rFonts w:eastAsiaTheme="minorEastAsia" w:cs="Times New Roman"/>
          <w:noProof/>
        </w:rPr>
      </w:pPr>
      <w:r>
        <w:rPr>
          <w:noProof/>
        </w:rPr>
        <w:t xml:space="preserve">Az illetékes hatóság a projektre vonatkozó engedélyt ad ki, amelyben meghatározza az összes műszakilag megvalósítható és ökológiailag releváns intézkedést, amelyeket az érintett víztestek hatásainak enyhítése és a jó ökológiai állapot és potenciál 2025 negyedik negyedévéig történő elérésének biztosítása érdekében hajtanak végre, és biztosítja ezen intézkedések hatékonyságának nyomon követését a 2000/60/EK víz-keretirányelv követelményeivel összhangban. </w:t>
      </w:r>
    </w:p>
    <w:p w14:paraId="207EA017" w14:textId="19E4EEFD"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2022. március 31-ig be kell fejezni.</w:t>
      </w:r>
    </w:p>
    <w:p w14:paraId="34D05917" w14:textId="77777777" w:rsidR="00DC5EC6" w:rsidRDefault="003245A4">
      <w:pPr>
        <w:pStyle w:val="P68B1DB1-Normal5"/>
        <w:spacing w:before="240" w:after="0" w:line="259" w:lineRule="auto"/>
        <w:ind w:left="851"/>
        <w:jc w:val="both"/>
        <w:outlineLvl w:val="3"/>
        <w:rPr>
          <w:rFonts w:eastAsiaTheme="minorEastAsia" w:cs="Times New Roman"/>
          <w:noProof/>
        </w:rPr>
      </w:pPr>
      <w:r>
        <w:rPr>
          <w:noProof/>
        </w:rPr>
        <w:t>RE-C09–i03-RAM beruházás: Terv Madeira vízhatékonyságára, valamint ellátási és öntözőrendszereinek megerősítésére</w:t>
      </w:r>
    </w:p>
    <w:p w14:paraId="37F68CD1" w14:textId="17F84417" w:rsidR="00DC5EC6" w:rsidRDefault="003245A4">
      <w:pPr>
        <w:pStyle w:val="P68B1DB1-Normal4"/>
        <w:spacing w:before="40" w:after="0" w:line="259" w:lineRule="auto"/>
        <w:jc w:val="both"/>
        <w:rPr>
          <w:rFonts w:eastAsiaTheme="minorEastAsia" w:cs="Times New Roman"/>
          <w:noProof/>
        </w:rPr>
      </w:pPr>
      <w:r>
        <w:rPr>
          <w:noProof/>
        </w:rPr>
        <w:t xml:space="preserve">Az intézkedés célja Madeira és Porto Santo szigetének vízkészletei ellenálló képességének növelése. </w:t>
      </w:r>
    </w:p>
    <w:p w14:paraId="0884F004" w14:textId="7EB121EB" w:rsidR="00DC5EC6" w:rsidRDefault="003245A4">
      <w:pPr>
        <w:pStyle w:val="P68B1DB1-Normal4"/>
        <w:spacing w:before="40" w:after="0" w:line="259" w:lineRule="auto"/>
        <w:jc w:val="both"/>
        <w:rPr>
          <w:rFonts w:eastAsiaTheme="minorEastAsia" w:cs="Times New Roman"/>
          <w:noProof/>
        </w:rPr>
      </w:pPr>
      <w:r>
        <w:rPr>
          <w:noProof/>
        </w:rPr>
        <w:t xml:space="preserve">A beruházás a vízkészletek rendelkezésre bocsátásából áll a meglévő erőforrások felhasználásának optimalizálásával, az ökoszisztémákra gyakorolt hatás nélküli többletvízkivétellel, a stratégiai tartalékok létrehozásával és bővítésével, valamint a különböző vízforrások összekapcsolásával. </w:t>
      </w:r>
    </w:p>
    <w:p w14:paraId="6EF884DE" w14:textId="77777777" w:rsidR="00DC5EC6" w:rsidRDefault="003245A4">
      <w:pPr>
        <w:pStyle w:val="P68B1DB1-Normal4"/>
        <w:spacing w:before="40" w:after="0" w:line="259" w:lineRule="auto"/>
        <w:jc w:val="both"/>
        <w:rPr>
          <w:rFonts w:eastAsiaTheme="minorEastAsia" w:cs="Times New Roman"/>
          <w:noProof/>
        </w:rPr>
      </w:pPr>
      <w:r>
        <w:rPr>
          <w:noProof/>
        </w:rPr>
        <w:t>Ez az intézkedés várhatóan nem sérti jelentősen az (EU) 2020/852 rendelet 17. cikke értelmében vett környezeti célkitűzéseket, figyelembe véve az intézkedés leírását és a helyreállítási és rezilienciaépítési tervben a DNSH technikai iránymutatással (2021/C58/01) összhangban meghatározott enyhítő lépéseket, valamint a Portugália által teljesítendő mérföldköveket és célokat. Minden olyan projektet, amely potenciálisan jelentős hatást gyakorolhat a környezetre, szükségszerűen alá kell vetni a 2011/92/EU irányelv szerinti környezeti hatásvizsgálatnak (KHV), valamint a 2000/60/EK irányelv és a 92/43/EGK irányelv szerinti vonatkozó vizsgálatoknak, beleértve a szükséges mérséklési intézkedések végrehajtását is.</w:t>
      </w:r>
    </w:p>
    <w:p w14:paraId="38F7BA54" w14:textId="4535BBF2"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180"/>
          <w:headerReference w:type="default" r:id="rId181"/>
          <w:footerReference w:type="even" r:id="rId182"/>
          <w:footerReference w:type="default" r:id="rId183"/>
          <w:headerReference w:type="first" r:id="rId184"/>
          <w:footerReference w:type="first" r:id="rId185"/>
          <w:pgSz w:w="11907" w:h="16839"/>
          <w:pgMar w:top="1134" w:right="1134" w:bottom="1134" w:left="1134" w:header="567" w:footer="567" w:gutter="0"/>
          <w:cols w:space="720"/>
          <w:docGrid w:linePitch="360"/>
        </w:sectPr>
      </w:pPr>
      <w:r>
        <w:rPr>
          <w:noProof/>
        </w:rPr>
        <w:t>A beruházás végrehajtását 2026. június 30-ig be kell fejezni.</w:t>
      </w:r>
    </w:p>
    <w:p w14:paraId="12B3E8C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AF6FAD5"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001889C"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I.2. Vissza nem térítendő pénzügyi támogatás – a végrehajtáshoz és a nyomon követéshez kapcsolódó mérföldkövek, célok, mutatók és ütemterv</w:t>
      </w:r>
    </w:p>
    <w:p w14:paraId="25E28A3C"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600C6CC3" w14:textId="77777777">
        <w:trPr>
          <w:trHeight w:val="300"/>
          <w:tblHeader/>
          <w:jc w:val="center"/>
        </w:trPr>
        <w:tc>
          <w:tcPr>
            <w:tcW w:w="1135" w:type="dxa"/>
            <w:vMerge w:val="restart"/>
            <w:shd w:val="clear" w:color="auto" w:fill="BDD6EE"/>
            <w:vAlign w:val="center"/>
            <w:hideMark/>
          </w:tcPr>
          <w:p w14:paraId="7EDDF729"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hideMark/>
          </w:tcPr>
          <w:p w14:paraId="245FD82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hideMark/>
          </w:tcPr>
          <w:p w14:paraId="0BF43E8A" w14:textId="22BCA461"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noWrap/>
            <w:vAlign w:val="center"/>
            <w:hideMark/>
          </w:tcPr>
          <w:p w14:paraId="340FFCF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noWrap/>
            <w:vAlign w:val="center"/>
            <w:hideMark/>
          </w:tcPr>
          <w:p w14:paraId="6468587C"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noWrap/>
            <w:vAlign w:val="center"/>
            <w:hideMark/>
          </w:tcPr>
          <w:p w14:paraId="12177533"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hideMark/>
          </w:tcPr>
          <w:p w14:paraId="28F7EB70" w14:textId="77777777"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3969" w:type="dxa"/>
            <w:vMerge w:val="restart"/>
            <w:shd w:val="clear" w:color="auto" w:fill="BDD6EE"/>
            <w:vAlign w:val="center"/>
            <w:hideMark/>
          </w:tcPr>
          <w:p w14:paraId="4A0FED38"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E2172AA" w14:textId="77777777">
        <w:trPr>
          <w:trHeight w:val="300"/>
          <w:tblHeader/>
          <w:jc w:val="center"/>
        </w:trPr>
        <w:tc>
          <w:tcPr>
            <w:tcW w:w="1135" w:type="dxa"/>
            <w:vMerge/>
            <w:vAlign w:val="center"/>
            <w:hideMark/>
          </w:tcPr>
          <w:p w14:paraId="57B55280"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622AD449"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201EE1EB" w14:textId="3CE9A911"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5BCDAF57"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7CCC7491"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4AA0E852"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noWrap/>
            <w:vAlign w:val="center"/>
            <w:hideMark/>
          </w:tcPr>
          <w:p w14:paraId="19FD5F31"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noWrap/>
            <w:vAlign w:val="center"/>
            <w:hideMark/>
          </w:tcPr>
          <w:p w14:paraId="2839A6A1"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noWrap/>
            <w:vAlign w:val="center"/>
            <w:hideMark/>
          </w:tcPr>
          <w:p w14:paraId="46BA416F" w14:textId="04F8DF18"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noWrap/>
            <w:vAlign w:val="center"/>
            <w:hideMark/>
          </w:tcPr>
          <w:p w14:paraId="726D1C15" w14:textId="5A933DE2"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EDB4CE2" w14:textId="77777777" w:rsidR="00DC5EC6" w:rsidRDefault="00DC5EC6">
            <w:pPr>
              <w:spacing w:after="0" w:line="240" w:lineRule="auto"/>
              <w:rPr>
                <w:rFonts w:ascii="Times New Roman" w:eastAsia="Times New Roman" w:hAnsi="Times New Roman" w:cs="Times New Roman"/>
                <w:b/>
                <w:noProof/>
                <w:sz w:val="18"/>
              </w:rPr>
            </w:pPr>
          </w:p>
        </w:tc>
      </w:tr>
      <w:tr w:rsidR="003F2296" w14:paraId="6349FC7E" w14:textId="77777777">
        <w:trPr>
          <w:trHeight w:val="1480"/>
          <w:jc w:val="center"/>
        </w:trPr>
        <w:tc>
          <w:tcPr>
            <w:tcW w:w="1135" w:type="dxa"/>
            <w:shd w:val="clear" w:color="auto" w:fill="C5EFCE"/>
            <w:noWrap/>
            <w:vAlign w:val="center"/>
            <w:hideMark/>
          </w:tcPr>
          <w:p w14:paraId="0438A134" w14:textId="77777777" w:rsidR="003F2296" w:rsidRDefault="003F2296" w:rsidP="003F2296">
            <w:pPr>
              <w:pStyle w:val="P68B1DB1-Normal7"/>
              <w:spacing w:after="0" w:line="240" w:lineRule="auto"/>
              <w:jc w:val="center"/>
              <w:rPr>
                <w:rFonts w:eastAsia="Times New Roman" w:cs="Calibri"/>
                <w:noProof/>
              </w:rPr>
            </w:pPr>
            <w:r>
              <w:rPr>
                <w:noProof/>
              </w:rPr>
              <w:t>9.1</w:t>
            </w:r>
          </w:p>
        </w:tc>
        <w:tc>
          <w:tcPr>
            <w:tcW w:w="1276" w:type="dxa"/>
            <w:shd w:val="clear" w:color="auto" w:fill="C4EFCE"/>
            <w:noWrap/>
            <w:vAlign w:val="center"/>
            <w:hideMark/>
          </w:tcPr>
          <w:p w14:paraId="0B8CF946" w14:textId="77777777" w:rsidR="003F2296" w:rsidRDefault="003F2296" w:rsidP="003F229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3A439A71" w14:textId="77777777" w:rsidR="003F2296" w:rsidRDefault="003F2296" w:rsidP="003F229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E88BABD" w14:textId="77777777" w:rsidR="003F2296" w:rsidRDefault="003F2296" w:rsidP="003F2296">
            <w:pPr>
              <w:pStyle w:val="P68B1DB1-Normal8"/>
              <w:spacing w:after="0" w:line="240" w:lineRule="auto"/>
              <w:jc w:val="center"/>
              <w:rPr>
                <w:rFonts w:eastAsia="Times New Roman" w:cs="Calibri"/>
                <w:noProof/>
              </w:rPr>
            </w:pPr>
            <w:r>
              <w:rPr>
                <w:noProof/>
              </w:rPr>
              <w:t>A felszín alatti vízkészletek telepített kiegészítő megfigyelési pontjai (SM3)</w:t>
            </w:r>
          </w:p>
        </w:tc>
        <w:tc>
          <w:tcPr>
            <w:tcW w:w="1275" w:type="dxa"/>
            <w:shd w:val="clear" w:color="auto" w:fill="C4EFCE"/>
            <w:noWrap/>
            <w:vAlign w:val="center"/>
            <w:hideMark/>
          </w:tcPr>
          <w:p w14:paraId="6E70CEC2" w14:textId="77777777" w:rsidR="003F2296" w:rsidRDefault="003F2296" w:rsidP="003F229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8B8CA1B" w14:textId="77777777" w:rsidR="003F2296" w:rsidRDefault="003F2296" w:rsidP="003F2296">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42E61B9" w14:textId="77777777" w:rsidR="003F2296" w:rsidRDefault="003F2296" w:rsidP="003F2296">
            <w:pPr>
              <w:pStyle w:val="P68B1DB1-Normal8"/>
              <w:spacing w:after="0" w:line="240" w:lineRule="auto"/>
              <w:jc w:val="center"/>
              <w:rPr>
                <w:rFonts w:eastAsia="Times New Roman" w:cs="Calibri"/>
                <w:noProof/>
              </w:rPr>
            </w:pPr>
            <w:r>
              <w:rPr>
                <w:noProof/>
              </w:rPr>
              <w:t>32</w:t>
            </w:r>
          </w:p>
        </w:tc>
        <w:tc>
          <w:tcPr>
            <w:tcW w:w="709" w:type="dxa"/>
            <w:shd w:val="clear" w:color="auto" w:fill="C4EFCE"/>
            <w:noWrap/>
            <w:vAlign w:val="center"/>
            <w:hideMark/>
          </w:tcPr>
          <w:p w14:paraId="6267D00B" w14:textId="77777777" w:rsidR="003F2296" w:rsidRDefault="003F2296" w:rsidP="003F2296">
            <w:pPr>
              <w:pStyle w:val="P68B1DB1-Normal8"/>
              <w:spacing w:after="0" w:line="240" w:lineRule="auto"/>
              <w:jc w:val="center"/>
              <w:rPr>
                <w:rFonts w:eastAsia="Times New Roman" w:cs="Calibri"/>
                <w:noProof/>
              </w:rPr>
            </w:pPr>
            <w:r>
              <w:rPr>
                <w:noProof/>
              </w:rPr>
              <w:t>82</w:t>
            </w:r>
          </w:p>
        </w:tc>
        <w:tc>
          <w:tcPr>
            <w:tcW w:w="567" w:type="dxa"/>
            <w:shd w:val="clear" w:color="auto" w:fill="C4EFCE"/>
            <w:noWrap/>
            <w:vAlign w:val="center"/>
            <w:hideMark/>
          </w:tcPr>
          <w:p w14:paraId="43A52E08" w14:textId="0CEAAB2E"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2E3C24C" w14:textId="77777777" w:rsidR="003F2296" w:rsidRDefault="003F2296" w:rsidP="003F229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6A1ABD5" w14:textId="77777777" w:rsidR="003F2296" w:rsidRDefault="003F2296" w:rsidP="003F2296">
            <w:pPr>
              <w:pStyle w:val="P68B1DB1-Normal9"/>
              <w:spacing w:after="0" w:line="240" w:lineRule="auto"/>
              <w:jc w:val="both"/>
              <w:rPr>
                <w:rFonts w:eastAsia="Times New Roman" w:cs="Calibri"/>
                <w:noProof/>
                <w:sz w:val="16"/>
              </w:rPr>
            </w:pPr>
            <w:r>
              <w:rPr>
                <w:noProof/>
                <w:sz w:val="16"/>
              </w:rPr>
              <w:t>A felszín alatti vízkészletek megfigyelési és felügyeleti pontjainak telepítése (beleértve a piezométereket és a telemetriamérőket). A meglévő 32 mellett további 50 piezométert is fel kell szerelni.</w:t>
            </w:r>
            <w:r>
              <w:rPr>
                <w:noProof/>
                <w:sz w:val="18"/>
              </w:rPr>
              <w:t xml:space="preserve"> </w:t>
            </w:r>
          </w:p>
        </w:tc>
      </w:tr>
      <w:tr w:rsidR="00DC5EC6" w14:paraId="0792A2CB" w14:textId="77777777">
        <w:trPr>
          <w:trHeight w:val="1050"/>
          <w:jc w:val="center"/>
        </w:trPr>
        <w:tc>
          <w:tcPr>
            <w:tcW w:w="1135" w:type="dxa"/>
            <w:shd w:val="clear" w:color="auto" w:fill="C4EFCE"/>
            <w:noWrap/>
            <w:vAlign w:val="center"/>
            <w:hideMark/>
          </w:tcPr>
          <w:p w14:paraId="2868601E" w14:textId="77777777" w:rsidR="00DC5EC6" w:rsidRDefault="003245A4">
            <w:pPr>
              <w:pStyle w:val="P68B1DB1-Normal7"/>
              <w:spacing w:after="0" w:line="240" w:lineRule="auto"/>
              <w:jc w:val="center"/>
              <w:rPr>
                <w:rFonts w:eastAsia="Times New Roman" w:cs="Calibri"/>
                <w:noProof/>
              </w:rPr>
            </w:pPr>
            <w:r>
              <w:rPr>
                <w:noProof/>
              </w:rPr>
              <w:t>9.2</w:t>
            </w:r>
          </w:p>
        </w:tc>
        <w:tc>
          <w:tcPr>
            <w:tcW w:w="1276" w:type="dxa"/>
            <w:shd w:val="clear" w:color="auto" w:fill="C4EFCE"/>
            <w:noWrap/>
            <w:vAlign w:val="center"/>
            <w:hideMark/>
          </w:tcPr>
          <w:p w14:paraId="473C196B"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7A7F263"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10ABBF9" w14:textId="77777777" w:rsidR="00DC5EC6" w:rsidRDefault="003245A4">
            <w:pPr>
              <w:pStyle w:val="P68B1DB1-Normal8"/>
              <w:spacing w:after="0" w:line="240" w:lineRule="auto"/>
              <w:jc w:val="center"/>
              <w:rPr>
                <w:rFonts w:eastAsia="Times New Roman" w:cs="Calibri"/>
                <w:noProof/>
              </w:rPr>
            </w:pPr>
            <w:r>
              <w:rPr>
                <w:noProof/>
              </w:rPr>
              <w:t>A vízveszteség csökkentését célzó hálózati beavatkozások befejezése (SM1)</w:t>
            </w:r>
          </w:p>
        </w:tc>
        <w:tc>
          <w:tcPr>
            <w:tcW w:w="1275" w:type="dxa"/>
            <w:shd w:val="clear" w:color="auto" w:fill="C4EFCE"/>
            <w:noWrap/>
            <w:vAlign w:val="center"/>
            <w:hideMark/>
          </w:tcPr>
          <w:p w14:paraId="03DA0A8A" w14:textId="77777777" w:rsidR="00DC5EC6" w:rsidRDefault="00DC5EC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5ED303C2"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60440915"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2D1D6224" w14:textId="77777777" w:rsidR="00DC5EC6" w:rsidRDefault="003245A4">
            <w:pPr>
              <w:pStyle w:val="P68B1DB1-Normal8"/>
              <w:spacing w:after="0" w:line="240" w:lineRule="auto"/>
              <w:jc w:val="center"/>
              <w:rPr>
                <w:rFonts w:eastAsia="Times New Roman" w:cs="Calibri"/>
                <w:noProof/>
              </w:rPr>
            </w:pPr>
            <w:r>
              <w:rPr>
                <w:noProof/>
              </w:rPr>
              <w:t>125</w:t>
            </w:r>
          </w:p>
        </w:tc>
        <w:tc>
          <w:tcPr>
            <w:tcW w:w="567" w:type="dxa"/>
            <w:shd w:val="clear" w:color="auto" w:fill="C4EFCE"/>
            <w:noWrap/>
            <w:vAlign w:val="center"/>
            <w:hideMark/>
          </w:tcPr>
          <w:p w14:paraId="5B4ACE0D" w14:textId="5335FEA0"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5FCFB3CB"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E31623D" w14:textId="77777777" w:rsidR="00DC5EC6" w:rsidRDefault="003245A4">
            <w:pPr>
              <w:pStyle w:val="P68B1DB1-Normal8"/>
              <w:spacing w:after="0" w:line="240" w:lineRule="auto"/>
              <w:jc w:val="both"/>
              <w:rPr>
                <w:rFonts w:eastAsia="Times New Roman" w:cs="Calibri"/>
                <w:noProof/>
              </w:rPr>
            </w:pPr>
            <w:r>
              <w:rPr>
                <w:noProof/>
              </w:rPr>
              <w:t>Hálózati beavatkozások befejezése a nyomás optimalizálása és a hálózat rehabilitációja érdekében, a következő intézkedésekkel: Nyomásoptimalizálás és áramlásmérés, 2) hálózatrehabilitáció városi/történelmi területeken 3) hálózatrehabilitáció vidéki vagy közepes vidéki területeken.</w:t>
            </w:r>
          </w:p>
        </w:tc>
      </w:tr>
      <w:tr w:rsidR="00DC5EC6" w14:paraId="470669E2" w14:textId="77777777">
        <w:trPr>
          <w:trHeight w:val="1757"/>
          <w:jc w:val="center"/>
        </w:trPr>
        <w:tc>
          <w:tcPr>
            <w:tcW w:w="1135" w:type="dxa"/>
            <w:shd w:val="clear" w:color="auto" w:fill="C5EFCE"/>
            <w:noWrap/>
            <w:vAlign w:val="center"/>
            <w:hideMark/>
          </w:tcPr>
          <w:p w14:paraId="24335E6E" w14:textId="77777777" w:rsidR="00DC5EC6" w:rsidRDefault="003245A4">
            <w:pPr>
              <w:pStyle w:val="P68B1DB1-Normal7"/>
              <w:spacing w:after="0" w:line="240" w:lineRule="auto"/>
              <w:jc w:val="center"/>
              <w:rPr>
                <w:rFonts w:eastAsia="Times New Roman" w:cs="Calibri"/>
                <w:noProof/>
              </w:rPr>
            </w:pPr>
            <w:r>
              <w:rPr>
                <w:noProof/>
              </w:rPr>
              <w:t>9.3</w:t>
            </w:r>
          </w:p>
        </w:tc>
        <w:tc>
          <w:tcPr>
            <w:tcW w:w="1276" w:type="dxa"/>
            <w:shd w:val="clear" w:color="auto" w:fill="C4EFCE"/>
            <w:noWrap/>
            <w:vAlign w:val="center"/>
            <w:hideMark/>
          </w:tcPr>
          <w:p w14:paraId="61BA6E03"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481B50F1"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AFCFDF3" w14:textId="77777777" w:rsidR="00DC5EC6" w:rsidRDefault="003245A4">
            <w:pPr>
              <w:pStyle w:val="P68B1DB1-Normal8"/>
              <w:spacing w:after="0" w:line="240" w:lineRule="auto"/>
              <w:jc w:val="center"/>
              <w:rPr>
                <w:rFonts w:eastAsia="Times New Roman" w:cs="Calibri"/>
                <w:noProof/>
              </w:rPr>
            </w:pPr>
            <w:r>
              <w:rPr>
                <w:noProof/>
              </w:rPr>
              <w:t>A közös hidromezőgazdasági hasznosítású és egyéni öntözésű földterületek korszerűsítése (SM2)</w:t>
            </w:r>
          </w:p>
        </w:tc>
        <w:tc>
          <w:tcPr>
            <w:tcW w:w="1275" w:type="dxa"/>
            <w:shd w:val="clear" w:color="auto" w:fill="C4EFCE"/>
            <w:noWrap/>
            <w:vAlign w:val="center"/>
            <w:hideMark/>
          </w:tcPr>
          <w:p w14:paraId="36A7294C" w14:textId="77777777" w:rsidR="00DC5EC6" w:rsidRDefault="00DC5EC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45E8102A" w14:textId="77777777" w:rsidR="00DC5EC6" w:rsidRDefault="003245A4">
            <w:pPr>
              <w:pStyle w:val="P68B1DB1-Normal8"/>
              <w:spacing w:after="0" w:line="240" w:lineRule="auto"/>
              <w:jc w:val="center"/>
              <w:rPr>
                <w:rFonts w:eastAsia="Times New Roman" w:cs="Calibri"/>
                <w:noProof/>
              </w:rPr>
            </w:pPr>
            <w:r>
              <w:rPr>
                <w:noProof/>
              </w:rPr>
              <w:t>Ha</w:t>
            </w:r>
          </w:p>
        </w:tc>
        <w:tc>
          <w:tcPr>
            <w:tcW w:w="992" w:type="dxa"/>
            <w:shd w:val="clear" w:color="auto" w:fill="C4EFCE"/>
            <w:noWrap/>
            <w:vAlign w:val="center"/>
            <w:hideMark/>
          </w:tcPr>
          <w:p w14:paraId="72C10700"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23692D8" w14:textId="77777777" w:rsidR="00DC5EC6" w:rsidRDefault="003245A4">
            <w:pPr>
              <w:pStyle w:val="P68B1DB1-Normal8"/>
              <w:spacing w:after="0" w:line="240" w:lineRule="auto"/>
              <w:jc w:val="center"/>
              <w:rPr>
                <w:rFonts w:eastAsia="Times New Roman" w:cs="Calibri"/>
                <w:noProof/>
              </w:rPr>
            </w:pPr>
            <w:r>
              <w:rPr>
                <w:noProof/>
              </w:rPr>
              <w:t>10 300</w:t>
            </w:r>
          </w:p>
        </w:tc>
        <w:tc>
          <w:tcPr>
            <w:tcW w:w="567" w:type="dxa"/>
            <w:shd w:val="clear" w:color="auto" w:fill="C4EFCE"/>
            <w:noWrap/>
            <w:vAlign w:val="center"/>
            <w:hideMark/>
          </w:tcPr>
          <w:p w14:paraId="32AC4E73" w14:textId="25360EBB"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74A4D7F"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188BD210" w14:textId="77777777" w:rsidR="00DC5EC6" w:rsidRDefault="003245A4">
            <w:pPr>
              <w:pStyle w:val="P68B1DB1-Normal8"/>
              <w:spacing w:after="0" w:line="240" w:lineRule="auto"/>
              <w:jc w:val="both"/>
              <w:rPr>
                <w:rFonts w:eastAsia="Times New Roman" w:cs="Calibri"/>
                <w:noProof/>
              </w:rPr>
            </w:pPr>
            <w:r>
              <w:rPr>
                <w:noProof/>
              </w:rPr>
              <w:t xml:space="preserve">Hatékonyabb elosztórendszerek bevezetése által érintett terület a csatornák alépítményekkel való helyettesítése, a hálózati nyomás javítása, a távérzékelési és fogyasztásszabályozó rendszerek bevezetése, valamint a kollektív hidromezőgazdasági létesítmények és az egyéni öntözés során hatékonyabb és nyomon követhető öntözőrendszerek telepítése által érintett terület </w:t>
            </w:r>
          </w:p>
        </w:tc>
      </w:tr>
      <w:tr w:rsidR="00DC5EC6" w14:paraId="13208EC3" w14:textId="77777777">
        <w:trPr>
          <w:trHeight w:val="1251"/>
          <w:jc w:val="center"/>
        </w:trPr>
        <w:tc>
          <w:tcPr>
            <w:tcW w:w="1135" w:type="dxa"/>
            <w:shd w:val="clear" w:color="auto" w:fill="C5EFCE"/>
            <w:noWrap/>
            <w:vAlign w:val="center"/>
            <w:hideMark/>
          </w:tcPr>
          <w:p w14:paraId="5C18D42C" w14:textId="77777777" w:rsidR="00DC5EC6" w:rsidRDefault="003245A4">
            <w:pPr>
              <w:pStyle w:val="P68B1DB1-Normal7"/>
              <w:spacing w:after="0" w:line="240" w:lineRule="auto"/>
              <w:jc w:val="center"/>
              <w:rPr>
                <w:rFonts w:eastAsia="Times New Roman" w:cs="Calibri"/>
                <w:noProof/>
              </w:rPr>
            </w:pPr>
            <w:r>
              <w:rPr>
                <w:noProof/>
              </w:rPr>
              <w:t>9.4</w:t>
            </w:r>
          </w:p>
        </w:tc>
        <w:tc>
          <w:tcPr>
            <w:tcW w:w="1276" w:type="dxa"/>
            <w:shd w:val="clear" w:color="auto" w:fill="C4EFCE"/>
            <w:noWrap/>
            <w:vAlign w:val="center"/>
            <w:hideMark/>
          </w:tcPr>
          <w:p w14:paraId="3F908A5B"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27188DE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4082C95" w14:textId="77777777" w:rsidR="00DC5EC6" w:rsidRDefault="003245A4">
            <w:pPr>
              <w:pStyle w:val="P68B1DB1-Normal8"/>
              <w:spacing w:after="0" w:line="240" w:lineRule="auto"/>
              <w:jc w:val="center"/>
              <w:rPr>
                <w:rFonts w:eastAsia="Times New Roman" w:cs="Calibri"/>
                <w:noProof/>
              </w:rPr>
            </w:pPr>
            <w:r>
              <w:rPr>
                <w:noProof/>
              </w:rPr>
              <w:t>A kezelt szennyvíz előállítását és finomítását biztosító szennyvíztisztító telepek száma (SM4)</w:t>
            </w:r>
          </w:p>
        </w:tc>
        <w:tc>
          <w:tcPr>
            <w:tcW w:w="1275" w:type="dxa"/>
            <w:shd w:val="clear" w:color="auto" w:fill="C4EFCE"/>
            <w:noWrap/>
            <w:vAlign w:val="center"/>
            <w:hideMark/>
          </w:tcPr>
          <w:p w14:paraId="78A33847" w14:textId="77777777" w:rsidR="00DC5EC6" w:rsidRDefault="00DC5EC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28B2E837"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72835986"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40E57D3" w14:textId="77777777" w:rsidR="00DC5EC6" w:rsidRDefault="003245A4">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254C1418" w14:textId="1624C0D2"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72AB9968"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3C292FEE" w14:textId="77777777" w:rsidR="00DC5EC6" w:rsidRDefault="003245A4">
            <w:pPr>
              <w:pStyle w:val="P68B1DB1-Normal8"/>
              <w:spacing w:after="0" w:line="240" w:lineRule="auto"/>
              <w:jc w:val="both"/>
              <w:rPr>
                <w:rFonts w:eastAsia="Times New Roman" w:cs="Calibri"/>
                <w:noProof/>
              </w:rPr>
            </w:pPr>
            <w:r>
              <w:rPr>
                <w:noProof/>
              </w:rPr>
              <w:t>Az újrahasználatra kész kezelt szennyvíz előállításának biztosítására megnyitott szennyvíztisztító telepek száma</w:t>
            </w:r>
          </w:p>
        </w:tc>
      </w:tr>
      <w:tr w:rsidR="003F2296" w14:paraId="4757E211" w14:textId="77777777">
        <w:trPr>
          <w:trHeight w:val="1050"/>
          <w:jc w:val="center"/>
        </w:trPr>
        <w:tc>
          <w:tcPr>
            <w:tcW w:w="1135" w:type="dxa"/>
            <w:shd w:val="clear" w:color="auto" w:fill="C4EFCE"/>
            <w:noWrap/>
            <w:vAlign w:val="center"/>
            <w:hideMark/>
          </w:tcPr>
          <w:p w14:paraId="63118563" w14:textId="77777777" w:rsidR="003F2296" w:rsidRDefault="003F2296" w:rsidP="003F2296">
            <w:pPr>
              <w:pStyle w:val="P68B1DB1-Normal7"/>
              <w:spacing w:after="0" w:line="240" w:lineRule="auto"/>
              <w:jc w:val="center"/>
              <w:rPr>
                <w:rFonts w:eastAsia="Times New Roman" w:cs="Calibri"/>
                <w:noProof/>
              </w:rPr>
            </w:pPr>
            <w:r>
              <w:rPr>
                <w:noProof/>
              </w:rPr>
              <w:t>9.5</w:t>
            </w:r>
          </w:p>
        </w:tc>
        <w:tc>
          <w:tcPr>
            <w:tcW w:w="1276" w:type="dxa"/>
            <w:shd w:val="clear" w:color="auto" w:fill="C4EFCE"/>
            <w:noWrap/>
            <w:vAlign w:val="center"/>
            <w:hideMark/>
          </w:tcPr>
          <w:p w14:paraId="323709CC" w14:textId="77777777" w:rsidR="003F2296" w:rsidRDefault="003F2296" w:rsidP="003F229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047FA0FE" w14:textId="77777777" w:rsidR="003F2296" w:rsidRDefault="003F2296" w:rsidP="003F229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F4FE77F" w14:textId="77777777" w:rsidR="003F2296" w:rsidRDefault="003F2296" w:rsidP="003F2296">
            <w:pPr>
              <w:pStyle w:val="P68B1DB1-Normal8"/>
              <w:spacing w:after="0" w:line="240" w:lineRule="auto"/>
              <w:jc w:val="center"/>
              <w:rPr>
                <w:rFonts w:eastAsia="Times New Roman" w:cs="Calibri"/>
                <w:noProof/>
              </w:rPr>
            </w:pPr>
            <w:r>
              <w:rPr>
                <w:noProof/>
              </w:rPr>
              <w:t>A Guadianában végzett vízkivételre vonatkozó intézkedés aktualizált tervének elfogadása (szükség esetén), amely teljes mértékben figyelembe veszi a környezeti hatásvizsgálat eredményeit és feltételeit (SM5)</w:t>
            </w:r>
          </w:p>
        </w:tc>
        <w:tc>
          <w:tcPr>
            <w:tcW w:w="1275" w:type="dxa"/>
            <w:shd w:val="clear" w:color="auto" w:fill="C4EFCE"/>
            <w:noWrap/>
            <w:vAlign w:val="center"/>
            <w:hideMark/>
          </w:tcPr>
          <w:p w14:paraId="2770C7F5" w14:textId="77777777" w:rsidR="003F2296" w:rsidRDefault="003F2296" w:rsidP="003F2296">
            <w:pPr>
              <w:pStyle w:val="P68B1DB1-Normal8"/>
              <w:spacing w:after="0" w:line="240" w:lineRule="auto"/>
              <w:jc w:val="center"/>
              <w:rPr>
                <w:rFonts w:eastAsia="Times New Roman" w:cs="Calibri"/>
                <w:noProof/>
              </w:rPr>
            </w:pPr>
            <w:r>
              <w:rPr>
                <w:noProof/>
              </w:rPr>
              <w:t>A frissített terv elfogadása (ha szükséges)</w:t>
            </w:r>
          </w:p>
        </w:tc>
        <w:tc>
          <w:tcPr>
            <w:tcW w:w="993" w:type="dxa"/>
            <w:shd w:val="clear" w:color="auto" w:fill="C4EFCE"/>
            <w:noWrap/>
            <w:vAlign w:val="center"/>
            <w:hideMark/>
          </w:tcPr>
          <w:p w14:paraId="2CB3CD29" w14:textId="77777777" w:rsidR="003F2296" w:rsidRDefault="003F2296" w:rsidP="003F229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8D2587E" w14:textId="77777777" w:rsidR="003F2296" w:rsidRDefault="003F2296" w:rsidP="003F229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08998EE7" w14:textId="77777777" w:rsidR="003F2296" w:rsidRDefault="003F2296" w:rsidP="003F229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60BDF15" w14:textId="0BCD9819"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1079CDB9" w14:textId="77777777" w:rsidR="003F2296" w:rsidRDefault="003F2296" w:rsidP="003F229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73E76A50" w14:textId="77777777" w:rsidR="003F2296" w:rsidRDefault="003F2296" w:rsidP="003F2296">
            <w:pPr>
              <w:pStyle w:val="P68B1DB1-Normal8"/>
              <w:spacing w:after="0" w:line="240" w:lineRule="auto"/>
              <w:jc w:val="both"/>
              <w:rPr>
                <w:rFonts w:eastAsia="Times New Roman" w:cs="Calibri"/>
                <w:noProof/>
              </w:rPr>
            </w:pPr>
            <w:r>
              <w:rPr>
                <w:noProof/>
              </w:rPr>
              <w:t xml:space="preserve">Az intézkedés aktualizált tervének elfogadása (ha szükséges), amely teljes mértékben tartalmazza a 2011/92/EU irányelvvel és a 92/43/EGK irányelvvel összhangban elvégzendő környezeti hatásvizsgálat szükséges eredményeit és feltételeit, valamint a 2000/60/EK irányelvvel összefüggésben végzett releváns értékeléseket, beleértve a szükséges mérséklési intézkedések végrehajtását, biztosítva a DNSH technikai iránymutatásnak (2021/C58/01) való megfelelést. </w:t>
            </w:r>
          </w:p>
          <w:p w14:paraId="3F1FF344" w14:textId="77777777" w:rsidR="003F2296" w:rsidRDefault="003F2296" w:rsidP="003F2296">
            <w:pPr>
              <w:pStyle w:val="P68B1DB1-Normal8"/>
              <w:spacing w:after="0" w:line="240" w:lineRule="auto"/>
              <w:jc w:val="both"/>
              <w:rPr>
                <w:rFonts w:eastAsia="Times New Roman" w:cs="Calibri"/>
                <w:noProof/>
              </w:rPr>
            </w:pPr>
            <w:r>
              <w:rPr>
                <w:noProof/>
              </w:rPr>
              <w:t xml:space="preserve">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 </w:t>
            </w:r>
          </w:p>
          <w:p w14:paraId="2BD5E250" w14:textId="2C0B174C" w:rsidR="003F2296" w:rsidRDefault="003F2296" w:rsidP="003F2296">
            <w:pPr>
              <w:pStyle w:val="P68B1DB1-Normal8"/>
              <w:spacing w:after="0" w:line="240" w:lineRule="auto"/>
              <w:jc w:val="both"/>
              <w:rPr>
                <w:rFonts w:eastAsia="Times New Roman" w:cs="Calibri"/>
                <w:noProof/>
              </w:rPr>
            </w:pPr>
            <w:r>
              <w:rPr>
                <w:noProof/>
              </w:rPr>
              <w:t>Vízkivétel esetén az illetékes hatóság megfelelő engedélyt ad ki, amelyben meghatározza a romlás elkerülését és annak biztosítását szolgáló feltételeket, hogy az érintett víztestek a 2000/60/EK irányelv követelményeivel összhangban jó ökológiai állapotban maradjanak.</w:t>
            </w:r>
          </w:p>
        </w:tc>
      </w:tr>
      <w:tr w:rsidR="001F25B1" w14:paraId="192B3758" w14:textId="77777777">
        <w:trPr>
          <w:trHeight w:val="3160"/>
          <w:jc w:val="center"/>
        </w:trPr>
        <w:tc>
          <w:tcPr>
            <w:tcW w:w="1135" w:type="dxa"/>
            <w:shd w:val="clear" w:color="auto" w:fill="C4EFCE"/>
            <w:noWrap/>
            <w:vAlign w:val="center"/>
            <w:hideMark/>
          </w:tcPr>
          <w:p w14:paraId="2C0C5900" w14:textId="77777777" w:rsidR="001F25B1" w:rsidRDefault="001F25B1" w:rsidP="001F25B1">
            <w:pPr>
              <w:pStyle w:val="P68B1DB1-Normal7"/>
              <w:spacing w:after="0" w:line="240" w:lineRule="auto"/>
              <w:jc w:val="center"/>
              <w:rPr>
                <w:rFonts w:eastAsia="Times New Roman" w:cs="Calibri"/>
                <w:noProof/>
              </w:rPr>
            </w:pPr>
            <w:r>
              <w:rPr>
                <w:noProof/>
              </w:rPr>
              <w:t>9.6</w:t>
            </w:r>
          </w:p>
        </w:tc>
        <w:tc>
          <w:tcPr>
            <w:tcW w:w="1276" w:type="dxa"/>
            <w:shd w:val="clear" w:color="auto" w:fill="C4EFCE"/>
            <w:noWrap/>
            <w:vAlign w:val="center"/>
            <w:hideMark/>
          </w:tcPr>
          <w:p w14:paraId="70BF118A" w14:textId="77777777" w:rsidR="001F25B1" w:rsidRDefault="001F25B1" w:rsidP="001F25B1">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D10D257" w14:textId="77777777" w:rsidR="001F25B1" w:rsidRDefault="001F25B1" w:rsidP="001F25B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39625382" w14:textId="77777777" w:rsidR="001F25B1" w:rsidRDefault="001F25B1" w:rsidP="001F25B1">
            <w:pPr>
              <w:pStyle w:val="P68B1DB1-Normal8"/>
              <w:spacing w:after="0" w:line="240" w:lineRule="auto"/>
              <w:jc w:val="center"/>
              <w:rPr>
                <w:rFonts w:eastAsia="Times New Roman" w:cs="Calibri"/>
                <w:noProof/>
              </w:rPr>
            </w:pPr>
            <w:r>
              <w:rPr>
                <w:noProof/>
              </w:rPr>
              <w:t>Guadianában a vízkivétel üzembe helyezése, teljes mértékben tiszteletben tartva a környezeti hatásvizsgálat eredményeit és feltételeit (SM5)</w:t>
            </w:r>
          </w:p>
        </w:tc>
        <w:tc>
          <w:tcPr>
            <w:tcW w:w="1275" w:type="dxa"/>
            <w:shd w:val="clear" w:color="auto" w:fill="C4EFCE"/>
            <w:noWrap/>
            <w:vAlign w:val="center"/>
            <w:hideMark/>
          </w:tcPr>
          <w:p w14:paraId="0C2A7E77" w14:textId="77777777" w:rsidR="001F25B1" w:rsidRDefault="001F25B1" w:rsidP="001F25B1">
            <w:pPr>
              <w:pStyle w:val="P68B1DB1-Normal8"/>
              <w:spacing w:after="0" w:line="240" w:lineRule="auto"/>
              <w:jc w:val="center"/>
              <w:rPr>
                <w:rFonts w:eastAsia="Times New Roman" w:cs="Calibri"/>
                <w:noProof/>
              </w:rPr>
            </w:pPr>
            <w:r>
              <w:rPr>
                <w:noProof/>
              </w:rPr>
              <w:t>A vízkivétel üzembe helyezése</w:t>
            </w:r>
          </w:p>
        </w:tc>
        <w:tc>
          <w:tcPr>
            <w:tcW w:w="993" w:type="dxa"/>
            <w:shd w:val="clear" w:color="auto" w:fill="C4EFCE"/>
            <w:noWrap/>
            <w:vAlign w:val="center"/>
            <w:hideMark/>
          </w:tcPr>
          <w:p w14:paraId="554265B5" w14:textId="77777777" w:rsidR="001F25B1" w:rsidRDefault="001F25B1" w:rsidP="001F25B1">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F44BFB8" w14:textId="77777777" w:rsidR="001F25B1" w:rsidRDefault="001F25B1" w:rsidP="001F25B1">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7BF66C" w14:textId="77777777" w:rsidR="001F25B1" w:rsidRDefault="001F25B1" w:rsidP="001F25B1">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1DA95B63" w14:textId="21CF0073"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0523A9C1" w14:textId="7596D464" w:rsidR="001F25B1" w:rsidRDefault="001F25B1" w:rsidP="001F25B1">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4433FAD9" w14:textId="696B8034" w:rsidR="001F25B1" w:rsidRDefault="001F25B1" w:rsidP="001F25B1">
            <w:pPr>
              <w:pStyle w:val="P68B1DB1-Normal8"/>
              <w:spacing w:after="0" w:line="240" w:lineRule="auto"/>
              <w:jc w:val="both"/>
              <w:rPr>
                <w:rFonts w:eastAsia="Times New Roman" w:cs="Calibri"/>
                <w:noProof/>
              </w:rPr>
            </w:pPr>
            <w:r>
              <w:rPr>
                <w:noProof/>
              </w:rPr>
              <w:t xml:space="preserve">Guadianában a vízkivétel üzembe helyezése, teljes mértékben tiszteletben tartva a 2011/92/EU irányelvvel és a 92/43/EGK irányelvvel összhangban elvégzett környezeti hatásvizsgálat eredményét, beleértve a szükséges mérséklési intézkedések végrehajtását, biztosítva a DNSH technikai iránymutatásnak (2021/C58/01) való megfelelést </w:t>
            </w:r>
          </w:p>
        </w:tc>
      </w:tr>
      <w:tr w:rsidR="003F2296" w14:paraId="6F9F9602" w14:textId="77777777">
        <w:trPr>
          <w:trHeight w:val="2966"/>
          <w:jc w:val="center"/>
        </w:trPr>
        <w:tc>
          <w:tcPr>
            <w:tcW w:w="1135" w:type="dxa"/>
            <w:shd w:val="clear" w:color="auto" w:fill="C4EFCE"/>
            <w:noWrap/>
            <w:vAlign w:val="center"/>
            <w:hideMark/>
          </w:tcPr>
          <w:p w14:paraId="29F6DCA6" w14:textId="77777777" w:rsidR="003F2296" w:rsidRDefault="003F2296" w:rsidP="003F2296">
            <w:pPr>
              <w:pStyle w:val="P68B1DB1-Normal7"/>
              <w:spacing w:after="0" w:line="240" w:lineRule="auto"/>
              <w:jc w:val="center"/>
              <w:rPr>
                <w:rFonts w:eastAsia="Times New Roman" w:cs="Calibri"/>
                <w:noProof/>
              </w:rPr>
            </w:pPr>
            <w:r>
              <w:rPr>
                <w:noProof/>
              </w:rPr>
              <w:t>9.7</w:t>
            </w:r>
          </w:p>
        </w:tc>
        <w:tc>
          <w:tcPr>
            <w:tcW w:w="1276" w:type="dxa"/>
            <w:shd w:val="clear" w:color="auto" w:fill="C4EFCE"/>
            <w:noWrap/>
            <w:vAlign w:val="center"/>
            <w:hideMark/>
          </w:tcPr>
          <w:p w14:paraId="7E7B9030" w14:textId="77777777" w:rsidR="003F2296" w:rsidRDefault="003F2296" w:rsidP="003F2296">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65577101" w14:textId="77777777" w:rsidR="003F2296" w:rsidRDefault="003F2296" w:rsidP="003F229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6971F09" w14:textId="77777777" w:rsidR="003F2296" w:rsidRDefault="003F2296" w:rsidP="003F2296">
            <w:pPr>
              <w:pStyle w:val="P68B1DB1-Normal8"/>
              <w:spacing w:after="0" w:line="240" w:lineRule="auto"/>
              <w:jc w:val="center"/>
              <w:rPr>
                <w:rFonts w:eastAsia="Times New Roman" w:cs="Calibri"/>
                <w:noProof/>
              </w:rPr>
            </w:pPr>
            <w:r>
              <w:rPr>
                <w:noProof/>
              </w:rPr>
              <w:t>A sótalanítási intézkedés aktualizált tervének elfogadása (ha szükséges) a környezeti hatásvizsgálat (SM6) eredményeinek és feltételeinek teljes körű figyelembevételével</w:t>
            </w:r>
          </w:p>
        </w:tc>
        <w:tc>
          <w:tcPr>
            <w:tcW w:w="1275" w:type="dxa"/>
            <w:shd w:val="clear" w:color="auto" w:fill="C4EFCE"/>
            <w:noWrap/>
            <w:vAlign w:val="center"/>
            <w:hideMark/>
          </w:tcPr>
          <w:p w14:paraId="4E8E76C8" w14:textId="77777777" w:rsidR="003F2296" w:rsidRDefault="003F2296" w:rsidP="003F2296">
            <w:pPr>
              <w:pStyle w:val="P68B1DB1-Normal8"/>
              <w:spacing w:after="0" w:line="240" w:lineRule="auto"/>
              <w:jc w:val="center"/>
              <w:rPr>
                <w:rFonts w:eastAsia="Times New Roman" w:cs="Calibri"/>
                <w:noProof/>
              </w:rPr>
            </w:pPr>
            <w:r>
              <w:rPr>
                <w:noProof/>
              </w:rPr>
              <w:t>A frissített terv elfogadása (ha szükséges)</w:t>
            </w:r>
          </w:p>
        </w:tc>
        <w:tc>
          <w:tcPr>
            <w:tcW w:w="993" w:type="dxa"/>
            <w:shd w:val="clear" w:color="auto" w:fill="C4EFCE"/>
            <w:noWrap/>
            <w:vAlign w:val="center"/>
            <w:hideMark/>
          </w:tcPr>
          <w:p w14:paraId="4A6FC0AE" w14:textId="77777777" w:rsidR="003F2296" w:rsidRDefault="003F2296" w:rsidP="003F229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3C3FADE0" w14:textId="77777777" w:rsidR="003F2296" w:rsidRDefault="003F2296" w:rsidP="003F229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71FE3BF8" w14:textId="77777777" w:rsidR="003F2296" w:rsidRDefault="003F2296" w:rsidP="003F229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14F91E1" w14:textId="4D448AEE"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49C3716" w14:textId="0AB69983" w:rsidR="003F2296" w:rsidRDefault="003F2296" w:rsidP="003F2296">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7FA125F" w14:textId="77777777" w:rsidR="003F2296" w:rsidRDefault="003F2296" w:rsidP="003F2296">
            <w:pPr>
              <w:pStyle w:val="P68B1DB1-Normal8"/>
              <w:spacing w:after="0" w:line="240" w:lineRule="auto"/>
              <w:jc w:val="both"/>
              <w:rPr>
                <w:rFonts w:eastAsia="Times New Roman" w:cs="Calibri"/>
                <w:noProof/>
              </w:rPr>
            </w:pPr>
            <w:r>
              <w:rPr>
                <w:noProof/>
              </w:rPr>
              <w:t>A sótalanítási intézkedés aktualizált tervének elfogadása (szükség esetén), amely teljes mértékben figyelembe veszi a környezeti hatásvizsgálat szükséges eredményeit és feltételeit, amelyet a 2011/92/EU irányelvvel összhangban kell elvégezni, valamint a 2000/60/EK irányelvvel összefüggésben végzett vonatkozó értékeléseket, beleértve a szükséges mérséklési intézkedések végrehajtását, biztosítva a DNSH technikai iránymutatásnak (2021/C58/01) való megfelelést. A KHV és a 2000/60/EK irányelv szerinti értékelés keretében meghatározott, a DNSH-elvnek való megfelelés biztosításához szükséges intézkedéseket be kell építeni a projektbe, és szigorúan be kell tartani az infrastruktúra kiépítésének, üzemeltetésének és leszerelésének szakaszában.</w:t>
            </w:r>
          </w:p>
        </w:tc>
      </w:tr>
      <w:tr w:rsidR="00DC5EC6" w14:paraId="3DA4741E" w14:textId="77777777">
        <w:trPr>
          <w:trHeight w:val="1250"/>
          <w:jc w:val="center"/>
        </w:trPr>
        <w:tc>
          <w:tcPr>
            <w:tcW w:w="1135" w:type="dxa"/>
            <w:shd w:val="clear" w:color="auto" w:fill="C4EFCE"/>
            <w:noWrap/>
            <w:vAlign w:val="center"/>
            <w:hideMark/>
          </w:tcPr>
          <w:p w14:paraId="584AC037" w14:textId="77777777" w:rsidR="00DC5EC6" w:rsidRDefault="003245A4">
            <w:pPr>
              <w:pStyle w:val="P68B1DB1-Normal7"/>
              <w:spacing w:after="0" w:line="240" w:lineRule="auto"/>
              <w:jc w:val="center"/>
              <w:rPr>
                <w:rFonts w:eastAsia="Times New Roman" w:cs="Calibri"/>
                <w:noProof/>
              </w:rPr>
            </w:pPr>
            <w:r>
              <w:rPr>
                <w:noProof/>
              </w:rPr>
              <w:t>9.8</w:t>
            </w:r>
          </w:p>
        </w:tc>
        <w:tc>
          <w:tcPr>
            <w:tcW w:w="1276" w:type="dxa"/>
            <w:shd w:val="clear" w:color="auto" w:fill="C4EFCE"/>
            <w:noWrap/>
            <w:vAlign w:val="center"/>
            <w:hideMark/>
          </w:tcPr>
          <w:p w14:paraId="46BCD0A0" w14:textId="77777777" w:rsidR="00DC5EC6" w:rsidRDefault="003245A4">
            <w:pPr>
              <w:pStyle w:val="P68B1DB1-Normal8"/>
              <w:spacing w:after="0" w:line="240" w:lineRule="auto"/>
              <w:jc w:val="center"/>
              <w:rPr>
                <w:rFonts w:eastAsia="Times New Roman" w:cs="Calibri"/>
                <w:noProof/>
              </w:rPr>
            </w:pPr>
            <w:r>
              <w:rPr>
                <w:noProof/>
              </w:rPr>
              <w:t>Re-C09-i01</w:t>
            </w:r>
          </w:p>
        </w:tc>
        <w:tc>
          <w:tcPr>
            <w:tcW w:w="1134" w:type="dxa"/>
            <w:shd w:val="clear" w:color="auto" w:fill="C4EFCE"/>
            <w:noWrap/>
            <w:vAlign w:val="center"/>
            <w:hideMark/>
          </w:tcPr>
          <w:p w14:paraId="549C7160"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0B65542" w14:textId="758A5464" w:rsidR="00DC5EC6" w:rsidRDefault="003245A4">
            <w:pPr>
              <w:pStyle w:val="P68B1DB1-Normal8"/>
              <w:spacing w:after="0" w:line="240" w:lineRule="auto"/>
              <w:jc w:val="center"/>
              <w:rPr>
                <w:rFonts w:eastAsia="Times New Roman" w:cs="Calibri"/>
                <w:noProof/>
              </w:rPr>
            </w:pPr>
            <w:r>
              <w:rPr>
                <w:noProof/>
              </w:rPr>
              <w:t>A sótalanítási intézkedés működésbe lépése, teljes mértékben tiszteletben tartva a környezeti hatásvizsgálat eredményeit és feltételeit (SM6)</w:t>
            </w:r>
          </w:p>
        </w:tc>
        <w:tc>
          <w:tcPr>
            <w:tcW w:w="1275" w:type="dxa"/>
            <w:shd w:val="clear" w:color="auto" w:fill="C4EFCE"/>
            <w:noWrap/>
            <w:vAlign w:val="center"/>
            <w:hideMark/>
          </w:tcPr>
          <w:p w14:paraId="3DF16F3D" w14:textId="77777777" w:rsidR="00DC5EC6" w:rsidRDefault="003245A4">
            <w:pPr>
              <w:pStyle w:val="P68B1DB1-Normal8"/>
              <w:spacing w:after="0" w:line="240" w:lineRule="auto"/>
              <w:jc w:val="center"/>
              <w:rPr>
                <w:rFonts w:eastAsia="Times New Roman" w:cs="Calibri"/>
                <w:noProof/>
              </w:rPr>
            </w:pPr>
            <w:r>
              <w:rPr>
                <w:noProof/>
              </w:rPr>
              <w:t>A sótalanító üzembe helyezése</w:t>
            </w:r>
          </w:p>
        </w:tc>
        <w:tc>
          <w:tcPr>
            <w:tcW w:w="993" w:type="dxa"/>
            <w:shd w:val="clear" w:color="auto" w:fill="C4EFCE"/>
            <w:noWrap/>
            <w:vAlign w:val="center"/>
            <w:hideMark/>
          </w:tcPr>
          <w:p w14:paraId="72453BB8"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6510E366"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53F0AD13"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532C96C1" w14:textId="69F44A4A"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70A056AF" w14:textId="77777777"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522A58FB" w14:textId="77777777" w:rsidR="00DC5EC6" w:rsidRDefault="003245A4">
            <w:pPr>
              <w:pStyle w:val="P68B1DB1-Normal8"/>
              <w:spacing w:after="0" w:line="240" w:lineRule="auto"/>
              <w:jc w:val="both"/>
              <w:rPr>
                <w:rFonts w:eastAsia="Times New Roman" w:cs="Calibri"/>
                <w:noProof/>
              </w:rPr>
            </w:pPr>
            <w:r>
              <w:rPr>
                <w:noProof/>
              </w:rPr>
              <w:t xml:space="preserve">A sótalanító üzembe helyezése, teljes mértékben tiszteletben tartva a 2011/92/EU irányelvvel összhangban elvégzett környezeti hatásvizsgálat eredményét, beleértve a szükséges kockázatcsökkentő intézkedések végrehajtását, biztosítva a DNSH technikai iránymutatásnak (2021/C58/01) való megfelelést. </w:t>
            </w:r>
          </w:p>
        </w:tc>
      </w:tr>
      <w:tr w:rsidR="00DC5EC6" w14:paraId="0EE35F32" w14:textId="77777777">
        <w:trPr>
          <w:trHeight w:val="1260"/>
          <w:jc w:val="center"/>
        </w:trPr>
        <w:tc>
          <w:tcPr>
            <w:tcW w:w="1135" w:type="dxa"/>
            <w:shd w:val="clear" w:color="auto" w:fill="C4EFCE"/>
            <w:noWrap/>
            <w:vAlign w:val="center"/>
            <w:hideMark/>
          </w:tcPr>
          <w:p w14:paraId="6907820E" w14:textId="77777777" w:rsidR="00DC5EC6" w:rsidRDefault="003245A4">
            <w:pPr>
              <w:pStyle w:val="P68B1DB1-Normal7"/>
              <w:spacing w:after="0" w:line="240" w:lineRule="auto"/>
              <w:jc w:val="center"/>
              <w:rPr>
                <w:rFonts w:eastAsia="Times New Roman" w:cs="Calibri"/>
                <w:noProof/>
              </w:rPr>
            </w:pPr>
            <w:r>
              <w:rPr>
                <w:noProof/>
              </w:rPr>
              <w:t>9.9</w:t>
            </w:r>
          </w:p>
        </w:tc>
        <w:tc>
          <w:tcPr>
            <w:tcW w:w="1276" w:type="dxa"/>
            <w:shd w:val="clear" w:color="auto" w:fill="C4EFCE"/>
            <w:noWrap/>
            <w:vAlign w:val="center"/>
            <w:hideMark/>
          </w:tcPr>
          <w:p w14:paraId="60154726" w14:textId="77777777" w:rsidR="00DC5EC6" w:rsidRDefault="003245A4">
            <w:pPr>
              <w:pStyle w:val="P68B1DB1-Normal8"/>
              <w:spacing w:after="0" w:line="240" w:lineRule="auto"/>
              <w:jc w:val="center"/>
              <w:rPr>
                <w:rFonts w:eastAsia="Times New Roman" w:cs="Calibri"/>
                <w:noProof/>
              </w:rPr>
            </w:pPr>
            <w:r>
              <w:rPr>
                <w:noProof/>
              </w:rPr>
              <w:t>Re-C09-i02</w:t>
            </w:r>
          </w:p>
        </w:tc>
        <w:tc>
          <w:tcPr>
            <w:tcW w:w="1134" w:type="dxa"/>
            <w:shd w:val="clear" w:color="auto" w:fill="C4EFCE"/>
            <w:noWrap/>
            <w:vAlign w:val="center"/>
            <w:hideMark/>
          </w:tcPr>
          <w:p w14:paraId="2B576482"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2B791B0" w14:textId="77777777" w:rsidR="00DC5EC6" w:rsidRDefault="003245A4">
            <w:pPr>
              <w:pStyle w:val="P68B1DB1-Normal8"/>
              <w:spacing w:after="0" w:line="240" w:lineRule="auto"/>
              <w:jc w:val="center"/>
              <w:rPr>
                <w:rFonts w:eastAsia="Times New Roman" w:cs="Calibri"/>
                <w:noProof/>
              </w:rPr>
            </w:pPr>
            <w:r>
              <w:rPr>
                <w:noProof/>
              </w:rPr>
              <w:t xml:space="preserve">Az intézkedés tervezési dokumentációjának közzététele, amely teljes mértékben tartalmazza a környezeti hatásvizsgálat eredményeit és feltételeit </w:t>
            </w:r>
          </w:p>
        </w:tc>
        <w:tc>
          <w:tcPr>
            <w:tcW w:w="1275" w:type="dxa"/>
            <w:shd w:val="clear" w:color="auto" w:fill="C4EFCE"/>
            <w:noWrap/>
            <w:vAlign w:val="center"/>
            <w:hideMark/>
          </w:tcPr>
          <w:p w14:paraId="675CEB32" w14:textId="77777777" w:rsidR="00DC5EC6" w:rsidRDefault="003245A4">
            <w:pPr>
              <w:pStyle w:val="P68B1DB1-Normal8"/>
              <w:spacing w:after="0" w:line="240" w:lineRule="auto"/>
              <w:jc w:val="center"/>
              <w:rPr>
                <w:rFonts w:eastAsia="Times New Roman" w:cs="Calibri"/>
                <w:noProof/>
              </w:rPr>
            </w:pPr>
            <w:r>
              <w:rPr>
                <w:noProof/>
              </w:rPr>
              <w:t>Az intézkedés tervezési dokumentációjának közzététele, amely teljes mértékben tartalmazza a környezeti hatásvizsgálat eredményeit és feltételeit</w:t>
            </w:r>
          </w:p>
        </w:tc>
        <w:tc>
          <w:tcPr>
            <w:tcW w:w="993" w:type="dxa"/>
            <w:shd w:val="clear" w:color="auto" w:fill="C4EFCE"/>
            <w:noWrap/>
            <w:vAlign w:val="center"/>
            <w:hideMark/>
          </w:tcPr>
          <w:p w14:paraId="72B7CA55"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0FDA11AC"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hideMark/>
          </w:tcPr>
          <w:p w14:paraId="3BE4B173"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4F786AEF" w14:textId="44F01217" w:rsidR="00DC5EC6" w:rsidRDefault="003F2296">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59AB2AB7"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8FDFB3C" w14:textId="77777777" w:rsidR="00DC5EC6" w:rsidRDefault="003245A4">
            <w:pPr>
              <w:pStyle w:val="P68B1DB1-Normal8"/>
              <w:spacing w:after="0" w:line="240" w:lineRule="auto"/>
              <w:jc w:val="both"/>
              <w:rPr>
                <w:rFonts w:eastAsia="Times New Roman" w:cs="Calibri"/>
                <w:noProof/>
              </w:rPr>
            </w:pPr>
            <w:r>
              <w:rPr>
                <w:noProof/>
              </w:rPr>
              <w:t xml:space="preserve">A jogi kritériumoknak teljes mértékben és érdemben megfelelő pozitív környezeti hatásvizsgálattól függően az intézkedés tervezési dokumentációjának közzététele, amely teljes mértékben tartalmazza a környezeti hatásvizsgálat eredményeit és feltételeit, amennyiben ez a DNSH technikai iránymutatásnak (2021/C58/01) való megfelelés érdekében szükséges. A környezeti hatásvizsgálatot a 2011/92/EU irányelvvel, valamint a 2000/60/EK irányelv szerinti vonatkozó értékelésekkel összhangban teszik közzé és végzik el, beleértve a szükséges mérséklési intézkedések végrehajtását is. </w:t>
            </w:r>
          </w:p>
          <w:p w14:paraId="16928ACC" w14:textId="62802450" w:rsidR="00DC5EC6" w:rsidRDefault="003245A4">
            <w:pPr>
              <w:pStyle w:val="P68B1DB1-Normal8"/>
              <w:spacing w:after="0" w:line="240" w:lineRule="auto"/>
              <w:jc w:val="both"/>
              <w:rPr>
                <w:rFonts w:eastAsia="Times New Roman" w:cs="Calibri"/>
                <w:noProof/>
              </w:rPr>
            </w:pPr>
            <w:r>
              <w:rPr>
                <w:noProof/>
              </w:rPr>
              <w:t>A környezeti hatásvizsgálat és a 2000/60/EK irányelv szerinti értékelés keretében meghatározott, a DNSH műszaki iránymutatásnak (2021/C58/01) való megfelelés biztosításához szükséges intézkedéseket integrálni kell a projektbe, és be kell tartani az infrastruktúra kiépítésének, üzemeltetésének és leszerelésének szakaszában.</w:t>
            </w:r>
          </w:p>
        </w:tc>
      </w:tr>
      <w:tr w:rsidR="001F25B1" w14:paraId="6E7029E4" w14:textId="77777777">
        <w:trPr>
          <w:trHeight w:val="850"/>
          <w:jc w:val="center"/>
        </w:trPr>
        <w:tc>
          <w:tcPr>
            <w:tcW w:w="1135" w:type="dxa"/>
            <w:shd w:val="clear" w:color="auto" w:fill="C4EFCE"/>
            <w:noWrap/>
            <w:vAlign w:val="center"/>
            <w:hideMark/>
          </w:tcPr>
          <w:p w14:paraId="7DFAB53A" w14:textId="77777777" w:rsidR="001F25B1" w:rsidRDefault="001F25B1" w:rsidP="001F25B1">
            <w:pPr>
              <w:pStyle w:val="P68B1DB1-Normal7"/>
              <w:spacing w:after="0" w:line="240" w:lineRule="auto"/>
              <w:jc w:val="center"/>
              <w:rPr>
                <w:rFonts w:eastAsia="Times New Roman" w:cs="Calibri"/>
                <w:noProof/>
              </w:rPr>
            </w:pPr>
            <w:r>
              <w:rPr>
                <w:noProof/>
              </w:rPr>
              <w:t>9.12</w:t>
            </w:r>
          </w:p>
        </w:tc>
        <w:tc>
          <w:tcPr>
            <w:tcW w:w="1276" w:type="dxa"/>
            <w:shd w:val="clear" w:color="auto" w:fill="C4EFCE"/>
            <w:noWrap/>
            <w:vAlign w:val="center"/>
            <w:hideMark/>
          </w:tcPr>
          <w:p w14:paraId="16076ED4" w14:textId="77777777" w:rsidR="001F25B1" w:rsidRDefault="001F25B1" w:rsidP="001F25B1">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6337F20" w14:textId="77777777" w:rsidR="001F25B1" w:rsidRDefault="001F25B1" w:rsidP="001F25B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0A0CCBB" w14:textId="77777777" w:rsidR="001F25B1" w:rsidRDefault="001F25B1" w:rsidP="001F25B1">
            <w:pPr>
              <w:pStyle w:val="P68B1DB1-Normal8"/>
              <w:spacing w:after="0" w:line="240" w:lineRule="auto"/>
              <w:jc w:val="center"/>
              <w:rPr>
                <w:rFonts w:eastAsia="Times New Roman" w:cs="Calibri"/>
                <w:noProof/>
              </w:rPr>
            </w:pPr>
            <w:r>
              <w:rPr>
                <w:noProof/>
              </w:rPr>
              <w:t>A felújított vagy rehabilitált vezetékek további km-ben</w:t>
            </w:r>
          </w:p>
        </w:tc>
        <w:tc>
          <w:tcPr>
            <w:tcW w:w="1275" w:type="dxa"/>
            <w:shd w:val="clear" w:color="auto" w:fill="C4EFCE"/>
            <w:noWrap/>
            <w:vAlign w:val="center"/>
            <w:hideMark/>
          </w:tcPr>
          <w:p w14:paraId="63DB2787" w14:textId="77777777" w:rsidR="001F25B1" w:rsidRDefault="001F25B1" w:rsidP="001F25B1">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69886126" w14:textId="77777777" w:rsidR="001F25B1" w:rsidRDefault="001F25B1" w:rsidP="001F25B1">
            <w:pPr>
              <w:pStyle w:val="P68B1DB1-Normal8"/>
              <w:spacing w:after="0" w:line="240" w:lineRule="auto"/>
              <w:jc w:val="center"/>
              <w:rPr>
                <w:rFonts w:eastAsia="Times New Roman" w:cs="Calibri"/>
                <w:noProof/>
              </w:rPr>
            </w:pPr>
            <w:r>
              <w:rPr>
                <w:noProof/>
              </w:rPr>
              <w:t>kilométer</w:t>
            </w:r>
          </w:p>
        </w:tc>
        <w:tc>
          <w:tcPr>
            <w:tcW w:w="992" w:type="dxa"/>
            <w:shd w:val="clear" w:color="auto" w:fill="C4EFCE"/>
            <w:noWrap/>
            <w:vAlign w:val="center"/>
            <w:hideMark/>
          </w:tcPr>
          <w:p w14:paraId="3003D95B" w14:textId="77777777" w:rsidR="001F25B1" w:rsidRDefault="001F25B1" w:rsidP="001F25B1">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EB636C7" w14:textId="77777777" w:rsidR="001F25B1" w:rsidRDefault="001F25B1" w:rsidP="001F25B1">
            <w:pPr>
              <w:pStyle w:val="P68B1DB1-Normal8"/>
              <w:spacing w:after="0" w:line="240" w:lineRule="auto"/>
              <w:jc w:val="center"/>
              <w:rPr>
                <w:rFonts w:eastAsia="Times New Roman" w:cs="Calibri"/>
                <w:noProof/>
              </w:rPr>
            </w:pPr>
            <w:r>
              <w:rPr>
                <w:noProof/>
              </w:rPr>
              <w:t>53</w:t>
            </w:r>
          </w:p>
        </w:tc>
        <w:tc>
          <w:tcPr>
            <w:tcW w:w="567" w:type="dxa"/>
            <w:shd w:val="clear" w:color="auto" w:fill="C4EFCE"/>
            <w:noWrap/>
            <w:vAlign w:val="center"/>
            <w:hideMark/>
          </w:tcPr>
          <w:p w14:paraId="4F60250B" w14:textId="758B9771"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3679EC0A" w14:textId="68FE60DD" w:rsidR="001F25B1" w:rsidRDefault="001F25B1" w:rsidP="001F25B1">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E611BB0" w14:textId="096EC16F" w:rsidR="001F25B1" w:rsidRDefault="001F25B1" w:rsidP="001F25B1">
            <w:pPr>
              <w:pStyle w:val="P68B1DB1-Normal8"/>
              <w:spacing w:after="0" w:line="240" w:lineRule="auto"/>
              <w:jc w:val="both"/>
              <w:rPr>
                <w:rFonts w:eastAsia="Times New Roman" w:cs="Calibri"/>
                <w:noProof/>
              </w:rPr>
            </w:pPr>
            <w:r>
              <w:rPr>
                <w:noProof/>
              </w:rPr>
              <w:t>Az épített, felújított vagy rehabilitált vízvezetékek hossza km-ben</w:t>
            </w:r>
          </w:p>
        </w:tc>
      </w:tr>
      <w:tr w:rsidR="003F2296" w14:paraId="31E82792" w14:textId="77777777">
        <w:trPr>
          <w:trHeight w:val="2110"/>
          <w:jc w:val="center"/>
        </w:trPr>
        <w:tc>
          <w:tcPr>
            <w:tcW w:w="1135" w:type="dxa"/>
            <w:shd w:val="clear" w:color="auto" w:fill="C4EFCE"/>
            <w:noWrap/>
            <w:vAlign w:val="center"/>
            <w:hideMark/>
          </w:tcPr>
          <w:p w14:paraId="600412E0" w14:textId="77777777" w:rsidR="003F2296" w:rsidRDefault="003F2296" w:rsidP="003F2296">
            <w:pPr>
              <w:pStyle w:val="P68B1DB1-Normal7"/>
              <w:spacing w:after="0" w:line="240" w:lineRule="auto"/>
              <w:jc w:val="center"/>
              <w:rPr>
                <w:rFonts w:eastAsia="Times New Roman" w:cs="Calibri"/>
                <w:noProof/>
              </w:rPr>
            </w:pPr>
            <w:r>
              <w:rPr>
                <w:noProof/>
              </w:rPr>
              <w:t>9.13</w:t>
            </w:r>
          </w:p>
        </w:tc>
        <w:tc>
          <w:tcPr>
            <w:tcW w:w="1276" w:type="dxa"/>
            <w:shd w:val="clear" w:color="auto" w:fill="C4EFCE"/>
            <w:noWrap/>
            <w:vAlign w:val="center"/>
            <w:hideMark/>
          </w:tcPr>
          <w:p w14:paraId="17550FBE" w14:textId="77777777" w:rsidR="003F2296" w:rsidRDefault="003F2296" w:rsidP="003F2296">
            <w:pPr>
              <w:pStyle w:val="P68B1DB1-Normal8"/>
              <w:spacing w:after="0" w:line="240" w:lineRule="auto"/>
              <w:jc w:val="center"/>
              <w:rPr>
                <w:rFonts w:eastAsia="Times New Roman" w:cs="Calibri"/>
                <w:noProof/>
              </w:rPr>
            </w:pPr>
            <w:r>
              <w:rPr>
                <w:noProof/>
              </w:rPr>
              <w:t>Re-C09-i03-RAM</w:t>
            </w:r>
          </w:p>
        </w:tc>
        <w:tc>
          <w:tcPr>
            <w:tcW w:w="1134" w:type="dxa"/>
            <w:shd w:val="clear" w:color="auto" w:fill="C4EFCE"/>
            <w:noWrap/>
            <w:vAlign w:val="center"/>
            <w:hideMark/>
          </w:tcPr>
          <w:p w14:paraId="3549A2DF" w14:textId="77777777" w:rsidR="003F2296" w:rsidRDefault="003F2296" w:rsidP="003F2296">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4FA1D5A" w14:textId="77777777" w:rsidR="003F2296" w:rsidRDefault="003F2296" w:rsidP="003F2296">
            <w:pPr>
              <w:pStyle w:val="P68B1DB1-Normal8"/>
              <w:spacing w:after="0" w:line="240" w:lineRule="auto"/>
              <w:jc w:val="center"/>
              <w:rPr>
                <w:rFonts w:eastAsia="Times New Roman" w:cs="Calibri"/>
                <w:noProof/>
              </w:rPr>
            </w:pPr>
            <w:r>
              <w:rPr>
                <w:noProof/>
              </w:rPr>
              <w:t>A Madeira sziget déli részén közellátásra és öntözésre rendelkezésre bocsátott további vízmennyiség</w:t>
            </w:r>
          </w:p>
        </w:tc>
        <w:tc>
          <w:tcPr>
            <w:tcW w:w="1275" w:type="dxa"/>
            <w:shd w:val="clear" w:color="auto" w:fill="C4EFCE"/>
            <w:noWrap/>
            <w:vAlign w:val="center"/>
            <w:hideMark/>
          </w:tcPr>
          <w:p w14:paraId="6A44E574" w14:textId="77777777" w:rsidR="003F2296" w:rsidRDefault="003F2296" w:rsidP="003F2296">
            <w:pPr>
              <w:spacing w:after="0" w:line="240" w:lineRule="auto"/>
              <w:jc w:val="center"/>
              <w:rPr>
                <w:rFonts w:ascii="Calibri" w:eastAsia="Times New Roman" w:hAnsi="Calibri" w:cs="Calibri"/>
                <w:noProof/>
                <w:sz w:val="16"/>
              </w:rPr>
            </w:pPr>
          </w:p>
        </w:tc>
        <w:tc>
          <w:tcPr>
            <w:tcW w:w="993" w:type="dxa"/>
            <w:shd w:val="clear" w:color="auto" w:fill="C4EFCE"/>
            <w:noWrap/>
            <w:vAlign w:val="center"/>
            <w:hideMark/>
          </w:tcPr>
          <w:p w14:paraId="70237239" w14:textId="77777777" w:rsidR="003F2296" w:rsidRDefault="003F2296" w:rsidP="003F2296">
            <w:pPr>
              <w:pStyle w:val="P68B1DB1-Normal8"/>
              <w:spacing w:after="0" w:line="240" w:lineRule="auto"/>
              <w:jc w:val="center"/>
              <w:rPr>
                <w:rFonts w:eastAsia="Times New Roman" w:cs="Calibri"/>
                <w:noProof/>
              </w:rPr>
            </w:pPr>
            <w:r>
              <w:rPr>
                <w:noProof/>
              </w:rPr>
              <w:t>hm3</w:t>
            </w:r>
          </w:p>
        </w:tc>
        <w:tc>
          <w:tcPr>
            <w:tcW w:w="992" w:type="dxa"/>
            <w:shd w:val="clear" w:color="auto" w:fill="C4EFCE"/>
            <w:noWrap/>
            <w:vAlign w:val="center"/>
            <w:hideMark/>
          </w:tcPr>
          <w:p w14:paraId="1AE1E1CE" w14:textId="77777777" w:rsidR="003F2296" w:rsidRDefault="003F2296" w:rsidP="003F2296">
            <w:pPr>
              <w:pStyle w:val="P68B1DB1-Normal8"/>
              <w:spacing w:after="0" w:line="240" w:lineRule="auto"/>
              <w:jc w:val="center"/>
              <w:rPr>
                <w:rFonts w:eastAsia="Times New Roman" w:cs="Calibri"/>
                <w:noProof/>
              </w:rPr>
            </w:pPr>
            <w:r>
              <w:rPr>
                <w:noProof/>
              </w:rPr>
              <w:t>TÁRGYTALAN.</w:t>
            </w:r>
          </w:p>
        </w:tc>
        <w:tc>
          <w:tcPr>
            <w:tcW w:w="709" w:type="dxa"/>
            <w:shd w:val="clear" w:color="auto" w:fill="C4EFCE"/>
            <w:noWrap/>
            <w:vAlign w:val="center"/>
            <w:hideMark/>
          </w:tcPr>
          <w:p w14:paraId="66A0614B" w14:textId="77777777" w:rsidR="003F2296" w:rsidRDefault="003F2296" w:rsidP="003F2296">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31C162B3" w14:textId="4E3E21D7"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2F42872" w14:textId="77777777" w:rsidR="003F2296" w:rsidRDefault="003F2296" w:rsidP="003F2296">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BC078D4" w14:textId="77777777" w:rsidR="003F2296" w:rsidRDefault="003F2296" w:rsidP="003F2296">
            <w:pPr>
              <w:pStyle w:val="P68B1DB1-Normal8"/>
              <w:spacing w:after="0" w:line="240" w:lineRule="auto"/>
              <w:jc w:val="both"/>
              <w:rPr>
                <w:rFonts w:eastAsia="Times New Roman" w:cs="Calibri"/>
                <w:noProof/>
              </w:rPr>
            </w:pPr>
            <w:r>
              <w:rPr>
                <w:noProof/>
              </w:rPr>
              <w:t>A közellátás és öntözés céljára rendelkezésre bocsátott további vízmennyiség; ezt új csővezetékek, csatornák, tavak és tározók megerősítésével, felújításával, átalakításával és építésével kell elérni.</w:t>
            </w:r>
          </w:p>
        </w:tc>
      </w:tr>
    </w:tbl>
    <w:p w14:paraId="5E4AB6BD"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186"/>
          <w:headerReference w:type="default" r:id="rId187"/>
          <w:footerReference w:type="even" r:id="rId188"/>
          <w:footerReference w:type="default" r:id="rId189"/>
          <w:headerReference w:type="first" r:id="rId190"/>
          <w:footerReference w:type="first" r:id="rId191"/>
          <w:pgSz w:w="16839" w:h="11907" w:orient="landscape"/>
          <w:pgMar w:top="1134" w:right="1134" w:bottom="1134" w:left="1134" w:header="567" w:footer="567" w:gutter="0"/>
          <w:cols w:space="720"/>
          <w:docGrid w:linePitch="360"/>
        </w:sectPr>
      </w:pPr>
    </w:p>
    <w:p w14:paraId="49EFEC21"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5C8B58D" w14:textId="293E2C82"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 xml:space="preserve">I.3. </w:t>
      </w:r>
      <w:r>
        <w:rPr>
          <w:noProof/>
        </w:rPr>
        <w:tab/>
        <w:t xml:space="preserve">A hitelhez kapcsolódó reformok és beruházások ismertetése </w:t>
      </w:r>
    </w:p>
    <w:p w14:paraId="39E334BC" w14:textId="43A46B43"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RE-C09–i04 beruházás: Crato hidraulikus többcélú vállalata, építési szakasz</w:t>
      </w:r>
    </w:p>
    <w:p w14:paraId="55CAA73A" w14:textId="74061741" w:rsidR="00DC5EC6" w:rsidRDefault="003245A4">
      <w:pPr>
        <w:pStyle w:val="P68B1DB1-Normal4"/>
        <w:keepNext/>
        <w:spacing w:before="40" w:after="0" w:line="259" w:lineRule="auto"/>
        <w:jc w:val="both"/>
        <w:outlineLvl w:val="2"/>
        <w:rPr>
          <w:rFonts w:eastAsia="Times New Roman" w:cs="Times New Roman"/>
          <w:noProof/>
        </w:rPr>
      </w:pPr>
      <w:r>
        <w:rPr>
          <w:noProof/>
        </w:rPr>
        <w:t xml:space="preserve">Ez a beruházás az RE-C09–i02 beruházás keretében leírt projekthez kapcsolódik, amely a Crato hidraulikus többcélú vállalkozása, tervezési szakasz. Ez a beruházás magában foglalja a gát (DCAPE) frissített tervének elfogadását és a gát üzembe helyezését. </w:t>
      </w:r>
    </w:p>
    <w:p w14:paraId="0F013EA5" w14:textId="5E42A201" w:rsidR="00DC5EC6" w:rsidRDefault="003245A4">
      <w:pPr>
        <w:pStyle w:val="P68B1DB1-Normal4"/>
        <w:keepNext/>
        <w:spacing w:before="40" w:after="0" w:line="259" w:lineRule="auto"/>
        <w:jc w:val="both"/>
        <w:outlineLvl w:val="2"/>
        <w:rPr>
          <w:rFonts w:eastAsia="Times New Roman" w:cs="Times New Roman"/>
          <w:noProof/>
        </w:rPr>
      </w:pPr>
      <w:r>
        <w:rPr>
          <w:noProof/>
        </w:rPr>
        <w:t xml:space="preserve">Minden egyéb elemnek, beleértve a DNSH-kötelezettségeket is, meg kell egyeznie a Crato hidrogénnel foglalkozó többcélú vállalatának RE-C09–i02 beruházás tervezési szakaszában meghatározottakkal. </w:t>
      </w:r>
    </w:p>
    <w:p w14:paraId="0D565263" w14:textId="54DC2D99"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735167DE" w14:textId="77777777" w:rsidR="00DC5EC6" w:rsidRDefault="00DC5EC6">
      <w:pPr>
        <w:keepNext/>
        <w:spacing w:before="40" w:after="0" w:line="259" w:lineRule="auto"/>
        <w:ind w:left="130" w:firstLine="720"/>
        <w:jc w:val="both"/>
        <w:outlineLvl w:val="2"/>
        <w:rPr>
          <w:rFonts w:ascii="Times New Roman" w:eastAsia="Times New Roman" w:hAnsi="Times New Roman" w:cs="Times New Roman"/>
          <w:noProof/>
          <w:sz w:val="24"/>
        </w:rPr>
        <w:sectPr w:rsidR="00DC5EC6" w:rsidSect="009A4B20">
          <w:headerReference w:type="even" r:id="rId192"/>
          <w:headerReference w:type="default" r:id="rId193"/>
          <w:footerReference w:type="even" r:id="rId194"/>
          <w:footerReference w:type="default" r:id="rId195"/>
          <w:headerReference w:type="first" r:id="rId196"/>
          <w:footerReference w:type="first" r:id="rId197"/>
          <w:pgSz w:w="11907" w:h="16839"/>
          <w:pgMar w:top="1134" w:right="1134" w:bottom="1134" w:left="1134" w:header="567" w:footer="567" w:gutter="0"/>
          <w:cols w:space="720"/>
          <w:docGrid w:linePitch="360"/>
        </w:sectPr>
      </w:pPr>
    </w:p>
    <w:p w14:paraId="1FFCEE23" w14:textId="336170A4"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I.4. Hitel – a végrehajtáshoz és a nyomon követéshez kapcsolódó mérföldkövek, célok, mutatók és ütemterv</w:t>
      </w:r>
    </w:p>
    <w:p w14:paraId="4548674B"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5B622BB4" w14:textId="77777777">
        <w:trPr>
          <w:trHeight w:val="300"/>
          <w:tblHeader/>
        </w:trPr>
        <w:tc>
          <w:tcPr>
            <w:tcW w:w="1135" w:type="dxa"/>
            <w:vMerge w:val="restart"/>
            <w:shd w:val="clear" w:color="auto" w:fill="BDD6EE"/>
            <w:vAlign w:val="center"/>
            <w:hideMark/>
          </w:tcPr>
          <w:p w14:paraId="05AF7307" w14:textId="77777777" w:rsidR="00DC5EC6" w:rsidRDefault="003245A4">
            <w:pPr>
              <w:pStyle w:val="P68B1DB1-Normal6"/>
              <w:spacing w:after="0" w:line="240" w:lineRule="auto"/>
              <w:jc w:val="center"/>
              <w:rPr>
                <w:rFonts w:eastAsia="Times New Roman" w:cs="Times New Roman"/>
                <w:noProof/>
              </w:rPr>
            </w:pPr>
            <w:bookmarkStart w:id="22" w:name="_Hlk145941568"/>
            <w:r>
              <w:rPr>
                <w:noProof/>
              </w:rPr>
              <w:t>Sorszám</w:t>
            </w:r>
          </w:p>
        </w:tc>
        <w:tc>
          <w:tcPr>
            <w:tcW w:w="1276" w:type="dxa"/>
            <w:vMerge w:val="restart"/>
            <w:shd w:val="clear" w:color="auto" w:fill="BDD6EE"/>
            <w:noWrap/>
            <w:vAlign w:val="center"/>
            <w:hideMark/>
          </w:tcPr>
          <w:p w14:paraId="36DC91A9"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hideMark/>
          </w:tcPr>
          <w:p w14:paraId="46CCCA20" w14:textId="75056E55"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noWrap/>
            <w:vAlign w:val="center"/>
            <w:hideMark/>
          </w:tcPr>
          <w:p w14:paraId="3972FD46"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noWrap/>
            <w:vAlign w:val="center"/>
            <w:hideMark/>
          </w:tcPr>
          <w:p w14:paraId="0B6B437F"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noWrap/>
            <w:vAlign w:val="center"/>
            <w:hideMark/>
          </w:tcPr>
          <w:p w14:paraId="2D09032E"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hideMark/>
          </w:tcPr>
          <w:p w14:paraId="4DCBBD59" w14:textId="77777777"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3969" w:type="dxa"/>
            <w:vMerge w:val="restart"/>
            <w:shd w:val="clear" w:color="auto" w:fill="BDD6EE"/>
            <w:vAlign w:val="center"/>
            <w:hideMark/>
          </w:tcPr>
          <w:p w14:paraId="1C2BDDAB"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bookmarkEnd w:id="22"/>
      <w:tr w:rsidR="00DC5EC6" w14:paraId="2512663C" w14:textId="77777777">
        <w:trPr>
          <w:trHeight w:val="300"/>
          <w:tblHeader/>
        </w:trPr>
        <w:tc>
          <w:tcPr>
            <w:tcW w:w="1135" w:type="dxa"/>
            <w:vMerge/>
            <w:vAlign w:val="center"/>
            <w:hideMark/>
          </w:tcPr>
          <w:p w14:paraId="71D29AAD"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3784C78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shd w:val="clear" w:color="auto" w:fill="BDD6EE"/>
            <w:noWrap/>
            <w:vAlign w:val="center"/>
            <w:hideMark/>
          </w:tcPr>
          <w:p w14:paraId="7BE73013" w14:textId="1244C4EB"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6F2C4548"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106AC914"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noWrap/>
            <w:vAlign w:val="center"/>
            <w:hideMark/>
          </w:tcPr>
          <w:p w14:paraId="6BB0C9B9"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noWrap/>
            <w:vAlign w:val="center"/>
            <w:hideMark/>
          </w:tcPr>
          <w:p w14:paraId="7837A6A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noWrap/>
            <w:vAlign w:val="center"/>
            <w:hideMark/>
          </w:tcPr>
          <w:p w14:paraId="0A015CF7"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noWrap/>
            <w:vAlign w:val="center"/>
            <w:hideMark/>
          </w:tcPr>
          <w:p w14:paraId="715832CA" w14:textId="70AC2F99" w:rsidR="00DC5EC6" w:rsidRDefault="001F25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noWrap/>
            <w:vAlign w:val="center"/>
            <w:hideMark/>
          </w:tcPr>
          <w:p w14:paraId="5FA15F06" w14:textId="18AAFD44"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4CC75BE5" w14:textId="77777777" w:rsidR="00DC5EC6" w:rsidRDefault="00DC5EC6">
            <w:pPr>
              <w:spacing w:after="0" w:line="240" w:lineRule="auto"/>
              <w:rPr>
                <w:rFonts w:ascii="Times New Roman" w:eastAsia="Times New Roman" w:hAnsi="Times New Roman" w:cs="Times New Roman"/>
                <w:b/>
                <w:noProof/>
                <w:sz w:val="18"/>
              </w:rPr>
            </w:pPr>
          </w:p>
        </w:tc>
      </w:tr>
      <w:tr w:rsidR="003F2296" w14:paraId="7A04D420" w14:textId="77777777">
        <w:trPr>
          <w:trHeight w:val="1260"/>
          <w:tblHeader/>
        </w:trPr>
        <w:tc>
          <w:tcPr>
            <w:tcW w:w="1135" w:type="dxa"/>
            <w:shd w:val="clear" w:color="auto" w:fill="C4EFCE"/>
            <w:noWrap/>
            <w:vAlign w:val="center"/>
          </w:tcPr>
          <w:p w14:paraId="5AE76F1F" w14:textId="0E0C05FE" w:rsidR="003F2296" w:rsidRDefault="003F2296" w:rsidP="003F2296">
            <w:pPr>
              <w:pStyle w:val="P68B1DB1-Normal7"/>
              <w:spacing w:after="0" w:line="240" w:lineRule="auto"/>
              <w:jc w:val="center"/>
              <w:rPr>
                <w:rFonts w:eastAsia="Times New Roman" w:cs="Calibri"/>
                <w:noProof/>
              </w:rPr>
            </w:pPr>
            <w:r>
              <w:rPr>
                <w:noProof/>
              </w:rPr>
              <w:t>9.10</w:t>
            </w:r>
          </w:p>
        </w:tc>
        <w:tc>
          <w:tcPr>
            <w:tcW w:w="1276" w:type="dxa"/>
            <w:shd w:val="clear" w:color="auto" w:fill="C4EFCE"/>
            <w:noWrap/>
            <w:vAlign w:val="center"/>
          </w:tcPr>
          <w:p w14:paraId="7B9ECDFA" w14:textId="4638F8FA" w:rsidR="003F2296" w:rsidRDefault="003F2296" w:rsidP="003F2296">
            <w:pPr>
              <w:pStyle w:val="P68B1DB1-Normal8"/>
              <w:spacing w:after="0" w:line="240" w:lineRule="auto"/>
              <w:jc w:val="center"/>
              <w:rPr>
                <w:rFonts w:eastAsia="Times New Roman" w:cs="Calibri"/>
                <w:noProof/>
              </w:rPr>
            </w:pPr>
            <w:r>
              <w:rPr>
                <w:noProof/>
              </w:rPr>
              <w:t>Újra C09–i04</w:t>
            </w:r>
          </w:p>
        </w:tc>
        <w:tc>
          <w:tcPr>
            <w:tcW w:w="1134" w:type="dxa"/>
            <w:shd w:val="clear" w:color="auto" w:fill="C4EFCE"/>
            <w:noWrap/>
            <w:vAlign w:val="center"/>
          </w:tcPr>
          <w:p w14:paraId="1650E83C" w14:textId="2A98B9CC" w:rsidR="003F2296" w:rsidRDefault="003F2296" w:rsidP="003F2296">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38E9F561" w14:textId="401CA359" w:rsidR="003F2296" w:rsidRDefault="003F2296" w:rsidP="003F2296">
            <w:pPr>
              <w:pStyle w:val="P68B1DB1-Normal8"/>
              <w:spacing w:after="0" w:line="240" w:lineRule="auto"/>
              <w:jc w:val="center"/>
              <w:rPr>
                <w:rFonts w:eastAsia="Times New Roman" w:cs="Calibri"/>
                <w:noProof/>
              </w:rPr>
            </w:pPr>
            <w:r>
              <w:rPr>
                <w:noProof/>
              </w:rPr>
              <w:t>A jogszabályi kritériumoknak teljes mértékben és érdemben megfelelő pozitív környezeti hatásvizsgálattól, a gát, a víz- és napenergia-termelés és az öntözés aktualizált tervének elfogadásától függ, amely teljes mértékben figyelembe veszi a környezeti hatásvizsgálat valamennyi eredményét és feltételét.</w:t>
            </w:r>
          </w:p>
        </w:tc>
        <w:tc>
          <w:tcPr>
            <w:tcW w:w="1275" w:type="dxa"/>
            <w:shd w:val="clear" w:color="auto" w:fill="C4EFCE"/>
            <w:noWrap/>
            <w:vAlign w:val="center"/>
          </w:tcPr>
          <w:p w14:paraId="02774AD5" w14:textId="25B357D0" w:rsidR="003F2296" w:rsidRDefault="003F2296" w:rsidP="003F2296">
            <w:pPr>
              <w:pStyle w:val="P68B1DB1-Normal8"/>
              <w:spacing w:after="0" w:line="240" w:lineRule="auto"/>
              <w:jc w:val="center"/>
              <w:rPr>
                <w:rFonts w:eastAsia="Times New Roman" w:cs="Calibri"/>
                <w:noProof/>
              </w:rPr>
            </w:pPr>
            <w:r>
              <w:rPr>
                <w:noProof/>
              </w:rPr>
              <w:t>Az aktualizált terv elfogadása</w:t>
            </w:r>
          </w:p>
        </w:tc>
        <w:tc>
          <w:tcPr>
            <w:tcW w:w="993" w:type="dxa"/>
            <w:shd w:val="clear" w:color="auto" w:fill="C4EFCE"/>
            <w:noWrap/>
            <w:vAlign w:val="center"/>
          </w:tcPr>
          <w:p w14:paraId="357E7085" w14:textId="77777777" w:rsidR="003F2296" w:rsidRDefault="003F2296" w:rsidP="003F229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EAF7F6D" w14:textId="77777777" w:rsidR="003F2296" w:rsidRDefault="003F2296" w:rsidP="003F229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DB852A9" w14:textId="77777777" w:rsidR="003F2296" w:rsidRDefault="003F2296" w:rsidP="003F229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634803F8" w14:textId="10AC7992" w:rsidR="003F2296" w:rsidRDefault="003F2296" w:rsidP="003F2296">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tcPr>
          <w:p w14:paraId="5CCD347B" w14:textId="6A4D3ED5" w:rsidR="003F2296" w:rsidRDefault="003F2296" w:rsidP="003F2296">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tcPr>
          <w:p w14:paraId="307065E5" w14:textId="77777777" w:rsidR="003F2296" w:rsidRDefault="003F2296" w:rsidP="003F2296">
            <w:pPr>
              <w:pStyle w:val="P68B1DB1-Normal8"/>
              <w:spacing w:after="0" w:line="240" w:lineRule="auto"/>
              <w:jc w:val="both"/>
              <w:rPr>
                <w:rFonts w:eastAsia="Times New Roman" w:cs="Calibri"/>
                <w:noProof/>
              </w:rPr>
            </w:pPr>
            <w:r>
              <w:rPr>
                <w:noProof/>
              </w:rPr>
              <w:t xml:space="preserve">Egy olyan környezeti hatásvizsgálattól függően, amely megállapítja, hogy nem történt jelentős károkozás, a gát, a víz- és napenergia-termelés és az öntözés aktualizált tervének elfogadása, amely teljes mértékben figyelembe veszi az átfogó és kumulatív környezeti hatásvizsgálat eredményeit és feltételeit, amennyiben az a DNSH technikai iránymutatásának (2021/C58/01) való megfelelés érdekében szükséges. A környezeti hatásvizsgálatot a 2011/92/EU irányelvvel, valamint a 2000/60/EK irányelv szerinti vonatkozó értékelésekkel összhangban kell elvégezni, beleértve a szükséges mérséklési intézkedések végrehajtását is. </w:t>
            </w:r>
          </w:p>
          <w:p w14:paraId="6301C6F9" w14:textId="77777777" w:rsidR="003F2296" w:rsidRDefault="003F2296" w:rsidP="003F2296">
            <w:pPr>
              <w:spacing w:after="0" w:line="240" w:lineRule="auto"/>
              <w:jc w:val="both"/>
              <w:rPr>
                <w:rFonts w:ascii="Calibri" w:eastAsia="Times New Roman" w:hAnsi="Calibri" w:cs="Calibri"/>
                <w:noProof/>
                <w:sz w:val="16"/>
              </w:rPr>
            </w:pPr>
          </w:p>
          <w:p w14:paraId="563B34EB" w14:textId="77777777" w:rsidR="003F2296" w:rsidRDefault="003F2296" w:rsidP="003F2296">
            <w:pPr>
              <w:pStyle w:val="P68B1DB1-Normal8"/>
              <w:spacing w:after="0" w:line="240" w:lineRule="auto"/>
              <w:jc w:val="both"/>
              <w:rPr>
                <w:rFonts w:eastAsia="Times New Roman" w:cs="Calibri"/>
                <w:noProof/>
              </w:rPr>
            </w:pPr>
            <w:r>
              <w:rPr>
                <w:noProof/>
              </w:rPr>
              <w:t>A környezeti hatásvizsgálat és a 2000/60/EK irányelv szerinti értékelés keretében meghatározott, a DNSH műszaki iránymutatásnak (2021/C58/01) való megfelelés biztosításához szükséges intézkedéseket integrálni kell a projektbe, és be kell tartani az infrastruktúra kiépítésének, üzemeltetésének és leszerelésének szakaszában.</w:t>
            </w:r>
          </w:p>
          <w:p w14:paraId="47634865" w14:textId="7A8CAFDB" w:rsidR="003F2296" w:rsidRDefault="003F2296" w:rsidP="003F2296">
            <w:pPr>
              <w:spacing w:after="0" w:line="240" w:lineRule="auto"/>
              <w:jc w:val="both"/>
              <w:rPr>
                <w:rFonts w:ascii="Calibri" w:eastAsia="Times New Roman" w:hAnsi="Calibri" w:cs="Calibri"/>
                <w:noProof/>
                <w:sz w:val="16"/>
              </w:rPr>
            </w:pPr>
          </w:p>
        </w:tc>
      </w:tr>
    </w:tbl>
    <w:p w14:paraId="7E0C9D80" w14:textId="77777777" w:rsidR="00DC5EC6" w:rsidRDefault="00DC5EC6">
      <w:pPr>
        <w:spacing w:after="0" w:line="240" w:lineRule="auto"/>
        <w:jc w:val="center"/>
        <w:rPr>
          <w:rFonts w:ascii="Calibri" w:eastAsia="Times New Roman" w:hAnsi="Calibri" w:cs="Calibri"/>
          <w:b/>
          <w:noProof/>
          <w:sz w:val="16"/>
        </w:rPr>
        <w:sectPr w:rsidR="00DC5EC6" w:rsidSect="00E00EDD">
          <w:headerReference w:type="even" r:id="rId198"/>
          <w:headerReference w:type="default" r:id="rId199"/>
          <w:footerReference w:type="even" r:id="rId200"/>
          <w:footerReference w:type="default" r:id="rId201"/>
          <w:headerReference w:type="first" r:id="rId202"/>
          <w:footerReference w:type="first" r:id="rId203"/>
          <w:pgSz w:w="16839" w:h="11907" w:orient="landscape"/>
          <w:pgMar w:top="1134" w:right="1134" w:bottom="1134" w:left="1134" w:header="567" w:footer="567" w:gutter="0"/>
          <w:cols w:space="720"/>
          <w:docGrid w:linePitch="360"/>
        </w:sect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645A7A24" w14:textId="77777777">
        <w:trPr>
          <w:trHeight w:val="525"/>
          <w:tblHeader/>
        </w:trPr>
        <w:tc>
          <w:tcPr>
            <w:tcW w:w="1135" w:type="dxa"/>
            <w:vMerge w:val="restart"/>
            <w:shd w:val="clear" w:color="auto" w:fill="BDD6EE"/>
            <w:noWrap/>
            <w:vAlign w:val="center"/>
          </w:tcPr>
          <w:p w14:paraId="49BCA749" w14:textId="574691EA"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tcPr>
          <w:p w14:paraId="656A6E3D" w14:textId="65A6BE6F"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tcPr>
          <w:p w14:paraId="3F140861" w14:textId="05956691"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noWrap/>
            <w:vAlign w:val="center"/>
          </w:tcPr>
          <w:p w14:paraId="7E92527E" w14:textId="5A6FC241"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noWrap/>
            <w:vAlign w:val="center"/>
          </w:tcPr>
          <w:p w14:paraId="4E73A322" w14:textId="10710CE6"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noWrap/>
            <w:vAlign w:val="center"/>
          </w:tcPr>
          <w:p w14:paraId="1CF25973" w14:textId="50C0721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tcPr>
          <w:p w14:paraId="7627C3DB" w14:textId="67658CFC"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3969" w:type="dxa"/>
            <w:vMerge w:val="restart"/>
            <w:shd w:val="clear" w:color="auto" w:fill="BDD6EE"/>
            <w:vAlign w:val="center"/>
          </w:tcPr>
          <w:p w14:paraId="6E91A456" w14:textId="1EEE8516"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AF10782" w14:textId="77777777">
        <w:trPr>
          <w:trHeight w:val="525"/>
          <w:tblHeader/>
        </w:trPr>
        <w:tc>
          <w:tcPr>
            <w:tcW w:w="1135" w:type="dxa"/>
            <w:vMerge/>
            <w:shd w:val="clear" w:color="auto" w:fill="BDD6EE"/>
            <w:noWrap/>
            <w:vAlign w:val="center"/>
          </w:tcPr>
          <w:p w14:paraId="5D493835" w14:textId="77777777" w:rsidR="00DC5EC6" w:rsidRDefault="00DC5EC6">
            <w:pPr>
              <w:spacing w:after="0" w:line="240" w:lineRule="auto"/>
              <w:jc w:val="center"/>
              <w:rPr>
                <w:rFonts w:ascii="Times New Roman" w:eastAsia="Times New Roman" w:hAnsi="Times New Roman" w:cs="Times New Roman"/>
                <w:b/>
                <w:noProof/>
                <w:sz w:val="18"/>
              </w:rPr>
            </w:pPr>
          </w:p>
        </w:tc>
        <w:tc>
          <w:tcPr>
            <w:tcW w:w="1276" w:type="dxa"/>
            <w:vMerge/>
            <w:shd w:val="clear" w:color="auto" w:fill="BDD6EE"/>
            <w:noWrap/>
            <w:vAlign w:val="center"/>
          </w:tcPr>
          <w:p w14:paraId="5CFE31A1" w14:textId="77777777" w:rsidR="00DC5EC6" w:rsidRDefault="00DC5EC6">
            <w:pPr>
              <w:spacing w:after="0" w:line="240" w:lineRule="auto"/>
              <w:jc w:val="center"/>
              <w:rPr>
                <w:rFonts w:ascii="Times New Roman" w:eastAsia="Times New Roman" w:hAnsi="Times New Roman" w:cs="Times New Roman"/>
                <w:b/>
                <w:noProof/>
                <w:sz w:val="18"/>
              </w:rPr>
            </w:pPr>
          </w:p>
        </w:tc>
        <w:tc>
          <w:tcPr>
            <w:tcW w:w="1134" w:type="dxa"/>
            <w:vMerge/>
            <w:shd w:val="clear" w:color="auto" w:fill="BDD6EE"/>
            <w:noWrap/>
            <w:vAlign w:val="center"/>
          </w:tcPr>
          <w:p w14:paraId="1EC2C84E"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shd w:val="clear" w:color="auto" w:fill="BDD6EE"/>
            <w:noWrap/>
            <w:vAlign w:val="center"/>
          </w:tcPr>
          <w:p w14:paraId="318B1182" w14:textId="77777777" w:rsidR="00DC5EC6" w:rsidRDefault="00DC5EC6">
            <w:pPr>
              <w:spacing w:after="0" w:line="240" w:lineRule="auto"/>
              <w:jc w:val="center"/>
              <w:rPr>
                <w:rFonts w:ascii="Times New Roman" w:eastAsia="Times New Roman" w:hAnsi="Times New Roman" w:cs="Times New Roman"/>
                <w:b/>
                <w:noProof/>
                <w:sz w:val="18"/>
              </w:rPr>
            </w:pPr>
          </w:p>
        </w:tc>
        <w:tc>
          <w:tcPr>
            <w:tcW w:w="1275" w:type="dxa"/>
            <w:vMerge/>
            <w:shd w:val="clear" w:color="auto" w:fill="BDD6EE"/>
            <w:noWrap/>
            <w:vAlign w:val="center"/>
          </w:tcPr>
          <w:p w14:paraId="3F2B7268" w14:textId="77777777" w:rsidR="00DC5EC6" w:rsidRDefault="00DC5EC6">
            <w:pPr>
              <w:spacing w:after="0" w:line="240" w:lineRule="auto"/>
              <w:jc w:val="center"/>
              <w:rPr>
                <w:rFonts w:ascii="Times New Roman" w:eastAsia="Times New Roman" w:hAnsi="Times New Roman" w:cs="Times New Roman"/>
                <w:b/>
                <w:noProof/>
                <w:sz w:val="18"/>
              </w:rPr>
            </w:pPr>
          </w:p>
        </w:tc>
        <w:tc>
          <w:tcPr>
            <w:tcW w:w="993" w:type="dxa"/>
            <w:shd w:val="clear" w:color="auto" w:fill="BDD6EE"/>
            <w:noWrap/>
            <w:vAlign w:val="center"/>
          </w:tcPr>
          <w:p w14:paraId="442EF0A7" w14:textId="46709A64"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tcPr>
          <w:p w14:paraId="57D31F6B" w14:textId="69A20BB0"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tcPr>
          <w:p w14:paraId="00D0D2E2" w14:textId="333D1553"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C6D9F1" w:themeFill="text2" w:themeFillTint="33"/>
            <w:noWrap/>
            <w:vAlign w:val="center"/>
          </w:tcPr>
          <w:p w14:paraId="0C609051" w14:textId="5DFF1650" w:rsidR="00DC5EC6" w:rsidRDefault="003245A4">
            <w:pPr>
              <w:pStyle w:val="P68B1DB1-Normal8"/>
              <w:spacing w:after="0" w:line="240" w:lineRule="auto"/>
              <w:jc w:val="center"/>
              <w:rPr>
                <w:rFonts w:eastAsia="Times New Roman" w:cs="Calibri"/>
                <w:noProof/>
              </w:rPr>
            </w:pPr>
            <w:r>
              <w:rPr>
                <w:noProof/>
              </w:rPr>
              <w:t>Q</w:t>
            </w:r>
          </w:p>
        </w:tc>
        <w:tc>
          <w:tcPr>
            <w:tcW w:w="708" w:type="dxa"/>
            <w:shd w:val="clear" w:color="auto" w:fill="BDD6EE"/>
            <w:vAlign w:val="center"/>
          </w:tcPr>
          <w:p w14:paraId="5E59938E" w14:textId="4687ACDB" w:rsidR="00DC5EC6" w:rsidRDefault="003245A4">
            <w:pPr>
              <w:pStyle w:val="P68B1DB1-Normal6"/>
              <w:spacing w:after="0" w:line="240" w:lineRule="auto"/>
              <w:jc w:val="center"/>
              <w:rPr>
                <w:rFonts w:ascii="Calibri" w:eastAsia="Times New Roman" w:hAnsi="Calibri" w:cs="Calibri"/>
                <w:noProof/>
                <w:sz w:val="16"/>
              </w:rPr>
            </w:pPr>
            <w:r>
              <w:rPr>
                <w:noProof/>
              </w:rPr>
              <w:t>Éve</w:t>
            </w:r>
          </w:p>
        </w:tc>
        <w:tc>
          <w:tcPr>
            <w:tcW w:w="3969" w:type="dxa"/>
            <w:vMerge/>
            <w:shd w:val="clear" w:color="auto" w:fill="B8CCE4" w:themeFill="accent1" w:themeFillTint="66"/>
            <w:vAlign w:val="center"/>
          </w:tcPr>
          <w:p w14:paraId="2D7E8CEC" w14:textId="77777777" w:rsidR="00DC5EC6" w:rsidRDefault="00DC5EC6">
            <w:pPr>
              <w:spacing w:after="0" w:line="240" w:lineRule="auto"/>
              <w:jc w:val="both"/>
              <w:rPr>
                <w:rFonts w:ascii="Calibri" w:eastAsia="Times New Roman" w:hAnsi="Calibri" w:cs="Calibri"/>
                <w:noProof/>
                <w:sz w:val="16"/>
              </w:rPr>
            </w:pPr>
          </w:p>
        </w:tc>
      </w:tr>
      <w:tr w:rsidR="001F25B1" w14:paraId="377F90B7" w14:textId="77777777">
        <w:trPr>
          <w:trHeight w:val="1050"/>
          <w:tblHeader/>
        </w:trPr>
        <w:tc>
          <w:tcPr>
            <w:tcW w:w="1135" w:type="dxa"/>
            <w:shd w:val="clear" w:color="auto" w:fill="C4EFCE"/>
            <w:noWrap/>
            <w:vAlign w:val="center"/>
          </w:tcPr>
          <w:p w14:paraId="1879CF06" w14:textId="2ED24A15" w:rsidR="001F25B1" w:rsidRDefault="001F25B1" w:rsidP="001F25B1">
            <w:pPr>
              <w:pStyle w:val="P68B1DB1-Normal7"/>
              <w:spacing w:after="0" w:line="240" w:lineRule="auto"/>
              <w:jc w:val="center"/>
              <w:rPr>
                <w:rFonts w:eastAsia="Times New Roman" w:cs="Calibri"/>
                <w:noProof/>
              </w:rPr>
            </w:pPr>
            <w:r>
              <w:rPr>
                <w:noProof/>
              </w:rPr>
              <w:t>9.11</w:t>
            </w:r>
          </w:p>
        </w:tc>
        <w:tc>
          <w:tcPr>
            <w:tcW w:w="1276" w:type="dxa"/>
            <w:shd w:val="clear" w:color="auto" w:fill="C4EFCE"/>
            <w:noWrap/>
            <w:vAlign w:val="center"/>
          </w:tcPr>
          <w:p w14:paraId="1407D8DF" w14:textId="7A6EA6EF" w:rsidR="001F25B1" w:rsidRDefault="001F25B1" w:rsidP="001F25B1">
            <w:pPr>
              <w:pStyle w:val="P68B1DB1-Normal8"/>
              <w:spacing w:after="0" w:line="240" w:lineRule="auto"/>
              <w:jc w:val="center"/>
              <w:rPr>
                <w:rFonts w:eastAsia="Times New Roman" w:cs="Calibri"/>
                <w:noProof/>
              </w:rPr>
            </w:pPr>
            <w:r>
              <w:rPr>
                <w:noProof/>
              </w:rPr>
              <w:t>Újra C09–i04</w:t>
            </w:r>
          </w:p>
        </w:tc>
        <w:tc>
          <w:tcPr>
            <w:tcW w:w="1134" w:type="dxa"/>
            <w:shd w:val="clear" w:color="auto" w:fill="C4EFCE"/>
            <w:noWrap/>
            <w:vAlign w:val="center"/>
          </w:tcPr>
          <w:p w14:paraId="0C17A5A0" w14:textId="063C5029" w:rsidR="001F25B1" w:rsidRDefault="001F25B1" w:rsidP="001F25B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0239B0F6" w14:textId="52DBFA21" w:rsidR="001F25B1" w:rsidRDefault="001F25B1" w:rsidP="001F25B1">
            <w:pPr>
              <w:pStyle w:val="P68B1DB1-Normal8"/>
              <w:spacing w:after="0" w:line="240" w:lineRule="auto"/>
              <w:jc w:val="center"/>
              <w:rPr>
                <w:rFonts w:eastAsia="Times New Roman" w:cs="Calibri"/>
                <w:noProof/>
              </w:rPr>
            </w:pPr>
            <w:r>
              <w:rPr>
                <w:noProof/>
              </w:rPr>
              <w:t>A gát, a víz- és napenergia-termelés és az öntözés üzembe helyezése, a környezeti hatásvizsgálat eredményeinek és feltételeinek teljes körű tiszteletben tartása, valamint az érintett víztestek jó állapotának elérése</w:t>
            </w:r>
          </w:p>
        </w:tc>
        <w:tc>
          <w:tcPr>
            <w:tcW w:w="1275" w:type="dxa"/>
            <w:shd w:val="clear" w:color="auto" w:fill="C4EFCE"/>
            <w:noWrap/>
            <w:vAlign w:val="center"/>
          </w:tcPr>
          <w:p w14:paraId="7A468BEE" w14:textId="5C179788" w:rsidR="001F25B1" w:rsidRDefault="001F25B1" w:rsidP="001F25B1">
            <w:pPr>
              <w:pStyle w:val="P68B1DB1-Normal8"/>
              <w:spacing w:after="0" w:line="240" w:lineRule="auto"/>
              <w:jc w:val="center"/>
              <w:rPr>
                <w:rFonts w:eastAsia="Times New Roman" w:cs="Calibri"/>
                <w:noProof/>
              </w:rPr>
            </w:pPr>
            <w:r>
              <w:rPr>
                <w:noProof/>
              </w:rPr>
              <w:t>A gát üzembe helyezése</w:t>
            </w:r>
          </w:p>
        </w:tc>
        <w:tc>
          <w:tcPr>
            <w:tcW w:w="993" w:type="dxa"/>
            <w:shd w:val="clear" w:color="auto" w:fill="C4EFCE"/>
            <w:noWrap/>
            <w:vAlign w:val="center"/>
          </w:tcPr>
          <w:p w14:paraId="7F731D00" w14:textId="77777777" w:rsidR="001F25B1" w:rsidRDefault="001F25B1" w:rsidP="001F25B1">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7E2C7D5C" w14:textId="77777777" w:rsidR="001F25B1" w:rsidRDefault="001F25B1" w:rsidP="001F25B1">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0BD23613" w14:textId="77777777" w:rsidR="001F25B1" w:rsidRDefault="001F25B1" w:rsidP="001F25B1">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1A712FED" w14:textId="075FC506" w:rsidR="001F25B1" w:rsidRDefault="001F25B1" w:rsidP="001F25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tcPr>
          <w:p w14:paraId="03485358" w14:textId="49F63D83" w:rsidR="001F25B1" w:rsidRDefault="001F25B1" w:rsidP="001F25B1">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tcPr>
          <w:p w14:paraId="06A29FB6" w14:textId="77777777" w:rsidR="001F25B1" w:rsidRDefault="001F25B1" w:rsidP="001F25B1">
            <w:pPr>
              <w:pStyle w:val="P68B1DB1-Normal8"/>
              <w:spacing w:after="0" w:line="240" w:lineRule="auto"/>
              <w:jc w:val="both"/>
              <w:rPr>
                <w:rFonts w:eastAsia="Times New Roman" w:cs="Calibri"/>
                <w:noProof/>
              </w:rPr>
            </w:pPr>
            <w:r>
              <w:rPr>
                <w:noProof/>
              </w:rPr>
              <w:t>A gát, a víz- és napenergia-termelő egységek és az öntözőrendszer üzembe helyezése, teljes mértékben tiszteletben tartva a 2011/92/EU irányelvvel összhangban elvégzett átfogó és kumulatív környezeti hatásvizsgálat eredményeit és feltételeit, valamint a 2000/60/EK irányelvvel összefüggésben végzett vonatkozó értékeléseket, beleértve a szükséges mérséklési intézkedések végrehajtását is. Biztosítani kell a DNSH technikai iránymutatásnak (2021/C58/01) való megfelelést.</w:t>
            </w:r>
          </w:p>
          <w:p w14:paraId="27D5C9C8" w14:textId="77777777" w:rsidR="001F25B1" w:rsidRDefault="001F25B1" w:rsidP="001F25B1">
            <w:pPr>
              <w:spacing w:after="0" w:line="240" w:lineRule="auto"/>
              <w:jc w:val="both"/>
              <w:rPr>
                <w:rFonts w:ascii="Calibri" w:eastAsia="Times New Roman" w:hAnsi="Calibri" w:cs="Calibri"/>
                <w:noProof/>
                <w:sz w:val="16"/>
              </w:rPr>
            </w:pPr>
          </w:p>
          <w:p w14:paraId="4FAACE21" w14:textId="77777777" w:rsidR="001F25B1" w:rsidRDefault="001F25B1" w:rsidP="001F25B1">
            <w:pPr>
              <w:pStyle w:val="P68B1DB1-Normal8"/>
              <w:spacing w:after="0" w:line="240" w:lineRule="auto"/>
              <w:jc w:val="both"/>
              <w:rPr>
                <w:rFonts w:eastAsia="Times New Roman" w:cs="Calibri"/>
                <w:noProof/>
              </w:rPr>
            </w:pPr>
            <w:r>
              <w:rPr>
                <w:noProof/>
              </w:rPr>
              <w:t>Az intézkedésnek biztosítania kell Alter do Chão, Avis, Crato, Fronteira, Gavião, Nisa, Ponte de Sor és Sousel lakosságának a városi vízigények kielégítését.</w:t>
            </w:r>
          </w:p>
          <w:p w14:paraId="66B2A4F9" w14:textId="77777777" w:rsidR="001F25B1" w:rsidRDefault="001F25B1" w:rsidP="001F25B1">
            <w:pPr>
              <w:spacing w:after="0" w:line="240" w:lineRule="auto"/>
              <w:jc w:val="both"/>
              <w:rPr>
                <w:rFonts w:ascii="Calibri" w:eastAsia="Times New Roman" w:hAnsi="Calibri" w:cs="Calibri"/>
                <w:noProof/>
                <w:sz w:val="16"/>
              </w:rPr>
            </w:pPr>
          </w:p>
          <w:p w14:paraId="6E6FCE41" w14:textId="77777777" w:rsidR="001F25B1" w:rsidRDefault="001F25B1" w:rsidP="001F25B1">
            <w:pPr>
              <w:pStyle w:val="P68B1DB1-Normal8"/>
              <w:spacing w:after="0" w:line="240" w:lineRule="auto"/>
              <w:jc w:val="both"/>
              <w:rPr>
                <w:rFonts w:eastAsia="Times New Roman" w:cs="Calibri"/>
                <w:noProof/>
              </w:rPr>
            </w:pPr>
            <w:r>
              <w:rPr>
                <w:noProof/>
              </w:rPr>
              <w:t>A tisztaenergia-termelési kapacitás növelése a telepítendő napenergia-egység energiakapacitása alapján, plusz 1,0 MW/év a minihidrovízből; öntözőblokkok létesítése, amely lehetővé teszi egy új, 5078 hektárnyi, ökológiai és változatos növénykultúrák számára alkalmas öntözött terület biztosítását.</w:t>
            </w:r>
          </w:p>
          <w:p w14:paraId="52487FBC" w14:textId="77777777" w:rsidR="001F25B1" w:rsidRDefault="001F25B1" w:rsidP="001F25B1">
            <w:pPr>
              <w:spacing w:after="0" w:line="240" w:lineRule="auto"/>
              <w:jc w:val="both"/>
              <w:rPr>
                <w:rFonts w:ascii="Calibri" w:eastAsia="Times New Roman" w:hAnsi="Calibri" w:cs="Calibri"/>
                <w:noProof/>
                <w:sz w:val="16"/>
              </w:rPr>
            </w:pPr>
          </w:p>
          <w:p w14:paraId="42592D55" w14:textId="77777777" w:rsidR="001F25B1" w:rsidRDefault="001F25B1" w:rsidP="001F25B1">
            <w:pPr>
              <w:pStyle w:val="P68B1DB1-Normal8"/>
              <w:spacing w:after="0" w:line="240" w:lineRule="auto"/>
              <w:jc w:val="both"/>
              <w:rPr>
                <w:rFonts w:eastAsia="Times New Roman" w:cs="Calibri"/>
                <w:noProof/>
              </w:rPr>
            </w:pPr>
            <w:r>
              <w:rPr>
                <w:noProof/>
              </w:rPr>
              <w:t>Az érintett víztestek jó ökológiai állapotát/potenciálját a 2000/60/EK víz-keretirányelv követelményeivel összhangban elérték és tanúsították.</w:t>
            </w:r>
          </w:p>
          <w:p w14:paraId="08B20BF2" w14:textId="24EAFAF5" w:rsidR="001F25B1" w:rsidRDefault="001F25B1" w:rsidP="001F25B1">
            <w:pPr>
              <w:spacing w:after="0" w:line="240" w:lineRule="auto"/>
              <w:jc w:val="both"/>
              <w:rPr>
                <w:rFonts w:ascii="Calibri" w:eastAsia="Times New Roman" w:hAnsi="Calibri" w:cs="Calibri"/>
                <w:noProof/>
                <w:sz w:val="16"/>
              </w:rPr>
            </w:pPr>
          </w:p>
        </w:tc>
      </w:tr>
    </w:tbl>
    <w:p w14:paraId="67B8C802" w14:textId="150ED53E"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sectPr w:rsidR="00DC5EC6" w:rsidSect="00E00EDD">
          <w:headerReference w:type="even" r:id="rId204"/>
          <w:headerReference w:type="default" r:id="rId205"/>
          <w:footerReference w:type="even" r:id="rId206"/>
          <w:footerReference w:type="default" r:id="rId207"/>
          <w:headerReference w:type="first" r:id="rId208"/>
          <w:footerReference w:type="first" r:id="rId209"/>
          <w:pgSz w:w="16839" w:h="11907" w:orient="landscape"/>
          <w:pgMar w:top="1134" w:right="1134" w:bottom="1134" w:left="1134" w:header="567" w:footer="567" w:gutter="0"/>
          <w:cols w:space="720"/>
          <w:docGrid w:linePitch="360"/>
        </w:sectPr>
      </w:pPr>
    </w:p>
    <w:p w14:paraId="36DDF044" w14:textId="42BA38F6"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J. 10. </w:t>
      </w:r>
      <w:r w:rsidR="00342815">
        <w:rPr>
          <w:noProof/>
        </w:rPr>
        <w:t>KOMPONENS</w:t>
      </w:r>
      <w:r>
        <w:rPr>
          <w:noProof/>
        </w:rPr>
        <w:t>: Tenger</w:t>
      </w:r>
    </w:p>
    <w:p w14:paraId="7B573033" w14:textId="34C41316" w:rsidR="00DC5EC6" w:rsidRDefault="003245A4">
      <w:pPr>
        <w:pStyle w:val="P68B1DB1-Normal4"/>
        <w:keepNext/>
        <w:spacing w:before="40" w:after="0" w:line="259" w:lineRule="auto"/>
        <w:jc w:val="both"/>
        <w:rPr>
          <w:rFonts w:eastAsiaTheme="minorEastAsia" w:cs="Times New Roman"/>
          <w:noProof/>
        </w:rPr>
      </w:pPr>
      <w:r>
        <w:rPr>
          <w:noProof/>
        </w:rPr>
        <w:t>A komponens azzal a kihívással foglalkozik, hogy megteremtse az utat egy versenyképesebb, összetartóbb, inkluzívabb, továbbá dekarbonizáltabb és fenntarthatóbb tengeri gazdaság felé, amely területen Portugália jelentős potenciállal rendelkezik. A komponensnek hozzá kell járulnia a tengergazdaság éghajlat-politikai és digitális átállásából eredő lehetőségek kiaknázásához. Ennek a komponensnek a célja a tengeri gazdaság termelési potenciáljával kapcsolatos nemzeti célkitűzések elérésének támogatása. A komponens célja különösen a tengerrel kapcsolatos üzleti rendszer fenntarthatóságának és versenyképességének biztosítása. Emellett a komponens célja, hogy legalább részben kezelje a part menti közösségek szegénységét, ugyanakkor versenyképes és összetartó területet biztosítson az éghajlatváltozáshoz és a digitális átálláshoz való alkalmazkodás összefüggésében, többek között a tengeri ágazatok szempontjából releváns készségekre összpontosítva. Az összetevőnek hozzá kell járulnia az óceáni ökoszisztéma szolgáltatásai értékének megőrzéséhez is.</w:t>
      </w:r>
    </w:p>
    <w:p w14:paraId="5AE10A0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támogatja a kikötőkre és az innovációra irányuló beruházásokkal kapcsolatos gazdaságpolitika összpontosítására (2019. évi 3. országspecifikus ajánlás), valamint a beruházásoknak a zöld átállásra való összpontosítására (2020. évi 3. országspecifikus ajánlás) vonatkozó országspecifikus ajánlások végrehajtását. Emellett a komponens hozzájárul a népesség készségszintjének javításáról szóló országspecifikus ajánlás (2020. évi 2. országspecifikus ajánlás) megvalósításához. </w:t>
      </w:r>
    </w:p>
    <w:p w14:paraId="064A0E1A"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620BBC55"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744EE41"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J.1. Vissza nem térítendő pénzügyi támogatás – a reformok és beruházások ismertetése</w:t>
      </w:r>
    </w:p>
    <w:p w14:paraId="2A752A9A"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TC-r23 reform: A kék gazdasági infrastruktúra-ökoszisztéma reformja. </w:t>
      </w:r>
    </w:p>
    <w:p w14:paraId="6BF01A8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reform célja a kikötői technológiai klaszterek hálózatára vonatkozó (a Miniszterek Tanácsa által 2017-ben jóváhagyott) jogszabályok felülvizsgálata, amelyek révén Portugália célja a tengerhez kapcsolódó gazdasági tevékenységek megerősítése üzleti lehetőségek, új munkahelyek teremtése, az export támogatása, a tengeri szállítás növekedésének támogatása és a tengeri potenciál fenntartható kiaknázásának előmozdítása révén. A reform kiterjeszti a „kikötőtechnológiai klaszterek” hálózatát a tengerhez hozzáférő további területekre, és új célkitűzéseket határoz meg, például a tengergazdaság finanszírozási kapacitásának a felülvizsgált kék alap révén történő megerősítését, az óceánok használatának támogatását az éghajlatváltozás hatásainak enyhítésével szembeni ellenálló képesség javítása érdekében, a tengeri gazdasághoz és a kettős átálláshoz kapcsolódó készségek fejlesztésének előmozdítását, valamint a tengeri gazdaság fenntartható fejlődését szolgáló innováció állami támogatásának megerősítését. </w:t>
      </w:r>
    </w:p>
    <w:p w14:paraId="7535A86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létrehozza az új kék központ irányítási modelljét, amely az új, reziliensebb és fenntarthatóbb tengeri gazdaság értékláncának különböző szereplői közötti technológiaátadás mozgatórugója lesz, amelynek hatása az érintett ágazatok intelligens, fenntartható és inkluzív gazdasági fejlődése felé történő paradigmaváltás tekintetében tartós és jelentős. </w:t>
      </w:r>
    </w:p>
    <w:p w14:paraId="268AFDE5"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2021. december 31-ig be kell fejezni.</w:t>
      </w:r>
    </w:p>
    <w:p w14:paraId="3D3AF8C2" w14:textId="77777777" w:rsidR="00DC5EC6" w:rsidRDefault="003245A4">
      <w:pPr>
        <w:pStyle w:val="P68B1DB1-Normal5"/>
        <w:keepNext/>
        <w:keepLines/>
        <w:spacing w:before="240" w:after="0" w:line="259" w:lineRule="auto"/>
        <w:ind w:left="851"/>
        <w:jc w:val="both"/>
        <w:outlineLvl w:val="3"/>
        <w:rPr>
          <w:rFonts w:eastAsiaTheme="minorEastAsia" w:cs="Times New Roman"/>
          <w:noProof/>
        </w:rPr>
      </w:pPr>
      <w:bookmarkStart w:id="23" w:name="_Hlk67034111"/>
      <w:r>
        <w:rPr>
          <w:noProof/>
        </w:rPr>
        <w:t>Beruházás TC-C10–i01: Kék Platform, a kék gazdaság infrastruktúrájának hálózata</w:t>
      </w:r>
      <w:bookmarkEnd w:id="23"/>
    </w:p>
    <w:p w14:paraId="1A65F7A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az egész országra kiterjedő infrastruktúrahálózat létrehozása a kék gazdaság számára az egész országban, valamint a kék gazdaság innovációs ökoszisztémájának megerősítése. </w:t>
      </w:r>
    </w:p>
    <w:p w14:paraId="54DA9EF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új vagy meglévő infrastruktúra építéséből vagy felújításából, valamint a tengergazdasághoz kapcsolódó berendezésekbe történő beruházásból áll. A beruházás magában foglalja új kék klaszterek létrehozását az egész országban, a meglévő kék klaszterek korszerűsítését vagy rehabilitációját, valamint a képzésbe és a készségekbe való beruházást egy új Kék Iskola koncepciója révén. A beruházás új épületek építéséből vagy a tengergazdasághoz kapcsolódó épületek és berendezések felújításából és korszerűsítéséből áll. A beruházásnak lehetővé kell tennie a kutatási eredményeknek a gazdaság különböző klasztereiben (többek között Lisszabonban, Oeirasban, Peniche-ben, Aveiroban, Portóban, Algarve-ban) a gazdaság produktív szakosodásába történő átcsoportosítását. Magában kell foglalnia továbbá az egyetlen kék központba történő beruházásokat, amelyek egyesítik a különböző klaszterek által generált ismereteket, és támogatják az e klaszterek közötti hálózatépítést. Ez a kék központ a legkorszerűbb gazdaságfejlesztési módszertant tükrözi, összhangban a portugál intelligens szakosodási stratégiával, amely nagy hangsúlyt fektet az óceángazdaságra. Magában foglalja továbbá a Blue Hub School projektet, amely elsősorban az infrastruktúrába és a berendezésekbe történő beruházásokat foglalja magában, és amely magában foglalja a készségfejlesztés jelentős dimenzióját, nevezetesen a tanterveknek a Nemzeti Képesítési és Szakképzési Ügynökséggel (ANQEP) együttműködésben történő kidolgozása révén, különös tekintettel a digitális platformokra és képzésre. </w:t>
      </w:r>
    </w:p>
    <w:p w14:paraId="6210D5F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3AECA6EA"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Beruházás TC-C10–i02: Zöld és digitális átállás és biztonság a halászatban</w:t>
      </w:r>
    </w:p>
    <w:p w14:paraId="23CC3E78" w14:textId="77777777" w:rsidR="00DC5EC6" w:rsidRDefault="003245A4">
      <w:pPr>
        <w:pStyle w:val="P68B1DB1-Normal4"/>
        <w:keepNext/>
        <w:spacing w:before="40" w:after="0" w:line="259" w:lineRule="auto"/>
        <w:jc w:val="both"/>
        <w:rPr>
          <w:rFonts w:eastAsia="Times New Roman" w:cs="Times New Roman"/>
          <w:noProof/>
        </w:rPr>
      </w:pPr>
      <w:r>
        <w:rPr>
          <w:noProof/>
        </w:rPr>
        <w:t>E beruházás célja az innovációra, a folyamatok korszerűsítésére, a szénlábnyom csökkentésére, valamint a halipar és a szervezetek körforgásos gazdaságára irányuló projektek finanszírozásának</w:t>
      </w:r>
      <w:r>
        <w:rPr>
          <w:b/>
          <w:noProof/>
        </w:rPr>
        <w:t xml:space="preserve"> </w:t>
      </w:r>
      <w:r>
        <w:rPr>
          <w:noProof/>
        </w:rPr>
        <w:t xml:space="preserve">támogatása. A beruházás társadalmi előnyeinek maximalizálása érdekében a beruházásokat a vállalkozások, az ágazatot képviselő szövetségek, a termelői szervezetek, a tudományos testületek és a központi kormányzati szervek közötti szoros kapcsolatok révén kell megvalósítani. A beruházás 70, az innovációval, a folyamatok korszerűsítésével, a körforgásos gazdasággal és a halászati ágazatban működő vállalkozások ökológiai lábnyomának csökkentésével kapcsolatos projektre vonatkozó ajánlati felhívásból áll. </w:t>
      </w:r>
    </w:p>
    <w:p w14:paraId="6D8544C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2025. december 31-ig be kell fejezni. </w:t>
      </w:r>
    </w:p>
    <w:p w14:paraId="1CC63106"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Beruházás TC-C10–i04-RAA: A „Cluster do dos Açores” fejlesztése. </w:t>
      </w:r>
    </w:p>
    <w:p w14:paraId="7A537770" w14:textId="44C7D35E"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a tengertudományi kutatás helyhez kötött és mobil infrastruktúrájának korszerűsítése az Azori-szigetek autonóm régióban. Az egyik intézkedés abban áll, hogy a működőképes élettartama végéhez közeledő „Archipelago” hajót olyan modern hajóval kell helyettesíteni, amely a képességek és berendezések tekintetében magas technológiai normákkal és magas energiahatékonysággal rendelkezik a tengerkutatás és -megfigyelés jelenlegi igényeinek kielégítése, illetve az óceánok fenntartható használatának előmozdítása érdekében. A második intézkedés két, a kapcsolódó kutatóhajóba beépítendő modul, nevezetesen egy vontatóberendezés-modul és egy távirányítású vízi jármű (ROV) modul beszerzéséből áll. Az utolsó intézkedés a tengerhez kapcsolódó, az Azori-szigetek tudományos és technológiai rendszerének (SCTA) intézményeivel és vállalatokkal közös kísérleti kutatási és fejlesztési központ létrehozását jelenti, amely a hagyományos és feltörekvő területeken, például a halászatban és az azokból származó termékekben, a tengeri biotechnológiában, a bioanyagokban vagy a tengeri technológiákban és felszerelésekben – beleértve egy „kék inkubátort” is magában foglaló – akvakultúra-központot hoz létre az Azori-szigeteken. </w:t>
      </w:r>
    </w:p>
    <w:p w14:paraId="6F19EFBB" w14:textId="45036ACD"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17D3B2E6" w14:textId="02ECFF14" w:rsidR="00DC5EC6" w:rsidRDefault="003245A4">
      <w:pPr>
        <w:pStyle w:val="P68B1DB1-Normal5"/>
        <w:keepNext/>
        <w:spacing w:before="240" w:after="0" w:line="259" w:lineRule="auto"/>
        <w:ind w:left="851"/>
        <w:jc w:val="both"/>
        <w:outlineLvl w:val="3"/>
        <w:rPr>
          <w:b/>
          <w:noProof/>
        </w:rPr>
      </w:pPr>
      <w:bookmarkStart w:id="24" w:name="_Toc137472457"/>
      <w:r>
        <w:rPr>
          <w:noProof/>
        </w:rPr>
        <w:t>Beruházás TC-C10–i05</w:t>
      </w:r>
      <w:bookmarkStart w:id="25" w:name="_Toc137472458"/>
      <w:bookmarkEnd w:id="24"/>
      <w:r>
        <w:rPr>
          <w:noProof/>
        </w:rPr>
        <w:t>-RAA: Energetikai átállás, digitalizáció és a környezeti hatások csökkentése a halászati és akvakultúra-ágazatban</w:t>
      </w:r>
      <w:bookmarkEnd w:id="25"/>
    </w:p>
    <w:p w14:paraId="2F82CF26" w14:textId="77777777" w:rsidR="00DC5EC6" w:rsidRDefault="003245A4">
      <w:pPr>
        <w:pStyle w:val="P68B1DB1-Normal4"/>
        <w:spacing w:before="40" w:after="0" w:line="259" w:lineRule="auto"/>
        <w:jc w:val="both"/>
        <w:rPr>
          <w:rFonts w:cs="Times New Roman"/>
          <w:noProof/>
        </w:rPr>
      </w:pPr>
      <w:r>
        <w:rPr>
          <w:noProof/>
        </w:rPr>
        <w:t xml:space="preserve">E beruházás célja olyan projektek támogatása, amelyek célja: energetikai átállás, digitalizáció és a környezeti hatások csökkentése a halászati és akvakultúra-ágazatban az Azori-szigetek autonóm régióban. </w:t>
      </w:r>
    </w:p>
    <w:p w14:paraId="4851BFBB" w14:textId="71550539" w:rsidR="00DC5EC6" w:rsidRDefault="003245A4">
      <w:pPr>
        <w:pStyle w:val="P68B1DB1-Normal4"/>
        <w:spacing w:before="40" w:after="0" w:line="259" w:lineRule="auto"/>
        <w:jc w:val="both"/>
        <w:rPr>
          <w:rFonts w:cs="Times New Roman"/>
          <w:noProof/>
        </w:rPr>
      </w:pPr>
      <w:r>
        <w:rPr>
          <w:noProof/>
        </w:rPr>
        <w:t xml:space="preserve"> A beruházás 15 olyan projektből áll, amelyek a halászflotta korszerűsítésére és megújítására, az energiahatékonyság javítását célzó halászati és akvakultúra-innovációra, a folyamatok korszerűsítésére, a tengeri hulladéktermelés csökkentésére, valamint a körforgásos gazdaság előmozdítására irányulnak a halászati és akvakultúra-ágazatban, valamint a halászati tevékenység diverzifikálása. </w:t>
      </w:r>
    </w:p>
    <w:p w14:paraId="2CDB0CE1" w14:textId="4128E9A1" w:rsidR="00DC5EC6" w:rsidRDefault="003245A4">
      <w:pPr>
        <w:pStyle w:val="P68B1DB1-Normal4"/>
        <w:spacing w:before="40" w:after="0" w:line="259" w:lineRule="auto"/>
        <w:jc w:val="both"/>
        <w:rPr>
          <w:noProof/>
        </w:rPr>
      </w:pPr>
      <w:r>
        <w:rPr>
          <w:noProof/>
        </w:rPr>
        <w:t>A projektek kiválasztásánál – annak biztosítása érdekében, hogy az intézkedés megfeleljen a jelentős károkozás elkerülését célzó elvről szóló technikai iránymutatásnak (2021/C58/01) – a következő projektfelhívásokra vonatkozó feladatmeghatározásban foglalt támogathatósági kritériumok nem tartalmazzák a tevékenységek alábbi listáját: a fosszilis tüzelőanyagokhoz kapcsolódó tevékenységek, beleértve a továbbfelhasználást is</w:t>
      </w:r>
      <w:r>
        <w:rPr>
          <w:noProof/>
        </w:rPr>
        <w:footnoteReference w:id="40"/>
      </w:r>
      <w:r>
        <w:rPr>
          <w:noProof/>
        </w:rPr>
        <w:t>; az uniós kibocsátáskereskedelmi rendszer (ETS) keretében végzett tevékenységek, amelyek a vonatkozó referenciaértékeknél nem alacsonyabb várható üvegházhatásúgáz-kibocsátást érnek el</w:t>
      </w:r>
      <w:r>
        <w:rPr>
          <w:noProof/>
        </w:rPr>
        <w:footnoteReference w:id="41"/>
      </w:r>
      <w:r>
        <w:rPr>
          <w:noProof/>
        </w:rPr>
        <w:t>; hulladéklerakókkal, hulladékégetőkkel</w:t>
      </w:r>
      <w:r>
        <w:rPr>
          <w:noProof/>
        </w:rPr>
        <w:footnoteReference w:id="42"/>
      </w:r>
      <w:r>
        <w:rPr>
          <w:noProof/>
        </w:rPr>
        <w:t xml:space="preserve"> és mechanikai-biológiai szennyvíztisztító telepekkel kapcsolatos tevékenységek</w:t>
      </w:r>
      <w:r>
        <w:rPr>
          <w:noProof/>
        </w:rPr>
        <w:footnoteReference w:id="43"/>
      </w:r>
      <w:r>
        <w:rPr>
          <w:noProof/>
        </w:rPr>
        <w:t>. A feladatmeghatározás emellett előírja, hogy csak a vonatkozó uniós és nemzeti környezetvédelmi jogszabályoknak megfelelő tevékenységek választhatók ki.</w:t>
      </w:r>
    </w:p>
    <w:p w14:paraId="6A89D7B3" w14:textId="77777777" w:rsidR="00DC5EC6" w:rsidRDefault="003245A4">
      <w:pPr>
        <w:pStyle w:val="P68B1DB1-Normal4"/>
        <w:spacing w:before="40" w:after="0" w:line="259" w:lineRule="auto"/>
        <w:jc w:val="both"/>
        <w:rPr>
          <w:rFonts w:cs="Times New Roman"/>
          <w:i/>
          <w:noProof/>
        </w:rPr>
      </w:pPr>
      <w:r>
        <w:rPr>
          <w:noProof/>
        </w:rPr>
        <w:t>A beruházás végrehajtását 2026. március 31-ig be kell fejezni.</w:t>
      </w:r>
    </w:p>
    <w:p w14:paraId="4524D534" w14:textId="590264E0" w:rsidR="00DC5EC6" w:rsidRDefault="003245A4">
      <w:pPr>
        <w:pStyle w:val="P68B1DB1-Heading214"/>
        <w:spacing w:before="120"/>
        <w:rPr>
          <w:noProof/>
        </w:rPr>
      </w:pPr>
      <w:bookmarkStart w:id="26" w:name="_Toc137472459"/>
      <w:r>
        <w:rPr>
          <w:noProof/>
        </w:rPr>
        <w:t>Beruházás TC-C10–i06-RAM: Óceáni technológiák</w:t>
      </w:r>
      <w:bookmarkEnd w:id="26"/>
    </w:p>
    <w:p w14:paraId="31140A4D" w14:textId="77777777" w:rsidR="00DC5EC6" w:rsidRDefault="003245A4">
      <w:pPr>
        <w:pStyle w:val="P68B1DB1-Normal4"/>
        <w:spacing w:before="40" w:after="0" w:line="259" w:lineRule="auto"/>
        <w:jc w:val="both"/>
        <w:rPr>
          <w:rFonts w:cs="Times New Roman"/>
          <w:noProof/>
        </w:rPr>
      </w:pPr>
      <w:r>
        <w:rPr>
          <w:noProof/>
        </w:rPr>
        <w:t xml:space="preserve">E beruházás célja Madeira autonóm régióban a tengertudományi kutatás infrastrukturális szükségleteinek kielégítése, valamint a tengerkutatás és a gazdasági ágazat közötti kapcsolatok előmozdítása. </w:t>
      </w:r>
    </w:p>
    <w:p w14:paraId="68DC00B7" w14:textId="414E5E65" w:rsidR="00DC5EC6" w:rsidRDefault="003245A4">
      <w:pPr>
        <w:pStyle w:val="P68B1DB1-Normal4"/>
        <w:spacing w:before="40" w:after="0" w:line="259" w:lineRule="auto"/>
        <w:jc w:val="both"/>
        <w:rPr>
          <w:rFonts w:eastAsia="@MS Mincho" w:cs="Times New Roman"/>
          <w:noProof/>
        </w:rPr>
      </w:pPr>
      <w:r>
        <w:rPr>
          <w:noProof/>
        </w:rPr>
        <w:t xml:space="preserve">A beruházás egy energiahatékony, többcélú kutatóhajó építéséből áll, amelynek célja a Madeira-szigetek körüli sekély vizekben és a nyílt tengeren folytatott kutatás és képzés. Magában foglalja továbbá három önálló, pilóta nélküli jármű beszerzését annak érdekében, hogy lehetővé váljon az Atlanti-óceán északi részén a tengeren töltött napok számának tengerkutatás céljából történő növelése, valamint a hagyományos keresési módszerekhez képest jó minőségű akusztikai adatok gyűjtése. </w:t>
      </w:r>
    </w:p>
    <w:p w14:paraId="5B145707" w14:textId="09C460B5" w:rsidR="00DC5EC6" w:rsidRDefault="003245A4">
      <w:pPr>
        <w:pStyle w:val="P68B1DB1-Normal4"/>
        <w:spacing w:before="40" w:after="0" w:line="259" w:lineRule="auto"/>
        <w:jc w:val="both"/>
        <w:rPr>
          <w:rFonts w:eastAsia="@MS Mincho" w:cs="Times New Roman"/>
          <w:noProof/>
        </w:rPr>
      </w:pPr>
      <w:r>
        <w:rPr>
          <w:noProof/>
        </w:rPr>
        <w:t>Ez az intézkedés várhatóan nem sérti jelentősen a környezeti célkitűzéseket az (EU) 2020/852 rendelet 17. cikke értelmében, figyelembe véve az intézkedés leírását és a helyreállítási és rezilienciaépítési tervben a jelentős károkozás elkerülését célzó technikai iránymutatással (2021/C58/01) összhangban meghatározott enyhítő lépéseket. A kutatóhajónak és a pilóta nélküli önvezető járműveknek különösen a rendelkezésre álló legjobb technológiát kell alkalmazniuk, amely az ágazatban a legkisebb környezeti hatással jár.</w:t>
      </w:r>
    </w:p>
    <w:p w14:paraId="365B8C9F" w14:textId="701FB870"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6121D230"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D6BEFF2" w14:textId="3AF4D913"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10"/>
          <w:headerReference w:type="default" r:id="rId211"/>
          <w:footerReference w:type="even" r:id="rId212"/>
          <w:footerReference w:type="default" r:id="rId213"/>
          <w:headerReference w:type="first" r:id="rId214"/>
          <w:footerReference w:type="first" r:id="rId215"/>
          <w:pgSz w:w="11907" w:h="16839"/>
          <w:pgMar w:top="1134" w:right="1134" w:bottom="1134" w:left="1134" w:header="567" w:footer="567" w:gutter="0"/>
          <w:cols w:space="720"/>
          <w:docGrid w:linePitch="360"/>
        </w:sectPr>
      </w:pPr>
    </w:p>
    <w:p w14:paraId="5D1E2539" w14:textId="26B1DED9"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J.2. Vissza nem térítendő pénzügyi támogatás – a végrehajtáshoz és a nyomon követéshez kapcsolódó mérföldkövek, célok, mutatók és ütemterv</w:t>
      </w:r>
    </w:p>
    <w:p w14:paraId="6886E91A"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DC5EC6" w14:paraId="0F42C60E" w14:textId="77777777">
        <w:trPr>
          <w:trHeight w:val="910"/>
          <w:tblHeader/>
          <w:jc w:val="center"/>
        </w:trPr>
        <w:tc>
          <w:tcPr>
            <w:tcW w:w="1101" w:type="dxa"/>
            <w:vMerge w:val="restart"/>
            <w:shd w:val="clear" w:color="auto" w:fill="BDD6EE"/>
            <w:vAlign w:val="center"/>
            <w:hideMark/>
          </w:tcPr>
          <w:p w14:paraId="1AA982C8" w14:textId="77777777" w:rsidR="00DC5EC6" w:rsidRDefault="003245A4">
            <w:pPr>
              <w:pStyle w:val="P68B1DB1-Normal6"/>
              <w:keepNext/>
              <w:spacing w:before="40" w:after="0" w:line="240" w:lineRule="auto"/>
              <w:jc w:val="center"/>
              <w:rPr>
                <w:rFonts w:eastAsia="Times New Roman" w:cs="Times New Roman"/>
                <w:noProof/>
              </w:rPr>
            </w:pPr>
            <w:r>
              <w:rPr>
                <w:noProof/>
              </w:rPr>
              <w:t>Sorszám</w:t>
            </w:r>
          </w:p>
        </w:tc>
        <w:tc>
          <w:tcPr>
            <w:tcW w:w="1231" w:type="dxa"/>
            <w:vMerge w:val="restart"/>
            <w:shd w:val="clear" w:color="auto" w:fill="BDD6EE"/>
            <w:vAlign w:val="center"/>
            <w:hideMark/>
          </w:tcPr>
          <w:p w14:paraId="740B018E" w14:textId="77777777" w:rsidR="00DC5EC6" w:rsidRDefault="003245A4">
            <w:pPr>
              <w:pStyle w:val="P68B1DB1-Normal6"/>
              <w:keepNext/>
              <w:spacing w:before="40" w:after="0" w:line="240" w:lineRule="auto"/>
              <w:jc w:val="center"/>
              <w:rPr>
                <w:rFonts w:eastAsia="Times New Roman" w:cs="Times New Roman"/>
                <w:noProof/>
              </w:rPr>
            </w:pPr>
            <w:r>
              <w:rPr>
                <w:noProof/>
              </w:rPr>
              <w:t>Intézkedés (reform vagy beruházás)</w:t>
            </w:r>
          </w:p>
        </w:tc>
        <w:tc>
          <w:tcPr>
            <w:tcW w:w="1096" w:type="dxa"/>
            <w:vMerge w:val="restart"/>
            <w:shd w:val="clear" w:color="auto" w:fill="BDD6EE"/>
            <w:vAlign w:val="center"/>
            <w:hideMark/>
          </w:tcPr>
          <w:p w14:paraId="654788B0" w14:textId="0180B006" w:rsidR="00DC5EC6" w:rsidRDefault="003245A4">
            <w:pPr>
              <w:pStyle w:val="P68B1DB1-Normal6"/>
              <w:keepNext/>
              <w:spacing w:before="40" w:after="0" w:line="240" w:lineRule="auto"/>
              <w:jc w:val="center"/>
              <w:rPr>
                <w:rFonts w:eastAsia="Times New Roman" w:cs="Times New Roman"/>
                <w:noProof/>
                <w:sz w:val="14"/>
              </w:rPr>
            </w:pPr>
            <w:r>
              <w:rPr>
                <w:noProof/>
              </w:rPr>
              <w:t>Mérföldkő/cél</w:t>
            </w:r>
          </w:p>
        </w:tc>
        <w:tc>
          <w:tcPr>
            <w:tcW w:w="1640" w:type="dxa"/>
            <w:vMerge w:val="restart"/>
            <w:shd w:val="clear" w:color="auto" w:fill="BDD6EE"/>
            <w:vAlign w:val="center"/>
            <w:hideMark/>
          </w:tcPr>
          <w:p w14:paraId="0453BB8E" w14:textId="77777777" w:rsidR="00DC5EC6" w:rsidRDefault="003245A4">
            <w:pPr>
              <w:pStyle w:val="P68B1DB1-Normal6"/>
              <w:keepNext/>
              <w:spacing w:before="40" w:after="0" w:line="240" w:lineRule="auto"/>
              <w:jc w:val="center"/>
              <w:rPr>
                <w:rFonts w:eastAsia="Times New Roman" w:cs="Times New Roman"/>
                <w:noProof/>
              </w:rPr>
            </w:pPr>
            <w:r>
              <w:rPr>
                <w:noProof/>
              </w:rPr>
              <w:t>Név</w:t>
            </w:r>
          </w:p>
        </w:tc>
        <w:tc>
          <w:tcPr>
            <w:tcW w:w="1231" w:type="dxa"/>
            <w:vMerge w:val="restart"/>
            <w:shd w:val="clear" w:color="auto" w:fill="BDD6EE"/>
            <w:vAlign w:val="center"/>
            <w:hideMark/>
          </w:tcPr>
          <w:p w14:paraId="1B4EF47B" w14:textId="77777777" w:rsidR="00DC5EC6" w:rsidRDefault="003245A4">
            <w:pPr>
              <w:pStyle w:val="P68B1DB1-Normal6"/>
              <w:keepNext/>
              <w:spacing w:before="40" w:after="0" w:line="240" w:lineRule="auto"/>
              <w:jc w:val="center"/>
              <w:rPr>
                <w:rFonts w:eastAsia="Times New Roman" w:cs="Times New Roman"/>
                <w:noProof/>
              </w:rPr>
            </w:pPr>
            <w:r>
              <w:rPr>
                <w:noProof/>
              </w:rPr>
              <w:t>Minőségi mutatók (a mérföldkövekhez)</w:t>
            </w:r>
          </w:p>
        </w:tc>
        <w:tc>
          <w:tcPr>
            <w:tcW w:w="2613" w:type="dxa"/>
            <w:gridSpan w:val="3"/>
            <w:shd w:val="clear" w:color="auto" w:fill="BDD6EE"/>
            <w:vAlign w:val="center"/>
            <w:hideMark/>
          </w:tcPr>
          <w:p w14:paraId="3F05C782" w14:textId="77777777" w:rsidR="00DC5EC6" w:rsidRDefault="003245A4">
            <w:pPr>
              <w:pStyle w:val="P68B1DB1-Normal6"/>
              <w:keepNext/>
              <w:spacing w:before="40" w:after="0" w:line="240" w:lineRule="auto"/>
              <w:jc w:val="center"/>
              <w:rPr>
                <w:rFonts w:eastAsia="Times New Roman" w:cs="Times New Roman"/>
                <w:noProof/>
              </w:rPr>
            </w:pPr>
            <w:r>
              <w:rPr>
                <w:noProof/>
              </w:rPr>
              <w:t>Mennyiségi mutatók (a célokhoz)</w:t>
            </w:r>
          </w:p>
        </w:tc>
        <w:tc>
          <w:tcPr>
            <w:tcW w:w="1238" w:type="dxa"/>
            <w:gridSpan w:val="2"/>
            <w:shd w:val="clear" w:color="auto" w:fill="BDD6EE"/>
            <w:vAlign w:val="center"/>
            <w:hideMark/>
          </w:tcPr>
          <w:p w14:paraId="5BC3A23D" w14:textId="77777777" w:rsidR="00DC5EC6" w:rsidRDefault="003245A4">
            <w:pPr>
              <w:pStyle w:val="P68B1DB1-Normal6"/>
              <w:keepNext/>
              <w:spacing w:before="40" w:after="0" w:line="240" w:lineRule="auto"/>
              <w:jc w:val="center"/>
              <w:rPr>
                <w:rFonts w:eastAsia="Times New Roman" w:cs="Times New Roman"/>
                <w:noProof/>
              </w:rPr>
            </w:pPr>
            <w:r>
              <w:rPr>
                <w:noProof/>
              </w:rPr>
              <w:t>A végrehajtás indikatív ütemterve</w:t>
            </w:r>
          </w:p>
        </w:tc>
        <w:tc>
          <w:tcPr>
            <w:tcW w:w="5223" w:type="dxa"/>
            <w:vMerge w:val="restart"/>
            <w:shd w:val="clear" w:color="auto" w:fill="BDD6EE"/>
            <w:vAlign w:val="center"/>
            <w:hideMark/>
          </w:tcPr>
          <w:p w14:paraId="7B33DA18" w14:textId="77777777" w:rsidR="00DC5EC6" w:rsidRDefault="003245A4">
            <w:pPr>
              <w:pStyle w:val="P68B1DB1-Normal6"/>
              <w:keepNext/>
              <w:spacing w:before="40" w:after="0" w:line="240" w:lineRule="auto"/>
              <w:jc w:val="center"/>
              <w:rPr>
                <w:rFonts w:eastAsia="Times New Roman" w:cs="Times New Roman"/>
                <w:noProof/>
              </w:rPr>
            </w:pPr>
            <w:r>
              <w:rPr>
                <w:noProof/>
              </w:rPr>
              <w:t>Az egyes mérföldkövek és célok leírása és egyértelmű meghatározása</w:t>
            </w:r>
          </w:p>
        </w:tc>
      </w:tr>
      <w:tr w:rsidR="00DC5EC6" w14:paraId="13FCEFA1" w14:textId="77777777">
        <w:trPr>
          <w:trHeight w:val="470"/>
          <w:tblHeader/>
          <w:jc w:val="center"/>
        </w:trPr>
        <w:tc>
          <w:tcPr>
            <w:tcW w:w="1101" w:type="dxa"/>
            <w:vMerge/>
            <w:vAlign w:val="center"/>
            <w:hideMark/>
          </w:tcPr>
          <w:p w14:paraId="0FB4B9F7"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234EF905"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27B408D0" w14:textId="11212B07" w:rsidR="00DC5EC6" w:rsidRDefault="00DC5EC6">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40C2DECA"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0EE9D350"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3B5C5511" w14:textId="77777777" w:rsidR="00DC5EC6" w:rsidRDefault="003245A4">
            <w:pPr>
              <w:pStyle w:val="P68B1DB1-Normal6"/>
              <w:keepNext/>
              <w:spacing w:before="40" w:after="0" w:line="240" w:lineRule="auto"/>
              <w:jc w:val="center"/>
              <w:rPr>
                <w:rFonts w:eastAsia="Times New Roman" w:cs="Times New Roman"/>
                <w:noProof/>
              </w:rPr>
            </w:pPr>
            <w:r>
              <w:rPr>
                <w:noProof/>
              </w:rPr>
              <w:t>Mértékegység</w:t>
            </w:r>
          </w:p>
        </w:tc>
        <w:tc>
          <w:tcPr>
            <w:tcW w:w="961" w:type="dxa"/>
            <w:shd w:val="clear" w:color="auto" w:fill="BDD6EE"/>
            <w:vAlign w:val="center"/>
            <w:hideMark/>
          </w:tcPr>
          <w:p w14:paraId="60383F12" w14:textId="77777777" w:rsidR="00DC5EC6" w:rsidRDefault="003245A4">
            <w:pPr>
              <w:pStyle w:val="P68B1DB1-Normal6"/>
              <w:keepNext/>
              <w:spacing w:before="40" w:after="0" w:line="240" w:lineRule="auto"/>
              <w:jc w:val="center"/>
              <w:rPr>
                <w:rFonts w:eastAsia="Times New Roman" w:cs="Times New Roman"/>
                <w:noProof/>
              </w:rPr>
            </w:pPr>
            <w:r>
              <w:rPr>
                <w:noProof/>
              </w:rPr>
              <w:t>Kiindulási</w:t>
            </w:r>
          </w:p>
        </w:tc>
        <w:tc>
          <w:tcPr>
            <w:tcW w:w="690" w:type="dxa"/>
            <w:shd w:val="clear" w:color="auto" w:fill="BDD6EE"/>
            <w:vAlign w:val="center"/>
            <w:hideMark/>
          </w:tcPr>
          <w:p w14:paraId="68D883D5" w14:textId="77777777" w:rsidR="00DC5EC6" w:rsidRDefault="003245A4">
            <w:pPr>
              <w:pStyle w:val="P68B1DB1-Normal6"/>
              <w:keepNext/>
              <w:spacing w:before="40" w:after="0" w:line="240" w:lineRule="auto"/>
              <w:jc w:val="center"/>
              <w:rPr>
                <w:rFonts w:eastAsia="Times New Roman" w:cs="Times New Roman"/>
                <w:noProof/>
              </w:rPr>
            </w:pPr>
            <w:r>
              <w:rPr>
                <w:noProof/>
              </w:rPr>
              <w:t>Cél</w:t>
            </w:r>
          </w:p>
        </w:tc>
        <w:tc>
          <w:tcPr>
            <w:tcW w:w="554" w:type="dxa"/>
            <w:shd w:val="clear" w:color="auto" w:fill="BDD6EE"/>
            <w:vAlign w:val="center"/>
            <w:hideMark/>
          </w:tcPr>
          <w:p w14:paraId="55466A9A" w14:textId="40724055" w:rsidR="00DC5EC6" w:rsidRDefault="001F25B1">
            <w:pPr>
              <w:pStyle w:val="P68B1DB1-Normal6"/>
              <w:keepNext/>
              <w:spacing w:before="40" w:after="0" w:line="240" w:lineRule="auto"/>
              <w:jc w:val="center"/>
              <w:rPr>
                <w:rFonts w:eastAsia="Times New Roman" w:cs="Times New Roman"/>
                <w:noProof/>
              </w:rPr>
            </w:pPr>
            <w:r>
              <w:rPr>
                <w:noProof/>
              </w:rPr>
              <w:t>Negyedév</w:t>
            </w:r>
          </w:p>
        </w:tc>
        <w:tc>
          <w:tcPr>
            <w:tcW w:w="684" w:type="dxa"/>
            <w:shd w:val="clear" w:color="auto" w:fill="BDD6EE"/>
            <w:vAlign w:val="center"/>
            <w:hideMark/>
          </w:tcPr>
          <w:p w14:paraId="09748930" w14:textId="7A1AC82E" w:rsidR="00DC5EC6" w:rsidRDefault="003245A4">
            <w:pPr>
              <w:pStyle w:val="P68B1DB1-Normal6"/>
              <w:keepNext/>
              <w:spacing w:before="40" w:after="0" w:line="240" w:lineRule="auto"/>
              <w:jc w:val="center"/>
              <w:rPr>
                <w:rFonts w:eastAsia="Times New Roman" w:cs="Times New Roman"/>
                <w:noProof/>
              </w:rPr>
            </w:pPr>
            <w:r>
              <w:rPr>
                <w:noProof/>
              </w:rPr>
              <w:t>Év</w:t>
            </w:r>
          </w:p>
        </w:tc>
        <w:tc>
          <w:tcPr>
            <w:tcW w:w="5223" w:type="dxa"/>
            <w:vMerge/>
            <w:vAlign w:val="center"/>
            <w:hideMark/>
          </w:tcPr>
          <w:p w14:paraId="56BFB7D9" w14:textId="77777777" w:rsidR="00DC5EC6" w:rsidRDefault="00DC5EC6">
            <w:pPr>
              <w:keepNext/>
              <w:spacing w:before="40" w:after="0" w:line="240" w:lineRule="auto"/>
              <w:jc w:val="both"/>
              <w:rPr>
                <w:rFonts w:ascii="Times New Roman" w:eastAsia="Times New Roman" w:hAnsi="Times New Roman" w:cs="Times New Roman"/>
                <w:b/>
                <w:noProof/>
                <w:sz w:val="18"/>
              </w:rPr>
            </w:pPr>
          </w:p>
        </w:tc>
      </w:tr>
      <w:tr w:rsidR="003A6168" w14:paraId="2FD34264" w14:textId="77777777">
        <w:trPr>
          <w:trHeight w:val="290"/>
          <w:jc w:val="center"/>
        </w:trPr>
        <w:tc>
          <w:tcPr>
            <w:tcW w:w="1101" w:type="dxa"/>
            <w:shd w:val="clear" w:color="auto" w:fill="C4EFCE"/>
            <w:vAlign w:val="center"/>
            <w:hideMark/>
          </w:tcPr>
          <w:p w14:paraId="6981A743" w14:textId="77777777" w:rsidR="003A6168" w:rsidRDefault="003A6168" w:rsidP="003A6168">
            <w:pPr>
              <w:pStyle w:val="P68B1DB1-Normal7"/>
              <w:keepNext/>
              <w:spacing w:before="40" w:after="0" w:line="240" w:lineRule="auto"/>
              <w:jc w:val="center"/>
              <w:rPr>
                <w:rFonts w:eastAsia="Times New Roman" w:cs="Calibri"/>
                <w:noProof/>
              </w:rPr>
            </w:pPr>
            <w:r>
              <w:rPr>
                <w:noProof/>
              </w:rPr>
              <w:t>10.1</w:t>
            </w:r>
          </w:p>
        </w:tc>
        <w:tc>
          <w:tcPr>
            <w:tcW w:w="1231" w:type="dxa"/>
            <w:shd w:val="clear" w:color="auto" w:fill="C4EFCE"/>
            <w:noWrap/>
            <w:vAlign w:val="center"/>
            <w:hideMark/>
          </w:tcPr>
          <w:p w14:paraId="2DFAA2E3" w14:textId="77777777" w:rsidR="003A6168" w:rsidRDefault="003A6168" w:rsidP="003A6168">
            <w:pPr>
              <w:pStyle w:val="P68B1DB1-Normal8"/>
              <w:keepNext/>
              <w:spacing w:before="40" w:after="0" w:line="240" w:lineRule="auto"/>
              <w:jc w:val="center"/>
              <w:rPr>
                <w:rFonts w:eastAsia="Times New Roman" w:cs="Calibri"/>
                <w:noProof/>
              </w:rPr>
            </w:pPr>
            <w:r>
              <w:rPr>
                <w:noProof/>
              </w:rPr>
              <w:t>TC-C10-r23</w:t>
            </w:r>
          </w:p>
        </w:tc>
        <w:tc>
          <w:tcPr>
            <w:tcW w:w="1096" w:type="dxa"/>
            <w:shd w:val="clear" w:color="auto" w:fill="C4EFCE"/>
            <w:noWrap/>
            <w:vAlign w:val="center"/>
            <w:hideMark/>
          </w:tcPr>
          <w:p w14:paraId="0347A760" w14:textId="77777777" w:rsidR="003A6168" w:rsidRDefault="003A6168" w:rsidP="003A6168">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6EECB73C" w14:textId="77777777" w:rsidR="003A6168" w:rsidRDefault="003A6168" w:rsidP="003A6168">
            <w:pPr>
              <w:pStyle w:val="P68B1DB1-Normal8"/>
              <w:keepNext/>
              <w:spacing w:before="40" w:after="0" w:line="240" w:lineRule="auto"/>
              <w:jc w:val="center"/>
              <w:rPr>
                <w:rFonts w:eastAsia="Times New Roman" w:cs="Calibri"/>
                <w:noProof/>
              </w:rPr>
            </w:pPr>
            <w:r>
              <w:rPr>
                <w:noProof/>
              </w:rPr>
              <w:t>A tengeri gazdaság és innováció finanszírozási kapacitásának a kék alapon keresztül történő megerősítésére vonatkozó tengerügyi minisztériumi jogi aktusok felülvizsgálatának hatálybalépése</w:t>
            </w:r>
          </w:p>
        </w:tc>
        <w:tc>
          <w:tcPr>
            <w:tcW w:w="1231" w:type="dxa"/>
            <w:shd w:val="clear" w:color="auto" w:fill="C4EFCE"/>
            <w:noWrap/>
            <w:vAlign w:val="center"/>
            <w:hideMark/>
          </w:tcPr>
          <w:p w14:paraId="0A3E5CD5" w14:textId="77777777" w:rsidR="003A6168" w:rsidRDefault="003A6168" w:rsidP="003A6168">
            <w:pPr>
              <w:pStyle w:val="P68B1DB1-Normal8"/>
              <w:keepNext/>
              <w:spacing w:before="40" w:after="0" w:line="240" w:lineRule="auto"/>
              <w:jc w:val="center"/>
              <w:rPr>
                <w:rFonts w:eastAsia="Times New Roman" w:cs="Calibri"/>
                <w:noProof/>
              </w:rPr>
            </w:pPr>
            <w:r>
              <w:rPr>
                <w:noProof/>
              </w:rPr>
              <w:t>A tengerügyi minisztérium felülvizsgált jogi aktusainak hatálybalépése a tengeri gazdaság és innováció finanszírozási kapacitásának a Kék Alapon keresztül történő megerősítéséről</w:t>
            </w:r>
          </w:p>
        </w:tc>
        <w:tc>
          <w:tcPr>
            <w:tcW w:w="962" w:type="dxa"/>
            <w:shd w:val="clear" w:color="auto" w:fill="C4EFCE"/>
            <w:noWrap/>
            <w:vAlign w:val="center"/>
            <w:hideMark/>
          </w:tcPr>
          <w:p w14:paraId="157C0E4E"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533D7F48"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7948C8CA"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84BF334" w14:textId="3CAB5FBE"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14BDFB9E" w14:textId="77777777" w:rsidR="003A6168" w:rsidRDefault="003A6168" w:rsidP="003A6168">
            <w:pPr>
              <w:pStyle w:val="P68B1DB1-Normal8"/>
              <w:keepNext/>
              <w:spacing w:before="40" w:after="0" w:line="240" w:lineRule="auto"/>
              <w:jc w:val="center"/>
              <w:rPr>
                <w:rFonts w:eastAsia="Times New Roman" w:cs="Calibri"/>
                <w:noProof/>
              </w:rPr>
            </w:pPr>
            <w:r>
              <w:rPr>
                <w:noProof/>
              </w:rPr>
              <w:t>2021</w:t>
            </w:r>
          </w:p>
        </w:tc>
        <w:tc>
          <w:tcPr>
            <w:tcW w:w="5223" w:type="dxa"/>
            <w:shd w:val="clear" w:color="auto" w:fill="C4EFCE"/>
            <w:vAlign w:val="center"/>
            <w:hideMark/>
          </w:tcPr>
          <w:p w14:paraId="5690DF78"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következő jogi aktusokat felül kell vizsgálni: </w:t>
            </w:r>
          </w:p>
          <w:p w14:paraId="0D6FC64A"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március 9-i 16/2016. sz. törvényerejű rendelet; </w:t>
            </w:r>
          </w:p>
          <w:p w14:paraId="08A7B94D"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december 30-i 343/2016. sz. végzés; </w:t>
            </w:r>
          </w:p>
          <w:p w14:paraId="3F2377ED"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Miniszterek Tanácsának 175/2017. sz. állásfoglalása. </w:t>
            </w:r>
          </w:p>
          <w:p w14:paraId="576A9B43" w14:textId="344466AB" w:rsidR="003A6168" w:rsidRDefault="003A6168" w:rsidP="003A6168">
            <w:pPr>
              <w:pStyle w:val="P68B1DB1-Normal8"/>
              <w:keepNext/>
              <w:spacing w:before="40" w:after="0" w:line="240" w:lineRule="auto"/>
              <w:jc w:val="both"/>
              <w:rPr>
                <w:rFonts w:eastAsia="Times New Roman" w:cs="Calibri"/>
                <w:noProof/>
              </w:rPr>
            </w:pPr>
            <w:r>
              <w:rPr>
                <w:noProof/>
              </w:rPr>
              <w:t xml:space="preserve">E jogi aktusok felülvizsgálata a kikötői technológiai klaszterek hálózatának a tengeri gazdaság dekarbonizációjára való kiterjesztésével kapcsolatos stratégia frissítéséből áll; a kék alap ökológiai és működési módjának felülvizsgálata és kiigazítása annak érdekében, hogy az a komponensbe történő beruházások irányításához igazodjon; a központ irányítási modelljének létrehozása.  </w:t>
            </w:r>
          </w:p>
        </w:tc>
      </w:tr>
      <w:tr w:rsidR="003A6168" w14:paraId="1C9ED07F" w14:textId="77777777">
        <w:trPr>
          <w:trHeight w:val="630"/>
          <w:jc w:val="center"/>
        </w:trPr>
        <w:tc>
          <w:tcPr>
            <w:tcW w:w="1101" w:type="dxa"/>
            <w:shd w:val="clear" w:color="auto" w:fill="C4EFCE"/>
            <w:vAlign w:val="center"/>
            <w:hideMark/>
          </w:tcPr>
          <w:p w14:paraId="20846F99" w14:textId="77777777" w:rsidR="003A6168" w:rsidRDefault="003A6168" w:rsidP="003A6168">
            <w:pPr>
              <w:pStyle w:val="P68B1DB1-Normal7"/>
              <w:keepNext/>
              <w:spacing w:before="40" w:after="0" w:line="240" w:lineRule="auto"/>
              <w:jc w:val="center"/>
              <w:rPr>
                <w:rFonts w:eastAsia="Times New Roman" w:cs="Calibri"/>
                <w:noProof/>
              </w:rPr>
            </w:pPr>
            <w:r>
              <w:rPr>
                <w:noProof/>
              </w:rPr>
              <w:t>10.2</w:t>
            </w:r>
          </w:p>
        </w:tc>
        <w:tc>
          <w:tcPr>
            <w:tcW w:w="1231" w:type="dxa"/>
            <w:shd w:val="clear" w:color="auto" w:fill="C4EFCE"/>
            <w:noWrap/>
            <w:vAlign w:val="center"/>
            <w:hideMark/>
          </w:tcPr>
          <w:p w14:paraId="13BA066B" w14:textId="77777777" w:rsidR="003A6168" w:rsidRDefault="003A6168" w:rsidP="003A6168">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6294F56F"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079896DE" w14:textId="77777777" w:rsidR="003A6168" w:rsidRDefault="003A6168" w:rsidP="003A6168">
            <w:pPr>
              <w:pStyle w:val="P68B1DB1-Normal8"/>
              <w:keepNext/>
              <w:spacing w:before="40" w:after="0" w:line="240" w:lineRule="auto"/>
              <w:jc w:val="center"/>
              <w:rPr>
                <w:rFonts w:eastAsia="Times New Roman" w:cs="Calibri"/>
                <w:noProof/>
              </w:rPr>
            </w:pPr>
            <w:r>
              <w:rPr>
                <w:noProof/>
              </w:rPr>
              <w:t>A Blue Hub School modernizálásának befejezése, valamint az ellátás és a felszerelések megerősítése</w:t>
            </w:r>
          </w:p>
        </w:tc>
        <w:tc>
          <w:tcPr>
            <w:tcW w:w="1231" w:type="dxa"/>
            <w:shd w:val="clear" w:color="auto" w:fill="C4EFCE"/>
            <w:noWrap/>
            <w:vAlign w:val="center"/>
            <w:hideMark/>
          </w:tcPr>
          <w:p w14:paraId="03E07993"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55A4B559"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 </w:t>
            </w:r>
          </w:p>
        </w:tc>
        <w:tc>
          <w:tcPr>
            <w:tcW w:w="961" w:type="dxa"/>
            <w:shd w:val="clear" w:color="auto" w:fill="C4EFCE"/>
            <w:noWrap/>
            <w:vAlign w:val="center"/>
            <w:hideMark/>
          </w:tcPr>
          <w:p w14:paraId="2ACDF2F9"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9EEF38E" w14:textId="77777777" w:rsidR="003A6168" w:rsidRDefault="003A6168" w:rsidP="003A6168">
            <w:pPr>
              <w:pStyle w:val="P68B1DB1-Normal8"/>
              <w:keepNext/>
              <w:spacing w:before="40" w:after="0" w:line="240" w:lineRule="auto"/>
              <w:jc w:val="center"/>
              <w:rPr>
                <w:rFonts w:eastAsia="Times New Roman" w:cs="Calibri"/>
                <w:noProof/>
              </w:rPr>
            </w:pPr>
            <w:r>
              <w:rPr>
                <w:noProof/>
              </w:rPr>
              <w:t>100</w:t>
            </w:r>
          </w:p>
        </w:tc>
        <w:tc>
          <w:tcPr>
            <w:tcW w:w="554" w:type="dxa"/>
            <w:shd w:val="clear" w:color="auto" w:fill="C4EFCE"/>
            <w:noWrap/>
            <w:vAlign w:val="center"/>
            <w:hideMark/>
          </w:tcPr>
          <w:p w14:paraId="1F0251CD" w14:textId="3BB79053"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3708D654"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6734A981"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korszerűsítési munkálatok lezárása, a képzési kínálat megerősítése és a Blue Hub School berendezéseivel történő felújítása. A fentiek véglegesítése a műszaki leírásnak és a szerződéses kötelezettségeknek való megfelelés megerősítését követően történik. Magában foglalja: </w:t>
            </w:r>
          </w:p>
          <w:p w14:paraId="3A3F2EF4" w14:textId="2F250900"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 xml:space="preserve">beruházás az </w:t>
            </w:r>
            <w:r>
              <w:rPr>
                <w:rFonts w:ascii="Calibri" w:hAnsi="Calibri"/>
                <w:i/>
                <w:noProof/>
                <w:sz w:val="16"/>
              </w:rPr>
              <w:t>Escola Superior Náutica Infante D. Henrique</w:t>
            </w:r>
            <w:r>
              <w:rPr>
                <w:rFonts w:ascii="Calibri" w:hAnsi="Calibri"/>
                <w:noProof/>
                <w:sz w:val="16"/>
              </w:rPr>
              <w:t xml:space="preserve"> (ENIDH) infrastruktúrájába és rendszereibe, beleértve 16 laboratórium korszerűsítését és szimulátorok beszerzését (a hajók helymeghatározásához, a hajóforgalmi szolgálathoz, valamint a logisztikához és a kikötői műveletekhez)</w:t>
            </w:r>
          </w:p>
          <w:p w14:paraId="37CC213B" w14:textId="3AD70643"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A MAR-t szolgáló eszközök</w:t>
            </w:r>
            <w:r>
              <w:rPr>
                <w:rFonts w:ascii="Times New Roman" w:hAnsi="Times New Roman"/>
                <w:noProof/>
                <w:sz w:val="14"/>
              </w:rPr>
              <w:t xml:space="preserve"> </w:t>
            </w:r>
            <w:r>
              <w:rPr>
                <w:rFonts w:ascii="Calibri" w:hAnsi="Calibri"/>
                <w:noProof/>
                <w:sz w:val="16"/>
              </w:rPr>
              <w:t>korszerűsítése: 6 képzési központ korszerűsítése, a szakképzést támogató berendezések, az informatikai és kommunikációs rendszerek korszerűsítése, a képzési folyamatok digitalizálása és az e-tanulás megtervezése.</w:t>
            </w:r>
          </w:p>
          <w:p w14:paraId="69131879" w14:textId="2D239F23" w:rsidR="003A6168" w:rsidRDefault="003A6168" w:rsidP="003A6168">
            <w:pPr>
              <w:pStyle w:val="P68B1DB1-Normal8"/>
              <w:keepNext/>
              <w:spacing w:before="40"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3A6168" w14:paraId="3B18127E" w14:textId="77777777">
        <w:trPr>
          <w:trHeight w:val="290"/>
          <w:jc w:val="center"/>
        </w:trPr>
        <w:tc>
          <w:tcPr>
            <w:tcW w:w="1101" w:type="dxa"/>
            <w:shd w:val="clear" w:color="auto" w:fill="C4EFCE"/>
            <w:vAlign w:val="center"/>
            <w:hideMark/>
          </w:tcPr>
          <w:p w14:paraId="1A210116" w14:textId="77777777" w:rsidR="003A6168" w:rsidRDefault="003A6168" w:rsidP="003A6168">
            <w:pPr>
              <w:pStyle w:val="P68B1DB1-Normal7"/>
              <w:keepNext/>
              <w:spacing w:before="40" w:after="0" w:line="240" w:lineRule="auto"/>
              <w:jc w:val="center"/>
              <w:rPr>
                <w:rFonts w:eastAsia="Times New Roman" w:cs="Calibri"/>
                <w:noProof/>
              </w:rPr>
            </w:pPr>
            <w:r>
              <w:rPr>
                <w:noProof/>
              </w:rPr>
              <w:t>10.3</w:t>
            </w:r>
          </w:p>
        </w:tc>
        <w:tc>
          <w:tcPr>
            <w:tcW w:w="1231" w:type="dxa"/>
            <w:shd w:val="clear" w:color="auto" w:fill="C4EFCE"/>
            <w:noWrap/>
            <w:vAlign w:val="center"/>
            <w:hideMark/>
          </w:tcPr>
          <w:p w14:paraId="7F3373D8" w14:textId="77777777" w:rsidR="003A6168" w:rsidRDefault="003A6168" w:rsidP="003A6168">
            <w:pPr>
              <w:pStyle w:val="P68B1DB1-Normal8"/>
              <w:keepNext/>
              <w:spacing w:before="40" w:after="0" w:line="240" w:lineRule="auto"/>
              <w:jc w:val="center"/>
              <w:rPr>
                <w:rFonts w:eastAsia="Times New Roman" w:cs="Calibri"/>
                <w:noProof/>
              </w:rPr>
            </w:pPr>
            <w:r>
              <w:rPr>
                <w:noProof/>
              </w:rPr>
              <w:t>TC-C10-i01</w:t>
            </w:r>
          </w:p>
        </w:tc>
        <w:tc>
          <w:tcPr>
            <w:tcW w:w="1096" w:type="dxa"/>
            <w:shd w:val="clear" w:color="auto" w:fill="C4EFCE"/>
            <w:noWrap/>
            <w:vAlign w:val="center"/>
            <w:hideMark/>
          </w:tcPr>
          <w:p w14:paraId="73F010EA"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5BC5CD21" w14:textId="77777777" w:rsidR="003A6168" w:rsidRDefault="003A6168" w:rsidP="003A6168">
            <w:pPr>
              <w:pStyle w:val="P68B1DB1-Normal8"/>
              <w:keepNext/>
              <w:spacing w:before="40" w:after="0" w:line="240" w:lineRule="auto"/>
              <w:jc w:val="center"/>
              <w:rPr>
                <w:rFonts w:eastAsia="Times New Roman" w:cs="Calibri"/>
                <w:noProof/>
              </w:rPr>
            </w:pPr>
            <w:r>
              <w:rPr>
                <w:noProof/>
              </w:rPr>
              <w:t>A kék központ központjai telepítésének és/vagy korszerűsítésének befejezése</w:t>
            </w:r>
          </w:p>
        </w:tc>
        <w:tc>
          <w:tcPr>
            <w:tcW w:w="1231" w:type="dxa"/>
            <w:shd w:val="clear" w:color="auto" w:fill="C4EFCE"/>
            <w:noWrap/>
            <w:vAlign w:val="center"/>
            <w:hideMark/>
          </w:tcPr>
          <w:p w14:paraId="4E5B4906"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1F0D4373"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Szám </w:t>
            </w:r>
          </w:p>
        </w:tc>
        <w:tc>
          <w:tcPr>
            <w:tcW w:w="961" w:type="dxa"/>
            <w:shd w:val="clear" w:color="auto" w:fill="C4EFCE"/>
            <w:noWrap/>
            <w:vAlign w:val="center"/>
            <w:hideMark/>
          </w:tcPr>
          <w:p w14:paraId="5AE14534"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0F28BF19" w14:textId="77777777" w:rsidR="003A6168" w:rsidRDefault="003A6168" w:rsidP="003A6168">
            <w:pPr>
              <w:pStyle w:val="P68B1DB1-Normal8"/>
              <w:keepNext/>
              <w:spacing w:before="40" w:after="0" w:line="240" w:lineRule="auto"/>
              <w:jc w:val="center"/>
              <w:rPr>
                <w:rFonts w:eastAsia="Times New Roman" w:cs="Calibri"/>
                <w:noProof/>
              </w:rPr>
            </w:pPr>
            <w:r>
              <w:rPr>
                <w:noProof/>
              </w:rPr>
              <w:t>7</w:t>
            </w:r>
          </w:p>
        </w:tc>
        <w:tc>
          <w:tcPr>
            <w:tcW w:w="554" w:type="dxa"/>
            <w:shd w:val="clear" w:color="auto" w:fill="C4EFCE"/>
            <w:noWrap/>
            <w:vAlign w:val="center"/>
            <w:hideMark/>
          </w:tcPr>
          <w:p w14:paraId="2937E871" w14:textId="51EAED5B"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60DD0007"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4CB843FB"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7 kék csomópont építési munkálatainak lezárása (építés, felújítás és berendezések). Az új vagy korszerűsített kék csomópontok közé tartoznak a következők: </w:t>
            </w:r>
          </w:p>
          <w:p w14:paraId="23E9EE6A" w14:textId="45B1D28B"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1.</w:t>
            </w:r>
            <w:r>
              <w:rPr>
                <w:rFonts w:ascii="Times New Roman" w:hAnsi="Times New Roman"/>
                <w:noProof/>
                <w:sz w:val="14"/>
              </w:rPr>
              <w:t xml:space="preserve"> </w:t>
            </w:r>
            <w:r>
              <w:rPr>
                <w:rFonts w:ascii="Calibri" w:hAnsi="Calibri"/>
                <w:noProof/>
                <w:sz w:val="16"/>
              </w:rPr>
              <w:t xml:space="preserve">Vállalkozások központja és közös óceáni laboratórium Lisszabonban: az óceáni laboratórium épületének felújítása, többek között laboratóriumi infrastruktúrával, biofinomítói egységekkel, a tengeri erőforrások nemzeti biobankjának helyeivel, valamint irodahelyiségekkel a műszaki vállalatok számára. </w:t>
            </w:r>
          </w:p>
          <w:p w14:paraId="43ED232C" w14:textId="51E70B4B" w:rsidR="003A6168" w:rsidRDefault="003A6168" w:rsidP="003A6168">
            <w:pPr>
              <w:keepNext/>
              <w:spacing w:before="40" w:after="0" w:line="240" w:lineRule="auto"/>
              <w:jc w:val="both"/>
              <w:rPr>
                <w:rFonts w:ascii="Calibri" w:eastAsia="Times New Roman" w:hAnsi="Calibri"/>
                <w:noProof/>
                <w:sz w:val="16"/>
              </w:rPr>
            </w:pPr>
            <w:r>
              <w:rPr>
                <w:rFonts w:ascii="Calibri" w:hAnsi="Calibri"/>
                <w:noProof/>
                <w:sz w:val="16"/>
              </w:rPr>
              <w:t>2.</w:t>
            </w:r>
            <w:r>
              <w:rPr>
                <w:rFonts w:ascii="Times New Roman" w:hAnsi="Times New Roman"/>
                <w:noProof/>
                <w:sz w:val="14"/>
              </w:rPr>
              <w:t xml:space="preserve"> </w:t>
            </w:r>
            <w:r>
              <w:rPr>
                <w:rFonts w:ascii="Calibri" w:hAnsi="Calibri"/>
                <w:noProof/>
                <w:sz w:val="16"/>
              </w:rPr>
              <w:t xml:space="preserve">Az IPMA/Sea Oeiras központ az óceánok nyomon követésére szolgáló képességek javítása érdekében: beleértve egy hangár építését az óceánmérnöki egység számára, beleértve a gördületi hídot, a műhelyterületeket, a folyékony közegben megőrzendő minták forgó polcaival ellátott archívumépületet, valamint a halászati kutatáshoz szükséges berendezéseket. Ide tartoznak a valós idejű megfigyelésre szolgáló radarberendezések is. </w:t>
            </w:r>
          </w:p>
          <w:p w14:paraId="1D5FC4FC" w14:textId="27A90C32"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3.</w:t>
            </w:r>
            <w:r>
              <w:rPr>
                <w:rFonts w:ascii="Times New Roman" w:hAnsi="Times New Roman"/>
                <w:noProof/>
                <w:sz w:val="14"/>
              </w:rPr>
              <w:t xml:space="preserve"> </w:t>
            </w:r>
            <w:r>
              <w:rPr>
                <w:rFonts w:ascii="Calibri" w:hAnsi="Calibri"/>
                <w:noProof/>
                <w:sz w:val="16"/>
              </w:rPr>
              <w:t>Az Intelligens Ocean Peniche központ: beleértve az infrastruktúra építését, a penichei halászati kikötő területén található tudományos és technológiai parkot, a sósvíz összegyűjtésére és kezelésére szolgáló rendszer kiépítését és megvalósítását, valamint a tengerrel kapcsolatos ismeretek terjesztésére szolgáló nyílt teret.</w:t>
            </w:r>
          </w:p>
          <w:p w14:paraId="65B36634" w14:textId="1B45ACBD"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4.</w:t>
            </w:r>
            <w:r>
              <w:rPr>
                <w:rFonts w:ascii="Times New Roman" w:hAnsi="Times New Roman"/>
                <w:noProof/>
                <w:sz w:val="14"/>
              </w:rPr>
              <w:t xml:space="preserve"> </w:t>
            </w:r>
            <w:r>
              <w:rPr>
                <w:rFonts w:ascii="Calibri" w:hAnsi="Calibri"/>
                <w:noProof/>
                <w:sz w:val="16"/>
              </w:rPr>
              <w:t>Az Aveiro-központ: beleértve a tengervíz feliratozására, kezelésére és elosztására szolgáló régi rendszer megújítását, a halászati és akvakultúra-termékek fejlesztésével és vizsgálatával foglalkozó nemzeti laboratórium létrehozását, az algák és a polcok előállításával foglalkozó 5.0 laboratórium létrehozását.</w:t>
            </w:r>
          </w:p>
          <w:p w14:paraId="62DA030E" w14:textId="5B008894"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5.</w:t>
            </w:r>
            <w:r>
              <w:rPr>
                <w:rFonts w:ascii="Times New Roman" w:hAnsi="Times New Roman"/>
                <w:noProof/>
                <w:sz w:val="14"/>
              </w:rPr>
              <w:t xml:space="preserve"> </w:t>
            </w:r>
            <w:r>
              <w:rPr>
                <w:rFonts w:ascii="Calibri" w:hAnsi="Calibri"/>
                <w:noProof/>
                <w:sz w:val="16"/>
              </w:rPr>
              <w:t>The Ocean.Plus csomópont Portóban, Leixões I.: beleértve a tudományos közösség közös infrastruktúráját, amely támogatja a kutatókat a tudományos és technológiai fejlesztés valamennyi szakaszában, a tervezéstől a prototípus-fejlesztésig, a helyszíni tesztelések bevezetéséig, a technológiaérvényesítésig és a tudástranszferig, beleértve a logisztikát és az óceánokon alapuló platformokat, amelyek könnyen hozzáférhetők a tudományos és innovatív közösség számára.</w:t>
            </w:r>
          </w:p>
          <w:p w14:paraId="191EC3E9" w14:textId="3E847F44"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6.</w:t>
            </w:r>
            <w:r>
              <w:rPr>
                <w:rFonts w:ascii="Times New Roman" w:hAnsi="Times New Roman"/>
                <w:noProof/>
                <w:sz w:val="14"/>
              </w:rPr>
              <w:t xml:space="preserve"> </w:t>
            </w:r>
            <w:r>
              <w:rPr>
                <w:rFonts w:ascii="Calibri" w:hAnsi="Calibri"/>
                <w:noProof/>
                <w:sz w:val="16"/>
              </w:rPr>
              <w:t>Porto Hub/Leixões II: A tengert támogató pilóta nélküli járművek parancsnoklásával és ellenőrzésével foglalkozó központ: beleértve a több területre kiterjedő (felszín alatti, felszíni és hosszú távú) pilóta nélküli járműveket, amelyek az alapvető óceáni változók (EoV-k) mérésére szolgáló érzékelőkkel vannak felszerelve, egy irányító- és irányítóközpontot, valamint számítástechnikai és kommunikációs rendszereket.</w:t>
            </w:r>
          </w:p>
          <w:p w14:paraId="77BDFD13" w14:textId="7C1323F3" w:rsidR="003A6168" w:rsidRDefault="003A6168" w:rsidP="003A6168">
            <w:pPr>
              <w:keepNext/>
              <w:spacing w:before="40" w:after="0" w:line="240" w:lineRule="auto"/>
              <w:jc w:val="both"/>
              <w:rPr>
                <w:rFonts w:ascii="Calibri" w:eastAsia="Times New Roman" w:hAnsi="Calibri" w:cs="Calibri"/>
                <w:noProof/>
                <w:sz w:val="16"/>
              </w:rPr>
            </w:pPr>
            <w:r>
              <w:rPr>
                <w:rFonts w:ascii="Calibri" w:hAnsi="Calibri"/>
                <w:noProof/>
                <w:sz w:val="16"/>
              </w:rPr>
              <w:t>7.</w:t>
            </w:r>
            <w:r>
              <w:rPr>
                <w:rFonts w:ascii="Times New Roman" w:hAnsi="Times New Roman"/>
                <w:noProof/>
                <w:sz w:val="14"/>
              </w:rPr>
              <w:t xml:space="preserve"> </w:t>
            </w:r>
            <w:r>
              <w:rPr>
                <w:rFonts w:ascii="Calibri" w:hAnsi="Calibri"/>
                <w:noProof/>
                <w:sz w:val="16"/>
              </w:rPr>
              <w:t>Az Algarve Platform: új infrastruktúra és berendezések, laboratóriumok és irodák létrehozása, új vállalkozások (körülbelül 15 vállalat kapacitása és 90 munkahely) számára, különös tekintettel a kék biotechnológiára, az akvakultúrára, az élelmiszerre és takarmányra, valamint a tengeri biológiai erőforrásokra, a termékfejlesztésre és a tudásteremtésre.</w:t>
            </w:r>
          </w:p>
          <w:p w14:paraId="7AE1994E" w14:textId="77777777" w:rsidR="003A6168" w:rsidRDefault="003A6168" w:rsidP="003A6168">
            <w:pPr>
              <w:pStyle w:val="P68B1DB1-Normal8"/>
              <w:keepNext/>
              <w:spacing w:before="40" w:after="0" w:line="240" w:lineRule="auto"/>
              <w:jc w:val="both"/>
              <w:rPr>
                <w:rFonts w:eastAsia="Times New Roman" w:cs="Calibri"/>
                <w:noProof/>
              </w:rPr>
            </w:pPr>
            <w:r>
              <w:rPr>
                <w:noProof/>
              </w:rPr>
              <w:t>A kék központ üzleti modelljét és ideiglenes üzletvezetési csapatát újra kell létrehozni és fel kell venni (a kék központ iskolát is beleértve).</w:t>
            </w:r>
          </w:p>
          <w:p w14:paraId="30FFCC06"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Ez a kezdeményezés a 2021–2030-as időszakra szóló nemzeti óceánstratégia végrehajtásának részét képezi, nevezetesen az 1., 2., 3., 6., 7. és 9. stratégiai cél keretében. </w:t>
            </w:r>
          </w:p>
          <w:p w14:paraId="1957099A" w14:textId="05570FBA" w:rsidR="003A6168" w:rsidRDefault="003A6168" w:rsidP="003A6168">
            <w:pPr>
              <w:pStyle w:val="P68B1DB1-Normal8"/>
              <w:keepNext/>
              <w:spacing w:before="40" w:after="0" w:line="240" w:lineRule="auto"/>
              <w:jc w:val="both"/>
              <w:rPr>
                <w:rFonts w:eastAsia="Times New Roman" w:cs="Calibri"/>
                <w:noProof/>
              </w:rPr>
            </w:pPr>
            <w:r>
              <w:rPr>
                <w:noProof/>
              </w:rPr>
              <w:t>A fentiek véglegesítése a műszaki leírásnak és a szerződéses kötelezettségeknek való megfelelés megerősítését követően történik.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3A6168" w14:paraId="476877EB" w14:textId="77777777">
        <w:trPr>
          <w:trHeight w:val="2116"/>
          <w:jc w:val="center"/>
        </w:trPr>
        <w:tc>
          <w:tcPr>
            <w:tcW w:w="1101" w:type="dxa"/>
            <w:shd w:val="clear" w:color="auto" w:fill="C4EFCE"/>
            <w:vAlign w:val="center"/>
            <w:hideMark/>
          </w:tcPr>
          <w:p w14:paraId="789549CF" w14:textId="77777777" w:rsidR="003A6168" w:rsidRDefault="003A6168" w:rsidP="003A6168">
            <w:pPr>
              <w:pStyle w:val="P68B1DB1-Normal7"/>
              <w:keepNext/>
              <w:spacing w:before="40" w:after="0" w:line="240" w:lineRule="auto"/>
              <w:jc w:val="center"/>
              <w:rPr>
                <w:rFonts w:eastAsia="Times New Roman" w:cs="Calibri"/>
                <w:noProof/>
              </w:rPr>
            </w:pPr>
            <w:r>
              <w:rPr>
                <w:noProof/>
              </w:rPr>
              <w:t>10.4</w:t>
            </w:r>
          </w:p>
        </w:tc>
        <w:tc>
          <w:tcPr>
            <w:tcW w:w="1231" w:type="dxa"/>
            <w:shd w:val="clear" w:color="auto" w:fill="C4EFCE"/>
            <w:noWrap/>
            <w:vAlign w:val="center"/>
            <w:hideMark/>
          </w:tcPr>
          <w:p w14:paraId="123D829D" w14:textId="77777777" w:rsidR="003A6168" w:rsidRDefault="003A6168" w:rsidP="003A6168">
            <w:pPr>
              <w:pStyle w:val="P68B1DB1-Normal8"/>
              <w:keepNext/>
              <w:spacing w:before="40" w:after="0" w:line="240" w:lineRule="auto"/>
              <w:jc w:val="center"/>
              <w:rPr>
                <w:rFonts w:eastAsia="Times New Roman" w:cs="Calibri"/>
                <w:noProof/>
              </w:rPr>
            </w:pPr>
            <w:r>
              <w:rPr>
                <w:noProof/>
              </w:rPr>
              <w:t>TC-C10-i02</w:t>
            </w:r>
          </w:p>
        </w:tc>
        <w:tc>
          <w:tcPr>
            <w:tcW w:w="1096" w:type="dxa"/>
            <w:shd w:val="clear" w:color="auto" w:fill="C4EFCE"/>
            <w:noWrap/>
            <w:vAlign w:val="center"/>
            <w:hideMark/>
          </w:tcPr>
          <w:p w14:paraId="5CC8709D"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640" w:type="dxa"/>
            <w:shd w:val="clear" w:color="auto" w:fill="C4EFCE"/>
            <w:noWrap/>
            <w:vAlign w:val="center"/>
            <w:hideMark/>
          </w:tcPr>
          <w:p w14:paraId="10951DFD" w14:textId="77777777" w:rsidR="003A6168" w:rsidRDefault="003A6168" w:rsidP="003A6168">
            <w:pPr>
              <w:pStyle w:val="P68B1DB1-Normal8"/>
              <w:keepNext/>
              <w:spacing w:before="40" w:after="0" w:line="240" w:lineRule="auto"/>
              <w:jc w:val="center"/>
              <w:rPr>
                <w:rFonts w:eastAsia="Times New Roman" w:cs="Calibri"/>
                <w:noProof/>
              </w:rPr>
            </w:pPr>
            <w:r>
              <w:rPr>
                <w:noProof/>
              </w:rPr>
              <w:t>Az innovációt, az energetikai átállást és a halászati ágazat szervezeteire gyakorolt környezeti hatás csökkentését támogató 70 projekt zárójelentésének jóváhagyása</w:t>
            </w:r>
          </w:p>
        </w:tc>
        <w:tc>
          <w:tcPr>
            <w:tcW w:w="1231" w:type="dxa"/>
            <w:shd w:val="clear" w:color="auto" w:fill="C4EFCE"/>
            <w:noWrap/>
            <w:vAlign w:val="center"/>
            <w:hideMark/>
          </w:tcPr>
          <w:p w14:paraId="43AC3C6A"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2" w:type="dxa"/>
            <w:shd w:val="clear" w:color="auto" w:fill="C4EFCE"/>
            <w:noWrap/>
            <w:vAlign w:val="center"/>
            <w:hideMark/>
          </w:tcPr>
          <w:p w14:paraId="41968F9D"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Szám </w:t>
            </w:r>
          </w:p>
        </w:tc>
        <w:tc>
          <w:tcPr>
            <w:tcW w:w="961" w:type="dxa"/>
            <w:shd w:val="clear" w:color="auto" w:fill="C4EFCE"/>
            <w:noWrap/>
            <w:vAlign w:val="center"/>
            <w:hideMark/>
          </w:tcPr>
          <w:p w14:paraId="48106376"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690" w:type="dxa"/>
            <w:shd w:val="clear" w:color="auto" w:fill="C4EFCE"/>
            <w:noWrap/>
            <w:vAlign w:val="center"/>
            <w:hideMark/>
          </w:tcPr>
          <w:p w14:paraId="37C46F26" w14:textId="77777777" w:rsidR="003A6168" w:rsidRDefault="003A6168" w:rsidP="003A6168">
            <w:pPr>
              <w:pStyle w:val="P68B1DB1-Normal8"/>
              <w:keepNext/>
              <w:spacing w:before="40" w:after="0" w:line="240" w:lineRule="auto"/>
              <w:jc w:val="center"/>
              <w:rPr>
                <w:rFonts w:eastAsia="Times New Roman" w:cs="Calibri"/>
                <w:noProof/>
              </w:rPr>
            </w:pPr>
            <w:r>
              <w:rPr>
                <w:noProof/>
              </w:rPr>
              <w:t>70</w:t>
            </w:r>
          </w:p>
        </w:tc>
        <w:tc>
          <w:tcPr>
            <w:tcW w:w="554" w:type="dxa"/>
            <w:shd w:val="clear" w:color="auto" w:fill="C4EFCE"/>
            <w:noWrap/>
            <w:vAlign w:val="center"/>
            <w:hideMark/>
          </w:tcPr>
          <w:p w14:paraId="05E8D103" w14:textId="49CB066E"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4FA70926"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5616E553" w14:textId="7802FC27" w:rsidR="003A6168" w:rsidRDefault="003A6168" w:rsidP="003A6168">
            <w:pPr>
              <w:pStyle w:val="P68B1DB1-Normal8"/>
              <w:keepNext/>
              <w:spacing w:before="40" w:after="0" w:line="240" w:lineRule="auto"/>
              <w:jc w:val="both"/>
              <w:rPr>
                <w:rFonts w:eastAsia="Times New Roman" w:cs="Calibri"/>
                <w:noProof/>
              </w:rPr>
            </w:pPr>
            <w:r>
              <w:rPr>
                <w:noProof/>
              </w:rPr>
              <w:t>Az innovációt, az energetikai átállást és a halászati ágazat szervezeteire gyakorolt környezeti hatás csökkentését támogató 70 projekt végrehajtásáról szóló zárójelentések jóváhagyása a DGRM-IFAP (Természeti Erőforrások, Biztonság és Tengerészeti Szolgáltatások Főigazgatósága) által. A DGRM-IFAP méri az alapfinanszírozásnak a DGRM-IFAP által szervezett, 2021-ben és 2022-ben elindítandó két ajánlati felhívást követő elosztásakor elfogadott egyedi célkitűzésekhez viszonyított mennyiségi előrehaladást</w:t>
            </w:r>
            <w:r>
              <w:rPr>
                <w:noProof/>
                <w:shd w:val="clear" w:color="auto" w:fill="E6E6E6"/>
              </w:rPr>
              <w:t>.</w:t>
            </w:r>
          </w:p>
        </w:tc>
      </w:tr>
      <w:tr w:rsidR="003A6168" w14:paraId="7741B9D8" w14:textId="77777777">
        <w:trPr>
          <w:trHeight w:val="630"/>
          <w:jc w:val="center"/>
        </w:trPr>
        <w:tc>
          <w:tcPr>
            <w:tcW w:w="1101" w:type="dxa"/>
            <w:shd w:val="clear" w:color="auto" w:fill="C4EFCE"/>
            <w:vAlign w:val="center"/>
            <w:hideMark/>
          </w:tcPr>
          <w:p w14:paraId="39E27BD5" w14:textId="77777777" w:rsidR="003A6168" w:rsidRDefault="003A6168" w:rsidP="003A6168">
            <w:pPr>
              <w:pStyle w:val="P68B1DB1-Normal7"/>
              <w:keepNext/>
              <w:spacing w:before="40" w:after="0" w:line="240" w:lineRule="auto"/>
              <w:jc w:val="center"/>
              <w:rPr>
                <w:rFonts w:eastAsia="Times New Roman" w:cs="Calibri"/>
                <w:noProof/>
              </w:rPr>
            </w:pPr>
            <w:r>
              <w:rPr>
                <w:noProof/>
              </w:rPr>
              <w:t>10.8</w:t>
            </w:r>
          </w:p>
        </w:tc>
        <w:tc>
          <w:tcPr>
            <w:tcW w:w="1231" w:type="dxa"/>
            <w:shd w:val="clear" w:color="auto" w:fill="C4EFCE"/>
            <w:noWrap/>
            <w:vAlign w:val="center"/>
            <w:hideMark/>
          </w:tcPr>
          <w:p w14:paraId="40B57651" w14:textId="77777777" w:rsidR="003A6168" w:rsidRDefault="003A6168" w:rsidP="003A6168">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C88D666" w14:textId="77777777" w:rsidR="003A6168" w:rsidRDefault="003A6168" w:rsidP="003A6168">
            <w:pPr>
              <w:pStyle w:val="P68B1DB1-Normal8"/>
              <w:keepNext/>
              <w:spacing w:before="40" w:after="0" w:line="240" w:lineRule="auto"/>
              <w:jc w:val="center"/>
              <w:rPr>
                <w:rFonts w:eastAsia="Times New Roman" w:cs="Calibri"/>
                <w:noProof/>
              </w:rPr>
            </w:pPr>
            <w:r>
              <w:rPr>
                <w:noProof/>
              </w:rPr>
              <w:t>M</w:t>
            </w:r>
          </w:p>
        </w:tc>
        <w:tc>
          <w:tcPr>
            <w:tcW w:w="1640" w:type="dxa"/>
            <w:shd w:val="clear" w:color="auto" w:fill="C4EFCE"/>
            <w:noWrap/>
            <w:vAlign w:val="center"/>
            <w:hideMark/>
          </w:tcPr>
          <w:p w14:paraId="7895B9C7" w14:textId="2C5299C6" w:rsidR="003A6168" w:rsidRDefault="003A6168" w:rsidP="003A6168">
            <w:pPr>
              <w:pStyle w:val="P68B1DB1-Normal8"/>
              <w:keepNext/>
              <w:spacing w:before="40" w:after="0" w:line="240" w:lineRule="auto"/>
              <w:jc w:val="center"/>
              <w:rPr>
                <w:rFonts w:eastAsia="Times New Roman" w:cs="Calibri"/>
                <w:noProof/>
              </w:rPr>
            </w:pPr>
            <w:r>
              <w:rPr>
                <w:noProof/>
              </w:rPr>
              <w:t>A MARTEC műszaki központ építési beruházásra irányuló szerződésének kezdete</w:t>
            </w:r>
          </w:p>
        </w:tc>
        <w:tc>
          <w:tcPr>
            <w:tcW w:w="1231" w:type="dxa"/>
            <w:shd w:val="clear" w:color="auto" w:fill="C4EFCE"/>
            <w:noWrap/>
            <w:vAlign w:val="center"/>
            <w:hideMark/>
          </w:tcPr>
          <w:p w14:paraId="23050660" w14:textId="1D88FF3D" w:rsidR="003A6168" w:rsidRDefault="003A6168" w:rsidP="003A6168">
            <w:pPr>
              <w:pStyle w:val="P68B1DB1-Normal8"/>
              <w:keepNext/>
              <w:spacing w:before="40" w:after="0" w:line="240" w:lineRule="auto"/>
              <w:jc w:val="center"/>
              <w:rPr>
                <w:rFonts w:eastAsia="Times New Roman" w:cs="Calibri"/>
                <w:noProof/>
              </w:rPr>
            </w:pPr>
            <w:r>
              <w:rPr>
                <w:noProof/>
              </w:rPr>
              <w:t>A MARTEC műszaki központ építési munkálatainak megkezdése</w:t>
            </w:r>
          </w:p>
        </w:tc>
        <w:tc>
          <w:tcPr>
            <w:tcW w:w="962" w:type="dxa"/>
            <w:shd w:val="clear" w:color="auto" w:fill="C4EFCE"/>
            <w:noWrap/>
            <w:vAlign w:val="center"/>
            <w:hideMark/>
          </w:tcPr>
          <w:p w14:paraId="12D246C0"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27F0FE3B"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355E60A"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7166E7D8" w14:textId="2F68D48E"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13D93DFC" w14:textId="0E0F7803" w:rsidR="003A6168" w:rsidRDefault="003A6168" w:rsidP="003A6168">
            <w:pPr>
              <w:pStyle w:val="P68B1DB1-Normal8"/>
              <w:keepNext/>
              <w:spacing w:before="40" w:after="0" w:line="240" w:lineRule="auto"/>
              <w:jc w:val="center"/>
              <w:rPr>
                <w:rFonts w:eastAsia="Times New Roman" w:cs="Calibri"/>
                <w:noProof/>
              </w:rPr>
            </w:pPr>
            <w:r>
              <w:rPr>
                <w:noProof/>
              </w:rPr>
              <w:t>2023</w:t>
            </w:r>
          </w:p>
        </w:tc>
        <w:tc>
          <w:tcPr>
            <w:tcW w:w="5223" w:type="dxa"/>
            <w:shd w:val="clear" w:color="auto" w:fill="C4EFCE"/>
            <w:vAlign w:val="center"/>
            <w:hideMark/>
          </w:tcPr>
          <w:p w14:paraId="7652F711"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 Technopolo MARTEC infrastruktúrájának építési munkálatainak megkezdése (beleértve a földvásárlást és a meglévő infrastruktúra lebontását) Faial szigetén, amelyet 2025-ben kell befejezni az Azori-szigeteken a tengerhez kapcsolódó kísérleti és fejlesztési központ részeként. </w:t>
            </w:r>
          </w:p>
          <w:p w14:paraId="6E6AE8E6" w14:textId="77777777" w:rsidR="003A6168" w:rsidRDefault="003A6168" w:rsidP="003A6168">
            <w:pPr>
              <w:pStyle w:val="P68B1DB1-Normal8"/>
              <w:keepNext/>
              <w:spacing w:before="40" w:after="0" w:line="240" w:lineRule="auto"/>
              <w:jc w:val="both"/>
              <w:rPr>
                <w:rFonts w:eastAsia="Times New Roman" w:cs="Calibri"/>
                <w:noProof/>
              </w:rPr>
            </w:pPr>
            <w:r>
              <w:rPr>
                <w:noProof/>
              </w:rPr>
              <w:t>Tartalmaznia kell egy kék inkubátort (legalább 6 500 m²), egy akvakultúrás központot (legalább 2 000 m²-t) és a szükséges felszerelést (általános berendezések, valamint kísérleti központ és állomás létesítése az akvakultúra-kutatáshoz).</w:t>
            </w:r>
          </w:p>
          <w:p w14:paraId="102BB169" w14:textId="1675BC9D" w:rsidR="003A6168" w:rsidRDefault="003A6168" w:rsidP="003A6168">
            <w:pPr>
              <w:pStyle w:val="P68B1DB1-Normal8"/>
              <w:keepNext/>
              <w:spacing w:before="40"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w:t>
            </w:r>
          </w:p>
        </w:tc>
      </w:tr>
      <w:tr w:rsidR="003A6168" w14:paraId="5F9977DC" w14:textId="77777777">
        <w:trPr>
          <w:trHeight w:val="1060"/>
          <w:jc w:val="center"/>
        </w:trPr>
        <w:tc>
          <w:tcPr>
            <w:tcW w:w="1101" w:type="dxa"/>
            <w:shd w:val="clear" w:color="auto" w:fill="C4EFCE"/>
            <w:vAlign w:val="center"/>
            <w:hideMark/>
          </w:tcPr>
          <w:p w14:paraId="5F48BC21" w14:textId="77777777" w:rsidR="003A6168" w:rsidRDefault="003A6168" w:rsidP="003A6168">
            <w:pPr>
              <w:pStyle w:val="P68B1DB1-Normal7"/>
              <w:keepNext/>
              <w:spacing w:before="40" w:after="0" w:line="240" w:lineRule="auto"/>
              <w:jc w:val="center"/>
              <w:rPr>
                <w:rFonts w:eastAsia="Times New Roman" w:cs="Calibri"/>
                <w:noProof/>
              </w:rPr>
            </w:pPr>
            <w:r>
              <w:rPr>
                <w:noProof/>
              </w:rPr>
              <w:t>10.9</w:t>
            </w:r>
          </w:p>
        </w:tc>
        <w:tc>
          <w:tcPr>
            <w:tcW w:w="1231" w:type="dxa"/>
            <w:shd w:val="clear" w:color="auto" w:fill="C4EFCE"/>
            <w:noWrap/>
            <w:vAlign w:val="center"/>
            <w:hideMark/>
          </w:tcPr>
          <w:p w14:paraId="04663115" w14:textId="77777777" w:rsidR="003A6168" w:rsidRDefault="003A6168" w:rsidP="003A6168">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5F75A61A"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3F722B7B"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Kutatóhajó átadása </w:t>
            </w:r>
          </w:p>
        </w:tc>
        <w:tc>
          <w:tcPr>
            <w:tcW w:w="1231" w:type="dxa"/>
            <w:shd w:val="clear" w:color="auto" w:fill="C4EFCE"/>
            <w:noWrap/>
            <w:vAlign w:val="center"/>
            <w:hideMark/>
          </w:tcPr>
          <w:p w14:paraId="19FAE713"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 Kutatóhajó átadása</w:t>
            </w:r>
          </w:p>
        </w:tc>
        <w:tc>
          <w:tcPr>
            <w:tcW w:w="962" w:type="dxa"/>
            <w:shd w:val="clear" w:color="auto" w:fill="C4EFCE"/>
            <w:noWrap/>
            <w:vAlign w:val="center"/>
            <w:hideMark/>
          </w:tcPr>
          <w:p w14:paraId="497F9221"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3E15C7BE"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49C9000"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654D30E1" w14:textId="55D729CC"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684" w:type="dxa"/>
            <w:shd w:val="clear" w:color="auto" w:fill="C4EFCE"/>
            <w:noWrap/>
            <w:vAlign w:val="center"/>
            <w:hideMark/>
          </w:tcPr>
          <w:p w14:paraId="5D59229F" w14:textId="1FE12986"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5223" w:type="dxa"/>
            <w:shd w:val="clear" w:color="auto" w:fill="C4EFCE"/>
            <w:vAlign w:val="center"/>
            <w:hideMark/>
          </w:tcPr>
          <w:p w14:paraId="3F920368" w14:textId="7AA2937D" w:rsidR="003A6168" w:rsidRDefault="003A6168" w:rsidP="003A6168">
            <w:pPr>
              <w:pStyle w:val="P68B1DB1-Normal8"/>
              <w:keepNext/>
              <w:spacing w:before="40" w:after="0" w:line="240" w:lineRule="auto"/>
              <w:jc w:val="both"/>
              <w:rPr>
                <w:rFonts w:eastAsia="Times New Roman" w:cs="Calibri"/>
                <w:noProof/>
              </w:rPr>
            </w:pPr>
            <w:r>
              <w:rPr>
                <w:noProof/>
              </w:rPr>
              <w:t>Modern kutatóhajó átadása. Képesnek kell lennie arra, hogy nagy mélységben üzemeljen, magában foglalja a korszerű kutatási és adatkommunikációs berendezéseket, a dinamikus helymeghatározást, a távirányító járműveket, a nyílt tengeri hálózatokat, a kotróhálókat, a dobozmagokat, a képességek és a magas energiateljesítményű berendezések tekintetében magas technológiai szabványokkal rendelkező berendezéseket, hogy kielégítse a tengerkutatás és -megfigyelés, illetve az óceánok fenntartható használatának előmozdítása terén felmerülő jelenlegi igényeket.</w:t>
            </w:r>
          </w:p>
        </w:tc>
      </w:tr>
      <w:tr w:rsidR="001F25B1" w14:paraId="622F6723" w14:textId="77777777">
        <w:trPr>
          <w:trHeight w:val="1060"/>
          <w:jc w:val="center"/>
        </w:trPr>
        <w:tc>
          <w:tcPr>
            <w:tcW w:w="1101" w:type="dxa"/>
            <w:shd w:val="clear" w:color="auto" w:fill="C4EFCE"/>
            <w:vAlign w:val="center"/>
          </w:tcPr>
          <w:p w14:paraId="42689895" w14:textId="717581FE" w:rsidR="001F25B1" w:rsidRDefault="001F25B1" w:rsidP="001F25B1">
            <w:pPr>
              <w:pStyle w:val="P68B1DB1-Normal11"/>
              <w:keepNext/>
              <w:spacing w:before="40" w:after="0" w:line="240" w:lineRule="auto"/>
              <w:jc w:val="center"/>
              <w:rPr>
                <w:rFonts w:eastAsia="Times New Roman"/>
                <w:noProof/>
              </w:rPr>
            </w:pPr>
            <w:r>
              <w:rPr>
                <w:noProof/>
              </w:rPr>
              <w:t>10.11</w:t>
            </w:r>
          </w:p>
        </w:tc>
        <w:tc>
          <w:tcPr>
            <w:tcW w:w="1231" w:type="dxa"/>
            <w:shd w:val="clear" w:color="auto" w:fill="C4EFCE"/>
            <w:noWrap/>
            <w:vAlign w:val="center"/>
          </w:tcPr>
          <w:p w14:paraId="41B255A2" w14:textId="2496DE23" w:rsidR="001F25B1" w:rsidRDefault="001F25B1" w:rsidP="001F25B1">
            <w:pPr>
              <w:pStyle w:val="P68B1DB1-Normal12"/>
              <w:keepNext/>
              <w:spacing w:before="40" w:after="0" w:line="240" w:lineRule="auto"/>
              <w:jc w:val="center"/>
              <w:rPr>
                <w:rFonts w:eastAsia="Times New Roman" w:cstheme="minorHAnsi"/>
                <w:noProof/>
              </w:rPr>
            </w:pPr>
            <w:r>
              <w:rPr>
                <w:noProof/>
              </w:rPr>
              <w:t xml:space="preserve"> TC-C10–i04-RAA</w:t>
            </w:r>
          </w:p>
        </w:tc>
        <w:tc>
          <w:tcPr>
            <w:tcW w:w="1096" w:type="dxa"/>
            <w:shd w:val="clear" w:color="auto" w:fill="C4EFCE"/>
            <w:noWrap/>
            <w:vAlign w:val="center"/>
          </w:tcPr>
          <w:p w14:paraId="718C08F5" w14:textId="0ECD9053" w:rsidR="001F25B1" w:rsidRDefault="001F25B1" w:rsidP="001F25B1">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440886E" w14:textId="5BA56187" w:rsidR="001F25B1" w:rsidRDefault="001F25B1" w:rsidP="001F25B1">
            <w:pPr>
              <w:pStyle w:val="P68B1DB1-Normal12"/>
              <w:keepNext/>
              <w:spacing w:before="40" w:after="0" w:line="240" w:lineRule="auto"/>
              <w:jc w:val="center"/>
              <w:rPr>
                <w:rFonts w:eastAsia="Arial" w:cstheme="minorHAnsi"/>
                <w:noProof/>
              </w:rPr>
            </w:pPr>
            <w:r>
              <w:rPr>
                <w:noProof/>
              </w:rPr>
              <w:t xml:space="preserve">2 modul leszállítása az új kutatóhajóhoz </w:t>
            </w:r>
          </w:p>
        </w:tc>
        <w:tc>
          <w:tcPr>
            <w:tcW w:w="1231" w:type="dxa"/>
            <w:shd w:val="clear" w:color="auto" w:fill="C4EFCE"/>
            <w:noWrap/>
            <w:vAlign w:val="center"/>
          </w:tcPr>
          <w:p w14:paraId="5ABEAD50" w14:textId="3E3B82CC" w:rsidR="001F25B1" w:rsidRDefault="001F25B1" w:rsidP="001F25B1">
            <w:pPr>
              <w:pStyle w:val="P68B1DB1-Normal12"/>
              <w:keepNext/>
              <w:spacing w:before="40" w:after="0" w:line="240" w:lineRule="auto"/>
              <w:jc w:val="center"/>
              <w:rPr>
                <w:rFonts w:eastAsia="Times New Roman" w:cstheme="minorHAnsi"/>
                <w:noProof/>
              </w:rPr>
            </w:pPr>
            <w:r>
              <w:rPr>
                <w:noProof/>
              </w:rPr>
              <w:t>2 modul leszállítása az új kutatóhajóhoz</w:t>
            </w:r>
          </w:p>
        </w:tc>
        <w:tc>
          <w:tcPr>
            <w:tcW w:w="962" w:type="dxa"/>
            <w:shd w:val="clear" w:color="auto" w:fill="C4EFCE"/>
            <w:noWrap/>
            <w:vAlign w:val="center"/>
          </w:tcPr>
          <w:p w14:paraId="600BCF98" w14:textId="77777777" w:rsidR="001F25B1" w:rsidRDefault="001F25B1" w:rsidP="001F25B1">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4027EBE3" w14:textId="1E059CAD" w:rsidR="001F25B1" w:rsidRDefault="001F25B1" w:rsidP="001F25B1">
            <w:pPr>
              <w:keepNext/>
              <w:spacing w:before="40" w:after="0" w:line="240" w:lineRule="auto"/>
              <w:jc w:val="center"/>
              <w:rPr>
                <w:rFonts w:cstheme="minorHAnsi"/>
                <w:noProof/>
                <w:sz w:val="16"/>
              </w:rPr>
            </w:pPr>
          </w:p>
        </w:tc>
        <w:tc>
          <w:tcPr>
            <w:tcW w:w="690" w:type="dxa"/>
            <w:shd w:val="clear" w:color="auto" w:fill="C4EFCE"/>
            <w:noWrap/>
            <w:vAlign w:val="center"/>
          </w:tcPr>
          <w:p w14:paraId="56912BFF" w14:textId="585868F2" w:rsidR="001F25B1" w:rsidRDefault="001F25B1" w:rsidP="001F25B1">
            <w:pPr>
              <w:keepNext/>
              <w:spacing w:before="40" w:after="0" w:line="240" w:lineRule="auto"/>
              <w:jc w:val="center"/>
              <w:rPr>
                <w:rFonts w:cstheme="minorHAnsi"/>
                <w:noProof/>
                <w:sz w:val="16"/>
              </w:rPr>
            </w:pPr>
          </w:p>
        </w:tc>
        <w:tc>
          <w:tcPr>
            <w:tcW w:w="554" w:type="dxa"/>
            <w:shd w:val="clear" w:color="auto" w:fill="C4EFCE"/>
            <w:noWrap/>
            <w:vAlign w:val="center"/>
          </w:tcPr>
          <w:p w14:paraId="1A51A8E2" w14:textId="52123274" w:rsidR="001F25B1" w:rsidRDefault="001F25B1" w:rsidP="001F25B1">
            <w:pPr>
              <w:pStyle w:val="P68B1DB1-Normal12"/>
              <w:keepNext/>
              <w:spacing w:before="40" w:after="0" w:line="240" w:lineRule="auto"/>
              <w:jc w:val="center"/>
              <w:rPr>
                <w:rFonts w:eastAsia="Arial" w:cstheme="minorHAnsi"/>
                <w:noProof/>
              </w:rPr>
            </w:pPr>
            <w:r>
              <w:rPr>
                <w:noProof/>
              </w:rPr>
              <w:t>2. NEGYEDÉV</w:t>
            </w:r>
          </w:p>
        </w:tc>
        <w:tc>
          <w:tcPr>
            <w:tcW w:w="684" w:type="dxa"/>
            <w:shd w:val="clear" w:color="auto" w:fill="C4EFCE"/>
            <w:noWrap/>
            <w:vAlign w:val="center"/>
          </w:tcPr>
          <w:p w14:paraId="49C8B85F" w14:textId="00EC4422" w:rsidR="001F25B1" w:rsidRDefault="001F25B1" w:rsidP="001F25B1">
            <w:pPr>
              <w:pStyle w:val="P68B1DB1-Normal12"/>
              <w:keepNext/>
              <w:spacing w:before="40" w:after="0" w:line="240" w:lineRule="auto"/>
              <w:jc w:val="center"/>
              <w:rPr>
                <w:rFonts w:eastAsia="Arial" w:cstheme="minorHAnsi"/>
                <w:noProof/>
              </w:rPr>
            </w:pPr>
            <w:r>
              <w:rPr>
                <w:noProof/>
              </w:rPr>
              <w:t>2026</w:t>
            </w:r>
          </w:p>
        </w:tc>
        <w:tc>
          <w:tcPr>
            <w:tcW w:w="5223" w:type="dxa"/>
            <w:shd w:val="clear" w:color="auto" w:fill="C4EFCE"/>
            <w:vAlign w:val="center"/>
          </w:tcPr>
          <w:p w14:paraId="3455FF49" w14:textId="02FE8514" w:rsidR="001F25B1" w:rsidRDefault="001F25B1" w:rsidP="001F25B1">
            <w:pPr>
              <w:pStyle w:val="P68B1DB1-Normal12"/>
              <w:keepNext/>
              <w:spacing w:before="40" w:after="0" w:line="240" w:lineRule="auto"/>
              <w:jc w:val="both"/>
              <w:rPr>
                <w:rFonts w:eastAsia="Calibri" w:cstheme="minorHAnsi"/>
                <w:noProof/>
              </w:rPr>
            </w:pPr>
            <w:r>
              <w:rPr>
                <w:noProof/>
              </w:rPr>
              <w:t>2 modul biztosítása az új hajók kutatásához: 1 ROV modul és 1 vonóhálós felszerelés modul</w:t>
            </w:r>
          </w:p>
        </w:tc>
      </w:tr>
      <w:tr w:rsidR="001F25B1" w14:paraId="4ED5D0BF" w14:textId="77777777">
        <w:trPr>
          <w:trHeight w:val="61"/>
          <w:jc w:val="center"/>
        </w:trPr>
        <w:tc>
          <w:tcPr>
            <w:tcW w:w="1101" w:type="dxa"/>
            <w:shd w:val="clear" w:color="auto" w:fill="C4EFCE"/>
            <w:vAlign w:val="center"/>
            <w:hideMark/>
          </w:tcPr>
          <w:p w14:paraId="1D980CEA" w14:textId="4E2C1C4E" w:rsidR="001F25B1" w:rsidRDefault="001F25B1" w:rsidP="001F25B1">
            <w:pPr>
              <w:pStyle w:val="P68B1DB1-Normal7"/>
              <w:keepNext/>
              <w:spacing w:before="40" w:after="0" w:line="240" w:lineRule="auto"/>
              <w:jc w:val="center"/>
              <w:rPr>
                <w:rFonts w:eastAsia="Times New Roman" w:cs="Calibri"/>
                <w:noProof/>
              </w:rPr>
            </w:pPr>
            <w:r>
              <w:rPr>
                <w:noProof/>
              </w:rPr>
              <w:t>10.10</w:t>
            </w:r>
          </w:p>
        </w:tc>
        <w:tc>
          <w:tcPr>
            <w:tcW w:w="1231" w:type="dxa"/>
            <w:shd w:val="clear" w:color="auto" w:fill="C4EFCE"/>
            <w:noWrap/>
            <w:vAlign w:val="center"/>
            <w:hideMark/>
          </w:tcPr>
          <w:p w14:paraId="6D342640" w14:textId="77777777" w:rsidR="001F25B1" w:rsidRDefault="001F25B1" w:rsidP="001F25B1">
            <w:pPr>
              <w:pStyle w:val="P68B1DB1-Normal8"/>
              <w:keepNext/>
              <w:spacing w:before="40" w:after="0" w:line="240" w:lineRule="auto"/>
              <w:jc w:val="center"/>
              <w:rPr>
                <w:rFonts w:eastAsia="Times New Roman" w:cs="Calibri"/>
                <w:noProof/>
              </w:rPr>
            </w:pPr>
            <w:r>
              <w:rPr>
                <w:noProof/>
              </w:rPr>
              <w:t>TC-C10–i04-RAA</w:t>
            </w:r>
          </w:p>
        </w:tc>
        <w:tc>
          <w:tcPr>
            <w:tcW w:w="1096" w:type="dxa"/>
            <w:shd w:val="clear" w:color="auto" w:fill="C4EFCE"/>
            <w:noWrap/>
            <w:vAlign w:val="center"/>
            <w:hideMark/>
          </w:tcPr>
          <w:p w14:paraId="04AC5CC4" w14:textId="77777777" w:rsidR="001F25B1" w:rsidRDefault="001F25B1" w:rsidP="001F25B1">
            <w:pPr>
              <w:pStyle w:val="P68B1DB1-Normal8"/>
              <w:keepNext/>
              <w:spacing w:before="40" w:after="0" w:line="240" w:lineRule="auto"/>
              <w:jc w:val="center"/>
              <w:rPr>
                <w:rFonts w:eastAsia="Times New Roman" w:cs="Calibri"/>
                <w:noProof/>
              </w:rPr>
            </w:pPr>
            <w:r>
              <w:rPr>
                <w:noProof/>
              </w:rPr>
              <w:t xml:space="preserve">M </w:t>
            </w:r>
          </w:p>
        </w:tc>
        <w:tc>
          <w:tcPr>
            <w:tcW w:w="1640" w:type="dxa"/>
            <w:shd w:val="clear" w:color="auto" w:fill="C4EFCE"/>
            <w:noWrap/>
            <w:vAlign w:val="center"/>
            <w:hideMark/>
          </w:tcPr>
          <w:p w14:paraId="636F73E3" w14:textId="16AB0CF0" w:rsidR="001F25B1" w:rsidRDefault="001F25B1" w:rsidP="001F25B1">
            <w:pPr>
              <w:pStyle w:val="P68B1DB1-Normal8"/>
              <w:keepNext/>
              <w:spacing w:before="40" w:after="0" w:line="240" w:lineRule="auto"/>
              <w:jc w:val="center"/>
              <w:rPr>
                <w:rFonts w:eastAsia="Times New Roman" w:cs="Calibri"/>
                <w:noProof/>
              </w:rPr>
            </w:pPr>
            <w:r>
              <w:rPr>
                <w:noProof/>
              </w:rPr>
              <w:t>Az Azori-szigeteken a tengerhez kapcsolódó kísérleti kutatási és fejlesztési központ működőképessé tétele (MARTEC központ)</w:t>
            </w:r>
          </w:p>
        </w:tc>
        <w:tc>
          <w:tcPr>
            <w:tcW w:w="1231" w:type="dxa"/>
            <w:shd w:val="clear" w:color="auto" w:fill="C4EFCE"/>
            <w:noWrap/>
            <w:vAlign w:val="center"/>
            <w:hideMark/>
          </w:tcPr>
          <w:p w14:paraId="45BDBD81" w14:textId="41D58349" w:rsidR="001F25B1" w:rsidRDefault="001F25B1" w:rsidP="001F25B1">
            <w:pPr>
              <w:pStyle w:val="P68B1DB1-Normal8"/>
              <w:keepNext/>
              <w:spacing w:before="40" w:after="0" w:line="240" w:lineRule="auto"/>
              <w:jc w:val="center"/>
              <w:rPr>
                <w:rFonts w:eastAsia="Times New Roman" w:cs="Calibri"/>
                <w:noProof/>
              </w:rPr>
            </w:pPr>
            <w:r>
              <w:rPr>
                <w:noProof/>
              </w:rPr>
              <w:t>Az Azori-szigeteken a tengerhez kapcsolódó kísérleti kutatási és fejlesztési központ működőképessé tétele (MARTEC központ)</w:t>
            </w:r>
          </w:p>
        </w:tc>
        <w:tc>
          <w:tcPr>
            <w:tcW w:w="962" w:type="dxa"/>
            <w:shd w:val="clear" w:color="auto" w:fill="C4EFCE"/>
            <w:noWrap/>
            <w:vAlign w:val="center"/>
            <w:hideMark/>
          </w:tcPr>
          <w:p w14:paraId="1B1BE93D" w14:textId="77777777" w:rsidR="001F25B1" w:rsidRDefault="001F25B1" w:rsidP="001F25B1">
            <w:pPr>
              <w:pStyle w:val="P68B1DB1-Normal8"/>
              <w:keepNext/>
              <w:spacing w:before="40" w:after="0" w:line="240" w:lineRule="auto"/>
              <w:jc w:val="center"/>
              <w:rPr>
                <w:rFonts w:eastAsia="Times New Roman" w:cs="Calibri"/>
                <w:noProof/>
              </w:rPr>
            </w:pPr>
            <w:r>
              <w:rPr>
                <w:noProof/>
              </w:rPr>
              <w:t> </w:t>
            </w:r>
          </w:p>
        </w:tc>
        <w:tc>
          <w:tcPr>
            <w:tcW w:w="961" w:type="dxa"/>
            <w:shd w:val="clear" w:color="auto" w:fill="C4EFCE"/>
            <w:noWrap/>
            <w:vAlign w:val="center"/>
            <w:hideMark/>
          </w:tcPr>
          <w:p w14:paraId="18CF87CE" w14:textId="77777777" w:rsidR="001F25B1" w:rsidRDefault="001F25B1" w:rsidP="001F25B1">
            <w:pPr>
              <w:pStyle w:val="P68B1DB1-Normal8"/>
              <w:keepNext/>
              <w:spacing w:before="40" w:after="0" w:line="240" w:lineRule="auto"/>
              <w:jc w:val="center"/>
              <w:rPr>
                <w:rFonts w:eastAsia="Times New Roman" w:cs="Calibri"/>
                <w:noProof/>
              </w:rPr>
            </w:pPr>
            <w:r>
              <w:rPr>
                <w:noProof/>
              </w:rPr>
              <w:t> </w:t>
            </w:r>
          </w:p>
        </w:tc>
        <w:tc>
          <w:tcPr>
            <w:tcW w:w="690" w:type="dxa"/>
            <w:shd w:val="clear" w:color="auto" w:fill="C4EFCE"/>
            <w:noWrap/>
            <w:vAlign w:val="center"/>
            <w:hideMark/>
          </w:tcPr>
          <w:p w14:paraId="6C99979D" w14:textId="77777777" w:rsidR="001F25B1" w:rsidRDefault="001F25B1" w:rsidP="001F25B1">
            <w:pPr>
              <w:pStyle w:val="P68B1DB1-Normal8"/>
              <w:keepNext/>
              <w:spacing w:before="40" w:after="0" w:line="240" w:lineRule="auto"/>
              <w:jc w:val="center"/>
              <w:rPr>
                <w:rFonts w:eastAsia="Times New Roman" w:cs="Calibri"/>
                <w:noProof/>
              </w:rPr>
            </w:pPr>
            <w:r>
              <w:rPr>
                <w:noProof/>
              </w:rPr>
              <w:t> </w:t>
            </w:r>
          </w:p>
        </w:tc>
        <w:tc>
          <w:tcPr>
            <w:tcW w:w="554" w:type="dxa"/>
            <w:shd w:val="clear" w:color="auto" w:fill="C4EFCE"/>
            <w:noWrap/>
            <w:vAlign w:val="center"/>
            <w:hideMark/>
          </w:tcPr>
          <w:p w14:paraId="5B5A6190" w14:textId="4C0D9B5B" w:rsidR="001F25B1" w:rsidRDefault="001F25B1" w:rsidP="001F25B1">
            <w:pPr>
              <w:pStyle w:val="P68B1DB1-Normal8"/>
              <w:keepNext/>
              <w:spacing w:before="40" w:after="0" w:line="240" w:lineRule="auto"/>
              <w:jc w:val="center"/>
              <w:rPr>
                <w:rFonts w:eastAsia="Times New Roman" w:cs="Calibri"/>
                <w:noProof/>
              </w:rPr>
            </w:pPr>
            <w:r>
              <w:rPr>
                <w:noProof/>
              </w:rPr>
              <w:t>2. NEGYEDÉV</w:t>
            </w:r>
          </w:p>
        </w:tc>
        <w:tc>
          <w:tcPr>
            <w:tcW w:w="684" w:type="dxa"/>
            <w:shd w:val="clear" w:color="auto" w:fill="C4EFCE"/>
            <w:noWrap/>
            <w:vAlign w:val="center"/>
            <w:hideMark/>
          </w:tcPr>
          <w:p w14:paraId="355DB126" w14:textId="0A215794" w:rsidR="001F25B1" w:rsidRDefault="001F25B1" w:rsidP="001F25B1">
            <w:pPr>
              <w:pStyle w:val="P68B1DB1-Normal8"/>
              <w:keepNext/>
              <w:spacing w:before="40" w:after="0" w:line="240" w:lineRule="auto"/>
              <w:jc w:val="center"/>
              <w:rPr>
                <w:rFonts w:eastAsia="Times New Roman" w:cs="Calibri"/>
                <w:noProof/>
              </w:rPr>
            </w:pPr>
            <w:r>
              <w:rPr>
                <w:noProof/>
              </w:rPr>
              <w:t>2026</w:t>
            </w:r>
          </w:p>
        </w:tc>
        <w:tc>
          <w:tcPr>
            <w:tcW w:w="5223" w:type="dxa"/>
            <w:shd w:val="clear" w:color="auto" w:fill="C4EFCE"/>
            <w:vAlign w:val="center"/>
            <w:hideMark/>
          </w:tcPr>
          <w:p w14:paraId="3E083202" w14:textId="4E0D2C48" w:rsidR="001F25B1" w:rsidRDefault="001F25B1" w:rsidP="001F25B1">
            <w:pPr>
              <w:pStyle w:val="P68B1DB1-Normal9"/>
              <w:keepNext/>
              <w:spacing w:before="40" w:after="0" w:line="240" w:lineRule="auto"/>
              <w:jc w:val="both"/>
              <w:rPr>
                <w:rFonts w:eastAsia="Times New Roman" w:cs="Calibri"/>
                <w:noProof/>
                <w:sz w:val="16"/>
              </w:rPr>
            </w:pPr>
            <w:r>
              <w:rPr>
                <w:noProof/>
                <w:sz w:val="4"/>
              </w:rPr>
              <w:t> A tengerhez kapcsolódó kísérleti kutatási és fejlesztési központ</w:t>
            </w:r>
            <w:r>
              <w:rPr>
                <w:noProof/>
                <w:sz w:val="16"/>
              </w:rPr>
              <w:t xml:space="preserve">létrehozása és működőképessé tétele, amelyet meg lehet osztani az Azori-szigetek tudományos és technológiai rendszerének intézményeivel és a vállalkozásokkal, és amely a hagyományos és feltörekvő területeken, például a halászatért és az azokból származó termékekért, az akvakultúráért, a tengeri biotechnológiáért, a bioanyagokért vagy a tengeri technológiákért és eszközökért felelős. A központ (MARTEC műszaki központ) működőképessé tétele, amely Faial szigetén található. </w:t>
            </w:r>
          </w:p>
          <w:p w14:paraId="6661BE7E" w14:textId="06F54DE1" w:rsidR="001F25B1" w:rsidRDefault="001F25B1" w:rsidP="001F25B1">
            <w:pPr>
              <w:pStyle w:val="P68B1DB1-Normal8"/>
              <w:keepNext/>
              <w:spacing w:before="40" w:after="0" w:line="240" w:lineRule="auto"/>
              <w:jc w:val="both"/>
              <w:rPr>
                <w:rFonts w:eastAsia="Times New Roman" w:cs="Calibri"/>
                <w:noProof/>
              </w:rPr>
            </w:pPr>
            <w:r>
              <w:rPr>
                <w:noProof/>
              </w:rPr>
              <w:t>Az új épületek primerenergia-szükségletének legalább 20%-kal alacsonyabbnak kell lennie a közel nulla energiaigényű épületekre vonatkozó követelményeknél.</w:t>
            </w:r>
          </w:p>
        </w:tc>
      </w:tr>
      <w:tr w:rsidR="00DC5EC6" w14:paraId="3E3DE191" w14:textId="77777777">
        <w:trPr>
          <w:trHeight w:val="61"/>
          <w:jc w:val="center"/>
        </w:trPr>
        <w:tc>
          <w:tcPr>
            <w:tcW w:w="1101" w:type="dxa"/>
            <w:shd w:val="clear" w:color="auto" w:fill="C4EFCE"/>
            <w:vAlign w:val="center"/>
          </w:tcPr>
          <w:p w14:paraId="26903038" w14:textId="0E90B29C" w:rsidR="00DC5EC6" w:rsidRDefault="003245A4">
            <w:pPr>
              <w:pStyle w:val="P68B1DB1-Normal11"/>
              <w:keepNext/>
              <w:spacing w:after="0" w:line="240" w:lineRule="auto"/>
              <w:jc w:val="center"/>
              <w:rPr>
                <w:noProof/>
              </w:rPr>
            </w:pPr>
            <w:r>
              <w:rPr>
                <w:noProof/>
              </w:rPr>
              <w:t>10.12</w:t>
            </w:r>
          </w:p>
        </w:tc>
        <w:tc>
          <w:tcPr>
            <w:tcW w:w="1231" w:type="dxa"/>
            <w:shd w:val="clear" w:color="auto" w:fill="C4EFCE"/>
            <w:noWrap/>
            <w:vAlign w:val="center"/>
          </w:tcPr>
          <w:p w14:paraId="0496A8A4" w14:textId="19D8C5CA" w:rsidR="00DC5EC6" w:rsidRDefault="003245A4">
            <w:pPr>
              <w:pStyle w:val="P68B1DB1-Normal12"/>
              <w:keepNext/>
              <w:spacing w:after="0" w:line="240" w:lineRule="auto"/>
              <w:jc w:val="center"/>
              <w:rPr>
                <w:rFonts w:eastAsia="Times New Roman" w:cstheme="minorHAnsi"/>
                <w:noProof/>
              </w:rPr>
            </w:pPr>
            <w:r>
              <w:rPr>
                <w:noProof/>
              </w:rPr>
              <w:t>TC-C10-i05-RAA</w:t>
            </w:r>
          </w:p>
        </w:tc>
        <w:tc>
          <w:tcPr>
            <w:tcW w:w="1096" w:type="dxa"/>
            <w:shd w:val="clear" w:color="auto" w:fill="C4EFCE"/>
            <w:noWrap/>
            <w:vAlign w:val="center"/>
          </w:tcPr>
          <w:p w14:paraId="22D05C51" w14:textId="779F89BB" w:rsidR="00DC5EC6" w:rsidRDefault="003245A4">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2E7266DE" w14:textId="3E73B555" w:rsidR="00DC5EC6" w:rsidRDefault="003245A4">
            <w:pPr>
              <w:pStyle w:val="P68B1DB1-Normal12"/>
              <w:keepNext/>
              <w:spacing w:after="0" w:line="240" w:lineRule="auto"/>
              <w:jc w:val="center"/>
              <w:rPr>
                <w:rFonts w:eastAsia="Times New Roman" w:cstheme="minorHAnsi"/>
                <w:noProof/>
              </w:rPr>
            </w:pPr>
            <w:r>
              <w:rPr>
                <w:noProof/>
              </w:rPr>
              <w:t xml:space="preserve">A halászati és akvakultúra-ágazati projektek lezárása </w:t>
            </w:r>
          </w:p>
        </w:tc>
        <w:tc>
          <w:tcPr>
            <w:tcW w:w="1231" w:type="dxa"/>
            <w:shd w:val="clear" w:color="auto" w:fill="C4EFCE"/>
            <w:noWrap/>
            <w:vAlign w:val="center"/>
          </w:tcPr>
          <w:p w14:paraId="75E12B83" w14:textId="77777777" w:rsidR="00DC5EC6" w:rsidRDefault="00DC5EC6">
            <w:pPr>
              <w:keepNext/>
              <w:spacing w:after="0" w:line="240" w:lineRule="auto"/>
              <w:jc w:val="center"/>
              <w:rPr>
                <w:rFonts w:eastAsia="Times New Roman" w:cstheme="minorHAnsi"/>
                <w:noProof/>
                <w:sz w:val="16"/>
              </w:rPr>
            </w:pPr>
          </w:p>
        </w:tc>
        <w:tc>
          <w:tcPr>
            <w:tcW w:w="962" w:type="dxa"/>
            <w:shd w:val="clear" w:color="auto" w:fill="C4EFCE"/>
            <w:noWrap/>
            <w:vAlign w:val="center"/>
          </w:tcPr>
          <w:p w14:paraId="5A4F2AC3" w14:textId="78005504" w:rsidR="00DC5EC6" w:rsidRDefault="003245A4">
            <w:pPr>
              <w:pStyle w:val="P68B1DB1-Normal12"/>
              <w:keepNext/>
              <w:spacing w:after="0" w:line="240" w:lineRule="auto"/>
              <w:jc w:val="center"/>
              <w:rPr>
                <w:rFonts w:eastAsia="Times New Roman" w:cstheme="minorHAnsi"/>
                <w:noProof/>
              </w:rPr>
            </w:pPr>
            <w:r>
              <w:rPr>
                <w:noProof/>
              </w:rPr>
              <w:t>Szám</w:t>
            </w:r>
          </w:p>
        </w:tc>
        <w:tc>
          <w:tcPr>
            <w:tcW w:w="961" w:type="dxa"/>
            <w:shd w:val="clear" w:color="auto" w:fill="C4EFCE"/>
            <w:noWrap/>
            <w:vAlign w:val="center"/>
          </w:tcPr>
          <w:p w14:paraId="2A286384" w14:textId="3FCA842C" w:rsidR="00DC5EC6" w:rsidRDefault="003245A4">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6A7E8F46" w14:textId="573D606D" w:rsidR="00DC5EC6" w:rsidRDefault="003245A4">
            <w:pPr>
              <w:pStyle w:val="P68B1DB1-Normal12"/>
              <w:keepNext/>
              <w:spacing w:after="0" w:line="240" w:lineRule="auto"/>
              <w:jc w:val="center"/>
              <w:rPr>
                <w:rFonts w:eastAsia="Times New Roman" w:cstheme="minorHAnsi"/>
                <w:noProof/>
              </w:rPr>
            </w:pPr>
            <w:r>
              <w:rPr>
                <w:noProof/>
              </w:rPr>
              <w:t>15</w:t>
            </w:r>
          </w:p>
        </w:tc>
        <w:tc>
          <w:tcPr>
            <w:tcW w:w="554" w:type="dxa"/>
            <w:shd w:val="clear" w:color="auto" w:fill="C4EFCE"/>
            <w:noWrap/>
            <w:vAlign w:val="center"/>
          </w:tcPr>
          <w:p w14:paraId="144B65D8" w14:textId="4101F7FA" w:rsidR="00DC5EC6" w:rsidRDefault="003A6168">
            <w:pPr>
              <w:pStyle w:val="P68B1DB1-Normal12"/>
              <w:keepNext/>
              <w:spacing w:after="0" w:line="240" w:lineRule="auto"/>
              <w:jc w:val="center"/>
              <w:rPr>
                <w:rFonts w:eastAsia="Times New Roman" w:cstheme="minorHAnsi"/>
                <w:noProof/>
              </w:rPr>
            </w:pPr>
            <w:r>
              <w:rPr>
                <w:noProof/>
              </w:rPr>
              <w:t>1.</w:t>
            </w:r>
            <w:r w:rsidR="003245A4">
              <w:rPr>
                <w:noProof/>
              </w:rPr>
              <w:t>NEGYEDÉV</w:t>
            </w:r>
          </w:p>
        </w:tc>
        <w:tc>
          <w:tcPr>
            <w:tcW w:w="684" w:type="dxa"/>
            <w:shd w:val="clear" w:color="auto" w:fill="C4EFCE"/>
            <w:noWrap/>
            <w:vAlign w:val="center"/>
          </w:tcPr>
          <w:p w14:paraId="2B8EDB26" w14:textId="3CD57E6A" w:rsidR="00DC5EC6" w:rsidRDefault="003245A4">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2BBD1A35" w14:textId="6A68B2CD" w:rsidR="00DC5EC6" w:rsidRDefault="003245A4">
            <w:pPr>
              <w:pStyle w:val="P68B1DB1-Normal12"/>
              <w:keepNext/>
              <w:spacing w:after="0" w:line="240" w:lineRule="auto"/>
              <w:jc w:val="both"/>
              <w:rPr>
                <w:noProof/>
              </w:rPr>
            </w:pPr>
            <w:r>
              <w:rPr>
                <w:noProof/>
              </w:rPr>
              <w:t xml:space="preserve">15 projekt lezárása a halászflotta korszerűsítésére és megújítására, a halászati és akvakultúra-ágazatbeli innovációra az energiahatékonyság javítása érdekében, a folyamatok modernizálása, a tengeri hulladéktermelés csökkentése, valamint a körforgásos gazdaság előmozdítása a halászati és akvakultúra-ágazatban, valamint a halászati tevékenység diverzifikálása. </w:t>
            </w:r>
          </w:p>
          <w:p w14:paraId="227A05D1" w14:textId="3F225BEF" w:rsidR="00DC5EC6" w:rsidRDefault="003245A4">
            <w:pPr>
              <w:pStyle w:val="P68B1DB1-Normal12"/>
              <w:keepNext/>
              <w:spacing w:after="0" w:line="240" w:lineRule="auto"/>
              <w:jc w:val="both"/>
              <w:rPr>
                <w:rFonts w:eastAsia="Times New Roman" w:cstheme="minorHAnsi"/>
                <w:noProof/>
              </w:rPr>
            </w:pPr>
            <w:r>
              <w:rPr>
                <w:noProof/>
              </w:rPr>
              <w:t>A kiválasztási kritériumoknak biztosítaniuk kell az ezen intézkedés keretében támogatott ügyletekre vonatkozó, a jelentős károkozás elkerülését célzó elvről szóló technikai iránymutatásnak (2021/C58/01) való megfelelést egy kizárási lista használata révén (az intézkedés leírásában meghatározottak szerint), valamint a vonatkozó uniós és nemzeti környezetvédelmi jogszabályoknak való megfelelés követelményét.</w:t>
            </w:r>
          </w:p>
        </w:tc>
      </w:tr>
      <w:tr w:rsidR="001F25B1" w14:paraId="7AA31F3F" w14:textId="77777777">
        <w:trPr>
          <w:trHeight w:val="61"/>
          <w:jc w:val="center"/>
        </w:trPr>
        <w:tc>
          <w:tcPr>
            <w:tcW w:w="1101" w:type="dxa"/>
            <w:shd w:val="clear" w:color="auto" w:fill="C4EFCE"/>
            <w:vAlign w:val="center"/>
          </w:tcPr>
          <w:p w14:paraId="2FDBE218" w14:textId="6636866D" w:rsidR="001F25B1" w:rsidRDefault="001F25B1" w:rsidP="001F25B1">
            <w:pPr>
              <w:pStyle w:val="P68B1DB1-Normal11"/>
              <w:keepNext/>
              <w:spacing w:before="40" w:after="0" w:line="240" w:lineRule="auto"/>
              <w:jc w:val="center"/>
              <w:rPr>
                <w:noProof/>
              </w:rPr>
            </w:pPr>
            <w:r>
              <w:rPr>
                <w:noProof/>
              </w:rPr>
              <w:t>10.13</w:t>
            </w:r>
          </w:p>
        </w:tc>
        <w:tc>
          <w:tcPr>
            <w:tcW w:w="1231" w:type="dxa"/>
            <w:shd w:val="clear" w:color="auto" w:fill="C4EFCE"/>
            <w:noWrap/>
            <w:vAlign w:val="center"/>
          </w:tcPr>
          <w:p w14:paraId="217D89A3" w14:textId="2D6DE9DE" w:rsidR="001F25B1" w:rsidRDefault="001F25B1" w:rsidP="001F25B1">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681600AA" w14:textId="32CC34AF" w:rsidR="001F25B1" w:rsidRDefault="001F25B1" w:rsidP="001F25B1">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2F245A6B" w14:textId="015E3869" w:rsidR="001F25B1" w:rsidRDefault="001F25B1" w:rsidP="001F25B1">
            <w:pPr>
              <w:pStyle w:val="P68B1DB1-Normal12"/>
              <w:keepNext/>
              <w:spacing w:before="40" w:after="0" w:line="240" w:lineRule="auto"/>
              <w:jc w:val="center"/>
              <w:rPr>
                <w:rFonts w:eastAsia="Times New Roman" w:cstheme="minorHAnsi"/>
                <w:noProof/>
              </w:rPr>
            </w:pPr>
            <w:r>
              <w:rPr>
                <w:noProof/>
              </w:rPr>
              <w:t>A többcélú kutatóhajóra vonatkozó szerződés aláírása</w:t>
            </w:r>
          </w:p>
        </w:tc>
        <w:tc>
          <w:tcPr>
            <w:tcW w:w="1231" w:type="dxa"/>
            <w:shd w:val="clear" w:color="auto" w:fill="C4EFCE"/>
            <w:noWrap/>
          </w:tcPr>
          <w:p w14:paraId="20AD7A7D" w14:textId="4BE3559E" w:rsidR="001F25B1" w:rsidRDefault="001F25B1" w:rsidP="001F25B1">
            <w:pPr>
              <w:pStyle w:val="P68B1DB1-Normal12"/>
              <w:keepNext/>
              <w:spacing w:before="40" w:after="0" w:line="240" w:lineRule="auto"/>
              <w:jc w:val="center"/>
              <w:rPr>
                <w:rFonts w:eastAsia="Times New Roman" w:cstheme="minorHAnsi"/>
                <w:noProof/>
              </w:rPr>
            </w:pPr>
            <w:r>
              <w:rPr>
                <w:noProof/>
              </w:rPr>
              <w:t>A többcélú kutatóhajóra vonatkozó szerződés aláírása</w:t>
            </w:r>
          </w:p>
        </w:tc>
        <w:tc>
          <w:tcPr>
            <w:tcW w:w="962" w:type="dxa"/>
            <w:shd w:val="clear" w:color="auto" w:fill="C4EFCE"/>
            <w:noWrap/>
            <w:vAlign w:val="center"/>
          </w:tcPr>
          <w:p w14:paraId="3A40C90E" w14:textId="77777777" w:rsidR="001F25B1" w:rsidRDefault="001F25B1" w:rsidP="001F25B1">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26DE80A" w14:textId="77777777" w:rsidR="001F25B1" w:rsidRDefault="001F25B1" w:rsidP="001F25B1">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2D6BAC30" w14:textId="77777777" w:rsidR="001F25B1" w:rsidRDefault="001F25B1" w:rsidP="001F25B1">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16B97E23" w14:textId="0AA90340" w:rsidR="001F25B1" w:rsidRDefault="001F25B1" w:rsidP="001F25B1">
            <w:pPr>
              <w:pStyle w:val="P68B1DB1-Normal12"/>
              <w:keepNext/>
              <w:spacing w:before="40" w:after="0" w:line="240" w:lineRule="auto"/>
              <w:jc w:val="center"/>
              <w:rPr>
                <w:rFonts w:eastAsia="Times New Roman" w:cstheme="minorHAnsi"/>
                <w:noProof/>
              </w:rPr>
            </w:pPr>
            <w:r>
              <w:rPr>
                <w:noProof/>
              </w:rPr>
              <w:t>2. NEGYEDÉV</w:t>
            </w:r>
          </w:p>
        </w:tc>
        <w:tc>
          <w:tcPr>
            <w:tcW w:w="684" w:type="dxa"/>
            <w:shd w:val="clear" w:color="auto" w:fill="C4EFCE"/>
            <w:noWrap/>
            <w:vAlign w:val="center"/>
          </w:tcPr>
          <w:p w14:paraId="6528D03E" w14:textId="5BBF66E9" w:rsidR="001F25B1" w:rsidRDefault="001F25B1" w:rsidP="001F25B1">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8DBF254" w14:textId="4B711299" w:rsidR="001F25B1" w:rsidRDefault="001F25B1" w:rsidP="001F25B1">
            <w:pPr>
              <w:pStyle w:val="P68B1DB1-Bodytext1013"/>
              <w:spacing w:after="0" w:line="240" w:lineRule="auto"/>
              <w:jc w:val="both"/>
              <w:rPr>
                <w:rFonts w:cstheme="minorHAnsi"/>
                <w:noProof/>
              </w:rPr>
            </w:pPr>
            <w:r>
              <w:rPr>
                <w:noProof/>
              </w:rPr>
              <w:t>A többcélú kutatóhajó építésére vonatkozó szerződés aláírása.</w:t>
            </w:r>
          </w:p>
          <w:p w14:paraId="69C9B7F5" w14:textId="2745F682" w:rsidR="001F25B1" w:rsidRDefault="001F25B1" w:rsidP="001F25B1">
            <w:pPr>
              <w:pStyle w:val="P68B1DB1-Bodytext1013"/>
              <w:spacing w:after="0" w:line="240" w:lineRule="auto"/>
              <w:jc w:val="both"/>
              <w:rPr>
                <w:rFonts w:cstheme="minorHAnsi"/>
                <w:noProof/>
              </w:rPr>
            </w:pPr>
            <w:r>
              <w:rPr>
                <w:noProof/>
              </w:rPr>
              <w:t>A feladatmeghatározás megköveteli az intézkedés leírásában meghatározott DNSH-feltétel alkalmazását.</w:t>
            </w:r>
          </w:p>
        </w:tc>
      </w:tr>
      <w:tr w:rsidR="001F25B1" w14:paraId="2A3E48E3" w14:textId="77777777">
        <w:trPr>
          <w:trHeight w:val="61"/>
          <w:jc w:val="center"/>
        </w:trPr>
        <w:tc>
          <w:tcPr>
            <w:tcW w:w="1101" w:type="dxa"/>
            <w:shd w:val="clear" w:color="auto" w:fill="C4EFCE"/>
            <w:vAlign w:val="center"/>
          </w:tcPr>
          <w:p w14:paraId="5F10CBE7" w14:textId="4A79894B" w:rsidR="001F25B1" w:rsidRDefault="001F25B1" w:rsidP="001F25B1">
            <w:pPr>
              <w:pStyle w:val="P68B1DB1-Normal11"/>
              <w:keepNext/>
              <w:spacing w:before="40" w:after="0" w:line="240" w:lineRule="auto"/>
              <w:jc w:val="center"/>
              <w:rPr>
                <w:noProof/>
              </w:rPr>
            </w:pPr>
            <w:r>
              <w:rPr>
                <w:noProof/>
              </w:rPr>
              <w:t>10.14</w:t>
            </w:r>
          </w:p>
        </w:tc>
        <w:tc>
          <w:tcPr>
            <w:tcW w:w="1231" w:type="dxa"/>
            <w:shd w:val="clear" w:color="auto" w:fill="C4EFCE"/>
            <w:noWrap/>
            <w:vAlign w:val="center"/>
          </w:tcPr>
          <w:p w14:paraId="226B4B24" w14:textId="77A8C67B" w:rsidR="001F25B1" w:rsidRDefault="001F25B1" w:rsidP="001F25B1">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92E5EFA" w14:textId="343F1A1A" w:rsidR="001F25B1" w:rsidRDefault="001F25B1" w:rsidP="001F25B1">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52FE4774" w14:textId="73D91BDA" w:rsidR="001F25B1" w:rsidRDefault="001F25B1" w:rsidP="001F25B1">
            <w:pPr>
              <w:pStyle w:val="P68B1DB1-Normal12"/>
              <w:keepNext/>
              <w:spacing w:before="40" w:after="0" w:line="240" w:lineRule="auto"/>
              <w:jc w:val="center"/>
              <w:rPr>
                <w:rFonts w:eastAsia="Times New Roman" w:cstheme="minorHAnsi"/>
                <w:noProof/>
              </w:rPr>
            </w:pPr>
            <w:r>
              <w:rPr>
                <w:noProof/>
              </w:rPr>
              <w:t>Az energiahatékony többcélú kutatóhajó szállítása</w:t>
            </w:r>
          </w:p>
        </w:tc>
        <w:tc>
          <w:tcPr>
            <w:tcW w:w="1231" w:type="dxa"/>
            <w:shd w:val="clear" w:color="auto" w:fill="C4EFCE"/>
            <w:noWrap/>
            <w:vAlign w:val="center"/>
          </w:tcPr>
          <w:p w14:paraId="0008148C" w14:textId="6B0E742D" w:rsidR="001F25B1" w:rsidRDefault="001F25B1" w:rsidP="001F25B1">
            <w:pPr>
              <w:pStyle w:val="P68B1DB1-Normal12"/>
              <w:keepNext/>
              <w:spacing w:before="40" w:after="0" w:line="240" w:lineRule="auto"/>
              <w:jc w:val="center"/>
              <w:rPr>
                <w:rFonts w:eastAsia="Times New Roman" w:cstheme="minorHAnsi"/>
                <w:noProof/>
              </w:rPr>
            </w:pPr>
            <w:r>
              <w:rPr>
                <w:noProof/>
              </w:rPr>
              <w:t>A többcélú kutatóhajó átadása</w:t>
            </w:r>
          </w:p>
        </w:tc>
        <w:tc>
          <w:tcPr>
            <w:tcW w:w="962" w:type="dxa"/>
            <w:shd w:val="clear" w:color="auto" w:fill="C4EFCE"/>
            <w:noWrap/>
            <w:vAlign w:val="center"/>
          </w:tcPr>
          <w:p w14:paraId="5108E572" w14:textId="77777777" w:rsidR="001F25B1" w:rsidRDefault="001F25B1" w:rsidP="001F25B1">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5D573528" w14:textId="77777777" w:rsidR="001F25B1" w:rsidRDefault="001F25B1" w:rsidP="001F25B1">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59F38D6" w14:textId="77777777" w:rsidR="001F25B1" w:rsidRDefault="001F25B1" w:rsidP="001F25B1">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78546CDD" w14:textId="18B3EC56" w:rsidR="001F25B1" w:rsidRDefault="001F25B1" w:rsidP="001F25B1">
            <w:pPr>
              <w:pStyle w:val="P68B1DB1-Normal12"/>
              <w:keepNext/>
              <w:spacing w:before="40" w:after="0" w:line="240" w:lineRule="auto"/>
              <w:jc w:val="center"/>
              <w:rPr>
                <w:rFonts w:eastAsia="Times New Roman" w:cstheme="minorHAnsi"/>
                <w:noProof/>
              </w:rPr>
            </w:pPr>
            <w:r>
              <w:rPr>
                <w:noProof/>
              </w:rPr>
              <w:t>2. NEGYEDÉV</w:t>
            </w:r>
          </w:p>
        </w:tc>
        <w:tc>
          <w:tcPr>
            <w:tcW w:w="684" w:type="dxa"/>
            <w:shd w:val="clear" w:color="auto" w:fill="C4EFCE"/>
            <w:noWrap/>
            <w:vAlign w:val="center"/>
          </w:tcPr>
          <w:p w14:paraId="59E155B1" w14:textId="23D5A01D" w:rsidR="001F25B1" w:rsidRDefault="001F25B1" w:rsidP="001F25B1">
            <w:pPr>
              <w:pStyle w:val="P68B1DB1-Normal12"/>
              <w:keepNext/>
              <w:spacing w:before="40" w:after="0" w:line="240" w:lineRule="auto"/>
              <w:jc w:val="center"/>
              <w:rPr>
                <w:rFonts w:eastAsia="Times New Roman" w:cstheme="minorHAnsi"/>
                <w:noProof/>
              </w:rPr>
            </w:pPr>
            <w:r>
              <w:rPr>
                <w:noProof/>
              </w:rPr>
              <w:t>2026</w:t>
            </w:r>
          </w:p>
        </w:tc>
        <w:tc>
          <w:tcPr>
            <w:tcW w:w="5223" w:type="dxa"/>
            <w:shd w:val="clear" w:color="auto" w:fill="C4EFCE"/>
            <w:vAlign w:val="center"/>
          </w:tcPr>
          <w:p w14:paraId="34A1476F" w14:textId="225C975F" w:rsidR="001F25B1" w:rsidRDefault="001F25B1" w:rsidP="001F25B1">
            <w:pPr>
              <w:pStyle w:val="P68B1DB1-Normal12"/>
              <w:keepNext/>
              <w:spacing w:before="40" w:after="0" w:line="240" w:lineRule="auto"/>
              <w:jc w:val="both"/>
              <w:rPr>
                <w:rFonts w:eastAsia="Times New Roman" w:cstheme="minorHAnsi"/>
                <w:noProof/>
              </w:rPr>
            </w:pPr>
            <w:r>
              <w:rPr>
                <w:noProof/>
              </w:rPr>
              <w:t xml:space="preserve">Az energiahatékony többcélú kutatóedény leszállítása. Képesnek kell lennie a Madeira autonóm régiónak a szigetcsoport szigetei körüli sekély vizein, valamint a nyílt tengeren való működésre. </w:t>
            </w:r>
          </w:p>
        </w:tc>
      </w:tr>
      <w:tr w:rsidR="00DC5EC6" w14:paraId="091A1A6A" w14:textId="77777777">
        <w:trPr>
          <w:trHeight w:val="61"/>
          <w:jc w:val="center"/>
        </w:trPr>
        <w:tc>
          <w:tcPr>
            <w:tcW w:w="1101" w:type="dxa"/>
            <w:shd w:val="clear" w:color="auto" w:fill="C4EFCE"/>
            <w:vAlign w:val="center"/>
          </w:tcPr>
          <w:p w14:paraId="411A72EE" w14:textId="6F64B9D4" w:rsidR="00DC5EC6" w:rsidRDefault="003245A4">
            <w:pPr>
              <w:pStyle w:val="P68B1DB1-Normal11"/>
              <w:keepNext/>
              <w:spacing w:before="40" w:after="0" w:line="240" w:lineRule="auto"/>
              <w:jc w:val="center"/>
              <w:rPr>
                <w:noProof/>
              </w:rPr>
            </w:pPr>
            <w:r>
              <w:rPr>
                <w:noProof/>
              </w:rPr>
              <w:t>10.15</w:t>
            </w:r>
          </w:p>
        </w:tc>
        <w:tc>
          <w:tcPr>
            <w:tcW w:w="1231" w:type="dxa"/>
            <w:shd w:val="clear" w:color="auto" w:fill="C4EFCE"/>
            <w:noWrap/>
            <w:vAlign w:val="center"/>
          </w:tcPr>
          <w:p w14:paraId="2EB7E203" w14:textId="651B5F2E" w:rsidR="00DC5EC6" w:rsidRDefault="003245A4">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5F6666DA" w14:textId="7D095AF5" w:rsidR="00DC5EC6" w:rsidRDefault="003245A4">
            <w:pPr>
              <w:pStyle w:val="P68B1DB1-Normal12"/>
              <w:keepNext/>
              <w:spacing w:before="40" w:after="0" w:line="240" w:lineRule="auto"/>
              <w:jc w:val="center"/>
              <w:rPr>
                <w:rFonts w:eastAsia="Times New Roman" w:cstheme="minorHAnsi"/>
                <w:noProof/>
              </w:rPr>
            </w:pPr>
            <w:r>
              <w:rPr>
                <w:noProof/>
              </w:rPr>
              <w:t>T</w:t>
            </w:r>
          </w:p>
        </w:tc>
        <w:tc>
          <w:tcPr>
            <w:tcW w:w="1640" w:type="dxa"/>
            <w:shd w:val="clear" w:color="auto" w:fill="C4EFCE"/>
            <w:noWrap/>
            <w:vAlign w:val="center"/>
          </w:tcPr>
          <w:p w14:paraId="7684AA42" w14:textId="6AF3654F" w:rsidR="00DC5EC6" w:rsidRDefault="003245A4">
            <w:pPr>
              <w:pStyle w:val="P68B1DB1-Normal12"/>
              <w:keepNext/>
              <w:spacing w:before="40" w:after="0" w:line="240" w:lineRule="auto"/>
              <w:jc w:val="center"/>
              <w:rPr>
                <w:rFonts w:eastAsia="Times New Roman" w:cstheme="minorHAnsi"/>
                <w:noProof/>
              </w:rPr>
            </w:pPr>
            <w:r>
              <w:rPr>
                <w:noProof/>
              </w:rPr>
              <w:t>Két pilóta nélküli autonóm jármű szállítása</w:t>
            </w:r>
          </w:p>
        </w:tc>
        <w:tc>
          <w:tcPr>
            <w:tcW w:w="1231" w:type="dxa"/>
            <w:shd w:val="clear" w:color="auto" w:fill="C4EFCE"/>
            <w:noWrap/>
            <w:vAlign w:val="center"/>
          </w:tcPr>
          <w:p w14:paraId="5A84A9D9" w14:textId="16826EBA" w:rsidR="00DC5EC6" w:rsidRDefault="003245A4">
            <w:pPr>
              <w:pStyle w:val="P68B1DB1-Normal12"/>
              <w:keepNext/>
              <w:spacing w:before="40" w:after="0" w:line="240" w:lineRule="auto"/>
              <w:jc w:val="center"/>
              <w:rPr>
                <w:rFonts w:eastAsia="Times New Roman" w:cstheme="minorHAnsi"/>
                <w:noProof/>
              </w:rPr>
            </w:pPr>
            <w:r>
              <w:rPr>
                <w:noProof/>
              </w:rPr>
              <w:t xml:space="preserve">Két önvezető jármű szállítása </w:t>
            </w:r>
          </w:p>
        </w:tc>
        <w:tc>
          <w:tcPr>
            <w:tcW w:w="962" w:type="dxa"/>
            <w:shd w:val="clear" w:color="auto" w:fill="C4EFCE"/>
            <w:noWrap/>
            <w:vAlign w:val="center"/>
          </w:tcPr>
          <w:p w14:paraId="2E74DE0C" w14:textId="24DEA61F" w:rsidR="00DC5EC6" w:rsidRDefault="003245A4">
            <w:pPr>
              <w:pStyle w:val="P68B1DB1-Normal12"/>
              <w:keepNext/>
              <w:spacing w:before="40" w:after="0" w:line="240" w:lineRule="auto"/>
              <w:jc w:val="center"/>
              <w:rPr>
                <w:rFonts w:eastAsia="Times New Roman" w:cstheme="minorHAnsi"/>
                <w:noProof/>
              </w:rPr>
            </w:pPr>
            <w:r>
              <w:rPr>
                <w:noProof/>
              </w:rPr>
              <w:t>Szám</w:t>
            </w:r>
          </w:p>
        </w:tc>
        <w:tc>
          <w:tcPr>
            <w:tcW w:w="961" w:type="dxa"/>
            <w:shd w:val="clear" w:color="auto" w:fill="C4EFCE"/>
            <w:noWrap/>
            <w:vAlign w:val="center"/>
          </w:tcPr>
          <w:p w14:paraId="547741A2" w14:textId="0C97B0DB" w:rsidR="00DC5EC6" w:rsidRDefault="003245A4">
            <w:pPr>
              <w:pStyle w:val="P68B1DB1-Normal12"/>
              <w:keepNext/>
              <w:spacing w:before="40" w:after="0" w:line="240" w:lineRule="auto"/>
              <w:jc w:val="center"/>
              <w:rPr>
                <w:rFonts w:eastAsia="Times New Roman" w:cstheme="minorHAnsi"/>
                <w:noProof/>
              </w:rPr>
            </w:pPr>
            <w:r>
              <w:rPr>
                <w:noProof/>
              </w:rPr>
              <w:t>0</w:t>
            </w:r>
          </w:p>
        </w:tc>
        <w:tc>
          <w:tcPr>
            <w:tcW w:w="690" w:type="dxa"/>
            <w:shd w:val="clear" w:color="auto" w:fill="C4EFCE"/>
            <w:noWrap/>
            <w:vAlign w:val="center"/>
          </w:tcPr>
          <w:p w14:paraId="7E1DC46E" w14:textId="326880E0" w:rsidR="00DC5EC6" w:rsidRDefault="003245A4">
            <w:pPr>
              <w:pStyle w:val="P68B1DB1-Normal12"/>
              <w:keepNext/>
              <w:spacing w:before="40" w:after="0" w:line="240" w:lineRule="auto"/>
              <w:jc w:val="center"/>
              <w:rPr>
                <w:rFonts w:eastAsia="Times New Roman" w:cstheme="minorHAnsi"/>
                <w:noProof/>
              </w:rPr>
            </w:pPr>
            <w:r>
              <w:rPr>
                <w:noProof/>
              </w:rPr>
              <w:t>2</w:t>
            </w:r>
          </w:p>
        </w:tc>
        <w:tc>
          <w:tcPr>
            <w:tcW w:w="554" w:type="dxa"/>
            <w:shd w:val="clear" w:color="auto" w:fill="C4EFCE"/>
            <w:noWrap/>
            <w:vAlign w:val="center"/>
          </w:tcPr>
          <w:p w14:paraId="5705B555" w14:textId="3EBFA94D" w:rsidR="00DC5EC6" w:rsidRDefault="003A6168">
            <w:pPr>
              <w:pStyle w:val="P68B1DB1-Normal12"/>
              <w:keepNext/>
              <w:spacing w:before="40" w:after="0" w:line="240" w:lineRule="auto"/>
              <w:jc w:val="center"/>
              <w:rPr>
                <w:rFonts w:eastAsia="Times New Roman" w:cstheme="minorHAnsi"/>
                <w:noProof/>
              </w:rPr>
            </w:pPr>
            <w:r>
              <w:rPr>
                <w:noProof/>
              </w:rPr>
              <w:t xml:space="preserve">3. </w:t>
            </w:r>
            <w:r w:rsidR="003245A4">
              <w:rPr>
                <w:noProof/>
              </w:rPr>
              <w:t>NEGYEDÉV</w:t>
            </w:r>
          </w:p>
        </w:tc>
        <w:tc>
          <w:tcPr>
            <w:tcW w:w="684" w:type="dxa"/>
            <w:shd w:val="clear" w:color="auto" w:fill="C4EFCE"/>
            <w:noWrap/>
            <w:vAlign w:val="center"/>
          </w:tcPr>
          <w:p w14:paraId="110A6402" w14:textId="166C70AB" w:rsidR="00DC5EC6" w:rsidRDefault="003245A4">
            <w:pPr>
              <w:pStyle w:val="P68B1DB1-Normal12"/>
              <w:keepNext/>
              <w:spacing w:before="40" w:after="0" w:line="240" w:lineRule="auto"/>
              <w:jc w:val="center"/>
              <w:rPr>
                <w:rFonts w:eastAsia="Times New Roman" w:cstheme="minorHAnsi"/>
                <w:noProof/>
              </w:rPr>
            </w:pPr>
            <w:r>
              <w:rPr>
                <w:noProof/>
              </w:rPr>
              <w:t>2024</w:t>
            </w:r>
          </w:p>
        </w:tc>
        <w:tc>
          <w:tcPr>
            <w:tcW w:w="5223" w:type="dxa"/>
            <w:shd w:val="clear" w:color="auto" w:fill="C4EFCE"/>
            <w:vAlign w:val="center"/>
          </w:tcPr>
          <w:p w14:paraId="592B0CE3" w14:textId="77777777" w:rsidR="00DC5EC6" w:rsidRDefault="003245A4">
            <w:pPr>
              <w:pStyle w:val="P68B1DB1-Bodytext1013"/>
              <w:spacing w:after="0" w:line="240" w:lineRule="auto"/>
              <w:jc w:val="both"/>
              <w:rPr>
                <w:rFonts w:cstheme="minorHAnsi"/>
                <w:noProof/>
              </w:rPr>
            </w:pPr>
            <w:r>
              <w:rPr>
                <w:noProof/>
              </w:rPr>
              <w:t xml:space="preserve">Két pilóta nélküli autonóm jármű szállítása: </w:t>
            </w:r>
          </w:p>
          <w:p w14:paraId="639A4637" w14:textId="77777777" w:rsidR="00DC5EC6" w:rsidRDefault="003245A4">
            <w:pPr>
              <w:pStyle w:val="P68B1DB1-Bodytext1013"/>
              <w:widowControl/>
              <w:numPr>
                <w:ilvl w:val="0"/>
                <w:numId w:val="79"/>
              </w:numPr>
              <w:spacing w:after="0" w:line="240" w:lineRule="auto"/>
              <w:jc w:val="both"/>
              <w:rPr>
                <w:rFonts w:cstheme="minorHAnsi"/>
                <w:noProof/>
              </w:rPr>
            </w:pPr>
            <w:r>
              <w:rPr>
                <w:noProof/>
              </w:rPr>
              <w:t xml:space="preserve">Alapterületű önvezető jármű (USV) </w:t>
            </w:r>
          </w:p>
          <w:p w14:paraId="56AB6A4E" w14:textId="2C32EDBC" w:rsidR="00DC5EC6" w:rsidRDefault="003245A4">
            <w:pPr>
              <w:pStyle w:val="P68B1DB1-Bodytext1013"/>
              <w:widowControl/>
              <w:numPr>
                <w:ilvl w:val="0"/>
                <w:numId w:val="79"/>
              </w:numPr>
              <w:spacing w:after="0" w:line="240" w:lineRule="auto"/>
              <w:jc w:val="both"/>
              <w:rPr>
                <w:rFonts w:cstheme="minorHAnsi"/>
                <w:noProof/>
              </w:rPr>
            </w:pPr>
            <w:r>
              <w:rPr>
                <w:noProof/>
              </w:rPr>
              <w:t>Víz alatti autonóm jármű (AUV) 1000 M</w:t>
            </w:r>
          </w:p>
        </w:tc>
      </w:tr>
      <w:tr w:rsidR="003A6168" w14:paraId="12E1396B" w14:textId="77777777">
        <w:trPr>
          <w:trHeight w:val="61"/>
          <w:jc w:val="center"/>
        </w:trPr>
        <w:tc>
          <w:tcPr>
            <w:tcW w:w="1101" w:type="dxa"/>
            <w:shd w:val="clear" w:color="auto" w:fill="C4EFCE"/>
            <w:vAlign w:val="center"/>
          </w:tcPr>
          <w:p w14:paraId="56FD233F" w14:textId="75E58EAE" w:rsidR="003A6168" w:rsidRDefault="003A6168" w:rsidP="003A6168">
            <w:pPr>
              <w:pStyle w:val="P68B1DB1-Normal11"/>
              <w:keepNext/>
              <w:spacing w:before="40" w:after="0" w:line="240" w:lineRule="auto"/>
              <w:jc w:val="center"/>
              <w:rPr>
                <w:noProof/>
              </w:rPr>
            </w:pPr>
            <w:r>
              <w:rPr>
                <w:noProof/>
              </w:rPr>
              <w:t>10.16</w:t>
            </w:r>
          </w:p>
        </w:tc>
        <w:tc>
          <w:tcPr>
            <w:tcW w:w="1231" w:type="dxa"/>
            <w:shd w:val="clear" w:color="auto" w:fill="C4EFCE"/>
            <w:noWrap/>
            <w:vAlign w:val="center"/>
          </w:tcPr>
          <w:p w14:paraId="483DF909" w14:textId="5978A081" w:rsidR="003A6168" w:rsidRDefault="003A6168" w:rsidP="003A6168">
            <w:pPr>
              <w:pStyle w:val="P68B1DB1-Normal12"/>
              <w:keepNext/>
              <w:spacing w:before="40" w:after="0" w:line="240" w:lineRule="auto"/>
              <w:jc w:val="center"/>
              <w:rPr>
                <w:rFonts w:eastAsia="Times New Roman" w:cstheme="minorHAnsi"/>
                <w:noProof/>
              </w:rPr>
            </w:pPr>
            <w:r>
              <w:rPr>
                <w:noProof/>
              </w:rPr>
              <w:t>TC-C10-i06-RAM</w:t>
            </w:r>
          </w:p>
        </w:tc>
        <w:tc>
          <w:tcPr>
            <w:tcW w:w="1096" w:type="dxa"/>
            <w:shd w:val="clear" w:color="auto" w:fill="C4EFCE"/>
            <w:noWrap/>
            <w:vAlign w:val="center"/>
          </w:tcPr>
          <w:p w14:paraId="0C879D3F" w14:textId="0AE81711" w:rsidR="003A6168" w:rsidRDefault="003A6168" w:rsidP="003A6168">
            <w:pPr>
              <w:pStyle w:val="P68B1DB1-Normal12"/>
              <w:keepNext/>
              <w:spacing w:before="40" w:after="0" w:line="240" w:lineRule="auto"/>
              <w:jc w:val="center"/>
              <w:rPr>
                <w:rFonts w:eastAsia="Times New Roman"/>
                <w:noProof/>
              </w:rPr>
            </w:pPr>
            <w:r>
              <w:rPr>
                <w:noProof/>
              </w:rPr>
              <w:t>M</w:t>
            </w:r>
          </w:p>
        </w:tc>
        <w:tc>
          <w:tcPr>
            <w:tcW w:w="1640" w:type="dxa"/>
            <w:shd w:val="clear" w:color="auto" w:fill="C4EFCE"/>
            <w:noWrap/>
            <w:vAlign w:val="center"/>
          </w:tcPr>
          <w:p w14:paraId="49A83E98" w14:textId="3C7FA536" w:rsidR="003A6168" w:rsidRDefault="003A6168" w:rsidP="003A6168">
            <w:pPr>
              <w:pStyle w:val="P68B1DB1-Normal12"/>
              <w:keepNext/>
              <w:spacing w:before="40" w:after="0" w:line="240" w:lineRule="auto"/>
              <w:jc w:val="center"/>
              <w:rPr>
                <w:rFonts w:eastAsia="Times New Roman" w:cstheme="minorHAnsi"/>
                <w:noProof/>
              </w:rPr>
            </w:pPr>
            <w:r>
              <w:rPr>
                <w:noProof/>
              </w:rPr>
              <w:t>Pilóta nélküli önvezető jármű szállítása</w:t>
            </w:r>
          </w:p>
        </w:tc>
        <w:tc>
          <w:tcPr>
            <w:tcW w:w="1231" w:type="dxa"/>
            <w:shd w:val="clear" w:color="auto" w:fill="C4EFCE"/>
            <w:noWrap/>
            <w:vAlign w:val="center"/>
          </w:tcPr>
          <w:p w14:paraId="56763CB6" w14:textId="04C99C4E" w:rsidR="003A6168" w:rsidRDefault="003A6168" w:rsidP="003A6168">
            <w:pPr>
              <w:pStyle w:val="P68B1DB1-Normal12"/>
              <w:keepNext/>
              <w:spacing w:before="40" w:after="0" w:line="240" w:lineRule="auto"/>
              <w:jc w:val="center"/>
              <w:rPr>
                <w:rFonts w:eastAsia="Times New Roman" w:cstheme="minorHAnsi"/>
                <w:noProof/>
              </w:rPr>
            </w:pPr>
            <w:r>
              <w:rPr>
                <w:noProof/>
              </w:rPr>
              <w:t>Pilóta nélküli önvezető jármű szállítása</w:t>
            </w:r>
          </w:p>
        </w:tc>
        <w:tc>
          <w:tcPr>
            <w:tcW w:w="962" w:type="dxa"/>
            <w:shd w:val="clear" w:color="auto" w:fill="C4EFCE"/>
            <w:noWrap/>
            <w:vAlign w:val="center"/>
          </w:tcPr>
          <w:p w14:paraId="1103F6C0" w14:textId="457E077F" w:rsidR="003A6168" w:rsidRDefault="003A6168" w:rsidP="003A6168">
            <w:pPr>
              <w:keepNext/>
              <w:spacing w:before="40" w:after="0" w:line="240" w:lineRule="auto"/>
              <w:jc w:val="center"/>
              <w:rPr>
                <w:rFonts w:eastAsia="Times New Roman" w:cstheme="minorHAnsi"/>
                <w:noProof/>
                <w:sz w:val="16"/>
              </w:rPr>
            </w:pPr>
          </w:p>
        </w:tc>
        <w:tc>
          <w:tcPr>
            <w:tcW w:w="961" w:type="dxa"/>
            <w:shd w:val="clear" w:color="auto" w:fill="C4EFCE"/>
            <w:noWrap/>
            <w:vAlign w:val="center"/>
          </w:tcPr>
          <w:p w14:paraId="601DD50D" w14:textId="0EF25E98" w:rsidR="003A6168" w:rsidRDefault="003A6168" w:rsidP="003A6168">
            <w:pPr>
              <w:keepNext/>
              <w:spacing w:before="40" w:after="0" w:line="240" w:lineRule="auto"/>
              <w:jc w:val="center"/>
              <w:rPr>
                <w:rFonts w:eastAsia="Times New Roman" w:cstheme="minorHAnsi"/>
                <w:noProof/>
                <w:sz w:val="16"/>
              </w:rPr>
            </w:pPr>
          </w:p>
        </w:tc>
        <w:tc>
          <w:tcPr>
            <w:tcW w:w="690" w:type="dxa"/>
            <w:shd w:val="clear" w:color="auto" w:fill="C4EFCE"/>
            <w:noWrap/>
            <w:vAlign w:val="center"/>
          </w:tcPr>
          <w:p w14:paraId="7383417D" w14:textId="03239D54" w:rsidR="003A6168" w:rsidRDefault="003A6168" w:rsidP="003A6168">
            <w:pPr>
              <w:keepNext/>
              <w:spacing w:before="40" w:after="0" w:line="240" w:lineRule="auto"/>
              <w:jc w:val="center"/>
              <w:rPr>
                <w:rFonts w:eastAsia="Times New Roman" w:cstheme="minorHAnsi"/>
                <w:noProof/>
                <w:sz w:val="16"/>
              </w:rPr>
            </w:pPr>
          </w:p>
        </w:tc>
        <w:tc>
          <w:tcPr>
            <w:tcW w:w="554" w:type="dxa"/>
            <w:shd w:val="clear" w:color="auto" w:fill="C4EFCE"/>
            <w:noWrap/>
            <w:vAlign w:val="center"/>
          </w:tcPr>
          <w:p w14:paraId="0D745C96" w14:textId="6289DC5C"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684" w:type="dxa"/>
            <w:shd w:val="clear" w:color="auto" w:fill="C4EFCE"/>
            <w:noWrap/>
            <w:vAlign w:val="center"/>
          </w:tcPr>
          <w:p w14:paraId="4410A9DA" w14:textId="4A5D18FE" w:rsidR="003A6168" w:rsidRDefault="003A6168" w:rsidP="003A6168">
            <w:pPr>
              <w:pStyle w:val="P68B1DB1-Normal12"/>
              <w:keepNext/>
              <w:spacing w:before="40" w:after="0" w:line="240" w:lineRule="auto"/>
              <w:jc w:val="center"/>
              <w:rPr>
                <w:rFonts w:eastAsia="Times New Roman" w:cstheme="minorHAnsi"/>
                <w:noProof/>
              </w:rPr>
            </w:pPr>
            <w:r>
              <w:rPr>
                <w:noProof/>
              </w:rPr>
              <w:t>2025</w:t>
            </w:r>
          </w:p>
        </w:tc>
        <w:tc>
          <w:tcPr>
            <w:tcW w:w="5223" w:type="dxa"/>
            <w:shd w:val="clear" w:color="auto" w:fill="C4EFCE"/>
            <w:vAlign w:val="center"/>
          </w:tcPr>
          <w:p w14:paraId="4E50F559" w14:textId="7094A901" w:rsidR="003A6168" w:rsidRDefault="003A6168" w:rsidP="003A6168">
            <w:pPr>
              <w:pStyle w:val="P68B1DB1-Normal12"/>
              <w:keepNext/>
              <w:spacing w:before="40" w:after="0" w:line="240" w:lineRule="auto"/>
              <w:jc w:val="both"/>
              <w:rPr>
                <w:rFonts w:eastAsia="Times New Roman" w:cstheme="minorHAnsi"/>
                <w:noProof/>
              </w:rPr>
            </w:pPr>
            <w:r>
              <w:rPr>
                <w:noProof/>
              </w:rPr>
              <w:t xml:space="preserve">Víz alatti, pilóta nélküli jármű szállítása 6000M. </w:t>
            </w:r>
          </w:p>
        </w:tc>
      </w:tr>
    </w:tbl>
    <w:p w14:paraId="2BA4F9E6" w14:textId="4FDF11B3" w:rsidR="00DC5EC6" w:rsidRDefault="00DC5EC6">
      <w:pPr>
        <w:rPr>
          <w:noProof/>
        </w:rPr>
      </w:pPr>
    </w:p>
    <w:p w14:paraId="57C9C0BA"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4CBC1AE8" w14:textId="378A82D4"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16"/>
          <w:headerReference w:type="default" r:id="rId217"/>
          <w:footerReference w:type="even" r:id="rId218"/>
          <w:footerReference w:type="default" r:id="rId219"/>
          <w:headerReference w:type="first" r:id="rId220"/>
          <w:footerReference w:type="first" r:id="rId221"/>
          <w:pgSz w:w="16839" w:h="11907" w:orient="landscape"/>
          <w:pgMar w:top="1134" w:right="1134" w:bottom="1134" w:left="1134" w:header="567" w:footer="567" w:gutter="0"/>
          <w:cols w:space="720"/>
          <w:docGrid w:linePitch="360"/>
        </w:sectPr>
      </w:pPr>
    </w:p>
    <w:p w14:paraId="29ABB686" w14:textId="06439B4A" w:rsidR="00DC5EC6" w:rsidRDefault="003245A4">
      <w:pPr>
        <w:pStyle w:val="P68B1DB1-Normal3"/>
        <w:spacing w:before="40" w:after="0" w:line="259" w:lineRule="auto"/>
        <w:ind w:left="130" w:firstLine="720"/>
        <w:jc w:val="both"/>
        <w:outlineLvl w:val="2"/>
        <w:rPr>
          <w:rFonts w:eastAsiaTheme="minorEastAsia" w:cs="Times New Roman"/>
          <w:noProof/>
        </w:rPr>
      </w:pPr>
      <w:r>
        <w:rPr>
          <w:noProof/>
        </w:rPr>
        <w:t>J.3. A hitelhez kapcsolódó reformok és beruházások ismertetése</w:t>
      </w:r>
    </w:p>
    <w:p w14:paraId="6F09459D" w14:textId="77777777"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Beruházás TC-C10–i03: Atlanti Védelmi Műveleti Központ és haditengerészeti platform</w:t>
      </w:r>
    </w:p>
    <w:p w14:paraId="51C079D1" w14:textId="77777777" w:rsidR="00DC5EC6" w:rsidRDefault="003245A4">
      <w:pPr>
        <w:pStyle w:val="P68B1DB1-Normal4"/>
        <w:keepNext/>
        <w:spacing w:before="40" w:after="0" w:line="259" w:lineRule="auto"/>
        <w:jc w:val="both"/>
        <w:rPr>
          <w:rFonts w:eastAsia="Times New Roman"/>
          <w:noProof/>
        </w:rPr>
      </w:pPr>
      <w:r>
        <w:rPr>
          <w:noProof/>
        </w:rPr>
        <w:t xml:space="preserve">E beruházás célja, hogy hozzájáruljon számos kihívás kezeléséhez, többek között az óceánok és a légkör biogeokémiai dimenziójának nyomon követéséhez; a portugál joghatóság alá tartozó ásványkincsek és minden egyéb nem megújuló tengeri talaj és altalaj feltérképezése és felmérése; az élő erőforrások (megújuló erőforrások) folyamatos feltérképezése és fejlődésük nyomon követése; a portugál joghatóság óceánjain az óceáni iparágak értékláncaiban előforduló szabálytalanságok és szabálytalanságok elleni küzdelem; a természeti és ember okozta katasztrófákra való reagálás; hozzájárulás a káros emberi tevékenységek mérsékléséhez az óceánokban (a szennyezés, például a makroműanyagok hatásainak kezelése); a tengeren előállított valamennyi információ rögzítésére irányuló kapacitás növelése; új ismeretek létrehozása és tudás létrehozása az információk egyesítésével, valamint különböző időbeli és térbeli léptékű előrejelzési modellek kidolgozása. </w:t>
      </w:r>
    </w:p>
    <w:p w14:paraId="600E2269" w14:textId="72E35649" w:rsidR="00DC5EC6" w:rsidRDefault="003245A4">
      <w:pPr>
        <w:pStyle w:val="P68B1DB1-Normal4"/>
        <w:keepNext/>
        <w:spacing w:before="40" w:after="0" w:line="259" w:lineRule="auto"/>
        <w:jc w:val="both"/>
        <w:rPr>
          <w:rFonts w:eastAsia="Times New Roman"/>
          <w:noProof/>
        </w:rPr>
      </w:pPr>
      <w:r>
        <w:rPr>
          <w:noProof/>
        </w:rPr>
        <w:t xml:space="preserve">A beruházás egy három fő pilléren alapuló rendszer kifejlesztésében áll: Pillér – több erősségű és a következő célokat szolgáló többcélú haditengerészeti platform: óceánmegfigyelés, oceanográfiai kutatás, a tengeri ökológia nyomon követése, az óceánok megfigyelésére és az óceánokkal kapcsolatos beavatkozásra szolgáló új technológiák integrálása, beleértve a légi és tenger alatti robotikai rendszereket is; Pillér – Műveleti Központ, amely egy nemzeti tengeri adatbázison és egy digitális ikermodellen, valamint a kutatási, fejlesztési, kísérleti és innovációs központok hálózatán alapuló tudatosságnövelő rendszeren alapul, azzal a céllal, hogy megerősítse az óceánok megfigyelésére szolgáló eszközöket, hozzájáruljon a digitális óceán létrehozásának célkitűzéséhez, előmozdítsa a tudást és megoldásokat nyújtson az óceánokkal kapcsolatos beavatkozásokra, például légi, tengeri és tenger alatti adatok gyűjtésére, az óceánokkal kapcsolatos jelenségekkel kapcsolatos ismeretek gyűjtésére és az óceánok tudományos célú feltérképezésére; és III. pillér – Alfeite Arsenal Academy (Academy 4.0). Az I. pillér egy többcélú platform megépítéséből áll, amely integrálja a határtechnológiát, és kiterjeszti az óceánmegfigyelési hajó és az oceanográfiai kutatóhajó funkcióit más forgatókönyvekre, például az olajszennyezésre vagy a műanyagok, algák vagy zseléhalak virágzására, vagy a tengeri ökológiai nyomonkövetési tevékenységekre, továbbá integrálja az óceánok megfigyelésének, megfigyelésének és beavatkozásának új technológiai eszközeit, például a fedélzeti vagy tenger alatti robotrendszereket. A platformnak számos intézkedést kell végrehajtania, például: vészhelyzeti műveletek, felügyelet, tudományos és technológiai kutatás, valamint környezetvédelmi és meteorológiai megfigyelés. A II. pillér keretében a műveleti központ célja az óceánok megfigyelésére szolgáló eszközök megerősítése azáltal, hogy hozzájárul a tudásteremtést lehetővé tevő „digitális óceán” létrehozásának célkitűzéséhez, továbbá olyan megoldásokat kínál, amelyek megerősítik az óceánokba való beavatkozáshoz szükséges nemzeti és nemzetközi kapacitást. A III. pillér célja, hogy a tengerészeti ágazat emberi erőforrásainak képzésére irányuló innovatív projekt legyen, mind a vállalatoknál dolgozók képesítése és tapasztalatcsere, mind pedig a tengerészeti mérnöki szakemberek vonzása révén. Az Arsenal Akadémia célja, hogy a robotika, a távközlés, a biotechnológia, a nanotechnológia, a konnektivitás, a mesterséges intelligencia, a nagy adathalmazok és a gépi tanulás területén a képzésre összpontosítson. </w:t>
      </w:r>
    </w:p>
    <w:p w14:paraId="194B0E08" w14:textId="4DA04AD9" w:rsidR="00DC5EC6" w:rsidRDefault="003245A4">
      <w:pPr>
        <w:pStyle w:val="P68B1DB1-Normal4"/>
        <w:keepNext/>
        <w:spacing w:before="40" w:after="0" w:line="259" w:lineRule="auto"/>
        <w:jc w:val="both"/>
        <w:rPr>
          <w:rFonts w:eastAsiaTheme="minorEastAsia" w:cs="Times New Roman"/>
          <w:noProof/>
        </w:rPr>
      </w:pPr>
      <w:r>
        <w:rPr>
          <w:noProof/>
        </w:rPr>
        <w:t xml:space="preserve">A beruházás végrehajtását 2026. június 30-ig be kell fejezni. </w:t>
      </w:r>
    </w:p>
    <w:p w14:paraId="6C40F50C" w14:textId="4BE4D193" w:rsidR="00DC5EC6" w:rsidRDefault="003245A4">
      <w:pPr>
        <w:pStyle w:val="P68B1DB1-Normal5"/>
        <w:keepNext/>
        <w:spacing w:before="240" w:after="0" w:line="259" w:lineRule="auto"/>
        <w:ind w:left="851"/>
        <w:jc w:val="both"/>
        <w:outlineLvl w:val="3"/>
        <w:rPr>
          <w:rFonts w:eastAsiaTheme="minorEastAsia" w:cs="Times New Roman"/>
          <w:noProof/>
        </w:rPr>
      </w:pPr>
      <w:r>
        <w:rPr>
          <w:noProof/>
        </w:rPr>
        <w:t xml:space="preserve">Beruházás TC-C10–i07: Zöld hajózás </w:t>
      </w:r>
    </w:p>
    <w:p w14:paraId="1305AFF8" w14:textId="77777777" w:rsidR="00DC5EC6" w:rsidRDefault="003245A4">
      <w:pPr>
        <w:pStyle w:val="P68B1DB1-Normal4"/>
        <w:spacing w:before="40" w:after="0" w:line="259" w:lineRule="auto"/>
        <w:jc w:val="both"/>
        <w:rPr>
          <w:rFonts w:cs="Times New Roman"/>
          <w:noProof/>
        </w:rPr>
      </w:pPr>
      <w:r>
        <w:rPr>
          <w:noProof/>
        </w:rPr>
        <w:t xml:space="preserve">Az intézkedés célja a tengeri áru- és személyszállítás energetikai átállásának felgyorsítása. </w:t>
      </w:r>
    </w:p>
    <w:p w14:paraId="5C3C7211" w14:textId="196441A6" w:rsidR="00DC5EC6" w:rsidRDefault="003245A4">
      <w:pPr>
        <w:pStyle w:val="P68B1DB1-Normal4"/>
        <w:spacing w:before="40" w:after="0" w:line="259" w:lineRule="auto"/>
        <w:jc w:val="both"/>
        <w:rPr>
          <w:rFonts w:eastAsia="Yu Mincho Light" w:cs="Times New Roman"/>
          <w:noProof/>
        </w:rPr>
      </w:pPr>
      <w:r>
        <w:rPr>
          <w:noProof/>
        </w:rPr>
        <w:t xml:space="preserve">A beruházás tíz olyan teher- és személyszállító hajó energiahatékonysági beavatkozásait támogató programból áll, amelyek legalább 70%-a meghaladja az 5000 bruttó űrtartalmat (BT). A beavatkozásoknak az alábbi tipológiák legalább egyikébe kell tartozniuk: i. fosszilis tüzelőanyagok helyettesítésére irányuló intézkedések ii. energiatakarékossági intézkedések és iii. kiegészítő kibocsátáscsökkentési intézkedések. </w:t>
      </w:r>
    </w:p>
    <w:p w14:paraId="15F0E021" w14:textId="6C3C3C59" w:rsidR="00DC5EC6" w:rsidRDefault="003245A4">
      <w:pPr>
        <w:pStyle w:val="P68B1DB1-Normal4"/>
        <w:spacing w:before="40" w:after="0" w:line="259" w:lineRule="auto"/>
        <w:jc w:val="both"/>
        <w:rPr>
          <w:rFonts w:cs="Times New Roman"/>
          <w:noProof/>
        </w:rPr>
      </w:pPr>
      <w:r>
        <w:rPr>
          <w:noProof/>
        </w:rPr>
        <w:t xml:space="preserve">A kérelmeket a szén-dioxid-kibocsátás (CO2) csökkentési szintjének értékelése alapján kell meghatározni, amelyet a szén-dioxid-intenzitási mutató (CII) alapján kell kiszámítani, százalékban kifejezve, valamint a kén-oxidok (SOx), a nitrogén-oxidok (NOx) és a szálló por kibocsátáscsökkentési szintjeinek százalékos értékelése alapján. Az értékelés mutatójaként a meglévő hajók energiahatékonysági mutatóját (EEXI) is használni kell.  </w:t>
      </w:r>
    </w:p>
    <w:p w14:paraId="54D2FF52" w14:textId="77777777" w:rsidR="00DC5EC6" w:rsidRDefault="003245A4">
      <w:pPr>
        <w:pStyle w:val="P68B1DB1-Normal4"/>
        <w:spacing w:before="40" w:after="0" w:line="259" w:lineRule="auto"/>
        <w:jc w:val="both"/>
        <w:rPr>
          <w:rFonts w:eastAsia="@MS Mincho" w:cs="Times New Roman"/>
          <w:noProof/>
        </w:rPr>
      </w:pPr>
      <w:r>
        <w:rPr>
          <w:noProof/>
        </w:rPr>
        <w:t xml:space="preserve">Annak biztosítása érdekében, hogy az intézkedés megfeleljen a jelentős károkozás elkerülését célzó elvről szóló technikai iránymutatásnak (2021/C58/01), a beruházásnak legalább 10%-kal hozzá kell járulnia a hajó üzemanyag-fogyasztásának legalább 10%-os csökkentéséhez, a tengeri mérföldenkénti bruttó hordképesség-tonnában kifejezve. A fogyasztás kiszámítását számítási folyadékok dinamikájával (CFD), tartályvizsgálatokkal vagy hasonló műszaki számításokkal kell igazolni. Ezenkívül a hajók nem használhatók fosszilis tüzelőanyagok szállítására. </w:t>
      </w:r>
    </w:p>
    <w:p w14:paraId="4981A449" w14:textId="09E215CA"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1FA687FB"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22"/>
          <w:headerReference w:type="default" r:id="rId223"/>
          <w:footerReference w:type="even" r:id="rId224"/>
          <w:footerReference w:type="default" r:id="rId225"/>
          <w:headerReference w:type="first" r:id="rId226"/>
          <w:footerReference w:type="first" r:id="rId227"/>
          <w:pgSz w:w="11907" w:h="16839"/>
          <w:pgMar w:top="1134" w:right="1134" w:bottom="1134" w:left="1134" w:header="567" w:footer="567" w:gutter="0"/>
          <w:cols w:space="720"/>
          <w:docGrid w:linePitch="360"/>
        </w:sectPr>
      </w:pPr>
    </w:p>
    <w:p w14:paraId="21CBC0E4" w14:textId="0F96D272"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J.4. Hitel – a végrehajtáshoz és a nyomon követéshez kapcsolódó mérföldkövek, célok, mutatók és ütemterv</w:t>
      </w:r>
    </w:p>
    <w:p w14:paraId="2814265F" w14:textId="77777777" w:rsidR="00DC5EC6" w:rsidRDefault="00DC5EC6">
      <w:pPr>
        <w:keepNext/>
        <w:spacing w:before="40" w:after="0" w:line="259" w:lineRule="auto"/>
        <w:ind w:left="130" w:firstLine="720"/>
        <w:jc w:val="both"/>
        <w:outlineLvl w:val="2"/>
        <w:rPr>
          <w:rFonts w:ascii="Times New Roman" w:eastAsiaTheme="minorEastAsia" w:hAnsi="Times New Roman" w:cs="Times New Roman"/>
          <w:b/>
          <w:noProof/>
          <w:sz w:val="24"/>
          <w:u w:val="single"/>
        </w:rPr>
      </w:pPr>
    </w:p>
    <w:tbl>
      <w:tblPr>
        <w:tblW w:w="1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31"/>
        <w:gridCol w:w="1096"/>
        <w:gridCol w:w="1640"/>
        <w:gridCol w:w="1231"/>
        <w:gridCol w:w="962"/>
        <w:gridCol w:w="961"/>
        <w:gridCol w:w="690"/>
        <w:gridCol w:w="554"/>
        <w:gridCol w:w="684"/>
        <w:gridCol w:w="5223"/>
      </w:tblGrid>
      <w:tr w:rsidR="00DC5EC6" w14:paraId="7C352B17" w14:textId="77777777">
        <w:trPr>
          <w:trHeight w:val="910"/>
          <w:tblHeader/>
        </w:trPr>
        <w:tc>
          <w:tcPr>
            <w:tcW w:w="1101" w:type="dxa"/>
            <w:vMerge w:val="restart"/>
            <w:shd w:val="clear" w:color="auto" w:fill="BDD6EE"/>
            <w:vAlign w:val="center"/>
            <w:hideMark/>
          </w:tcPr>
          <w:p w14:paraId="293CE21B" w14:textId="77777777" w:rsidR="00DC5EC6" w:rsidRDefault="003245A4">
            <w:pPr>
              <w:pStyle w:val="P68B1DB1-Normal6"/>
              <w:keepNext/>
              <w:spacing w:before="40" w:after="0" w:line="240" w:lineRule="auto"/>
              <w:jc w:val="center"/>
              <w:rPr>
                <w:rFonts w:eastAsia="Times New Roman" w:cs="Times New Roman"/>
                <w:noProof/>
              </w:rPr>
            </w:pPr>
            <w:r>
              <w:rPr>
                <w:noProof/>
              </w:rPr>
              <w:t>Sorszám</w:t>
            </w:r>
          </w:p>
        </w:tc>
        <w:tc>
          <w:tcPr>
            <w:tcW w:w="1231" w:type="dxa"/>
            <w:vMerge w:val="restart"/>
            <w:shd w:val="clear" w:color="auto" w:fill="BDD6EE"/>
            <w:vAlign w:val="center"/>
            <w:hideMark/>
          </w:tcPr>
          <w:p w14:paraId="1FBAE739" w14:textId="77777777" w:rsidR="00DC5EC6" w:rsidRDefault="003245A4">
            <w:pPr>
              <w:pStyle w:val="P68B1DB1-Normal6"/>
              <w:keepNext/>
              <w:spacing w:before="40" w:after="0" w:line="240" w:lineRule="auto"/>
              <w:jc w:val="center"/>
              <w:rPr>
                <w:rFonts w:eastAsia="Times New Roman" w:cs="Times New Roman"/>
                <w:noProof/>
              </w:rPr>
            </w:pPr>
            <w:r>
              <w:rPr>
                <w:noProof/>
              </w:rPr>
              <w:t>Intézkedés (reform vagy beruházás)</w:t>
            </w:r>
          </w:p>
        </w:tc>
        <w:tc>
          <w:tcPr>
            <w:tcW w:w="1096" w:type="dxa"/>
            <w:vMerge w:val="restart"/>
            <w:shd w:val="clear" w:color="auto" w:fill="BDD6EE"/>
            <w:vAlign w:val="center"/>
            <w:hideMark/>
          </w:tcPr>
          <w:p w14:paraId="60453F23" w14:textId="77777777" w:rsidR="00DC5EC6" w:rsidRDefault="003245A4">
            <w:pPr>
              <w:pStyle w:val="P68B1DB1-Normal6"/>
              <w:keepNext/>
              <w:spacing w:before="40" w:after="0" w:line="240" w:lineRule="auto"/>
              <w:jc w:val="center"/>
              <w:rPr>
                <w:rFonts w:eastAsia="Times New Roman" w:cs="Times New Roman"/>
                <w:noProof/>
                <w:sz w:val="14"/>
              </w:rPr>
            </w:pPr>
            <w:r>
              <w:rPr>
                <w:noProof/>
              </w:rPr>
              <w:t>Mérföldkő/cél</w:t>
            </w:r>
          </w:p>
        </w:tc>
        <w:tc>
          <w:tcPr>
            <w:tcW w:w="1640" w:type="dxa"/>
            <w:vMerge w:val="restart"/>
            <w:shd w:val="clear" w:color="auto" w:fill="BDD6EE"/>
            <w:vAlign w:val="center"/>
            <w:hideMark/>
          </w:tcPr>
          <w:p w14:paraId="5B93FBDA" w14:textId="77777777" w:rsidR="00DC5EC6" w:rsidRDefault="003245A4">
            <w:pPr>
              <w:pStyle w:val="P68B1DB1-Normal6"/>
              <w:keepNext/>
              <w:spacing w:before="40" w:after="0" w:line="240" w:lineRule="auto"/>
              <w:jc w:val="center"/>
              <w:rPr>
                <w:rFonts w:eastAsia="Times New Roman" w:cs="Times New Roman"/>
                <w:noProof/>
              </w:rPr>
            </w:pPr>
            <w:r>
              <w:rPr>
                <w:noProof/>
              </w:rPr>
              <w:t>Név</w:t>
            </w:r>
          </w:p>
        </w:tc>
        <w:tc>
          <w:tcPr>
            <w:tcW w:w="1231" w:type="dxa"/>
            <w:vMerge w:val="restart"/>
            <w:shd w:val="clear" w:color="auto" w:fill="BDD6EE"/>
            <w:vAlign w:val="center"/>
            <w:hideMark/>
          </w:tcPr>
          <w:p w14:paraId="5731C7BD" w14:textId="77777777" w:rsidR="00DC5EC6" w:rsidRDefault="003245A4">
            <w:pPr>
              <w:pStyle w:val="P68B1DB1-Normal6"/>
              <w:keepNext/>
              <w:spacing w:before="40" w:after="0" w:line="240" w:lineRule="auto"/>
              <w:jc w:val="center"/>
              <w:rPr>
                <w:rFonts w:eastAsia="Times New Roman" w:cs="Times New Roman"/>
                <w:noProof/>
              </w:rPr>
            </w:pPr>
            <w:r>
              <w:rPr>
                <w:noProof/>
              </w:rPr>
              <w:t>Minőségi mutatók (a mérföldkövekhez)</w:t>
            </w:r>
          </w:p>
        </w:tc>
        <w:tc>
          <w:tcPr>
            <w:tcW w:w="2613" w:type="dxa"/>
            <w:gridSpan w:val="3"/>
            <w:shd w:val="clear" w:color="auto" w:fill="BDD6EE"/>
            <w:vAlign w:val="center"/>
            <w:hideMark/>
          </w:tcPr>
          <w:p w14:paraId="2BC88CEE" w14:textId="77777777" w:rsidR="00DC5EC6" w:rsidRDefault="003245A4">
            <w:pPr>
              <w:pStyle w:val="P68B1DB1-Normal6"/>
              <w:keepNext/>
              <w:spacing w:before="40" w:after="0" w:line="240" w:lineRule="auto"/>
              <w:jc w:val="center"/>
              <w:rPr>
                <w:rFonts w:eastAsia="Times New Roman" w:cs="Times New Roman"/>
                <w:noProof/>
              </w:rPr>
            </w:pPr>
            <w:r>
              <w:rPr>
                <w:noProof/>
              </w:rPr>
              <w:t>Mennyiségi mutatók (a célokhoz)</w:t>
            </w:r>
          </w:p>
        </w:tc>
        <w:tc>
          <w:tcPr>
            <w:tcW w:w="1238" w:type="dxa"/>
            <w:gridSpan w:val="2"/>
            <w:shd w:val="clear" w:color="auto" w:fill="BDD6EE"/>
            <w:vAlign w:val="center"/>
            <w:hideMark/>
          </w:tcPr>
          <w:p w14:paraId="47D3562F" w14:textId="77777777" w:rsidR="00DC5EC6" w:rsidRDefault="003245A4">
            <w:pPr>
              <w:pStyle w:val="P68B1DB1-Normal6"/>
              <w:keepNext/>
              <w:spacing w:before="40" w:after="0" w:line="240" w:lineRule="auto"/>
              <w:jc w:val="center"/>
              <w:rPr>
                <w:rFonts w:eastAsia="Times New Roman" w:cs="Times New Roman"/>
                <w:noProof/>
              </w:rPr>
            </w:pPr>
            <w:r>
              <w:rPr>
                <w:noProof/>
              </w:rPr>
              <w:t>A végrehajtás indikatív ütemterve</w:t>
            </w:r>
          </w:p>
        </w:tc>
        <w:tc>
          <w:tcPr>
            <w:tcW w:w="5223" w:type="dxa"/>
            <w:vMerge w:val="restart"/>
            <w:shd w:val="clear" w:color="auto" w:fill="BDD6EE"/>
            <w:vAlign w:val="center"/>
            <w:hideMark/>
          </w:tcPr>
          <w:p w14:paraId="119E2D1B" w14:textId="77777777" w:rsidR="00DC5EC6" w:rsidRDefault="003245A4">
            <w:pPr>
              <w:pStyle w:val="P68B1DB1-Normal6"/>
              <w:keepNext/>
              <w:spacing w:before="40" w:after="0" w:line="240" w:lineRule="auto"/>
              <w:jc w:val="center"/>
              <w:rPr>
                <w:rFonts w:eastAsia="Times New Roman" w:cs="Times New Roman"/>
                <w:noProof/>
              </w:rPr>
            </w:pPr>
            <w:r>
              <w:rPr>
                <w:noProof/>
              </w:rPr>
              <w:t>Az egyes mérföldkövek és célok leírása és egyértelmű meghatározása</w:t>
            </w:r>
          </w:p>
        </w:tc>
      </w:tr>
      <w:tr w:rsidR="00DC5EC6" w14:paraId="12D4B3EB" w14:textId="77777777">
        <w:trPr>
          <w:trHeight w:val="470"/>
          <w:tblHeader/>
        </w:trPr>
        <w:tc>
          <w:tcPr>
            <w:tcW w:w="1101" w:type="dxa"/>
            <w:vMerge/>
            <w:vAlign w:val="center"/>
            <w:hideMark/>
          </w:tcPr>
          <w:p w14:paraId="1EC2F9BC"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38F355D3"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096" w:type="dxa"/>
            <w:vMerge/>
            <w:vAlign w:val="center"/>
            <w:hideMark/>
          </w:tcPr>
          <w:p w14:paraId="6A303FCA" w14:textId="77777777" w:rsidR="00DC5EC6" w:rsidRDefault="00DC5EC6">
            <w:pPr>
              <w:keepNext/>
              <w:spacing w:before="40" w:after="0" w:line="240" w:lineRule="auto"/>
              <w:jc w:val="center"/>
              <w:rPr>
                <w:rFonts w:ascii="Times New Roman" w:eastAsia="Times New Roman" w:hAnsi="Times New Roman" w:cs="Times New Roman"/>
                <w:b/>
                <w:noProof/>
                <w:sz w:val="14"/>
              </w:rPr>
            </w:pPr>
          </w:p>
        </w:tc>
        <w:tc>
          <w:tcPr>
            <w:tcW w:w="1640" w:type="dxa"/>
            <w:vMerge/>
            <w:vAlign w:val="center"/>
            <w:hideMark/>
          </w:tcPr>
          <w:p w14:paraId="580C14CE"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31" w:type="dxa"/>
            <w:vMerge/>
            <w:vAlign w:val="center"/>
            <w:hideMark/>
          </w:tcPr>
          <w:p w14:paraId="6286F64E"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962" w:type="dxa"/>
            <w:shd w:val="clear" w:color="auto" w:fill="BDD6EE"/>
            <w:vAlign w:val="center"/>
            <w:hideMark/>
          </w:tcPr>
          <w:p w14:paraId="6EA3F582" w14:textId="77777777" w:rsidR="00DC5EC6" w:rsidRDefault="003245A4">
            <w:pPr>
              <w:pStyle w:val="P68B1DB1-Normal6"/>
              <w:keepNext/>
              <w:spacing w:before="40" w:after="0" w:line="240" w:lineRule="auto"/>
              <w:jc w:val="center"/>
              <w:rPr>
                <w:rFonts w:eastAsia="Times New Roman" w:cs="Times New Roman"/>
                <w:noProof/>
              </w:rPr>
            </w:pPr>
            <w:r>
              <w:rPr>
                <w:noProof/>
              </w:rPr>
              <w:t>Mértékegység</w:t>
            </w:r>
          </w:p>
        </w:tc>
        <w:tc>
          <w:tcPr>
            <w:tcW w:w="961" w:type="dxa"/>
            <w:shd w:val="clear" w:color="auto" w:fill="BDD6EE"/>
            <w:vAlign w:val="center"/>
            <w:hideMark/>
          </w:tcPr>
          <w:p w14:paraId="230E8100" w14:textId="77777777" w:rsidR="00DC5EC6" w:rsidRDefault="003245A4">
            <w:pPr>
              <w:pStyle w:val="P68B1DB1-Normal6"/>
              <w:keepNext/>
              <w:spacing w:before="40" w:after="0" w:line="240" w:lineRule="auto"/>
              <w:jc w:val="center"/>
              <w:rPr>
                <w:rFonts w:eastAsia="Times New Roman" w:cs="Times New Roman"/>
                <w:noProof/>
              </w:rPr>
            </w:pPr>
            <w:r>
              <w:rPr>
                <w:noProof/>
              </w:rPr>
              <w:t>Kiindulási</w:t>
            </w:r>
          </w:p>
        </w:tc>
        <w:tc>
          <w:tcPr>
            <w:tcW w:w="690" w:type="dxa"/>
            <w:shd w:val="clear" w:color="auto" w:fill="BDD6EE"/>
            <w:vAlign w:val="center"/>
            <w:hideMark/>
          </w:tcPr>
          <w:p w14:paraId="7E77B1BE" w14:textId="77777777" w:rsidR="00DC5EC6" w:rsidRDefault="003245A4">
            <w:pPr>
              <w:pStyle w:val="P68B1DB1-Normal6"/>
              <w:keepNext/>
              <w:spacing w:before="40" w:after="0" w:line="240" w:lineRule="auto"/>
              <w:jc w:val="center"/>
              <w:rPr>
                <w:rFonts w:eastAsia="Times New Roman" w:cs="Times New Roman"/>
                <w:noProof/>
              </w:rPr>
            </w:pPr>
            <w:r>
              <w:rPr>
                <w:noProof/>
              </w:rPr>
              <w:t>Cél</w:t>
            </w:r>
          </w:p>
        </w:tc>
        <w:tc>
          <w:tcPr>
            <w:tcW w:w="554" w:type="dxa"/>
            <w:shd w:val="clear" w:color="auto" w:fill="BDD6EE"/>
            <w:vAlign w:val="center"/>
            <w:hideMark/>
          </w:tcPr>
          <w:p w14:paraId="50EAB092" w14:textId="738F7D87" w:rsidR="00DC5EC6" w:rsidRDefault="001F25B1">
            <w:pPr>
              <w:pStyle w:val="P68B1DB1-Normal6"/>
              <w:keepNext/>
              <w:spacing w:before="40" w:after="0" w:line="240" w:lineRule="auto"/>
              <w:jc w:val="center"/>
              <w:rPr>
                <w:rFonts w:eastAsia="Times New Roman" w:cs="Times New Roman"/>
                <w:noProof/>
              </w:rPr>
            </w:pPr>
            <w:r>
              <w:rPr>
                <w:noProof/>
              </w:rPr>
              <w:t>Negyedév</w:t>
            </w:r>
          </w:p>
        </w:tc>
        <w:tc>
          <w:tcPr>
            <w:tcW w:w="684" w:type="dxa"/>
            <w:shd w:val="clear" w:color="auto" w:fill="BDD6EE"/>
            <w:vAlign w:val="center"/>
            <w:hideMark/>
          </w:tcPr>
          <w:p w14:paraId="5684B644" w14:textId="62CF8752" w:rsidR="00DC5EC6" w:rsidRDefault="003245A4">
            <w:pPr>
              <w:pStyle w:val="P68B1DB1-Normal6"/>
              <w:keepNext/>
              <w:spacing w:before="40" w:after="0" w:line="240" w:lineRule="auto"/>
              <w:jc w:val="center"/>
              <w:rPr>
                <w:rFonts w:eastAsia="Times New Roman" w:cs="Times New Roman"/>
                <w:noProof/>
              </w:rPr>
            </w:pPr>
            <w:r>
              <w:rPr>
                <w:noProof/>
              </w:rPr>
              <w:t>Év</w:t>
            </w:r>
          </w:p>
        </w:tc>
        <w:tc>
          <w:tcPr>
            <w:tcW w:w="5223" w:type="dxa"/>
            <w:vMerge/>
            <w:vAlign w:val="center"/>
            <w:hideMark/>
          </w:tcPr>
          <w:p w14:paraId="3C5137C1" w14:textId="77777777" w:rsidR="00DC5EC6" w:rsidRDefault="00DC5EC6">
            <w:pPr>
              <w:keepNext/>
              <w:spacing w:before="40" w:after="0" w:line="240" w:lineRule="auto"/>
              <w:jc w:val="both"/>
              <w:rPr>
                <w:rFonts w:ascii="Times New Roman" w:eastAsia="Times New Roman" w:hAnsi="Times New Roman" w:cs="Times New Roman"/>
                <w:b/>
                <w:noProof/>
                <w:sz w:val="18"/>
              </w:rPr>
            </w:pPr>
          </w:p>
        </w:tc>
      </w:tr>
      <w:tr w:rsidR="00DC5EC6" w14:paraId="52BD253E" w14:textId="77777777">
        <w:trPr>
          <w:trHeight w:val="61"/>
        </w:trPr>
        <w:tc>
          <w:tcPr>
            <w:tcW w:w="1101" w:type="dxa"/>
            <w:shd w:val="clear" w:color="auto" w:fill="C4EFCE"/>
            <w:vAlign w:val="center"/>
          </w:tcPr>
          <w:p w14:paraId="1F146FCF" w14:textId="4E6EEEBB" w:rsidR="00DC5EC6" w:rsidRDefault="003245A4">
            <w:pPr>
              <w:pStyle w:val="P68B1DB1-Normal7"/>
              <w:keepNext/>
              <w:spacing w:before="40" w:after="0" w:line="240" w:lineRule="auto"/>
              <w:jc w:val="center"/>
              <w:rPr>
                <w:noProof/>
                <w:highlight w:val="magenta"/>
              </w:rPr>
            </w:pPr>
            <w:r>
              <w:rPr>
                <w:noProof/>
              </w:rPr>
              <w:t>10.5</w:t>
            </w:r>
          </w:p>
        </w:tc>
        <w:tc>
          <w:tcPr>
            <w:tcW w:w="1231" w:type="dxa"/>
            <w:shd w:val="clear" w:color="auto" w:fill="C4EFCE"/>
            <w:noWrap/>
            <w:vAlign w:val="center"/>
          </w:tcPr>
          <w:p w14:paraId="6E122812" w14:textId="10C964C3" w:rsidR="00DC5EC6" w:rsidRDefault="003245A4">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49982C81" w14:textId="192B44BD" w:rsidR="00DC5EC6" w:rsidRDefault="003245A4">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6DF03557" w14:textId="2BF8CD78" w:rsidR="00DC5EC6" w:rsidRDefault="003245A4">
            <w:pPr>
              <w:pStyle w:val="P68B1DB1-Normal8"/>
              <w:keepNext/>
              <w:spacing w:before="40" w:after="0" w:line="240" w:lineRule="auto"/>
              <w:jc w:val="center"/>
              <w:rPr>
                <w:rFonts w:cstheme="minorHAnsi"/>
                <w:noProof/>
              </w:rPr>
            </w:pPr>
            <w:r>
              <w:rPr>
                <w:noProof/>
              </w:rPr>
              <w:t>A „Többfunkciós haditengerészeti platform” és az „Üzemeltetési Központ” szerződésének aláírása</w:t>
            </w:r>
          </w:p>
        </w:tc>
        <w:tc>
          <w:tcPr>
            <w:tcW w:w="1231" w:type="dxa"/>
            <w:shd w:val="clear" w:color="auto" w:fill="C4EFCE"/>
            <w:noWrap/>
            <w:vAlign w:val="center"/>
          </w:tcPr>
          <w:p w14:paraId="333B3AB3" w14:textId="02EF4106" w:rsidR="00DC5EC6" w:rsidRDefault="003245A4">
            <w:pPr>
              <w:pStyle w:val="P68B1DB1-Normal8"/>
              <w:keepNext/>
              <w:spacing w:before="40" w:after="0" w:line="240" w:lineRule="auto"/>
              <w:jc w:val="center"/>
              <w:rPr>
                <w:rFonts w:cstheme="minorHAnsi"/>
                <w:noProof/>
              </w:rPr>
            </w:pPr>
            <w:r>
              <w:rPr>
                <w:noProof/>
              </w:rPr>
              <w:t>A „Többfunkciós haditengerészeti platform” és az „Üzemeltetési Központ” szerződésének aláírása</w:t>
            </w:r>
          </w:p>
        </w:tc>
        <w:tc>
          <w:tcPr>
            <w:tcW w:w="962" w:type="dxa"/>
            <w:shd w:val="clear" w:color="auto" w:fill="C4EFCE"/>
            <w:noWrap/>
            <w:vAlign w:val="center"/>
          </w:tcPr>
          <w:p w14:paraId="0247B4AE" w14:textId="2F9E4126" w:rsidR="00DC5EC6" w:rsidRDefault="003245A4">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3EB2DE9" w14:textId="65360A99" w:rsidR="00DC5EC6" w:rsidRDefault="003245A4">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404D0E0D" w14:textId="65417E79" w:rsidR="00DC5EC6" w:rsidRDefault="003245A4">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6720E15C" w14:textId="7BEAEC35" w:rsidR="00DC5EC6" w:rsidRDefault="003A6168">
            <w:pPr>
              <w:pStyle w:val="P68B1DB1-Normal8"/>
              <w:keepNext/>
              <w:spacing w:before="40" w:after="0" w:line="240" w:lineRule="auto"/>
              <w:jc w:val="center"/>
              <w:rPr>
                <w:rFonts w:cstheme="minorHAnsi"/>
                <w:noProof/>
              </w:rPr>
            </w:pPr>
            <w:r>
              <w:rPr>
                <w:noProof/>
              </w:rPr>
              <w:t xml:space="preserve">3. </w:t>
            </w:r>
            <w:r w:rsidR="003245A4">
              <w:rPr>
                <w:noProof/>
              </w:rPr>
              <w:t>NEGYEDÉV</w:t>
            </w:r>
          </w:p>
        </w:tc>
        <w:tc>
          <w:tcPr>
            <w:tcW w:w="684" w:type="dxa"/>
            <w:shd w:val="clear" w:color="auto" w:fill="C4EFCE"/>
            <w:noWrap/>
            <w:vAlign w:val="center"/>
          </w:tcPr>
          <w:p w14:paraId="7372820D" w14:textId="3637367A" w:rsidR="00DC5EC6" w:rsidRDefault="003245A4">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30002EA5" w14:textId="77777777" w:rsidR="00DC5EC6" w:rsidRDefault="003245A4">
            <w:pPr>
              <w:pStyle w:val="P68B1DB1-Normal8"/>
              <w:keepNext/>
              <w:spacing w:before="40" w:after="0" w:line="240" w:lineRule="auto"/>
              <w:jc w:val="both"/>
              <w:rPr>
                <w:rFonts w:eastAsia="Times New Roman" w:cs="Calibri"/>
                <w:noProof/>
              </w:rPr>
            </w:pPr>
            <w:r>
              <w:rPr>
                <w:noProof/>
              </w:rPr>
              <w:t xml:space="preserve">Az építési szerződés aláírása közbeszerzési eljárás(ok) meghirdetését követően – I. és II. pillér: </w:t>
            </w:r>
          </w:p>
          <w:p w14:paraId="120A48F6" w14:textId="77777777" w:rsidR="00DC5EC6" w:rsidRDefault="003245A4">
            <w:pPr>
              <w:pStyle w:val="P68B1DB1-Normal8"/>
              <w:keepNext/>
              <w:spacing w:before="40" w:after="0" w:line="240" w:lineRule="auto"/>
              <w:jc w:val="both"/>
              <w:rPr>
                <w:rFonts w:eastAsia="Times New Roman" w:cs="Calibri"/>
                <w:noProof/>
              </w:rPr>
            </w:pPr>
            <w:r>
              <w:rPr>
                <w:noProof/>
              </w:rPr>
              <w:t xml:space="preserve">Pillér – Többfunkciós haditengerészeti platform, </w:t>
            </w:r>
          </w:p>
          <w:p w14:paraId="2F9DB0C1" w14:textId="77777777" w:rsidR="00DC5EC6" w:rsidRDefault="003245A4">
            <w:pPr>
              <w:pStyle w:val="P68B1DB1-Normal8"/>
              <w:keepNext/>
              <w:spacing w:before="40" w:after="0" w:line="240" w:lineRule="auto"/>
              <w:jc w:val="both"/>
              <w:rPr>
                <w:rFonts w:eastAsia="Times New Roman" w:cs="Calibri"/>
                <w:noProof/>
              </w:rPr>
            </w:pPr>
            <w:r>
              <w:rPr>
                <w:noProof/>
              </w:rPr>
              <w:t>Magában foglalja egy körülbelül 100 méteres, többfunkciós, automatikus helymeghatározással, integrált platformirányítási rendszerrel, parancsnoki híddal és műveleti központtal, víz alatti akusztikai pozicionáló rendszerrel, tengeralattjárók felbocsátására és/vagy az autonóm rendszerek kiszállására szolgáló tér, darukat, helidecket stb.),</w:t>
            </w:r>
          </w:p>
          <w:p w14:paraId="4F92961B" w14:textId="0FCD137D" w:rsidR="00DC5EC6" w:rsidRDefault="003245A4">
            <w:pPr>
              <w:pStyle w:val="P68B1DB1-Normal8"/>
              <w:keepNext/>
              <w:spacing w:before="40" w:after="0" w:line="240" w:lineRule="auto"/>
              <w:jc w:val="both"/>
              <w:rPr>
                <w:rFonts w:eastAsia="Times New Roman" w:cs="Calibri"/>
                <w:noProof/>
              </w:rPr>
            </w:pPr>
            <w:r>
              <w:rPr>
                <w:noProof/>
              </w:rPr>
              <w:t>Magában foglalja továbbá a legfeljebb 6000 méter mélységű járművek üzemeltetésének képességét, az autonóm felszíni járművek parkolását és további haditengerészeti eszközöket (beleértve az autonóm óceánfelszíni járműveket, az autonóm víz alatti járműveket, az autonóm légi járműveket, a drónokat).</w:t>
            </w:r>
          </w:p>
          <w:p w14:paraId="45957A47" w14:textId="77777777" w:rsidR="00DC5EC6" w:rsidRDefault="003245A4">
            <w:pPr>
              <w:pStyle w:val="P68B1DB1-Normal8"/>
              <w:keepNext/>
              <w:spacing w:before="40" w:after="0" w:line="240" w:lineRule="auto"/>
              <w:jc w:val="both"/>
              <w:rPr>
                <w:rFonts w:eastAsia="Times New Roman" w:cs="Calibri"/>
                <w:noProof/>
              </w:rPr>
            </w:pPr>
            <w:r>
              <w:rPr>
                <w:noProof/>
              </w:rPr>
              <w:t>Pillér – Működési központ</w:t>
            </w:r>
          </w:p>
          <w:p w14:paraId="0AF421B0" w14:textId="49716D7D" w:rsidR="00DC5EC6" w:rsidRDefault="003245A4">
            <w:pPr>
              <w:pStyle w:val="P68B1DB1-Bodytext1018"/>
              <w:spacing w:before="40" w:after="0" w:line="240" w:lineRule="auto"/>
              <w:jc w:val="both"/>
              <w:rPr>
                <w:rFonts w:asciiTheme="minorHAnsi" w:hAnsiTheme="minorHAnsi" w:cstheme="minorHAnsi"/>
                <w:noProof/>
              </w:rPr>
            </w:pPr>
            <w:r>
              <w:rPr>
                <w:noProof/>
              </w:rPr>
              <w:t>Ez magában foglalja a meglévő épületek és építmények felújítását, a műveleti központ számítógépes és kommunikációs rendszereit és a laboratóriumi hálózatot, a nagy teljesítményű számítástechnikai és információtároló rendszereket, a kommunikációs rendszereket (beleértve a nagyon kis méretű apertúrás terminálokat (VSAT)), valamint a más tengeri rendszerekkel való interoperabilitási rendszereket, a szoftverfejlesztést és az immerzív rendszereket.</w:t>
            </w:r>
          </w:p>
        </w:tc>
      </w:tr>
      <w:tr w:rsidR="003A6168" w14:paraId="2CE6D5E1" w14:textId="77777777">
        <w:trPr>
          <w:trHeight w:val="61"/>
        </w:trPr>
        <w:tc>
          <w:tcPr>
            <w:tcW w:w="1101" w:type="dxa"/>
            <w:shd w:val="clear" w:color="auto" w:fill="C4EFCE"/>
            <w:vAlign w:val="center"/>
          </w:tcPr>
          <w:p w14:paraId="49ADFB31" w14:textId="33E084CF" w:rsidR="003A6168" w:rsidRDefault="003A6168" w:rsidP="003A6168">
            <w:pPr>
              <w:pStyle w:val="P68B1DB1-Normal7"/>
              <w:keepNext/>
              <w:spacing w:before="40" w:after="0" w:line="240" w:lineRule="auto"/>
              <w:jc w:val="center"/>
              <w:rPr>
                <w:noProof/>
                <w:highlight w:val="magenta"/>
              </w:rPr>
            </w:pPr>
            <w:r>
              <w:rPr>
                <w:noProof/>
              </w:rPr>
              <w:t>10.6</w:t>
            </w:r>
          </w:p>
        </w:tc>
        <w:tc>
          <w:tcPr>
            <w:tcW w:w="1231" w:type="dxa"/>
            <w:shd w:val="clear" w:color="auto" w:fill="C4EFCE"/>
            <w:noWrap/>
            <w:vAlign w:val="center"/>
          </w:tcPr>
          <w:p w14:paraId="328A6835" w14:textId="4753CB2C" w:rsidR="003A6168" w:rsidRDefault="003A6168" w:rsidP="003A6168">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02CC9831" w14:textId="74A625E2" w:rsidR="003A6168" w:rsidRDefault="003A6168" w:rsidP="003A6168">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7DF74898" w14:textId="25083335" w:rsidR="003A6168" w:rsidRDefault="003A6168" w:rsidP="003A6168">
            <w:pPr>
              <w:pStyle w:val="P68B1DB1-Normal8"/>
              <w:keepNext/>
              <w:spacing w:before="40" w:after="0" w:line="240" w:lineRule="auto"/>
              <w:jc w:val="center"/>
              <w:rPr>
                <w:rFonts w:cstheme="minorHAnsi"/>
                <w:noProof/>
              </w:rPr>
            </w:pPr>
            <w:r>
              <w:rPr>
                <w:noProof/>
              </w:rPr>
              <w:t>Az Alfeite Arsenal Akadémia véglegesítése</w:t>
            </w:r>
          </w:p>
        </w:tc>
        <w:tc>
          <w:tcPr>
            <w:tcW w:w="1231" w:type="dxa"/>
            <w:shd w:val="clear" w:color="auto" w:fill="C4EFCE"/>
            <w:noWrap/>
            <w:vAlign w:val="center"/>
          </w:tcPr>
          <w:p w14:paraId="12A8E34A" w14:textId="46A14581" w:rsidR="003A6168" w:rsidRDefault="003A6168" w:rsidP="003A6168">
            <w:pPr>
              <w:pStyle w:val="P68B1DB1-Normal8"/>
              <w:keepNext/>
              <w:spacing w:before="40" w:after="0" w:line="240" w:lineRule="auto"/>
              <w:jc w:val="center"/>
              <w:rPr>
                <w:rFonts w:cstheme="minorHAnsi"/>
                <w:noProof/>
              </w:rPr>
            </w:pPr>
            <w:r>
              <w:rPr>
                <w:noProof/>
              </w:rPr>
              <w:t>Az Alfeite Arsenal Akadémia véglegesítése </w:t>
            </w:r>
          </w:p>
        </w:tc>
        <w:tc>
          <w:tcPr>
            <w:tcW w:w="962" w:type="dxa"/>
            <w:shd w:val="clear" w:color="auto" w:fill="C4EFCE"/>
            <w:noWrap/>
            <w:vAlign w:val="center"/>
          </w:tcPr>
          <w:p w14:paraId="74243FDB" w14:textId="33F44A1E" w:rsidR="003A6168" w:rsidRDefault="003A6168" w:rsidP="003A6168">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2DB2BAAF" w14:textId="3DCC3C16" w:rsidR="003A6168" w:rsidRDefault="003A6168" w:rsidP="003A6168">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3CB08472" w14:textId="5F29F401" w:rsidR="003A6168" w:rsidRDefault="003A6168" w:rsidP="003A6168">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5AD5DE15" w14:textId="1E80A9FD" w:rsidR="003A6168" w:rsidRDefault="003A6168" w:rsidP="003A6168">
            <w:pPr>
              <w:pStyle w:val="P68B1DB1-Normal8"/>
              <w:keepNext/>
              <w:spacing w:before="40" w:after="0" w:line="240" w:lineRule="auto"/>
              <w:jc w:val="center"/>
              <w:rPr>
                <w:rFonts w:cstheme="minorHAnsi"/>
                <w:noProof/>
              </w:rPr>
            </w:pPr>
            <w:r>
              <w:rPr>
                <w:noProof/>
              </w:rPr>
              <w:t>4. NEGYEDÉV</w:t>
            </w:r>
          </w:p>
        </w:tc>
        <w:tc>
          <w:tcPr>
            <w:tcW w:w="684" w:type="dxa"/>
            <w:shd w:val="clear" w:color="auto" w:fill="C4EFCE"/>
            <w:noWrap/>
            <w:vAlign w:val="center"/>
          </w:tcPr>
          <w:p w14:paraId="59B5AF35" w14:textId="1A32ACF2" w:rsidR="003A6168" w:rsidRDefault="003A6168" w:rsidP="003A6168">
            <w:pPr>
              <w:pStyle w:val="P68B1DB1-Normal8"/>
              <w:keepNext/>
              <w:spacing w:before="40" w:after="0" w:line="240" w:lineRule="auto"/>
              <w:jc w:val="center"/>
              <w:rPr>
                <w:rFonts w:cstheme="minorHAnsi"/>
                <w:noProof/>
              </w:rPr>
            </w:pPr>
            <w:r>
              <w:rPr>
                <w:noProof/>
              </w:rPr>
              <w:t>2023</w:t>
            </w:r>
          </w:p>
        </w:tc>
        <w:tc>
          <w:tcPr>
            <w:tcW w:w="5223" w:type="dxa"/>
            <w:shd w:val="clear" w:color="auto" w:fill="C4EFCE"/>
            <w:vAlign w:val="center"/>
          </w:tcPr>
          <w:p w14:paraId="252172A4" w14:textId="77777777" w:rsidR="003A6168" w:rsidRDefault="003A6168" w:rsidP="003A6168">
            <w:pPr>
              <w:pStyle w:val="P68B1DB1-Normal8"/>
              <w:keepNext/>
              <w:spacing w:before="40" w:after="0" w:line="240" w:lineRule="auto"/>
              <w:jc w:val="both"/>
              <w:rPr>
                <w:rFonts w:eastAsia="Times New Roman" w:cs="Calibri"/>
                <w:noProof/>
              </w:rPr>
            </w:pPr>
            <w:r>
              <w:rPr>
                <w:noProof/>
              </w:rPr>
              <w:t xml:space="preserve">Az Alfeite Arsenal Akadémia Iskolájának véglegesítése </w:t>
            </w:r>
          </w:p>
          <w:p w14:paraId="2A0F6D74" w14:textId="0F37D64C" w:rsidR="003A6168" w:rsidRDefault="003A6168" w:rsidP="003A6168">
            <w:pPr>
              <w:pStyle w:val="P68B1DB1-Bodytext1018"/>
              <w:spacing w:before="40" w:after="0" w:line="240" w:lineRule="auto"/>
              <w:jc w:val="both"/>
              <w:rPr>
                <w:rFonts w:asciiTheme="minorHAnsi" w:hAnsiTheme="minorHAnsi" w:cstheme="minorHAnsi"/>
                <w:noProof/>
              </w:rPr>
            </w:pPr>
            <w:r>
              <w:rPr>
                <w:noProof/>
              </w:rPr>
              <w:t>(beleértve az infrastruktúra korszerűsítését és a berendezések (számítógépek; laboratóriumi berendezések, technológiai infrastruktúra, ipari berendezések 4.0 és digitális átállás számára, a képzési igények diagnosztizálása, képzések kidolgozása, első képzések biztosítása már az iskola befejezése előtt)</w:t>
            </w:r>
          </w:p>
        </w:tc>
      </w:tr>
      <w:tr w:rsidR="001F25B1" w14:paraId="48A6F7E1" w14:textId="77777777">
        <w:trPr>
          <w:trHeight w:val="61"/>
        </w:trPr>
        <w:tc>
          <w:tcPr>
            <w:tcW w:w="1101" w:type="dxa"/>
            <w:shd w:val="clear" w:color="auto" w:fill="C4EFCE"/>
            <w:vAlign w:val="center"/>
          </w:tcPr>
          <w:p w14:paraId="6A6158B3" w14:textId="6C24D77B" w:rsidR="001F25B1" w:rsidRDefault="001F25B1" w:rsidP="001F25B1">
            <w:pPr>
              <w:pStyle w:val="P68B1DB1-Normal7"/>
              <w:keepNext/>
              <w:spacing w:before="40" w:after="0" w:line="240" w:lineRule="auto"/>
              <w:jc w:val="center"/>
              <w:rPr>
                <w:noProof/>
                <w:highlight w:val="magenta"/>
              </w:rPr>
            </w:pPr>
            <w:r>
              <w:rPr>
                <w:noProof/>
              </w:rPr>
              <w:t>10.7</w:t>
            </w:r>
          </w:p>
        </w:tc>
        <w:tc>
          <w:tcPr>
            <w:tcW w:w="1231" w:type="dxa"/>
            <w:shd w:val="clear" w:color="auto" w:fill="C4EFCE"/>
            <w:noWrap/>
            <w:vAlign w:val="center"/>
          </w:tcPr>
          <w:p w14:paraId="3394B414" w14:textId="5C6B7A86" w:rsidR="001F25B1" w:rsidRDefault="001F25B1" w:rsidP="001F25B1">
            <w:pPr>
              <w:pStyle w:val="P68B1DB1-Normal8"/>
              <w:keepNext/>
              <w:spacing w:before="40" w:after="0" w:line="240" w:lineRule="auto"/>
              <w:jc w:val="center"/>
              <w:rPr>
                <w:rFonts w:cstheme="minorHAnsi"/>
                <w:noProof/>
              </w:rPr>
            </w:pPr>
            <w:r>
              <w:rPr>
                <w:noProof/>
              </w:rPr>
              <w:t>TC-C10-i03</w:t>
            </w:r>
          </w:p>
        </w:tc>
        <w:tc>
          <w:tcPr>
            <w:tcW w:w="1096" w:type="dxa"/>
            <w:shd w:val="clear" w:color="auto" w:fill="C4EFCE"/>
            <w:noWrap/>
            <w:vAlign w:val="center"/>
          </w:tcPr>
          <w:p w14:paraId="6ACD3011" w14:textId="224855CD" w:rsidR="001F25B1" w:rsidRDefault="001F25B1" w:rsidP="001F25B1">
            <w:pPr>
              <w:pStyle w:val="P68B1DB1-Normal8"/>
              <w:keepNext/>
              <w:spacing w:before="40" w:after="0" w:line="240" w:lineRule="auto"/>
              <w:jc w:val="center"/>
              <w:rPr>
                <w:rFonts w:cstheme="minorHAnsi"/>
                <w:noProof/>
              </w:rPr>
            </w:pPr>
            <w:r>
              <w:rPr>
                <w:noProof/>
              </w:rPr>
              <w:t>M</w:t>
            </w:r>
          </w:p>
        </w:tc>
        <w:tc>
          <w:tcPr>
            <w:tcW w:w="1640" w:type="dxa"/>
            <w:shd w:val="clear" w:color="auto" w:fill="C4EFCE"/>
            <w:noWrap/>
            <w:vAlign w:val="center"/>
          </w:tcPr>
          <w:p w14:paraId="5CB9DCFB" w14:textId="4C105B42" w:rsidR="001F25B1" w:rsidRDefault="001F25B1" w:rsidP="001F25B1">
            <w:pPr>
              <w:pStyle w:val="P68B1DB1-Normal8"/>
              <w:keepNext/>
              <w:spacing w:before="40" w:after="0" w:line="240" w:lineRule="auto"/>
              <w:jc w:val="center"/>
              <w:rPr>
                <w:rFonts w:cstheme="minorHAnsi"/>
                <w:noProof/>
              </w:rPr>
            </w:pPr>
            <w:r>
              <w:rPr>
                <w:noProof/>
              </w:rPr>
              <w:t>A „többfunkciós haditengerészeti platform” és az „operációs központ” fogadása és elfogadása</w:t>
            </w:r>
          </w:p>
        </w:tc>
        <w:tc>
          <w:tcPr>
            <w:tcW w:w="1231" w:type="dxa"/>
            <w:shd w:val="clear" w:color="auto" w:fill="C4EFCE"/>
            <w:noWrap/>
            <w:vAlign w:val="center"/>
          </w:tcPr>
          <w:p w14:paraId="615F7D19" w14:textId="2A89DF40" w:rsidR="001F25B1" w:rsidRDefault="001F25B1" w:rsidP="001F25B1">
            <w:pPr>
              <w:pStyle w:val="P68B1DB1-Normal8"/>
              <w:keepNext/>
              <w:spacing w:before="40" w:after="0" w:line="240" w:lineRule="auto"/>
              <w:jc w:val="center"/>
              <w:rPr>
                <w:rFonts w:cstheme="minorHAnsi"/>
                <w:noProof/>
              </w:rPr>
            </w:pPr>
            <w:r>
              <w:rPr>
                <w:noProof/>
              </w:rPr>
              <w:t>A „többfunkciós haditengerészeti platform” és az „operációs központ” fogadása és elfogadása</w:t>
            </w:r>
          </w:p>
        </w:tc>
        <w:tc>
          <w:tcPr>
            <w:tcW w:w="962" w:type="dxa"/>
            <w:shd w:val="clear" w:color="auto" w:fill="C4EFCE"/>
            <w:noWrap/>
            <w:vAlign w:val="center"/>
          </w:tcPr>
          <w:p w14:paraId="274F01D9" w14:textId="06465FCA" w:rsidR="001F25B1" w:rsidRDefault="001F25B1" w:rsidP="001F25B1">
            <w:pPr>
              <w:pStyle w:val="P68B1DB1-Normal8"/>
              <w:keepNext/>
              <w:spacing w:before="40" w:after="0" w:line="240" w:lineRule="auto"/>
              <w:jc w:val="center"/>
              <w:rPr>
                <w:rFonts w:cstheme="minorHAnsi"/>
                <w:noProof/>
              </w:rPr>
            </w:pPr>
            <w:r>
              <w:rPr>
                <w:noProof/>
              </w:rPr>
              <w:t> </w:t>
            </w:r>
          </w:p>
        </w:tc>
        <w:tc>
          <w:tcPr>
            <w:tcW w:w="961" w:type="dxa"/>
            <w:shd w:val="clear" w:color="auto" w:fill="C4EFCE"/>
            <w:noWrap/>
            <w:vAlign w:val="center"/>
          </w:tcPr>
          <w:p w14:paraId="1D06AC8A" w14:textId="54D56B13" w:rsidR="001F25B1" w:rsidRDefault="001F25B1" w:rsidP="001F25B1">
            <w:pPr>
              <w:pStyle w:val="P68B1DB1-Normal8"/>
              <w:keepNext/>
              <w:spacing w:before="40" w:after="0" w:line="240" w:lineRule="auto"/>
              <w:jc w:val="center"/>
              <w:rPr>
                <w:rFonts w:cstheme="minorHAnsi"/>
                <w:noProof/>
              </w:rPr>
            </w:pPr>
            <w:r>
              <w:rPr>
                <w:noProof/>
              </w:rPr>
              <w:t> </w:t>
            </w:r>
          </w:p>
        </w:tc>
        <w:tc>
          <w:tcPr>
            <w:tcW w:w="690" w:type="dxa"/>
            <w:shd w:val="clear" w:color="auto" w:fill="C4EFCE"/>
            <w:noWrap/>
            <w:vAlign w:val="center"/>
          </w:tcPr>
          <w:p w14:paraId="2415E148" w14:textId="1A799591" w:rsidR="001F25B1" w:rsidRDefault="001F25B1" w:rsidP="001F25B1">
            <w:pPr>
              <w:pStyle w:val="P68B1DB1-Normal8"/>
              <w:keepNext/>
              <w:spacing w:before="40" w:after="0" w:line="240" w:lineRule="auto"/>
              <w:jc w:val="center"/>
              <w:rPr>
                <w:rFonts w:cstheme="minorHAnsi"/>
                <w:noProof/>
              </w:rPr>
            </w:pPr>
            <w:r>
              <w:rPr>
                <w:noProof/>
              </w:rPr>
              <w:t> </w:t>
            </w:r>
          </w:p>
        </w:tc>
        <w:tc>
          <w:tcPr>
            <w:tcW w:w="554" w:type="dxa"/>
            <w:shd w:val="clear" w:color="auto" w:fill="C4EFCE"/>
            <w:noWrap/>
            <w:vAlign w:val="center"/>
          </w:tcPr>
          <w:p w14:paraId="76705501" w14:textId="4364C9C2" w:rsidR="001F25B1" w:rsidRDefault="001F25B1" w:rsidP="001F25B1">
            <w:pPr>
              <w:pStyle w:val="P68B1DB1-Normal8"/>
              <w:keepNext/>
              <w:spacing w:before="40" w:after="0" w:line="240" w:lineRule="auto"/>
              <w:jc w:val="center"/>
              <w:rPr>
                <w:rFonts w:cstheme="minorHAnsi"/>
                <w:noProof/>
              </w:rPr>
            </w:pPr>
            <w:r>
              <w:rPr>
                <w:noProof/>
              </w:rPr>
              <w:t>2. NEGYEDÉV</w:t>
            </w:r>
          </w:p>
        </w:tc>
        <w:tc>
          <w:tcPr>
            <w:tcW w:w="684" w:type="dxa"/>
            <w:shd w:val="clear" w:color="auto" w:fill="C4EFCE"/>
            <w:noWrap/>
            <w:vAlign w:val="center"/>
          </w:tcPr>
          <w:p w14:paraId="4E79FD00" w14:textId="603ADEA9" w:rsidR="001F25B1" w:rsidRDefault="001F25B1" w:rsidP="001F25B1">
            <w:pPr>
              <w:pStyle w:val="P68B1DB1-Normal8"/>
              <w:keepNext/>
              <w:spacing w:before="40" w:after="0" w:line="240" w:lineRule="auto"/>
              <w:jc w:val="center"/>
              <w:rPr>
                <w:rFonts w:cstheme="minorHAnsi"/>
                <w:noProof/>
              </w:rPr>
            </w:pPr>
            <w:r>
              <w:rPr>
                <w:noProof/>
              </w:rPr>
              <w:t>2026</w:t>
            </w:r>
          </w:p>
        </w:tc>
        <w:tc>
          <w:tcPr>
            <w:tcW w:w="5223" w:type="dxa"/>
            <w:shd w:val="clear" w:color="auto" w:fill="C4EFCE"/>
            <w:vAlign w:val="center"/>
          </w:tcPr>
          <w:p w14:paraId="38EBC9BC" w14:textId="6072BE21" w:rsidR="001F25B1" w:rsidRDefault="001F25B1" w:rsidP="001F25B1">
            <w:pPr>
              <w:pStyle w:val="P68B1DB1-Bodytext1018"/>
              <w:spacing w:before="40" w:after="0" w:line="240" w:lineRule="auto"/>
              <w:jc w:val="both"/>
              <w:rPr>
                <w:rFonts w:asciiTheme="minorHAnsi" w:hAnsiTheme="minorHAnsi" w:cstheme="minorHAnsi"/>
                <w:noProof/>
              </w:rPr>
            </w:pPr>
            <w:r>
              <w:rPr>
                <w:noProof/>
              </w:rPr>
              <w:t>A „többfunkciós haditengerészeti platform” és az „operációs központ” fogadása és elfogadása</w:t>
            </w:r>
          </w:p>
        </w:tc>
      </w:tr>
      <w:tr w:rsidR="00DC5EC6" w14:paraId="027F039F" w14:textId="77777777">
        <w:trPr>
          <w:trHeight w:val="61"/>
        </w:trPr>
        <w:tc>
          <w:tcPr>
            <w:tcW w:w="1101" w:type="dxa"/>
            <w:shd w:val="clear" w:color="auto" w:fill="C4EFCE"/>
            <w:vAlign w:val="center"/>
          </w:tcPr>
          <w:p w14:paraId="34B47902" w14:textId="00559ADD" w:rsidR="00DC5EC6" w:rsidRDefault="003245A4">
            <w:pPr>
              <w:pStyle w:val="P68B1DB1-Normal11"/>
              <w:keepNext/>
              <w:spacing w:before="40" w:after="0" w:line="240" w:lineRule="auto"/>
              <w:jc w:val="center"/>
              <w:rPr>
                <w:noProof/>
              </w:rPr>
            </w:pPr>
            <w:r>
              <w:rPr>
                <w:noProof/>
              </w:rPr>
              <w:t>10.17</w:t>
            </w:r>
          </w:p>
        </w:tc>
        <w:tc>
          <w:tcPr>
            <w:tcW w:w="1231" w:type="dxa"/>
            <w:shd w:val="clear" w:color="auto" w:fill="C4EFCE"/>
            <w:noWrap/>
            <w:vAlign w:val="center"/>
          </w:tcPr>
          <w:p w14:paraId="0A93137A" w14:textId="55F0B8D2" w:rsidR="00DC5EC6" w:rsidRDefault="003245A4">
            <w:pPr>
              <w:pStyle w:val="P68B1DB1-Normal12"/>
              <w:keepNext/>
              <w:spacing w:before="40" w:after="0" w:line="240" w:lineRule="auto"/>
              <w:jc w:val="center"/>
              <w:rPr>
                <w:rFonts w:eastAsia="Times New Roman" w:cstheme="minorHAnsi"/>
                <w:noProof/>
              </w:rPr>
            </w:pPr>
            <w:r>
              <w:rPr>
                <w:noProof/>
              </w:rPr>
              <w:t>TC-C10–i07</w:t>
            </w:r>
          </w:p>
        </w:tc>
        <w:tc>
          <w:tcPr>
            <w:tcW w:w="1096" w:type="dxa"/>
            <w:shd w:val="clear" w:color="auto" w:fill="C4EFCE"/>
            <w:noWrap/>
            <w:vAlign w:val="center"/>
          </w:tcPr>
          <w:p w14:paraId="475EE951" w14:textId="77777777" w:rsidR="00DC5EC6" w:rsidRDefault="003245A4">
            <w:pPr>
              <w:pStyle w:val="P68B1DB1-Normal12"/>
              <w:keepNext/>
              <w:spacing w:before="40" w:after="0" w:line="240" w:lineRule="auto"/>
              <w:jc w:val="center"/>
              <w:rPr>
                <w:rFonts w:eastAsia="Times New Roman" w:cstheme="minorHAnsi"/>
                <w:noProof/>
              </w:rPr>
            </w:pPr>
            <w:r>
              <w:rPr>
                <w:noProof/>
              </w:rPr>
              <w:t>M</w:t>
            </w:r>
          </w:p>
        </w:tc>
        <w:tc>
          <w:tcPr>
            <w:tcW w:w="1640" w:type="dxa"/>
            <w:shd w:val="clear" w:color="auto" w:fill="C4EFCE"/>
            <w:noWrap/>
            <w:vAlign w:val="center"/>
          </w:tcPr>
          <w:p w14:paraId="1F299288" w14:textId="77777777" w:rsidR="00DC5EC6" w:rsidRDefault="003245A4">
            <w:pPr>
              <w:pStyle w:val="P68B1DB1-Normal12"/>
              <w:keepNext/>
              <w:spacing w:before="40" w:after="0" w:line="240" w:lineRule="auto"/>
              <w:jc w:val="center"/>
              <w:rPr>
                <w:rFonts w:eastAsia="Times New Roman" w:cstheme="minorHAnsi"/>
                <w:noProof/>
              </w:rPr>
            </w:pPr>
            <w:r>
              <w:rPr>
                <w:noProof/>
              </w:rPr>
              <w:t>Ajánlati felhívás közzététele a hajók dekarbonizációjára</w:t>
            </w:r>
          </w:p>
        </w:tc>
        <w:tc>
          <w:tcPr>
            <w:tcW w:w="1231" w:type="dxa"/>
            <w:shd w:val="clear" w:color="auto" w:fill="C4EFCE"/>
            <w:noWrap/>
            <w:vAlign w:val="center"/>
          </w:tcPr>
          <w:p w14:paraId="18E73789" w14:textId="77777777" w:rsidR="00DC5EC6" w:rsidRDefault="003245A4">
            <w:pPr>
              <w:pStyle w:val="P68B1DB1-Normal12"/>
              <w:keepNext/>
              <w:spacing w:before="40" w:after="0" w:line="240" w:lineRule="auto"/>
              <w:jc w:val="center"/>
              <w:rPr>
                <w:rFonts w:eastAsia="Times New Roman" w:cstheme="minorHAnsi"/>
                <w:noProof/>
              </w:rPr>
            </w:pPr>
            <w:r>
              <w:rPr>
                <w:noProof/>
              </w:rPr>
              <w:t>Ajánlati felhívás közzététele a hajók dekarbonizációjára</w:t>
            </w:r>
          </w:p>
        </w:tc>
        <w:tc>
          <w:tcPr>
            <w:tcW w:w="962" w:type="dxa"/>
            <w:shd w:val="clear" w:color="auto" w:fill="C4EFCE"/>
            <w:noWrap/>
            <w:vAlign w:val="center"/>
          </w:tcPr>
          <w:p w14:paraId="794A4B39" w14:textId="77777777" w:rsidR="00DC5EC6" w:rsidRDefault="003245A4">
            <w:pPr>
              <w:pStyle w:val="P68B1DB1-Normal12"/>
              <w:keepNext/>
              <w:spacing w:before="40" w:after="0" w:line="240" w:lineRule="auto"/>
              <w:jc w:val="center"/>
              <w:rPr>
                <w:rFonts w:eastAsia="Times New Roman" w:cstheme="minorHAnsi"/>
                <w:noProof/>
              </w:rPr>
            </w:pPr>
            <w:r>
              <w:rPr>
                <w:noProof/>
              </w:rPr>
              <w:t xml:space="preserve"> </w:t>
            </w:r>
          </w:p>
        </w:tc>
        <w:tc>
          <w:tcPr>
            <w:tcW w:w="961" w:type="dxa"/>
            <w:shd w:val="clear" w:color="auto" w:fill="C4EFCE"/>
            <w:noWrap/>
            <w:vAlign w:val="center"/>
          </w:tcPr>
          <w:p w14:paraId="3234BC59" w14:textId="77777777" w:rsidR="00DC5EC6" w:rsidRDefault="003245A4">
            <w:pPr>
              <w:pStyle w:val="P68B1DB1-Normal12"/>
              <w:keepNext/>
              <w:spacing w:before="40" w:after="0" w:line="240" w:lineRule="auto"/>
              <w:jc w:val="center"/>
              <w:rPr>
                <w:rFonts w:eastAsia="Times New Roman" w:cstheme="minorHAnsi"/>
                <w:noProof/>
              </w:rPr>
            </w:pPr>
            <w:r>
              <w:rPr>
                <w:noProof/>
              </w:rPr>
              <w:t xml:space="preserve"> </w:t>
            </w:r>
          </w:p>
        </w:tc>
        <w:tc>
          <w:tcPr>
            <w:tcW w:w="690" w:type="dxa"/>
            <w:shd w:val="clear" w:color="auto" w:fill="C4EFCE"/>
            <w:noWrap/>
            <w:vAlign w:val="center"/>
          </w:tcPr>
          <w:p w14:paraId="2C2A78E0" w14:textId="77777777" w:rsidR="00DC5EC6" w:rsidRDefault="003245A4">
            <w:pPr>
              <w:pStyle w:val="P68B1DB1-Normal12"/>
              <w:keepNext/>
              <w:spacing w:before="40" w:after="0" w:line="240" w:lineRule="auto"/>
              <w:jc w:val="center"/>
              <w:rPr>
                <w:rFonts w:eastAsia="Times New Roman" w:cstheme="minorHAnsi"/>
                <w:noProof/>
              </w:rPr>
            </w:pPr>
            <w:r>
              <w:rPr>
                <w:noProof/>
              </w:rPr>
              <w:t xml:space="preserve"> </w:t>
            </w:r>
          </w:p>
        </w:tc>
        <w:tc>
          <w:tcPr>
            <w:tcW w:w="554" w:type="dxa"/>
            <w:shd w:val="clear" w:color="auto" w:fill="C4EFCE"/>
            <w:noWrap/>
            <w:vAlign w:val="center"/>
          </w:tcPr>
          <w:p w14:paraId="746BFB58" w14:textId="482D9ADB" w:rsidR="00DC5EC6" w:rsidRDefault="003A6168">
            <w:pPr>
              <w:pStyle w:val="P68B1DB1-Normal12"/>
              <w:keepNext/>
              <w:spacing w:before="40" w:after="0" w:line="240" w:lineRule="auto"/>
              <w:jc w:val="center"/>
              <w:rPr>
                <w:rFonts w:eastAsia="Times New Roman" w:cstheme="minorHAnsi"/>
                <w:noProof/>
              </w:rPr>
            </w:pPr>
            <w:r>
              <w:rPr>
                <w:noProof/>
              </w:rPr>
              <w:t xml:space="preserve">3. </w:t>
            </w:r>
            <w:r w:rsidR="003245A4">
              <w:rPr>
                <w:noProof/>
              </w:rPr>
              <w:t>NEGYEDÉV</w:t>
            </w:r>
          </w:p>
        </w:tc>
        <w:tc>
          <w:tcPr>
            <w:tcW w:w="684" w:type="dxa"/>
            <w:shd w:val="clear" w:color="auto" w:fill="C4EFCE"/>
            <w:noWrap/>
            <w:vAlign w:val="center"/>
          </w:tcPr>
          <w:p w14:paraId="6D96543B" w14:textId="77777777" w:rsidR="00DC5EC6" w:rsidRDefault="003245A4">
            <w:pPr>
              <w:pStyle w:val="P68B1DB1-Normal12"/>
              <w:keepNext/>
              <w:spacing w:before="40" w:after="0" w:line="240" w:lineRule="auto"/>
              <w:jc w:val="center"/>
              <w:rPr>
                <w:rFonts w:eastAsia="Times New Roman" w:cstheme="minorHAnsi"/>
                <w:noProof/>
              </w:rPr>
            </w:pPr>
            <w:r>
              <w:rPr>
                <w:noProof/>
              </w:rPr>
              <w:t>2023</w:t>
            </w:r>
          </w:p>
        </w:tc>
        <w:tc>
          <w:tcPr>
            <w:tcW w:w="5223" w:type="dxa"/>
            <w:shd w:val="clear" w:color="auto" w:fill="C4EFCE"/>
          </w:tcPr>
          <w:p w14:paraId="3B2A3F9D" w14:textId="4D7CF0E8" w:rsidR="00DC5EC6" w:rsidRDefault="003245A4">
            <w:pPr>
              <w:pStyle w:val="P68B1DB1-Bodytext1013"/>
              <w:spacing w:before="40" w:after="0" w:line="240" w:lineRule="auto"/>
              <w:jc w:val="both"/>
              <w:rPr>
                <w:rFonts w:cstheme="minorHAnsi"/>
                <w:noProof/>
              </w:rPr>
            </w:pPr>
            <w:r>
              <w:rPr>
                <w:noProof/>
              </w:rPr>
              <w:t>Ajánlati felhívás közzététele tíz olyan tengeri áru- és személyszállító hajó dekarbonizációjára, amelyek legalább 70%-a meghaladja az 5000 bruttó űrtartalmat (BT).</w:t>
            </w:r>
          </w:p>
          <w:p w14:paraId="5ED73E54" w14:textId="18EEA591" w:rsidR="00DC5EC6" w:rsidRDefault="003245A4">
            <w:pPr>
              <w:pStyle w:val="P68B1DB1-Bodytext1013"/>
              <w:spacing w:before="40" w:after="0" w:line="240" w:lineRule="auto"/>
              <w:jc w:val="both"/>
              <w:rPr>
                <w:rFonts w:eastAsia="@MS Mincho" w:cstheme="minorHAnsi"/>
                <w:noProof/>
              </w:rPr>
            </w:pPr>
            <w:r>
              <w:rPr>
                <w:noProof/>
              </w:rPr>
              <w:t>A feladatmeghatározásnak olyan támogathatósági kritériumokat kell tartalmaznia, amelyek biztosítják, hogy a kiválasztott projektek megfeleljenek a jelentős károkozás elkerülését célzó elvről szóló technikai iránymutatásnak (2021/C58/01), és az intézkedés leírásában meghatározott követelményekkel összhangban hozzájáruljanak a hajó üzemanyag-fogyasztásának legalább 10%-os csökkentéséhez, egy tengeri mérföldre jutó üzemanyag grammban kifejezve. Ez magában foglalja az uniós és nemzeti környezetvédelmi jogszabályoknak való megfelelést is.</w:t>
            </w:r>
          </w:p>
        </w:tc>
      </w:tr>
      <w:tr w:rsidR="001F25B1" w14:paraId="37D8A87F" w14:textId="77777777">
        <w:trPr>
          <w:trHeight w:val="61"/>
        </w:trPr>
        <w:tc>
          <w:tcPr>
            <w:tcW w:w="1101" w:type="dxa"/>
            <w:shd w:val="clear" w:color="auto" w:fill="C4EFCE"/>
            <w:vAlign w:val="center"/>
          </w:tcPr>
          <w:p w14:paraId="5DBA9BD7" w14:textId="1EF5F715" w:rsidR="001F25B1" w:rsidRDefault="001F25B1" w:rsidP="001F25B1">
            <w:pPr>
              <w:pStyle w:val="P68B1DB1-Normal11"/>
              <w:keepNext/>
              <w:spacing w:after="0" w:line="240" w:lineRule="auto"/>
              <w:jc w:val="center"/>
              <w:rPr>
                <w:noProof/>
              </w:rPr>
            </w:pPr>
            <w:r>
              <w:rPr>
                <w:noProof/>
              </w:rPr>
              <w:t>10.18</w:t>
            </w:r>
          </w:p>
        </w:tc>
        <w:tc>
          <w:tcPr>
            <w:tcW w:w="1231" w:type="dxa"/>
            <w:shd w:val="clear" w:color="auto" w:fill="C4EFCE"/>
            <w:noWrap/>
            <w:vAlign w:val="center"/>
          </w:tcPr>
          <w:p w14:paraId="5AF95FF9" w14:textId="58BB736B" w:rsidR="001F25B1" w:rsidRDefault="001F25B1" w:rsidP="001F25B1">
            <w:pPr>
              <w:pStyle w:val="P68B1DB1-Bodytext1013"/>
              <w:spacing w:after="0"/>
              <w:jc w:val="center"/>
              <w:rPr>
                <w:rFonts w:cstheme="minorHAnsi"/>
                <w:noProof/>
              </w:rPr>
            </w:pPr>
            <w:r>
              <w:rPr>
                <w:noProof/>
              </w:rPr>
              <w:t>TC-C10–i07</w:t>
            </w:r>
          </w:p>
        </w:tc>
        <w:tc>
          <w:tcPr>
            <w:tcW w:w="1096" w:type="dxa"/>
            <w:shd w:val="clear" w:color="auto" w:fill="C4EFCE"/>
            <w:noWrap/>
            <w:vAlign w:val="center"/>
          </w:tcPr>
          <w:p w14:paraId="2BE3AE46" w14:textId="77777777" w:rsidR="001F25B1" w:rsidRDefault="001F25B1" w:rsidP="001F25B1">
            <w:pPr>
              <w:pStyle w:val="P68B1DB1-Normal12"/>
              <w:keepNext/>
              <w:spacing w:after="0" w:line="240" w:lineRule="auto"/>
              <w:jc w:val="center"/>
              <w:rPr>
                <w:rFonts w:eastAsia="Times New Roman" w:cstheme="minorHAnsi"/>
                <w:noProof/>
              </w:rPr>
            </w:pPr>
            <w:r>
              <w:rPr>
                <w:noProof/>
              </w:rPr>
              <w:t>T</w:t>
            </w:r>
          </w:p>
        </w:tc>
        <w:tc>
          <w:tcPr>
            <w:tcW w:w="1640" w:type="dxa"/>
            <w:shd w:val="clear" w:color="auto" w:fill="C4EFCE"/>
            <w:noWrap/>
            <w:vAlign w:val="center"/>
          </w:tcPr>
          <w:p w14:paraId="58A16C99" w14:textId="77777777" w:rsidR="001F25B1" w:rsidRDefault="001F25B1" w:rsidP="001F25B1">
            <w:pPr>
              <w:pStyle w:val="P68B1DB1-Normal12"/>
              <w:keepNext/>
              <w:spacing w:after="0" w:line="240" w:lineRule="auto"/>
              <w:jc w:val="center"/>
              <w:rPr>
                <w:rFonts w:eastAsia="Times New Roman" w:cstheme="minorHAnsi"/>
                <w:noProof/>
              </w:rPr>
            </w:pPr>
            <w:r>
              <w:rPr>
                <w:noProof/>
              </w:rPr>
              <w:t>A hajók energiahatékonysági beavatkozásainak befejezése</w:t>
            </w:r>
          </w:p>
        </w:tc>
        <w:tc>
          <w:tcPr>
            <w:tcW w:w="1231" w:type="dxa"/>
            <w:shd w:val="clear" w:color="auto" w:fill="C4EFCE"/>
            <w:noWrap/>
            <w:vAlign w:val="center"/>
          </w:tcPr>
          <w:p w14:paraId="43D01A20" w14:textId="77777777" w:rsidR="001F25B1" w:rsidRDefault="001F25B1" w:rsidP="001F25B1">
            <w:pPr>
              <w:pStyle w:val="P68B1DB1-Normal12"/>
              <w:keepNext/>
              <w:spacing w:after="0" w:line="240" w:lineRule="auto"/>
              <w:jc w:val="center"/>
              <w:rPr>
                <w:rFonts w:eastAsia="Times New Roman"/>
                <w:noProof/>
              </w:rPr>
            </w:pPr>
            <w:r>
              <w:rPr>
                <w:noProof/>
              </w:rPr>
              <w:t xml:space="preserve">A hajók energiahatékonysági beavatkozásainak befejezéséről szóló igazolás </w:t>
            </w:r>
          </w:p>
        </w:tc>
        <w:tc>
          <w:tcPr>
            <w:tcW w:w="962" w:type="dxa"/>
            <w:shd w:val="clear" w:color="auto" w:fill="C4EFCE"/>
            <w:noWrap/>
            <w:vAlign w:val="center"/>
          </w:tcPr>
          <w:p w14:paraId="218710B9" w14:textId="77777777" w:rsidR="001F25B1" w:rsidRDefault="001F25B1" w:rsidP="001F25B1">
            <w:pPr>
              <w:pStyle w:val="P68B1DB1-Normal12"/>
              <w:keepNext/>
              <w:spacing w:after="0" w:line="240" w:lineRule="auto"/>
              <w:jc w:val="center"/>
              <w:rPr>
                <w:rFonts w:eastAsia="Times New Roman" w:cstheme="minorHAnsi"/>
                <w:noProof/>
              </w:rPr>
            </w:pPr>
            <w:r>
              <w:rPr>
                <w:noProof/>
              </w:rPr>
              <w:t>Szám</w:t>
            </w:r>
          </w:p>
        </w:tc>
        <w:tc>
          <w:tcPr>
            <w:tcW w:w="961" w:type="dxa"/>
            <w:shd w:val="clear" w:color="auto" w:fill="C4EFCE"/>
            <w:noWrap/>
            <w:vAlign w:val="center"/>
          </w:tcPr>
          <w:p w14:paraId="55994D8A" w14:textId="77777777" w:rsidR="001F25B1" w:rsidRDefault="001F25B1" w:rsidP="001F25B1">
            <w:pPr>
              <w:pStyle w:val="P68B1DB1-Normal12"/>
              <w:keepNext/>
              <w:spacing w:after="0" w:line="240" w:lineRule="auto"/>
              <w:jc w:val="center"/>
              <w:rPr>
                <w:rFonts w:eastAsia="Times New Roman" w:cstheme="minorHAnsi"/>
                <w:noProof/>
              </w:rPr>
            </w:pPr>
            <w:r>
              <w:rPr>
                <w:noProof/>
              </w:rPr>
              <w:t>0</w:t>
            </w:r>
          </w:p>
        </w:tc>
        <w:tc>
          <w:tcPr>
            <w:tcW w:w="690" w:type="dxa"/>
            <w:shd w:val="clear" w:color="auto" w:fill="C4EFCE"/>
            <w:noWrap/>
            <w:vAlign w:val="center"/>
          </w:tcPr>
          <w:p w14:paraId="75409A25" w14:textId="77777777" w:rsidR="001F25B1" w:rsidRDefault="001F25B1" w:rsidP="001F25B1">
            <w:pPr>
              <w:pStyle w:val="P68B1DB1-Normal12"/>
              <w:keepNext/>
              <w:spacing w:after="0" w:line="240" w:lineRule="auto"/>
              <w:jc w:val="center"/>
              <w:rPr>
                <w:rFonts w:eastAsia="Times New Roman" w:cstheme="minorHAnsi"/>
                <w:noProof/>
              </w:rPr>
            </w:pPr>
            <w:r>
              <w:rPr>
                <w:noProof/>
              </w:rPr>
              <w:t>10</w:t>
            </w:r>
          </w:p>
        </w:tc>
        <w:tc>
          <w:tcPr>
            <w:tcW w:w="554" w:type="dxa"/>
            <w:shd w:val="clear" w:color="auto" w:fill="C4EFCE"/>
            <w:noWrap/>
            <w:vAlign w:val="center"/>
          </w:tcPr>
          <w:p w14:paraId="4A6676AD" w14:textId="5B9A6F54" w:rsidR="001F25B1" w:rsidRDefault="001F25B1" w:rsidP="001F25B1">
            <w:pPr>
              <w:pStyle w:val="P68B1DB1-Normal12"/>
              <w:keepNext/>
              <w:spacing w:after="0" w:line="240" w:lineRule="auto"/>
              <w:jc w:val="center"/>
              <w:rPr>
                <w:rFonts w:eastAsia="Times New Roman" w:cstheme="minorHAnsi"/>
                <w:noProof/>
              </w:rPr>
            </w:pPr>
            <w:r>
              <w:rPr>
                <w:noProof/>
              </w:rPr>
              <w:t>2. NEGYEDÉV</w:t>
            </w:r>
          </w:p>
        </w:tc>
        <w:tc>
          <w:tcPr>
            <w:tcW w:w="684" w:type="dxa"/>
            <w:shd w:val="clear" w:color="auto" w:fill="C4EFCE"/>
            <w:noWrap/>
            <w:vAlign w:val="center"/>
          </w:tcPr>
          <w:p w14:paraId="57E3A0CA" w14:textId="77777777" w:rsidR="001F25B1" w:rsidRDefault="001F25B1" w:rsidP="001F25B1">
            <w:pPr>
              <w:pStyle w:val="P68B1DB1-Normal12"/>
              <w:keepNext/>
              <w:spacing w:after="0" w:line="240" w:lineRule="auto"/>
              <w:jc w:val="center"/>
              <w:rPr>
                <w:rFonts w:eastAsia="Times New Roman" w:cstheme="minorHAnsi"/>
                <w:noProof/>
              </w:rPr>
            </w:pPr>
            <w:r>
              <w:rPr>
                <w:noProof/>
              </w:rPr>
              <w:t>2026</w:t>
            </w:r>
          </w:p>
        </w:tc>
        <w:tc>
          <w:tcPr>
            <w:tcW w:w="5223" w:type="dxa"/>
            <w:shd w:val="clear" w:color="auto" w:fill="C4EFCE"/>
            <w:vAlign w:val="center"/>
          </w:tcPr>
          <w:p w14:paraId="512948BF" w14:textId="2C383CAF" w:rsidR="001F25B1" w:rsidRDefault="001F25B1" w:rsidP="001F25B1">
            <w:pPr>
              <w:pStyle w:val="P68B1DB1-Bodytext1013"/>
              <w:spacing w:before="40" w:after="0" w:line="240" w:lineRule="auto"/>
              <w:jc w:val="both"/>
              <w:rPr>
                <w:rFonts w:cstheme="minorBidi"/>
                <w:noProof/>
              </w:rPr>
            </w:pPr>
            <w:r>
              <w:rPr>
                <w:noProof/>
              </w:rPr>
              <w:t>Energiahatékonysági beavatkozások befejezése tíz olyan teher- és személyszállító hajó esetében, amelyek legalább 70%-a meghaladja az 5000 bruttó űrtartalmat (BT).</w:t>
            </w:r>
          </w:p>
        </w:tc>
      </w:tr>
    </w:tbl>
    <w:p w14:paraId="51500205" w14:textId="77777777" w:rsidR="00DC5EC6" w:rsidRDefault="00DC5EC6">
      <w:pPr>
        <w:rPr>
          <w:noProof/>
        </w:rPr>
      </w:pPr>
    </w:p>
    <w:p w14:paraId="52BB7A4E"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D5518">
          <w:headerReference w:type="even" r:id="rId228"/>
          <w:headerReference w:type="default" r:id="rId229"/>
          <w:footerReference w:type="even" r:id="rId230"/>
          <w:footerReference w:type="default" r:id="rId231"/>
          <w:headerReference w:type="first" r:id="rId232"/>
          <w:footerReference w:type="first" r:id="rId233"/>
          <w:pgSz w:w="16839" w:h="11907" w:orient="landscape"/>
          <w:pgMar w:top="1134" w:right="1134" w:bottom="1134" w:left="1134" w:header="567" w:footer="567" w:gutter="0"/>
          <w:cols w:space="720"/>
          <w:docGrid w:linePitch="360"/>
        </w:sectPr>
      </w:pPr>
    </w:p>
    <w:p w14:paraId="6761070D" w14:textId="0779F7CC"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K. 11. </w:t>
      </w:r>
      <w:r w:rsidR="00342815">
        <w:rPr>
          <w:noProof/>
        </w:rPr>
        <w:t>KOMPONENS</w:t>
      </w:r>
      <w:r>
        <w:rPr>
          <w:noProof/>
        </w:rPr>
        <w:t>: Az ipar dekarbonizációja</w:t>
      </w:r>
    </w:p>
    <w:p w14:paraId="105876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portugál helyreállítási és rezilienciaépítési terv komponense azzal a kihívással foglalkozik, hogy az ipar és az ipari folyamatok hogyan járulnak hozzá a 2050-ig szóló szén-dioxid-semlegességi ütemtervben és a 2030-ig tartó időszakra vonatkozó nemzeti energia- és klímatervben meghatározott karbonsemlegességi célkitűzések eléréséhez. Ehhez strukturális átalakításra van szükség, amely az ipari tevékenység átalakításán, a termelési folyamatok változásain és az erőforrások felhasználásának módján alapul. </w:t>
      </w:r>
    </w:p>
    <w:p w14:paraId="2CCA0B72" w14:textId="77777777" w:rsidR="00DC5EC6" w:rsidRDefault="003245A4">
      <w:pPr>
        <w:pStyle w:val="P68B1DB1-Normal4"/>
        <w:keepNext/>
        <w:spacing w:before="40" w:after="0" w:line="259" w:lineRule="auto"/>
        <w:jc w:val="both"/>
        <w:rPr>
          <w:rFonts w:eastAsiaTheme="minorEastAsia" w:cs="Times New Roman"/>
          <w:noProof/>
        </w:rPr>
      </w:pPr>
      <w:r>
        <w:rPr>
          <w:noProof/>
        </w:rPr>
        <w:t>Ennek az összetevőnek az a célja, hogy előmozdítsa a dekarbonizációt, az energia- és erőforrás-hatékonyságot, valamint az alternatív energiaforrások használatát az ipari folyamatokban. A támogatandó projekteknek az új technológiákhoz, az innovációhoz és az ipar digitalizálásához is kapcsolódniuk kell, nagyobb hatékonyságra törekedve a különböző termelési és szervezési folyamatokban.</w:t>
      </w:r>
    </w:p>
    <w:p w14:paraId="5E25DBAB" w14:textId="77777777" w:rsidR="00DC5EC6" w:rsidRDefault="003245A4">
      <w:pPr>
        <w:pStyle w:val="P68B1DB1-Normal4"/>
        <w:keepNext/>
        <w:spacing w:before="40" w:after="0" w:line="259" w:lineRule="auto"/>
        <w:jc w:val="both"/>
        <w:rPr>
          <w:rFonts w:eastAsiaTheme="minorEastAsia" w:cs="Times New Roman"/>
          <w:noProof/>
        </w:rPr>
      </w:pPr>
      <w:r>
        <w:rPr>
          <w:noProof/>
        </w:rPr>
        <w:t>A komponensnek hozzá kell járulnia a portugál ipar éghajlatvédelmi átállásához, és támogatnia kell annak versenyképességét. Hozzájárul a zöld átállásba történő beruházásokra, különösen a tiszta és hatékony energiatermelésre és -felhasználásra (2020. évi 3. országspecifikus ajánlás), valamint a kutatásba és innovációba történő beruházásokra (2019. és 2020. évi 3. országspecifikus ajánlás) vonatkozó országspecifikus ajánlások végrehajtásához.</w:t>
      </w:r>
    </w:p>
    <w:p w14:paraId="6D69255B"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5CB0606"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K.1. Vissza nem térítendő pénzügyi támogatás – a reformok és beruházások ismertetése</w:t>
      </w:r>
    </w:p>
    <w:p w14:paraId="08B2F8AA"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TC-C11–i01: Az ipar dekarbonizációja</w:t>
      </w:r>
    </w:p>
    <w:p w14:paraId="54FA353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az alábbi négy terület ipari innovációs projektjeinek népszerűsítéséből és pénzügyi támogatásából áll: </w:t>
      </w:r>
    </w:p>
    <w:p w14:paraId="1DD7BC26"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alacsony szén-dioxid-kibocsátású folyamatok és technológiák: a cél a szén-dioxid-mentesítést célzó új technológiák vagy jobb termelési folyamatok bevezetésének támogatása, például új nyersanyagok és a körforgásos gazdaságra vonatkozó intézkedések beépítése, innovációs intézkedések, berendezések cseréje és/vagy átalakítása, valamint a végsőenergia-fogyasztás villamosításának növelése révén;</w:t>
      </w:r>
    </w:p>
    <w:p w14:paraId="7859B061"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energiahatékonysági intézkedések: a támogatott projektek célja az energiafogyasztás és az üvegházhatásúgáz-kibocsátás csökkentése, például a motorok és berendezések optimalizálása vagy cseréje, a folyamatok optimalizálása, valamint a nyomonkövetési és fogyasztásirányítási rendszerek elfogadása révén; </w:t>
      </w:r>
    </w:p>
    <w:p w14:paraId="23D06A62" w14:textId="77777777" w:rsidR="00DC5EC6" w:rsidRDefault="003245A4">
      <w:pPr>
        <w:pStyle w:val="P68B1DB1-Normal4"/>
        <w:keepNext/>
        <w:numPr>
          <w:ilvl w:val="0"/>
          <w:numId w:val="29"/>
        </w:numPr>
        <w:spacing w:before="40" w:after="120" w:line="240" w:lineRule="auto"/>
        <w:contextualSpacing/>
        <w:jc w:val="both"/>
        <w:rPr>
          <w:rFonts w:eastAsiaTheme="minorEastAsia" w:cs="Times New Roman"/>
          <w:noProof/>
        </w:rPr>
      </w:pPr>
      <w:r>
        <w:rPr>
          <w:noProof/>
        </w:rPr>
        <w:t xml:space="preserve">megújuló energia és tárolás beépítése, például napenergia-rendszerek telepítése, megújuló hőtermelés, nagy hatásfokú kapcsolt energiatermelés, megújuló hidrogén és megújuló gázok előállítása és elterjedése révén, ahol a dekarbonizáció technológiai lehetőségei – többek között villamosítás révén – korlátozottabbak; </w:t>
      </w:r>
    </w:p>
    <w:p w14:paraId="0D8DEFDF" w14:textId="77777777" w:rsidR="00DC5EC6" w:rsidRDefault="003245A4">
      <w:pPr>
        <w:pStyle w:val="P68B1DB1-Normal4"/>
        <w:keepNext/>
        <w:numPr>
          <w:ilvl w:val="0"/>
          <w:numId w:val="29"/>
        </w:numPr>
        <w:spacing w:before="40" w:after="120" w:line="240" w:lineRule="auto"/>
        <w:contextualSpacing/>
        <w:jc w:val="both"/>
        <w:rPr>
          <w:rFonts w:eastAsiaTheme="minorEastAsia" w:cs="Times New Roman"/>
          <w:noProof/>
        </w:rPr>
      </w:pPr>
      <w:r>
        <w:rPr>
          <w:noProof/>
        </w:rPr>
        <w:t>dekarbonizációs ütemtervek és kapacitásépítési kezdeményezések kidolgozása, például hatékony technológiai megoldások azonosítása és terjesztése, képzési tevékenységek, információmegosztási platformok révén.</w:t>
      </w:r>
    </w:p>
    <w:p w14:paraId="1937EF51" w14:textId="2F797FB0" w:rsidR="00DC5EC6" w:rsidRDefault="003245A4">
      <w:pPr>
        <w:pStyle w:val="P68B1DB1-Normal4"/>
        <w:keepNext/>
        <w:spacing w:before="40" w:after="0" w:line="259" w:lineRule="auto"/>
        <w:jc w:val="both"/>
        <w:rPr>
          <w:rFonts w:eastAsiaTheme="minorEastAsia" w:cs="Times New Roman"/>
          <w:noProof/>
        </w:rPr>
      </w:pPr>
      <w:r>
        <w:rPr>
          <w:noProof/>
        </w:rPr>
        <w:t xml:space="preserve">A támogatást pályázati eljárásokon (2021–2024) keresztül kell odaítélni az ipar és az energiatermelés területén működő kis- és középvállalkozásoknak és nagyvállalatoknak, beleértve az ipari területek irányító testületeit, az energiaszállítási és -elosztórendszer-üzemeltetőket, az ipari és energetikai vállalkozói szövetségeket és más szervezeteket. A beruházás célja legalább 310 különböző méretű projekt támogatása: kicsi (átlagosan 1 000 000 EUR), közepes (átlagosan 5 000 000 EUR) és nagy (átlagosan 10 000 000 EUR). A pályázatnak a leginkább ÜHG-intenzív ágazatokra kell összpontosítania, de nyitva kell állnia a teljes ipari ágazat előtt, amely kiterjed mind a kibocsátáskereskedelmi rendszer hatálya alá tartozó, mind az azon kívüli létesítményekre. A 024ter beavatkozási terület keretében kiválasztott projekteknek legalább 30%-os ÜHG-kibocsátáscsökkentést kell eredményezniük az érintett ipari létesítményekben, hozzájárulva Portugália éghajlat-politikai célkitűzéseihez a nemzeti energia- és klímaterv végrehajtásának keretében. </w:t>
      </w:r>
    </w:p>
    <w:p w14:paraId="11E4BDD6" w14:textId="77777777" w:rsidR="00DC5EC6" w:rsidRDefault="003245A4">
      <w:pPr>
        <w:pStyle w:val="P68B1DB1-Normal4"/>
        <w:keepNext/>
        <w:spacing w:before="40" w:after="0" w:line="259" w:lineRule="auto"/>
        <w:jc w:val="both"/>
        <w:rPr>
          <w:rFonts w:eastAsiaTheme="minorEastAsia" w:cs="Times New Roman"/>
          <w:noProof/>
        </w:rPr>
      </w:pPr>
      <w:r>
        <w:rPr>
          <w:noProof/>
        </w:rPr>
        <w:t>Annak biztosítása érdekében, hogy az intézkedés megfeleljen a jelentős károkozás elkerülését célzó elvről szóló technikai iránymutatásnak (2021/C58/01), a soron következő pályázati felhívásokra vonatkozó feladatmeghatározásban szereplő támogathatósági kritériumok nem tartalmazzák a tevékenységek alábbi listáját: a fosszilis tüzelőanyagokhoz kapcsolódó tevékenységek, beleértve a továbbfelhasználást is</w:t>
      </w:r>
      <w:r>
        <w:rPr>
          <w:noProof/>
        </w:rPr>
        <w:footnoteReference w:id="44"/>
      </w:r>
      <w:r>
        <w:rPr>
          <w:noProof/>
        </w:rPr>
        <w:t>; az uniós kibocsátáskereskedelmi rendszer (ETS) keretében végzett tevékenységek, amelyek a vonatkozó referenciaértékeknél nem alacsonyabb várható üvegházhatásúgáz-kibocsátást érnek el</w:t>
      </w:r>
      <w:r>
        <w:rPr>
          <w:noProof/>
        </w:rPr>
        <w:footnoteReference w:id="45"/>
      </w:r>
      <w:r>
        <w:rPr>
          <w:noProof/>
        </w:rPr>
        <w:t>; hulladéklerakókkal, hulladékégetőkkel</w:t>
      </w:r>
      <w:r>
        <w:rPr>
          <w:noProof/>
        </w:rPr>
        <w:footnoteReference w:id="46"/>
      </w:r>
      <w:r>
        <w:rPr>
          <w:noProof/>
        </w:rPr>
        <w:t xml:space="preserve"> és mechanikai-biológiai szennyvíztisztító telepekkel kapcsolatos tevékenységek</w:t>
      </w:r>
      <w:r>
        <w:rPr>
          <w:noProof/>
        </w:rPr>
        <w:footnoteReference w:id="47"/>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371668F9"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54B8E0F2"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34"/>
          <w:headerReference w:type="default" r:id="rId235"/>
          <w:footerReference w:type="even" r:id="rId236"/>
          <w:footerReference w:type="default" r:id="rId237"/>
          <w:headerReference w:type="first" r:id="rId238"/>
          <w:footerReference w:type="first" r:id="rId239"/>
          <w:pgSz w:w="11907" w:h="16839"/>
          <w:pgMar w:top="1134" w:right="1134" w:bottom="1134" w:left="1134" w:header="567" w:footer="567" w:gutter="0"/>
          <w:cols w:space="720"/>
          <w:docGrid w:linePitch="360"/>
        </w:sectPr>
      </w:pPr>
    </w:p>
    <w:p w14:paraId="539A7A4E"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K.2. </w:t>
      </w:r>
      <w:r>
        <w:rPr>
          <w:noProof/>
        </w:rPr>
        <w:tab/>
        <w:t>Vissza nem térítendő pénzügyi támogatás – a végrehajtáshoz és a nyomon követéshez kapcsolódó mérföldkövek, célok, mutatók és ütemterv</w:t>
      </w:r>
    </w:p>
    <w:p w14:paraId="6852ECBB"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pPr w:leftFromText="180" w:rightFromText="180" w:vertAnchor="text" w:tblpX="-176"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55"/>
        <w:gridCol w:w="720"/>
        <w:gridCol w:w="3969"/>
      </w:tblGrid>
      <w:tr w:rsidR="00DC5EC6" w14:paraId="62BD13B6" w14:textId="77777777">
        <w:trPr>
          <w:trHeight w:val="910"/>
          <w:tblHeader/>
        </w:trPr>
        <w:tc>
          <w:tcPr>
            <w:tcW w:w="1135" w:type="dxa"/>
            <w:vMerge w:val="restart"/>
            <w:shd w:val="clear" w:color="auto" w:fill="BDD6EE"/>
            <w:vAlign w:val="center"/>
            <w:hideMark/>
          </w:tcPr>
          <w:p w14:paraId="5050BF70"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44CD0F0B"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shd w:val="clear" w:color="auto" w:fill="BDD6EE"/>
            <w:vAlign w:val="center"/>
            <w:hideMark/>
          </w:tcPr>
          <w:p w14:paraId="09C6ED4B" w14:textId="77777777" w:rsidR="00DC5EC6" w:rsidRDefault="003245A4">
            <w:pPr>
              <w:pStyle w:val="P68B1DB1-Normal6"/>
              <w:spacing w:after="0" w:line="240" w:lineRule="auto"/>
              <w:jc w:val="center"/>
              <w:rPr>
                <w:rFonts w:eastAsia="Times New Roman" w:cs="Times New Roman"/>
                <w:noProof/>
                <w:sz w:val="14"/>
              </w:rPr>
            </w:pPr>
            <w:r>
              <w:rPr>
                <w:noProof/>
              </w:rPr>
              <w:t>Mérföldkő/</w:t>
            </w:r>
          </w:p>
        </w:tc>
        <w:tc>
          <w:tcPr>
            <w:tcW w:w="1701" w:type="dxa"/>
            <w:vMerge w:val="restart"/>
            <w:shd w:val="clear" w:color="auto" w:fill="BDD6EE"/>
            <w:vAlign w:val="center"/>
            <w:hideMark/>
          </w:tcPr>
          <w:p w14:paraId="2F8A16FC"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5FA098FD"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2F19FAC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12B6681B"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7AC4960B"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521639A7" w14:textId="77777777">
        <w:trPr>
          <w:trHeight w:val="470"/>
          <w:tblHeader/>
        </w:trPr>
        <w:tc>
          <w:tcPr>
            <w:tcW w:w="1135" w:type="dxa"/>
            <w:vMerge/>
            <w:vAlign w:val="center"/>
            <w:hideMark/>
          </w:tcPr>
          <w:p w14:paraId="0AAA26BB"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3C9C7FD8" w14:textId="77777777" w:rsidR="00DC5EC6" w:rsidRDefault="00DC5EC6">
            <w:pPr>
              <w:spacing w:after="0" w:line="240" w:lineRule="auto"/>
              <w:rPr>
                <w:rFonts w:ascii="Times New Roman" w:eastAsia="Times New Roman" w:hAnsi="Times New Roman" w:cs="Times New Roman"/>
                <w:b/>
                <w:noProof/>
                <w:sz w:val="18"/>
              </w:rPr>
            </w:pPr>
          </w:p>
        </w:tc>
        <w:tc>
          <w:tcPr>
            <w:tcW w:w="1134" w:type="dxa"/>
            <w:shd w:val="clear" w:color="auto" w:fill="BDD6EE"/>
            <w:vAlign w:val="center"/>
            <w:hideMark/>
          </w:tcPr>
          <w:p w14:paraId="5AE145E1" w14:textId="77777777" w:rsidR="00DC5EC6" w:rsidRDefault="003245A4">
            <w:pPr>
              <w:pStyle w:val="P68B1DB1-Normal6"/>
              <w:spacing w:after="0" w:line="240" w:lineRule="auto"/>
              <w:jc w:val="center"/>
              <w:rPr>
                <w:rFonts w:eastAsia="Times New Roman" w:cs="Times New Roman"/>
                <w:noProof/>
                <w:sz w:val="14"/>
              </w:rPr>
            </w:pPr>
            <w:r>
              <w:rPr>
                <w:noProof/>
              </w:rPr>
              <w:t>Cél</w:t>
            </w:r>
          </w:p>
        </w:tc>
        <w:tc>
          <w:tcPr>
            <w:tcW w:w="1701" w:type="dxa"/>
            <w:vMerge/>
            <w:vAlign w:val="center"/>
            <w:hideMark/>
          </w:tcPr>
          <w:p w14:paraId="0F429C5D"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975442D"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72C52226"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FBC07AA"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3B7EC1FA" w14:textId="77777777" w:rsidR="00DC5EC6" w:rsidRDefault="003245A4">
            <w:pPr>
              <w:pStyle w:val="P68B1DB1-Normal6"/>
              <w:spacing w:after="0" w:line="240" w:lineRule="auto"/>
              <w:jc w:val="center"/>
              <w:rPr>
                <w:rFonts w:eastAsia="Times New Roman" w:cs="Times New Roman"/>
                <w:noProof/>
              </w:rPr>
            </w:pPr>
            <w:r>
              <w:rPr>
                <w:noProof/>
              </w:rPr>
              <w:t>Cél</w:t>
            </w:r>
          </w:p>
        </w:tc>
        <w:tc>
          <w:tcPr>
            <w:tcW w:w="555" w:type="dxa"/>
            <w:shd w:val="clear" w:color="auto" w:fill="BDD6EE"/>
            <w:vAlign w:val="center"/>
            <w:hideMark/>
          </w:tcPr>
          <w:p w14:paraId="08E456A9" w14:textId="69DCBDB7" w:rsidR="00DC5EC6" w:rsidRDefault="00C9655D">
            <w:pPr>
              <w:pStyle w:val="P68B1DB1-Normal6"/>
              <w:spacing w:after="0" w:line="240" w:lineRule="auto"/>
              <w:jc w:val="center"/>
              <w:rPr>
                <w:rFonts w:eastAsia="Times New Roman" w:cs="Times New Roman"/>
                <w:noProof/>
              </w:rPr>
            </w:pPr>
            <w:r>
              <w:rPr>
                <w:noProof/>
              </w:rPr>
              <w:t>Negyedév</w:t>
            </w:r>
          </w:p>
        </w:tc>
        <w:tc>
          <w:tcPr>
            <w:tcW w:w="720" w:type="dxa"/>
            <w:shd w:val="clear" w:color="auto" w:fill="BDD6EE"/>
            <w:vAlign w:val="center"/>
            <w:hideMark/>
          </w:tcPr>
          <w:p w14:paraId="3ADD45C5" w14:textId="5466F1F1"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5CA6F21" w14:textId="77777777" w:rsidR="00DC5EC6" w:rsidRDefault="00DC5EC6">
            <w:pPr>
              <w:spacing w:after="0" w:line="240" w:lineRule="auto"/>
              <w:rPr>
                <w:rFonts w:ascii="Times New Roman" w:eastAsia="Times New Roman" w:hAnsi="Times New Roman" w:cs="Times New Roman"/>
                <w:b/>
                <w:noProof/>
                <w:sz w:val="18"/>
              </w:rPr>
            </w:pPr>
          </w:p>
        </w:tc>
      </w:tr>
      <w:tr w:rsidR="003A6168" w14:paraId="528553E7" w14:textId="77777777">
        <w:trPr>
          <w:trHeight w:val="630"/>
        </w:trPr>
        <w:tc>
          <w:tcPr>
            <w:tcW w:w="1135" w:type="dxa"/>
            <w:shd w:val="clear" w:color="auto" w:fill="C4EFCE"/>
            <w:vAlign w:val="center"/>
            <w:hideMark/>
          </w:tcPr>
          <w:p w14:paraId="39AE8E64" w14:textId="77777777" w:rsidR="003A6168" w:rsidRDefault="003A6168" w:rsidP="003A6168">
            <w:pPr>
              <w:pStyle w:val="P68B1DB1-Normal7"/>
              <w:spacing w:after="0" w:line="240" w:lineRule="auto"/>
              <w:jc w:val="center"/>
              <w:rPr>
                <w:rFonts w:eastAsia="Times New Roman" w:cs="Calibri"/>
                <w:noProof/>
              </w:rPr>
            </w:pPr>
            <w:r>
              <w:rPr>
                <w:noProof/>
              </w:rPr>
              <w:t>11.1</w:t>
            </w:r>
          </w:p>
        </w:tc>
        <w:tc>
          <w:tcPr>
            <w:tcW w:w="1276" w:type="dxa"/>
            <w:shd w:val="clear" w:color="auto" w:fill="C4EFCE"/>
            <w:noWrap/>
            <w:vAlign w:val="center"/>
            <w:hideMark/>
          </w:tcPr>
          <w:p w14:paraId="78995A2E" w14:textId="77777777" w:rsidR="003A6168" w:rsidRDefault="003A6168" w:rsidP="003A6168">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2E259E55"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37F406" w14:textId="77777777" w:rsidR="003A6168" w:rsidRDefault="003A6168" w:rsidP="003A6168">
            <w:pPr>
              <w:pStyle w:val="P68B1DB1-Normal8"/>
              <w:spacing w:after="0" w:line="240" w:lineRule="auto"/>
              <w:jc w:val="center"/>
              <w:rPr>
                <w:rFonts w:eastAsia="Times New Roman" w:cs="Calibri"/>
                <w:noProof/>
              </w:rPr>
            </w:pPr>
            <w:r>
              <w:rPr>
                <w:noProof/>
              </w:rPr>
              <w:t xml:space="preserve">Első ajánlati felhívás ipari dekarbonizációs projektekre </w:t>
            </w:r>
          </w:p>
        </w:tc>
        <w:tc>
          <w:tcPr>
            <w:tcW w:w="1275" w:type="dxa"/>
            <w:shd w:val="clear" w:color="auto" w:fill="C4EFCE"/>
            <w:noWrap/>
            <w:vAlign w:val="center"/>
            <w:hideMark/>
          </w:tcPr>
          <w:p w14:paraId="21997F85" w14:textId="77777777" w:rsidR="003A6168" w:rsidRDefault="003A6168" w:rsidP="003A6168">
            <w:pPr>
              <w:pStyle w:val="P68B1DB1-Normal8"/>
              <w:spacing w:after="0" w:line="240" w:lineRule="auto"/>
              <w:jc w:val="center"/>
              <w:rPr>
                <w:rFonts w:eastAsia="Times New Roman" w:cs="Calibri"/>
                <w:noProof/>
              </w:rPr>
            </w:pPr>
            <w:r>
              <w:rPr>
                <w:noProof/>
              </w:rPr>
              <w:t>Az első ajánlati felhívás megnyitása</w:t>
            </w:r>
          </w:p>
        </w:tc>
        <w:tc>
          <w:tcPr>
            <w:tcW w:w="993" w:type="dxa"/>
            <w:shd w:val="clear" w:color="auto" w:fill="C4EFCE"/>
            <w:noWrap/>
            <w:vAlign w:val="center"/>
            <w:hideMark/>
          </w:tcPr>
          <w:p w14:paraId="18BDD62E"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5CE536A"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762E5E6"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555" w:type="dxa"/>
            <w:shd w:val="clear" w:color="auto" w:fill="C4EFCE"/>
            <w:noWrap/>
            <w:vAlign w:val="center"/>
            <w:hideMark/>
          </w:tcPr>
          <w:p w14:paraId="481A5A9B" w14:textId="5D0068B9" w:rsidR="003A6168" w:rsidRDefault="003A6168" w:rsidP="003A6168">
            <w:pPr>
              <w:pStyle w:val="P68B1DB1-Normal8"/>
              <w:spacing w:after="0" w:line="240" w:lineRule="auto"/>
              <w:jc w:val="center"/>
              <w:rPr>
                <w:rFonts w:eastAsia="Times New Roman" w:cs="Calibri"/>
                <w:noProof/>
              </w:rPr>
            </w:pPr>
            <w:r>
              <w:rPr>
                <w:noProof/>
              </w:rPr>
              <w:t>4. NEGYEDÉV</w:t>
            </w:r>
          </w:p>
        </w:tc>
        <w:tc>
          <w:tcPr>
            <w:tcW w:w="720" w:type="dxa"/>
            <w:shd w:val="clear" w:color="auto" w:fill="C4EFCE"/>
            <w:noWrap/>
            <w:vAlign w:val="center"/>
            <w:hideMark/>
          </w:tcPr>
          <w:p w14:paraId="3612D309" w14:textId="77777777" w:rsidR="003A6168" w:rsidRDefault="003A6168" w:rsidP="003A6168">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19006C92" w14:textId="77777777" w:rsidR="003A6168" w:rsidRDefault="003A6168" w:rsidP="003A6168">
            <w:pPr>
              <w:pStyle w:val="P68B1DB1-Normal8"/>
              <w:spacing w:after="0" w:line="240" w:lineRule="auto"/>
              <w:jc w:val="both"/>
              <w:rPr>
                <w:rFonts w:eastAsia="Times New Roman" w:cs="Calibri"/>
                <w:noProof/>
              </w:rPr>
            </w:pPr>
            <w:r>
              <w:rPr>
                <w:noProof/>
              </w:rPr>
              <w:t xml:space="preserve">Az első pályázati felhívás közzététele olyan ipari dekarbonizációs projektekre, amelyek az alábbi területek legalább egyikéhez kapcsolódnak: alacsony szén-dioxid-kibocsátású folyamatok és technológiák; energiahatékonysági intézkedések elfogadása; megújuló energia és energiatárolás beépítése; valamint a vállalkozások szerepvállalásának növelése. </w:t>
            </w:r>
          </w:p>
          <w:p w14:paraId="730294B7" w14:textId="77777777" w:rsidR="003A6168" w:rsidRDefault="003A6168" w:rsidP="003A6168">
            <w:pPr>
              <w:pStyle w:val="P68B1DB1-Normal8"/>
              <w:spacing w:after="0" w:line="240" w:lineRule="auto"/>
              <w:jc w:val="both"/>
              <w:rPr>
                <w:rFonts w:eastAsia="Times New Roman" w:cs="Calibri"/>
                <w:noProof/>
              </w:rPr>
            </w:pPr>
            <w:r>
              <w:rPr>
                <w:noProof/>
              </w:rPr>
              <w:t xml:space="preserve">A feladatmeghatározás támogathatósági kritériumokat tartalmaz, amelyek biztosítják, hogy a kiválasztott projektek egy kizárási lista, valamint a vonatkozó uniós és nemzeti környezetvédelmi jogszabályoknak való megfelelés követelménye révén megfeleljenek a jelentős károkozás elkerülését célzó elvről szóló technikai iránymutatásnak (2021/C58/01). </w:t>
            </w:r>
          </w:p>
          <w:p w14:paraId="0B36DB3C" w14:textId="349C80B6" w:rsidR="003A6168" w:rsidRDefault="003A6168" w:rsidP="003A6168">
            <w:pPr>
              <w:pStyle w:val="P68B1DB1-Normal8"/>
              <w:spacing w:after="0" w:line="240" w:lineRule="auto"/>
              <w:jc w:val="both"/>
              <w:rPr>
                <w:rFonts w:eastAsia="Times New Roman" w:cs="Calibri"/>
                <w:noProof/>
              </w:rPr>
            </w:pPr>
            <w:r>
              <w:rPr>
                <w:noProof/>
              </w:rPr>
              <w:t>Ennek az ajánlati felhívásnak biztosítania kell a közvetlen és közvetett ÜHG-kibocsátás átlagosan 30%-os csökkentését a 024ter beavatkozási területnek megfelelő projektek keretében támogatott ipari létesítmények esetében. A legmagasabb dekarbonizációs hatékonyságú projekteket prioritásként kell támogatni.</w:t>
            </w:r>
          </w:p>
        </w:tc>
      </w:tr>
      <w:tr w:rsidR="003A6168" w14:paraId="04058E6B" w14:textId="77777777">
        <w:trPr>
          <w:trHeight w:val="630"/>
        </w:trPr>
        <w:tc>
          <w:tcPr>
            <w:tcW w:w="1135" w:type="dxa"/>
            <w:shd w:val="clear" w:color="auto" w:fill="C4EFCE"/>
            <w:vAlign w:val="center"/>
            <w:hideMark/>
          </w:tcPr>
          <w:p w14:paraId="2517AFD7" w14:textId="77777777" w:rsidR="003A6168" w:rsidRDefault="003A6168" w:rsidP="003A6168">
            <w:pPr>
              <w:pStyle w:val="P68B1DB1-Normal7"/>
              <w:spacing w:after="0" w:line="240" w:lineRule="auto"/>
              <w:jc w:val="center"/>
              <w:rPr>
                <w:rFonts w:eastAsia="Times New Roman" w:cs="Calibri"/>
                <w:noProof/>
              </w:rPr>
            </w:pPr>
            <w:r>
              <w:rPr>
                <w:noProof/>
              </w:rPr>
              <w:t>11.2</w:t>
            </w:r>
          </w:p>
        </w:tc>
        <w:tc>
          <w:tcPr>
            <w:tcW w:w="1276" w:type="dxa"/>
            <w:shd w:val="clear" w:color="auto" w:fill="C4EFCE"/>
            <w:noWrap/>
            <w:vAlign w:val="center"/>
            <w:hideMark/>
          </w:tcPr>
          <w:p w14:paraId="18C1A1E0" w14:textId="77777777" w:rsidR="003A6168" w:rsidRDefault="003A6168" w:rsidP="003A6168">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576BCEE3"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DECC35D" w14:textId="77777777" w:rsidR="003A6168" w:rsidRDefault="003A6168" w:rsidP="003A6168">
            <w:pPr>
              <w:pStyle w:val="P68B1DB1-Normal8"/>
              <w:spacing w:after="0" w:line="240" w:lineRule="auto"/>
              <w:jc w:val="center"/>
              <w:rPr>
                <w:rFonts w:eastAsia="Times New Roman" w:cs="Calibri"/>
                <w:noProof/>
              </w:rPr>
            </w:pPr>
            <w:r>
              <w:rPr>
                <w:noProof/>
              </w:rPr>
              <w:t>A pénzügyi támogatást odaítélő szerződések aláírása</w:t>
            </w:r>
          </w:p>
        </w:tc>
        <w:tc>
          <w:tcPr>
            <w:tcW w:w="1275" w:type="dxa"/>
            <w:shd w:val="clear" w:color="auto" w:fill="C4EFCE"/>
            <w:noWrap/>
            <w:vAlign w:val="center"/>
            <w:hideMark/>
          </w:tcPr>
          <w:p w14:paraId="5F0FAC03" w14:textId="77777777" w:rsidR="003A6168" w:rsidRDefault="003A6168" w:rsidP="003A6168">
            <w:pPr>
              <w:pStyle w:val="P68B1DB1-Normal8"/>
              <w:spacing w:after="0" w:line="240" w:lineRule="auto"/>
              <w:jc w:val="center"/>
              <w:rPr>
                <w:rFonts w:eastAsia="Times New Roman" w:cs="Calibri"/>
                <w:noProof/>
              </w:rPr>
            </w:pPr>
            <w:r>
              <w:rPr>
                <w:noProof/>
              </w:rPr>
              <w:t>A pénzügyi támogatást odaítélő szerződések aláírása</w:t>
            </w:r>
          </w:p>
        </w:tc>
        <w:tc>
          <w:tcPr>
            <w:tcW w:w="993" w:type="dxa"/>
            <w:shd w:val="clear" w:color="auto" w:fill="C4EFCE"/>
            <w:noWrap/>
            <w:vAlign w:val="center"/>
            <w:hideMark/>
          </w:tcPr>
          <w:p w14:paraId="7746D823"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DEA9E0"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4027FD9F" w14:textId="77777777" w:rsidR="003A6168" w:rsidRDefault="003A6168" w:rsidP="003A6168">
            <w:pPr>
              <w:pStyle w:val="P68B1DB1-Normal8"/>
              <w:spacing w:after="0" w:line="240" w:lineRule="auto"/>
              <w:rPr>
                <w:rFonts w:eastAsia="Times New Roman" w:cs="Calibri"/>
                <w:noProof/>
              </w:rPr>
            </w:pPr>
            <w:r>
              <w:rPr>
                <w:noProof/>
              </w:rPr>
              <w:t> </w:t>
            </w:r>
          </w:p>
        </w:tc>
        <w:tc>
          <w:tcPr>
            <w:tcW w:w="555" w:type="dxa"/>
            <w:shd w:val="clear" w:color="auto" w:fill="C4EFCE"/>
            <w:noWrap/>
            <w:vAlign w:val="center"/>
            <w:hideMark/>
          </w:tcPr>
          <w:p w14:paraId="5939915B" w14:textId="23E13B5B" w:rsidR="003A6168" w:rsidRDefault="003A6168" w:rsidP="003A6168">
            <w:pPr>
              <w:pStyle w:val="P68B1DB1-Normal8"/>
              <w:spacing w:after="0" w:line="240" w:lineRule="auto"/>
              <w:jc w:val="center"/>
              <w:rPr>
                <w:rFonts w:eastAsia="Times New Roman" w:cs="Calibri"/>
                <w:noProof/>
              </w:rPr>
            </w:pPr>
            <w:r>
              <w:rPr>
                <w:noProof/>
              </w:rPr>
              <w:t>4. NEGYEDÉV</w:t>
            </w:r>
          </w:p>
        </w:tc>
        <w:tc>
          <w:tcPr>
            <w:tcW w:w="720" w:type="dxa"/>
            <w:shd w:val="clear" w:color="auto" w:fill="C4EFCE"/>
            <w:noWrap/>
            <w:vAlign w:val="center"/>
            <w:hideMark/>
          </w:tcPr>
          <w:p w14:paraId="108A2CAC"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7EF1A53F" w14:textId="77777777" w:rsidR="003A6168" w:rsidRDefault="003A6168" w:rsidP="003A6168">
            <w:pPr>
              <w:pStyle w:val="P68B1DB1-Normal8"/>
              <w:spacing w:after="0" w:line="240" w:lineRule="auto"/>
              <w:jc w:val="both"/>
              <w:rPr>
                <w:rFonts w:eastAsia="Times New Roman" w:cs="Calibri"/>
                <w:noProof/>
              </w:rPr>
            </w:pPr>
            <w:r>
              <w:rPr>
                <w:noProof/>
              </w:rPr>
              <w:t xml:space="preserve">Legalább 383 000 000 EUR-t ítéltek oda olyan ipari dekarbonizációs projektekre, amelyek a következő területek legalább egyikéhez kapcsolódnak: alacsony szén-dioxid-kibocsátású folyamatok és technológiák; energiahatékonysági intézkedések elfogadása; megújuló energia és energiatárolás beépítése; valamint a vállalkozások szerepvállalásának növelése. </w:t>
            </w:r>
          </w:p>
          <w:p w14:paraId="1FE08972" w14:textId="2AB1B821" w:rsidR="003A6168" w:rsidRDefault="003A6168" w:rsidP="003A6168">
            <w:pPr>
              <w:pStyle w:val="P68B1DB1-Normal8"/>
              <w:spacing w:after="0" w:line="240" w:lineRule="auto"/>
              <w:jc w:val="both"/>
              <w:rPr>
                <w:rFonts w:eastAsia="Times New Roman" w:cs="Calibri"/>
                <w:noProof/>
              </w:rPr>
            </w:pPr>
            <w:r>
              <w:rPr>
                <w:noProof/>
              </w:rPr>
              <w:t>A fenti mérföldkőben említett versenypályázati felhívások keretében kiválasztott projekteknek odaítélt szerződéseknek biztosítaniuk kell a jelentős károkozás elkerülését célzó technikai iránymutatásnak (2021/C58/01) való megfelelést egy kizárási lista és a vonatkozó uniós és nemzeti környezetvédelmi jogszabályoknak való megfelelés követelménye révén.</w:t>
            </w:r>
          </w:p>
        </w:tc>
      </w:tr>
      <w:tr w:rsidR="003A6168" w14:paraId="73B08E92" w14:textId="77777777">
        <w:trPr>
          <w:trHeight w:val="1690"/>
        </w:trPr>
        <w:tc>
          <w:tcPr>
            <w:tcW w:w="1135" w:type="dxa"/>
            <w:shd w:val="clear" w:color="auto" w:fill="C4EFCE"/>
            <w:vAlign w:val="center"/>
            <w:hideMark/>
          </w:tcPr>
          <w:p w14:paraId="06C03D7F" w14:textId="77777777" w:rsidR="003A6168" w:rsidRDefault="003A6168" w:rsidP="003A6168">
            <w:pPr>
              <w:pStyle w:val="P68B1DB1-Normal7"/>
              <w:spacing w:after="0" w:line="240" w:lineRule="auto"/>
              <w:jc w:val="center"/>
              <w:rPr>
                <w:rFonts w:eastAsia="Times New Roman" w:cs="Calibri"/>
                <w:noProof/>
              </w:rPr>
            </w:pPr>
            <w:r>
              <w:rPr>
                <w:noProof/>
              </w:rPr>
              <w:t>11.3</w:t>
            </w:r>
          </w:p>
        </w:tc>
        <w:tc>
          <w:tcPr>
            <w:tcW w:w="1276" w:type="dxa"/>
            <w:shd w:val="clear" w:color="auto" w:fill="C4EFCE"/>
            <w:noWrap/>
            <w:vAlign w:val="center"/>
            <w:hideMark/>
          </w:tcPr>
          <w:p w14:paraId="1803E8D0" w14:textId="77777777" w:rsidR="003A6168" w:rsidRDefault="003A6168" w:rsidP="003A6168">
            <w:pPr>
              <w:pStyle w:val="P68B1DB1-Normal8"/>
              <w:spacing w:after="0" w:line="240" w:lineRule="auto"/>
              <w:jc w:val="center"/>
              <w:rPr>
                <w:rFonts w:eastAsia="Times New Roman" w:cs="Calibri"/>
                <w:noProof/>
              </w:rPr>
            </w:pPr>
            <w:r>
              <w:rPr>
                <w:noProof/>
              </w:rPr>
              <w:t>TC-C11–i01</w:t>
            </w:r>
          </w:p>
        </w:tc>
        <w:tc>
          <w:tcPr>
            <w:tcW w:w="1134" w:type="dxa"/>
            <w:shd w:val="clear" w:color="auto" w:fill="C4EFCE"/>
            <w:noWrap/>
            <w:vAlign w:val="center"/>
            <w:hideMark/>
          </w:tcPr>
          <w:p w14:paraId="69072576"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351F05" w14:textId="77777777" w:rsidR="003A6168" w:rsidRDefault="003A6168" w:rsidP="003A6168">
            <w:pPr>
              <w:pStyle w:val="P68B1DB1-Normal8"/>
              <w:spacing w:after="0" w:line="240" w:lineRule="auto"/>
              <w:jc w:val="center"/>
              <w:rPr>
                <w:rFonts w:eastAsia="Times New Roman" w:cs="Calibri"/>
                <w:noProof/>
              </w:rPr>
            </w:pPr>
            <w:r>
              <w:rPr>
                <w:noProof/>
              </w:rPr>
              <w:t>Az ipari dekarbonizációs projektek pénzügyi támogatása</w:t>
            </w:r>
          </w:p>
        </w:tc>
        <w:tc>
          <w:tcPr>
            <w:tcW w:w="1275" w:type="dxa"/>
            <w:shd w:val="clear" w:color="auto" w:fill="C4EFCE"/>
            <w:noWrap/>
            <w:vAlign w:val="center"/>
            <w:hideMark/>
          </w:tcPr>
          <w:p w14:paraId="5AF3E605"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9CC3A89"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AEE891E"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C0EF439" w14:textId="63244C11" w:rsidR="003A6168" w:rsidRDefault="003A6168" w:rsidP="003A6168">
            <w:pPr>
              <w:pStyle w:val="P68B1DB1-Normal8"/>
              <w:spacing w:after="0" w:line="240" w:lineRule="auto"/>
              <w:jc w:val="center"/>
              <w:rPr>
                <w:rFonts w:eastAsia="Times New Roman" w:cs="Calibri"/>
                <w:noProof/>
              </w:rPr>
            </w:pPr>
            <w:r>
              <w:rPr>
                <w:noProof/>
              </w:rPr>
              <w:t>310</w:t>
            </w:r>
          </w:p>
        </w:tc>
        <w:tc>
          <w:tcPr>
            <w:tcW w:w="555" w:type="dxa"/>
            <w:shd w:val="clear" w:color="auto" w:fill="C4EFCE"/>
            <w:noWrap/>
            <w:vAlign w:val="center"/>
            <w:hideMark/>
          </w:tcPr>
          <w:p w14:paraId="64BC34FA" w14:textId="76863E51" w:rsidR="003A6168" w:rsidRDefault="003A6168" w:rsidP="003A6168">
            <w:pPr>
              <w:pStyle w:val="P68B1DB1-Normal8"/>
              <w:spacing w:after="0" w:line="240" w:lineRule="auto"/>
              <w:jc w:val="center"/>
              <w:rPr>
                <w:rFonts w:eastAsia="Times New Roman" w:cs="Calibri"/>
                <w:noProof/>
              </w:rPr>
            </w:pPr>
            <w:r>
              <w:rPr>
                <w:noProof/>
              </w:rPr>
              <w:t>4. NEGYEDÉV</w:t>
            </w:r>
          </w:p>
        </w:tc>
        <w:tc>
          <w:tcPr>
            <w:tcW w:w="720" w:type="dxa"/>
            <w:shd w:val="clear" w:color="auto" w:fill="C4EFCE"/>
            <w:noWrap/>
            <w:vAlign w:val="center"/>
            <w:hideMark/>
          </w:tcPr>
          <w:p w14:paraId="234947D8"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D55E7F5" w14:textId="77777777" w:rsidR="003A6168" w:rsidRDefault="003A6168" w:rsidP="003A6168">
            <w:pPr>
              <w:pStyle w:val="P68B1DB1-Normal8"/>
              <w:spacing w:after="0" w:line="240" w:lineRule="auto"/>
              <w:jc w:val="both"/>
              <w:rPr>
                <w:rFonts w:eastAsia="Times New Roman" w:cs="Calibri"/>
                <w:noProof/>
              </w:rPr>
            </w:pPr>
            <w:r>
              <w:rPr>
                <w:noProof/>
              </w:rPr>
              <w:t xml:space="preserve">Azon projektek száma, amelyek pénzügyi támogatásban részesültek az ipar dekarbonizációjához, és amelyek a következő területek legalább egyikéhez kapcsolódnak: alacsony szén-dioxid-kibocsátású folyamatok és technológiák; energiahatékonysági intézkedések elfogadása; valamint a megújuló energia és az energiatárolás beépítése. A támogatott ipari létesítmények esetében biztosítani kell a közvetlen és közvetett ÜHG-kibocsátás átlagosan 30%-os csökkentését a 024ter beavatkozási területnek megfelelő projektek esetében, valamint a DNSH technikai iránymutatásnak (2021/C58/01) való megfelelést, beleértve az uniós kibocsátáskereskedelmi rendszer hatálya alá tartozó létesítményeket is, annak biztosítása érdekében, hogy a támogatott létesítmények az (EU) 2021/447 bizottsági végrehajtási rendeletben az ingyenes kiosztásra vonatkozóan meghatározott referenciaérték alatti várható ÜHG-kibocsátást érjék el. </w:t>
            </w:r>
          </w:p>
        </w:tc>
      </w:tr>
    </w:tbl>
    <w:p w14:paraId="575A7ECF"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3D1B59A" w14:textId="77777777" w:rsidR="00DC5EC6" w:rsidRDefault="00DC5EC6">
      <w:pPr>
        <w:keepNext/>
        <w:spacing w:before="40" w:after="0" w:line="259" w:lineRule="auto"/>
        <w:jc w:val="both"/>
        <w:outlineLvl w:val="1"/>
        <w:rPr>
          <w:rFonts w:ascii="Times New Roman" w:eastAsiaTheme="minorEastAsia" w:hAnsi="Times New Roman" w:cs="Times New Roman"/>
          <w:noProof/>
          <w:sz w:val="24"/>
          <w:u w:val="single"/>
        </w:rPr>
        <w:sectPr w:rsidR="00DC5EC6" w:rsidSect="00E00EDD">
          <w:headerReference w:type="even" r:id="rId240"/>
          <w:headerReference w:type="default" r:id="rId241"/>
          <w:footerReference w:type="even" r:id="rId242"/>
          <w:footerReference w:type="default" r:id="rId243"/>
          <w:headerReference w:type="first" r:id="rId244"/>
          <w:footerReference w:type="first" r:id="rId245"/>
          <w:pgSz w:w="16839" w:h="11907" w:orient="landscape"/>
          <w:pgMar w:top="1134" w:right="1134" w:bottom="1134" w:left="1134" w:header="567" w:footer="567" w:gutter="0"/>
          <w:cols w:space="720"/>
          <w:docGrid w:linePitch="360"/>
        </w:sectPr>
      </w:pPr>
    </w:p>
    <w:p w14:paraId="7F30AF75" w14:textId="18FDCEC1"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 xml:space="preserve">L. 12. </w:t>
      </w:r>
      <w:r w:rsidR="00342815">
        <w:rPr>
          <w:noProof/>
        </w:rPr>
        <w:t>KOMPONENS</w:t>
      </w:r>
      <w:r>
        <w:rPr>
          <w:noProof/>
        </w:rPr>
        <w:t>: Biogazdaság</w:t>
      </w:r>
    </w:p>
    <w:p w14:paraId="09C80588" w14:textId="77777777" w:rsidR="00DC5EC6" w:rsidRDefault="003245A4">
      <w:pPr>
        <w:pStyle w:val="P68B1DB1-Normal4"/>
        <w:spacing w:before="40" w:after="0" w:line="259" w:lineRule="auto"/>
        <w:jc w:val="both"/>
        <w:rPr>
          <w:rFonts w:eastAsiaTheme="minorEastAsia" w:cs="Times New Roman"/>
          <w:noProof/>
        </w:rPr>
      </w:pPr>
      <w:r>
        <w:rPr>
          <w:noProof/>
        </w:rPr>
        <w:t xml:space="preserve">Ez a komponens az életképes, fenntartható, körforgásos és versenyképes biogazdaság kialakításának kihívásával foglalkozik. Ez az átállás várhatóan új értékláncok és környezetbarátabb ipari folyamatok létrehozásával támogatja az ipar korszerűsítését és megszilárdítását. </w:t>
      </w:r>
    </w:p>
    <w:p w14:paraId="5988E6C8" w14:textId="77777777" w:rsidR="00DC5EC6" w:rsidRDefault="003245A4">
      <w:pPr>
        <w:pStyle w:val="P68B1DB1-Normal4"/>
        <w:spacing w:before="40" w:after="0" w:line="259" w:lineRule="auto"/>
        <w:jc w:val="both"/>
        <w:rPr>
          <w:rFonts w:eastAsiaTheme="minorEastAsia" w:cs="Times New Roman"/>
          <w:noProof/>
        </w:rPr>
      </w:pPr>
      <w:r>
        <w:rPr>
          <w:noProof/>
        </w:rPr>
        <w:t xml:space="preserve">Ennek az összetevőnek az a célja, hogy a fosszilis alapú anyagok alternatívájaként előmozdítsa és felgyorsítsa a biológiai erőforrásokból származó, magas hozzáadott értékű termékek kifejlesztését.  </w:t>
      </w:r>
    </w:p>
    <w:p w14:paraId="740A5F38" w14:textId="1AE9A646" w:rsidR="00DC5EC6" w:rsidRDefault="003245A4">
      <w:pPr>
        <w:pStyle w:val="P68B1DB1-Normal4"/>
        <w:spacing w:before="40" w:after="0" w:line="259" w:lineRule="auto"/>
        <w:jc w:val="both"/>
        <w:rPr>
          <w:rFonts w:eastAsiaTheme="minorEastAsia" w:cs="Times New Roman"/>
          <w:noProof/>
        </w:rPr>
      </w:pPr>
      <w:r>
        <w:rPr>
          <w:noProof/>
        </w:rPr>
        <w:t xml:space="preserve">E komponens intézkedéseinek célja az ezen átálláshoz kapcsolódó strukturális változások támogatása, és hozzá kell járulniuk a jelenlegi globális és helyi kihívások kezeléséhez, beleértve az éghajlatváltozást, a fosszilis erőforrásoktól való függőség csökkentését és a fenntartható fejlődést. Három ágazatot (textíliák és ruházati cikkek, lábbelik és természetes gyanta) kifejezetten támogatni kell a bioalapú termékek fejlesztése és az erőforrás-hatékonyság növelése érdekében. A komponens támogatja a zöld átállásba, különösen a tiszta és hatékony energiatermelésbe és -felhasználásba (2020. évi 3. országspecifikus ajánlás), a kutatásba és az innovációba történő beruházásokra (2019. és 2020. évi 3. országspecifikus ajánlás), valamint a körforgásos gazdaságra való átállásra irányuló beruházásokra vonatkozó országspecifikus ajánlások végrehajtását, különösen a hulladékkeletkezés megelőzésének, az újrafeldolgozásnak és az újrahasználatnak a hulladék hulladéklerakóktól és hulladékégetőktől való elterelése érdekében történő fokozásával (2022. és 2023. évi országspecifikus ajánlás). </w:t>
      </w:r>
    </w:p>
    <w:p w14:paraId="4CF3DC02" w14:textId="77777777" w:rsidR="00DC5EC6" w:rsidRDefault="003245A4">
      <w:pPr>
        <w:pStyle w:val="P68B1DB1-Normal4"/>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424C0B86" w14:textId="77777777" w:rsidR="00DC5EC6" w:rsidRDefault="00DC5EC6">
      <w:pPr>
        <w:spacing w:before="40" w:after="0" w:line="259" w:lineRule="auto"/>
        <w:jc w:val="both"/>
        <w:rPr>
          <w:rFonts w:ascii="Times New Roman" w:eastAsiaTheme="minorEastAsia" w:hAnsi="Times New Roman" w:cs="Times New Roman"/>
          <w:noProof/>
          <w:sz w:val="24"/>
        </w:rPr>
      </w:pPr>
    </w:p>
    <w:p w14:paraId="7A62E280"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L.1. Vissza nem térítendő pénzügyi támogatás – a reformok és beruházások ismertetése</w:t>
      </w:r>
    </w:p>
    <w:p w14:paraId="3E984C00"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TC-r25 reform: Fenntartható biogazdaság</w:t>
      </w:r>
    </w:p>
    <w:p w14:paraId="73A86D72" w14:textId="77777777" w:rsidR="00DC5EC6" w:rsidRDefault="003245A4">
      <w:pPr>
        <w:pStyle w:val="P68B1DB1-Normal4"/>
        <w:spacing w:before="40" w:after="0" w:line="259" w:lineRule="auto"/>
        <w:jc w:val="both"/>
        <w:rPr>
          <w:rFonts w:eastAsiaTheme="minorEastAsia" w:cs="Times New Roman"/>
          <w:noProof/>
        </w:rPr>
      </w:pPr>
      <w:r>
        <w:rPr>
          <w:noProof/>
        </w:rPr>
        <w:t>A reform célja a biológiai erőforrások megőrzésének és hatékony felhasználásának előmozdítása és ösztönzése. A reform illeszkedik Portugália fenntartható biogazdasági cselekvési tervébe, amely nyilvános konzultáció tárgyát képezi, és amely a nemzeti fenntartható fejlődés stratégiai kereteként szolgál. A biogazdaság előmozdítására irányuló erőfeszítések részeként Portugália értékeli azokat az adóösztönzőket is, amelyek fokozhatják a nem megújuló természeti erőforrások más bioalapú erőforrásokkal való helyettesítését.</w:t>
      </w:r>
    </w:p>
    <w:p w14:paraId="1F7B9944"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egy új általános hulladékgazdálkodási rendszerből (RGGR) és a zöld közbeszerzésre vonatkozó nemzeti stratégia felülvizsgálatába a fenntartható bioalapú termékek beszerzésére vonatkozó kritériumok beépítéséből áll. E reform célja a biológiai erőforrások hasznosítása során a fenntartható és körforgásos bioipar fejlesztése érdekében azonosított fő akadályok és korlátok kezelése, tiszteletben tartva a lépcsőzetes felhasználás elvét. </w:t>
      </w:r>
    </w:p>
    <w:p w14:paraId="63B37A13" w14:textId="77777777" w:rsidR="00DC5EC6" w:rsidRDefault="003245A4">
      <w:pPr>
        <w:pStyle w:val="P68B1DB1-Normal4"/>
        <w:spacing w:before="40" w:after="0" w:line="259" w:lineRule="auto"/>
        <w:jc w:val="both"/>
        <w:rPr>
          <w:rFonts w:eastAsiaTheme="minorEastAsia" w:cs="Times New Roman"/>
          <w:noProof/>
        </w:rPr>
      </w:pPr>
      <w:r>
        <w:rPr>
          <w:noProof/>
        </w:rPr>
        <w:t>Az új általános hulladékgazdálkodási rendszer végrehajtása során meg kell szüntetni legalább a melléktermékek vagy hulladékok új termékek esetében történő felhasználására vonatkozó korlátozásokat azáltal, hogy egyszerűsítik az anyagok vagy tárgyak melléktermékként való besorolására vonatkozó eljárásokat, beleértve a más uniós országokból származó anyagokat és tárgyakat is. Az új általános hulladékgazdálkodási rendszert 2020 decemberében fogadták el.</w:t>
      </w:r>
    </w:p>
    <w:p w14:paraId="775F29D4" w14:textId="53DA06AD" w:rsidR="00DC5EC6" w:rsidRDefault="003245A4">
      <w:pPr>
        <w:pStyle w:val="P68B1DB1-Normal4"/>
        <w:spacing w:before="40" w:after="0" w:line="259" w:lineRule="auto"/>
        <w:jc w:val="both"/>
        <w:rPr>
          <w:rFonts w:eastAsiaTheme="minorEastAsia" w:cs="Times New Roman"/>
          <w:noProof/>
        </w:rPr>
      </w:pPr>
      <w:r>
        <w:rPr>
          <w:noProof/>
        </w:rPr>
        <w:t xml:space="preserve">A zöld közbeszerzésre vonatkozó nemzeti stratégiát felül kell vizsgálni, hogy az magában foglalja legalább a szolgáltatások és termékek beszerzéséhez kapcsolódó kötelező ökológiai kritériumokat (különösen az építőipar területén), integrálva a fenntartható bioalapú termékeket. </w:t>
      </w:r>
    </w:p>
    <w:p w14:paraId="18D49EAF"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2022. szeptember 30-ig be kell fejezni.</w:t>
      </w:r>
    </w:p>
    <w:p w14:paraId="2FD84C0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TC-C12–i01: Biogazdaság</w:t>
      </w:r>
    </w:p>
    <w:p w14:paraId="17E8B78E"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célja, hogy támogassa a bioalapú anyagok beépítését a termelési folyamatokba három ágazatban: textil- és ruházati cikkek, lábbelik és természetes gyanta. </w:t>
      </w:r>
    </w:p>
    <w:p w14:paraId="55D6795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fő eszköz a kutatási és innovációs intézményeket, vállalkozásokat és végfelhasználókat magában foglaló konzorciumokkal kötött programszerződéseken keresztül odaítélt pénzügyi támogatás, amelyet versenyeztetéses eljárás keretében kell kiválasztani. A támogatott tevékenységek magukban foglalják a kutatási, fejlesztési és termelési innovációs projekteket, a digitalizálási projekteket és a fejlett termelési technológiákat, a célzott képzési és önrendelkezési programokat, a hazai természetes gyanta előállítását, valamint a fenntartható termelést és fogyasztást célzó figyelemfelkeltő intézkedéseket. A kiválasztott projekteknek hozzá kell járulniuk legalább a körforgásos gazdaság fejlődéséhez és a portugál kibocsátáscsökkentési célkitűzésekhez. A projektek céljai a következők: </w:t>
      </w:r>
    </w:p>
    <w:p w14:paraId="1FFA8FCC"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 xml:space="preserve">új termelési folyamatok kifejlesztése a biológiai erőforrásokat (erdészeti biomassza, mezőgazdasági és agráripari maradékanyagok és melléktermékek) tartalmazó, nagyobb hozzáadott értéket képviselő termékek létrehozása érdekében; </w:t>
      </w:r>
    </w:p>
    <w:p w14:paraId="6A6B42A0"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technológiai folyamatok fejlesztése a textil- és ruházati, lábbeli- és gyantafeldolgozó ágazat körforgásos jellegének javítása érdekében; és</w:t>
      </w:r>
    </w:p>
    <w:p w14:paraId="2FE7D2D6" w14:textId="77777777" w:rsidR="00DC5EC6" w:rsidRDefault="003245A4">
      <w:pPr>
        <w:pStyle w:val="P68B1DB1-Normal4"/>
        <w:keepNext/>
        <w:numPr>
          <w:ilvl w:val="0"/>
          <w:numId w:val="29"/>
        </w:numPr>
        <w:spacing w:before="40" w:after="160" w:line="259" w:lineRule="auto"/>
        <w:contextualSpacing/>
        <w:jc w:val="both"/>
        <w:rPr>
          <w:rFonts w:eastAsiaTheme="minorEastAsia" w:cs="Times New Roman"/>
          <w:noProof/>
        </w:rPr>
      </w:pPr>
      <w:r>
        <w:rPr>
          <w:noProof/>
        </w:rPr>
        <w:t>hozzájárulás a hulladékgazdálkodáshoz ezekben az ágazatokban.</w:t>
      </w:r>
    </w:p>
    <w:p w14:paraId="6B9025FE" w14:textId="77777777" w:rsidR="00DC5EC6" w:rsidRDefault="003245A4">
      <w:pPr>
        <w:pStyle w:val="P68B1DB1-Normal4"/>
        <w:keepNext/>
        <w:spacing w:before="40" w:after="0" w:line="259" w:lineRule="auto"/>
        <w:jc w:val="both"/>
        <w:rPr>
          <w:rFonts w:eastAsiaTheme="minorEastAsia" w:cs="Times New Roman"/>
          <w:noProof/>
        </w:rPr>
      </w:pPr>
      <w:r>
        <w:rPr>
          <w:noProof/>
        </w:rPr>
        <w:t>A kutatási, fejlesztési és innovációs projekteket azzal a céllal kell támogatni, hogy új termelési folyamatokat fejlesszenek ki a biológiai erőforrásokat (erdészeti biomassza, mezőgazdasági és agráripari maradékanyagok és melléktermékek) tartalmazó és azokat kiaknázó, magasabb hozzáadott értéket képviselő termékek, a textil- és ruhaipar, a lábbeli- és gyantafeldolgozó ágazat körforgásos jellegének javítását célzó technológiai folyamatok, valamint ezen ágazatokban a hulladékgazdálkodáshoz való hozzájárulás céljából. A kiválasztott projekteknek hozzá kell járulniuk az ÜHG-kibocsátás csökkentéséhez.</w:t>
      </w:r>
    </w:p>
    <w:p w14:paraId="140E81B4" w14:textId="77777777" w:rsidR="00DC5EC6" w:rsidRDefault="003245A4">
      <w:pPr>
        <w:pStyle w:val="P68B1DB1-Normal4"/>
        <w:keepNext/>
        <w:spacing w:before="40" w:after="0" w:line="259" w:lineRule="auto"/>
        <w:jc w:val="both"/>
        <w:rPr>
          <w:rFonts w:eastAsiaTheme="minorEastAsia" w:cs="Times New Roman"/>
          <w:noProof/>
        </w:rPr>
      </w:pPr>
      <w:r>
        <w:rPr>
          <w:noProof/>
        </w:rPr>
        <w:t>Ezeket az intézkedéseket az erdőgazdálkodással és a természetes gyanta előállításával kapcsolatos tevékenységekre vonatkozó egyedi és kiegészítő pályázatok egészítik ki. Magában foglalja a gyantatermesztéssel foglalkozó szakemberek által végzett tűzmegelőzési tevékenységek támogatását, a Természet- és Erdővédelmi Intézet (ICNF) gépek és berendezések beszerzését, valamint a tengeri fenyőerdők védelmére és rehabilitációjára irányuló tevékenységeket. Az erdőterület-gazdálkodás előmozdításával ez a beruházás hozzájárul a vidéki tűzvészek hatásainak megelőzéséhez és enyhítéséhez, elősegítve a szennyező anyagok légkörbe történő kibocsátásának csökkentését.</w:t>
      </w:r>
    </w:p>
    <w:p w14:paraId="0B9296C2" w14:textId="77777777" w:rsidR="00DC5EC6" w:rsidRDefault="003245A4">
      <w:pPr>
        <w:keepNext/>
        <w:spacing w:before="40" w:after="0" w:line="259" w:lineRule="auto"/>
        <w:jc w:val="both"/>
        <w:rPr>
          <w:rFonts w:ascii="Times New Roman" w:eastAsiaTheme="minorEastAsia" w:hAnsi="Times New Roman" w:cs="Times New Roman"/>
          <w:noProof/>
          <w:sz w:val="24"/>
        </w:rPr>
      </w:pPr>
      <w:r>
        <w:rPr>
          <w:rFonts w:ascii="Times New Roman" w:hAnsi="Times New Roman"/>
          <w:noProof/>
          <w:sz w:val="24"/>
        </w:rPr>
        <w:t>Az intézkedés várhatóan nem sérti jelentősen az (EU) 2020/852 rendelet 17. cikke szerinti környezetvédelmi célkitűzéseket, figyelembe véve az intézkedés leírását és a helyreállítási és rezilienciaépítési tervben meghatározott enyhítő lépéseket a jelentős károkozás elkerülését célzó elvről szóló technikai iránymutatásnak (2021/C58/01) megfelelően. A DNSH műszaki iránymutatásnak (2021/C58/01) való megfelelés biztosítása érdekében a Természetvédelmi és Erdővédelmi Intézet (ICNF) által megvásárolandó járműveknek, gépeknek és berendezéseknek kibocsátásmentesnek kell lenniük. Amennyiben nincsenek kibocsátásmentes alternatívák, a megvásárolandó járműveknek, gépeknek és berendezéseknek az ágazatban elérhető legjobb környezeti teljesítményszinteket kell képviselniük. Ezen túlmenően a soron következő projektfelhívásokra vonatkozó feladatmeghatározásban szereplő támogathatósági kritériumokból ki kell zárni a tevékenységek alábbi listáját: a fosszilis tüzelőanyagokhoz kapcsolódó tevékenységek, beleértve a továbbfelhasználást is</w:t>
      </w:r>
      <w:r>
        <w:rPr>
          <w:rStyle w:val="FootnoteReference"/>
          <w:rFonts w:ascii="Times New Roman" w:hAnsi="Times New Roman" w:cs="Times New Roman"/>
          <w:noProof/>
          <w:sz w:val="24"/>
        </w:rPr>
        <w:footnoteReference w:id="48"/>
      </w:r>
      <w:r>
        <w:rPr>
          <w:rFonts w:ascii="Times New Roman" w:hAnsi="Times New Roman"/>
          <w:noProof/>
          <w:sz w:val="24"/>
        </w:rPr>
        <w:t>; az uniós kibocsátáskereskedelmi rendszer (ETS) keretében végzett tevékenységek, amelyek a vonatkozó referenciaértékeknél nem alacsonyabb várható üvegházhatásúgáz-kibocsátást érnek el</w:t>
      </w:r>
      <w:r>
        <w:rPr>
          <w:rStyle w:val="FootnoteReference"/>
          <w:rFonts w:ascii="Times New Roman" w:hAnsi="Times New Roman" w:cs="Times New Roman"/>
          <w:noProof/>
          <w:sz w:val="24"/>
        </w:rPr>
        <w:footnoteReference w:id="49"/>
      </w:r>
      <w:r>
        <w:rPr>
          <w:rFonts w:ascii="Times New Roman" w:hAnsi="Times New Roman"/>
          <w:noProof/>
          <w:sz w:val="24"/>
        </w:rPr>
        <w:t>; hulladéklerakókkal, hulladékégetőkkel</w:t>
      </w:r>
      <w:r>
        <w:rPr>
          <w:rStyle w:val="FootnoteReference"/>
          <w:rFonts w:ascii="Times New Roman" w:hAnsi="Times New Roman" w:cs="Times New Roman"/>
          <w:noProof/>
          <w:sz w:val="24"/>
        </w:rPr>
        <w:footnoteReference w:id="50"/>
      </w:r>
      <w:r>
        <w:rPr>
          <w:rFonts w:ascii="Times New Roman" w:hAnsi="Times New Roman"/>
          <w:noProof/>
          <w:sz w:val="24"/>
        </w:rPr>
        <w:t xml:space="preserve"> és mechanikai-biológiai szennyvíztisztító telepekkel kapcsolatos tevékenységek</w:t>
      </w:r>
      <w:r>
        <w:rPr>
          <w:rStyle w:val="FootnoteReference"/>
          <w:rFonts w:ascii="Times New Roman" w:hAnsi="Times New Roman" w:cs="Times New Roman"/>
          <w:noProof/>
          <w:sz w:val="24"/>
        </w:rPr>
        <w:footnoteReference w:id="51"/>
      </w:r>
      <w:r>
        <w:rPr>
          <w:rFonts w:ascii="Times New Roman" w:hAnsi="Times New Roman"/>
          <w:noProof/>
          <w:sz w:val="24"/>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68DD936F"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33D486B" w14:textId="2448C9F9" w:rsidR="00DC5EC6" w:rsidRDefault="003245A4">
      <w:pPr>
        <w:pStyle w:val="P68B1DB1-Normal5"/>
        <w:keepNext/>
        <w:spacing w:before="240" w:after="0" w:line="259" w:lineRule="auto"/>
        <w:ind w:left="851"/>
        <w:jc w:val="both"/>
        <w:outlineLvl w:val="2"/>
        <w:rPr>
          <w:rFonts w:eastAsiaTheme="minorEastAsia" w:cs="Times New Roman"/>
          <w:noProof/>
        </w:rPr>
      </w:pPr>
      <w:bookmarkStart w:id="27" w:name="_Toc137472461"/>
      <w:r>
        <w:rPr>
          <w:noProof/>
        </w:rPr>
        <w:t>Reform TC-C12–r39: A körforgásos gazdaság és a hatékonyabb hulladékgazdálkodás előmozdítása</w:t>
      </w:r>
      <w:bookmarkEnd w:id="27"/>
    </w:p>
    <w:p w14:paraId="210FFEF3" w14:textId="794927BC" w:rsidR="00DC5EC6" w:rsidRDefault="003245A4">
      <w:pPr>
        <w:pStyle w:val="P68B1DB1-Normal4"/>
        <w:spacing w:beforeLines="40" w:before="96" w:after="0" w:line="22" w:lineRule="atLeast"/>
        <w:jc w:val="both"/>
        <w:rPr>
          <w:rFonts w:cs="Times New Roman"/>
          <w:noProof/>
        </w:rPr>
      </w:pPr>
      <w:r>
        <w:rPr>
          <w:noProof/>
        </w:rPr>
        <w:t>A reform célja a hulladékkeletkezés megelőzésének, az újrahasználatra való előkészítésnek, az újrafeldolgozásnak, a hulladék hasznosításának és eltérítésének javítása, valamint a körforgásos gazdaság előmozdítása.</w:t>
      </w:r>
    </w:p>
    <w:p w14:paraId="7DB46E17" w14:textId="77777777" w:rsidR="00DC5EC6" w:rsidRDefault="003245A4">
      <w:pPr>
        <w:pStyle w:val="P68B1DB1-Normal4"/>
        <w:spacing w:beforeLines="40" w:before="96" w:after="0" w:line="22" w:lineRule="atLeast"/>
        <w:rPr>
          <w:rFonts w:cs="Times New Roman"/>
          <w:noProof/>
        </w:rPr>
      </w:pPr>
      <w:r>
        <w:rPr>
          <w:noProof/>
        </w:rPr>
        <w:t xml:space="preserve">A reform: </w:t>
      </w:r>
    </w:p>
    <w:p w14:paraId="0DF062F1" w14:textId="109C99E2" w:rsidR="00DC5EC6" w:rsidRDefault="003245A4">
      <w:pPr>
        <w:pStyle w:val="ListParagraph"/>
        <w:keepNext w:val="0"/>
        <w:numPr>
          <w:ilvl w:val="0"/>
          <w:numId w:val="81"/>
        </w:numPr>
        <w:spacing w:beforeLines="40" w:before="96" w:after="0" w:line="22" w:lineRule="atLeast"/>
        <w:rPr>
          <w:noProof/>
        </w:rPr>
      </w:pPr>
      <w:r>
        <w:rPr>
          <w:noProof/>
        </w:rPr>
        <w:t>A gyártók által alkalmazandó ökomodulációs kritériumok harmonizálása révén ösztönözzék a gyártott termékek környezetbarát tervezését. Ezeket a kritériumokat az irányító szervezetek (a termékek előállítóit, a csomagolókat és a csomagolási szolgáltatókat képviselő társulások) számára kötelezővé kell tenni a kiterjesztett gyártói felelősség hatálya alá tartozó integrált rendszerek megvalósítása érdekében. A kritériumok biztosítják, hogy a 152/D/2017. sz. törvényerejű rendelet 15. cikkének (3) és (4) bekezdése szerinti pénzügyi modellek tükrözzék a termék környezetre gyakorolt hatását és a hulladékgazdálkodás tényleges költségeit, és a termelők által fizetendő díjak modulálása révén pénzügyi ösztönzőket teremtsenek a tartósabb, javítható és újrafeldolgozható termékek számára.</w:t>
      </w:r>
    </w:p>
    <w:p w14:paraId="5A107152" w14:textId="3322BFE2" w:rsidR="00DC5EC6" w:rsidRDefault="003245A4">
      <w:pPr>
        <w:pStyle w:val="ListParagraph"/>
        <w:keepNext w:val="0"/>
        <w:numPr>
          <w:ilvl w:val="0"/>
          <w:numId w:val="81"/>
        </w:numPr>
        <w:spacing w:beforeLines="40" w:before="96" w:after="0" w:line="22" w:lineRule="atLeast"/>
        <w:rPr>
          <w:noProof/>
        </w:rPr>
      </w:pPr>
      <w:r>
        <w:rPr>
          <w:noProof/>
        </w:rPr>
        <w:t>Hasznosítást ösztönző rendszer (betét- és visszatérítési rendszer) bevezetése a műanyagból, vasfémekből és alumíniumból készült, nem újrahasználható palackok esetében.</w:t>
      </w:r>
    </w:p>
    <w:p w14:paraId="43D8325A" w14:textId="4B66E22A" w:rsidR="00DC5EC6" w:rsidRDefault="003245A4">
      <w:pPr>
        <w:pStyle w:val="ListParagraph"/>
        <w:keepNext w:val="0"/>
        <w:numPr>
          <w:ilvl w:val="0"/>
          <w:numId w:val="81"/>
        </w:numPr>
        <w:spacing w:beforeLines="40" w:before="96" w:after="0" w:line="22" w:lineRule="atLeast"/>
        <w:rPr>
          <w:noProof/>
        </w:rPr>
      </w:pPr>
      <w:r>
        <w:rPr>
          <w:noProof/>
        </w:rPr>
        <w:t xml:space="preserve">Egy megvalósíthatósági tanulmányt követően vezessen be ösztönző rendszert az elektromos és elektronikus berendezések különböző hulladékkategóriáinak visszavételére. </w:t>
      </w:r>
    </w:p>
    <w:p w14:paraId="58107F2F" w14:textId="6A75DFA4" w:rsidR="00DC5EC6" w:rsidRDefault="003245A4">
      <w:pPr>
        <w:pStyle w:val="P68B1DB1-Normal4"/>
        <w:spacing w:beforeLines="40" w:before="96" w:after="0" w:line="22" w:lineRule="atLeast"/>
        <w:rPr>
          <w:rFonts w:cs="Times New Roman"/>
          <w:noProof/>
        </w:rPr>
      </w:pPr>
      <w:r>
        <w:rPr>
          <w:noProof/>
        </w:rPr>
        <w:t>A reform végrehajtását 2025. december 31-ig be kell fejezni.</w:t>
      </w:r>
    </w:p>
    <w:p w14:paraId="55469554"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19F8386"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46"/>
          <w:headerReference w:type="default" r:id="rId247"/>
          <w:footerReference w:type="even" r:id="rId248"/>
          <w:footerReference w:type="default" r:id="rId249"/>
          <w:headerReference w:type="first" r:id="rId250"/>
          <w:footerReference w:type="first" r:id="rId251"/>
          <w:pgSz w:w="11907" w:h="16839"/>
          <w:pgMar w:top="1134" w:right="1134" w:bottom="1134" w:left="1134" w:header="567" w:footer="567" w:gutter="0"/>
          <w:cols w:space="720"/>
          <w:docGrid w:linePitch="360"/>
        </w:sectPr>
      </w:pPr>
    </w:p>
    <w:p w14:paraId="0F85B075"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L.2. </w:t>
      </w:r>
      <w:r>
        <w:rPr>
          <w:noProof/>
        </w:rPr>
        <w:tab/>
        <w:t>Vissza nem térítendő pénzügyi támogatás – a végrehajtáshoz és a nyomon követéshez kapcsolódó mérföldkövek, célok, mutatók és ütemterv</w:t>
      </w:r>
    </w:p>
    <w:p w14:paraId="16CF26E3"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100A85E9" w14:textId="77777777">
        <w:trPr>
          <w:trHeight w:val="910"/>
          <w:tblHeader/>
        </w:trPr>
        <w:tc>
          <w:tcPr>
            <w:tcW w:w="1135" w:type="dxa"/>
            <w:vMerge w:val="restart"/>
            <w:shd w:val="clear" w:color="auto" w:fill="BDD6EE"/>
            <w:vAlign w:val="center"/>
            <w:hideMark/>
          </w:tcPr>
          <w:p w14:paraId="241396A7" w14:textId="77777777" w:rsidR="00DC5EC6" w:rsidRDefault="003245A4">
            <w:pPr>
              <w:pStyle w:val="P68B1DB1-Normal6"/>
              <w:keepNext/>
              <w:spacing w:before="40"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1E874363" w14:textId="77777777" w:rsidR="00DC5EC6" w:rsidRDefault="003245A4">
            <w:pPr>
              <w:pStyle w:val="P68B1DB1-Normal6"/>
              <w:keepNext/>
              <w:spacing w:before="40"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4630E1B7" w14:textId="031A1B2C" w:rsidR="00DC5EC6" w:rsidRDefault="003245A4">
            <w:pPr>
              <w:pStyle w:val="P68B1DB1-Normal6"/>
              <w:keepNext/>
              <w:spacing w:before="40" w:after="0" w:line="240" w:lineRule="auto"/>
              <w:jc w:val="center"/>
              <w:rPr>
                <w:rFonts w:eastAsia="Times New Roman" w:cs="Times New Roman"/>
                <w:noProof/>
              </w:rPr>
            </w:pPr>
            <w:r>
              <w:rPr>
                <w:noProof/>
              </w:rPr>
              <w:t>Mérföldkő – Cél</w:t>
            </w:r>
          </w:p>
        </w:tc>
        <w:tc>
          <w:tcPr>
            <w:tcW w:w="1701" w:type="dxa"/>
            <w:vMerge w:val="restart"/>
            <w:shd w:val="clear" w:color="auto" w:fill="BDD6EE"/>
            <w:vAlign w:val="center"/>
            <w:hideMark/>
          </w:tcPr>
          <w:p w14:paraId="5C4FFE86" w14:textId="77777777" w:rsidR="00DC5EC6" w:rsidRDefault="003245A4">
            <w:pPr>
              <w:pStyle w:val="P68B1DB1-Normal6"/>
              <w:keepNext/>
              <w:spacing w:before="40"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03E43ABE" w14:textId="77777777" w:rsidR="00DC5EC6" w:rsidRDefault="003245A4">
            <w:pPr>
              <w:pStyle w:val="P68B1DB1-Normal6"/>
              <w:keepNext/>
              <w:spacing w:before="40"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65AE3941" w14:textId="77777777" w:rsidR="00DC5EC6" w:rsidRDefault="003245A4">
            <w:pPr>
              <w:pStyle w:val="P68B1DB1-Normal6"/>
              <w:keepNext/>
              <w:spacing w:before="40"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67D74F39" w14:textId="77777777" w:rsidR="00DC5EC6" w:rsidRDefault="003245A4">
            <w:pPr>
              <w:pStyle w:val="P68B1DB1-Normal6"/>
              <w:keepNext/>
              <w:spacing w:before="40"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4A072B07" w14:textId="77777777" w:rsidR="00DC5EC6" w:rsidRDefault="003245A4">
            <w:pPr>
              <w:pStyle w:val="P68B1DB1-Normal6"/>
              <w:keepNext/>
              <w:spacing w:before="40" w:after="0" w:line="240" w:lineRule="auto"/>
              <w:jc w:val="center"/>
              <w:rPr>
                <w:rFonts w:eastAsia="Times New Roman" w:cs="Times New Roman"/>
                <w:noProof/>
              </w:rPr>
            </w:pPr>
            <w:r>
              <w:rPr>
                <w:noProof/>
              </w:rPr>
              <w:t>Az egyes mérföldkövek és célok leírása és egyértelmű meghatározása</w:t>
            </w:r>
          </w:p>
        </w:tc>
      </w:tr>
      <w:tr w:rsidR="00DC5EC6" w14:paraId="3776A702" w14:textId="77777777">
        <w:trPr>
          <w:trHeight w:val="470"/>
          <w:tblHeader/>
        </w:trPr>
        <w:tc>
          <w:tcPr>
            <w:tcW w:w="1135" w:type="dxa"/>
            <w:vMerge/>
            <w:vAlign w:val="center"/>
            <w:hideMark/>
          </w:tcPr>
          <w:p w14:paraId="7EBFF15D"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76" w:type="dxa"/>
            <w:vMerge/>
            <w:vAlign w:val="center"/>
            <w:hideMark/>
          </w:tcPr>
          <w:p w14:paraId="249B860E"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134" w:type="dxa"/>
            <w:vMerge/>
            <w:shd w:val="clear" w:color="auto" w:fill="BDD6EE"/>
            <w:vAlign w:val="center"/>
            <w:hideMark/>
          </w:tcPr>
          <w:p w14:paraId="7D7297EE" w14:textId="160E856C" w:rsidR="00DC5EC6" w:rsidRDefault="00DC5EC6">
            <w:pPr>
              <w:keepNext/>
              <w:spacing w:before="40" w:after="0" w:line="240" w:lineRule="auto"/>
              <w:jc w:val="center"/>
              <w:rPr>
                <w:rFonts w:ascii="Times New Roman" w:eastAsia="Times New Roman" w:hAnsi="Times New Roman" w:cs="Times New Roman"/>
                <w:b/>
                <w:noProof/>
                <w:sz w:val="14"/>
              </w:rPr>
            </w:pPr>
          </w:p>
        </w:tc>
        <w:tc>
          <w:tcPr>
            <w:tcW w:w="1701" w:type="dxa"/>
            <w:vMerge/>
            <w:vAlign w:val="center"/>
            <w:hideMark/>
          </w:tcPr>
          <w:p w14:paraId="303B854A"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1275" w:type="dxa"/>
            <w:vMerge/>
            <w:vAlign w:val="center"/>
            <w:hideMark/>
          </w:tcPr>
          <w:p w14:paraId="76753D39" w14:textId="77777777" w:rsidR="00DC5EC6" w:rsidRDefault="00DC5EC6">
            <w:pPr>
              <w:keepNext/>
              <w:spacing w:before="40" w:after="0" w:line="240" w:lineRule="auto"/>
              <w:jc w:val="both"/>
              <w:rPr>
                <w:rFonts w:ascii="Times New Roman" w:eastAsia="Times New Roman" w:hAnsi="Times New Roman" w:cs="Times New Roman"/>
                <w:b/>
                <w:noProof/>
                <w:sz w:val="18"/>
              </w:rPr>
            </w:pPr>
          </w:p>
        </w:tc>
        <w:tc>
          <w:tcPr>
            <w:tcW w:w="993" w:type="dxa"/>
            <w:shd w:val="clear" w:color="auto" w:fill="BDD6EE"/>
            <w:vAlign w:val="center"/>
            <w:hideMark/>
          </w:tcPr>
          <w:p w14:paraId="0ABAAFA4" w14:textId="77777777" w:rsidR="00DC5EC6" w:rsidRDefault="003245A4">
            <w:pPr>
              <w:pStyle w:val="P68B1DB1-Normal6"/>
              <w:keepNext/>
              <w:spacing w:before="40"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36F0EAD7" w14:textId="77777777" w:rsidR="00DC5EC6" w:rsidRDefault="003245A4">
            <w:pPr>
              <w:pStyle w:val="P68B1DB1-Normal6"/>
              <w:keepNext/>
              <w:spacing w:before="40"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536DFFCA" w14:textId="77777777" w:rsidR="00DC5EC6" w:rsidRDefault="003245A4">
            <w:pPr>
              <w:pStyle w:val="P68B1DB1-Normal6"/>
              <w:keepNext/>
              <w:spacing w:before="40" w:after="0" w:line="240" w:lineRule="auto"/>
              <w:jc w:val="center"/>
              <w:rPr>
                <w:rFonts w:eastAsia="Times New Roman" w:cs="Times New Roman"/>
                <w:noProof/>
              </w:rPr>
            </w:pPr>
            <w:r>
              <w:rPr>
                <w:noProof/>
              </w:rPr>
              <w:t>Cél</w:t>
            </w:r>
          </w:p>
        </w:tc>
        <w:tc>
          <w:tcPr>
            <w:tcW w:w="567" w:type="dxa"/>
            <w:shd w:val="clear" w:color="auto" w:fill="BDD6EE"/>
            <w:vAlign w:val="center"/>
            <w:hideMark/>
          </w:tcPr>
          <w:p w14:paraId="3DFABF60" w14:textId="5B5B5706" w:rsidR="00DC5EC6" w:rsidRDefault="00C9655D">
            <w:pPr>
              <w:pStyle w:val="P68B1DB1-Normal6"/>
              <w:keepNext/>
              <w:spacing w:before="40"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578C9B4B" w14:textId="5A265AA5" w:rsidR="00DC5EC6" w:rsidRDefault="003245A4">
            <w:pPr>
              <w:pStyle w:val="P68B1DB1-Normal6"/>
              <w:keepNext/>
              <w:spacing w:before="40" w:after="0" w:line="240" w:lineRule="auto"/>
              <w:jc w:val="center"/>
              <w:rPr>
                <w:rFonts w:eastAsia="Times New Roman" w:cs="Times New Roman"/>
                <w:noProof/>
              </w:rPr>
            </w:pPr>
            <w:r>
              <w:rPr>
                <w:noProof/>
              </w:rPr>
              <w:t>Év</w:t>
            </w:r>
          </w:p>
        </w:tc>
        <w:tc>
          <w:tcPr>
            <w:tcW w:w="3969" w:type="dxa"/>
            <w:vMerge/>
            <w:vAlign w:val="center"/>
            <w:hideMark/>
          </w:tcPr>
          <w:p w14:paraId="482E68C8" w14:textId="77777777" w:rsidR="00DC5EC6" w:rsidRDefault="00DC5EC6">
            <w:pPr>
              <w:keepNext/>
              <w:spacing w:before="40" w:after="0" w:line="240" w:lineRule="auto"/>
              <w:jc w:val="both"/>
              <w:rPr>
                <w:rFonts w:ascii="Times New Roman" w:eastAsia="Times New Roman" w:hAnsi="Times New Roman" w:cs="Times New Roman"/>
                <w:b/>
                <w:noProof/>
                <w:sz w:val="18"/>
              </w:rPr>
            </w:pPr>
          </w:p>
        </w:tc>
      </w:tr>
      <w:tr w:rsidR="00DC5EC6" w14:paraId="635E01FA" w14:textId="77777777">
        <w:trPr>
          <w:trHeight w:val="509"/>
        </w:trPr>
        <w:tc>
          <w:tcPr>
            <w:tcW w:w="1135" w:type="dxa"/>
            <w:vMerge w:val="restart"/>
            <w:shd w:val="clear" w:color="auto" w:fill="C4EFCE"/>
            <w:vAlign w:val="center"/>
            <w:hideMark/>
          </w:tcPr>
          <w:p w14:paraId="5DF1D636" w14:textId="77777777" w:rsidR="00DC5EC6" w:rsidRDefault="003245A4">
            <w:pPr>
              <w:pStyle w:val="P68B1DB1-Normal7"/>
              <w:keepNext/>
              <w:spacing w:before="40" w:after="0" w:line="240" w:lineRule="auto"/>
              <w:jc w:val="center"/>
              <w:rPr>
                <w:rFonts w:eastAsia="Times New Roman" w:cs="Calibri"/>
                <w:noProof/>
              </w:rPr>
            </w:pPr>
            <w:r>
              <w:rPr>
                <w:noProof/>
              </w:rPr>
              <w:t>12.1</w:t>
            </w:r>
          </w:p>
        </w:tc>
        <w:tc>
          <w:tcPr>
            <w:tcW w:w="1276" w:type="dxa"/>
            <w:vMerge w:val="restart"/>
            <w:shd w:val="clear" w:color="auto" w:fill="C4EFCE"/>
            <w:noWrap/>
            <w:vAlign w:val="center"/>
            <w:hideMark/>
          </w:tcPr>
          <w:p w14:paraId="21B3B155" w14:textId="77777777" w:rsidR="00DC5EC6" w:rsidRDefault="003245A4">
            <w:pPr>
              <w:pStyle w:val="P68B1DB1-Normal8"/>
              <w:keepNext/>
              <w:spacing w:before="40" w:after="0" w:line="240" w:lineRule="auto"/>
              <w:jc w:val="center"/>
              <w:rPr>
                <w:rFonts w:eastAsia="Times New Roman" w:cs="Calibri"/>
                <w:noProof/>
              </w:rPr>
            </w:pPr>
            <w:r>
              <w:rPr>
                <w:noProof/>
              </w:rPr>
              <w:t>TC-C12–i01</w:t>
            </w:r>
          </w:p>
        </w:tc>
        <w:tc>
          <w:tcPr>
            <w:tcW w:w="1134" w:type="dxa"/>
            <w:vMerge w:val="restart"/>
            <w:shd w:val="clear" w:color="auto" w:fill="C4EFCE"/>
            <w:noWrap/>
            <w:vAlign w:val="center"/>
            <w:hideMark/>
          </w:tcPr>
          <w:p w14:paraId="05A6C9F2" w14:textId="77777777" w:rsidR="00DC5EC6" w:rsidRDefault="003245A4">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A9E0800" w14:textId="77777777" w:rsidR="00DC5EC6" w:rsidRDefault="003245A4">
            <w:pPr>
              <w:pStyle w:val="P68B1DB1-Normal8"/>
              <w:keepNext/>
              <w:spacing w:before="40" w:after="0" w:line="240" w:lineRule="auto"/>
              <w:jc w:val="center"/>
              <w:rPr>
                <w:rFonts w:eastAsia="Times New Roman" w:cs="Calibri"/>
                <w:noProof/>
              </w:rPr>
            </w:pPr>
            <w:r>
              <w:rPr>
                <w:noProof/>
              </w:rPr>
              <w:t xml:space="preserve">A Resineiros Vigilantes program 2021. évi jegyzőkönyvének aláírása </w:t>
            </w:r>
          </w:p>
        </w:tc>
        <w:tc>
          <w:tcPr>
            <w:tcW w:w="1275" w:type="dxa"/>
            <w:vMerge w:val="restart"/>
            <w:shd w:val="clear" w:color="auto" w:fill="C4EFCE"/>
            <w:noWrap/>
            <w:vAlign w:val="center"/>
            <w:hideMark/>
          </w:tcPr>
          <w:p w14:paraId="4BA5E5F4" w14:textId="77777777" w:rsidR="00DC5EC6" w:rsidRDefault="003245A4">
            <w:pPr>
              <w:pStyle w:val="P68B1DB1-Normal8"/>
              <w:keepNext/>
              <w:spacing w:before="40" w:after="0" w:line="240" w:lineRule="auto"/>
              <w:jc w:val="center"/>
              <w:rPr>
                <w:rFonts w:eastAsia="Times New Roman" w:cs="Calibri"/>
                <w:noProof/>
              </w:rPr>
            </w:pPr>
            <w:r>
              <w:rPr>
                <w:noProof/>
              </w:rPr>
              <w:t xml:space="preserve"> A „Resineiros Vigilantes” program 2021. évi jegyzőkönyvének aláírása</w:t>
            </w:r>
          </w:p>
        </w:tc>
        <w:tc>
          <w:tcPr>
            <w:tcW w:w="993" w:type="dxa"/>
            <w:vMerge w:val="restart"/>
            <w:shd w:val="clear" w:color="auto" w:fill="C4EFCE"/>
            <w:noWrap/>
            <w:vAlign w:val="center"/>
            <w:hideMark/>
          </w:tcPr>
          <w:p w14:paraId="3673A871"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0E11D8FC"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5DBDFE88"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5CDA9014" w14:textId="11CB4C42" w:rsidR="00DC5EC6" w:rsidRDefault="003A6168">
            <w:pPr>
              <w:pStyle w:val="P68B1DB1-Normal8"/>
              <w:keepNext/>
              <w:spacing w:before="40" w:after="0" w:line="240" w:lineRule="auto"/>
              <w:jc w:val="center"/>
              <w:rPr>
                <w:rFonts w:eastAsia="Times New Roman" w:cs="Calibri"/>
                <w:noProof/>
              </w:rPr>
            </w:pPr>
            <w:r>
              <w:rPr>
                <w:noProof/>
              </w:rPr>
              <w:t xml:space="preserve">3. </w:t>
            </w:r>
            <w:r w:rsidR="003245A4">
              <w:rPr>
                <w:noProof/>
              </w:rPr>
              <w:t>NEGYEDÉV</w:t>
            </w:r>
          </w:p>
        </w:tc>
        <w:tc>
          <w:tcPr>
            <w:tcW w:w="708" w:type="dxa"/>
            <w:vMerge w:val="restart"/>
            <w:shd w:val="clear" w:color="auto" w:fill="C4EFCE"/>
            <w:noWrap/>
            <w:vAlign w:val="center"/>
            <w:hideMark/>
          </w:tcPr>
          <w:p w14:paraId="47D645F4" w14:textId="77777777" w:rsidR="00DC5EC6" w:rsidRDefault="003245A4">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024670B2" w14:textId="77777777" w:rsidR="00DC5EC6" w:rsidRDefault="003245A4">
            <w:pPr>
              <w:pStyle w:val="P68B1DB1-Normal8"/>
              <w:keepNext/>
              <w:spacing w:before="40" w:after="0" w:line="240" w:lineRule="auto"/>
              <w:jc w:val="both"/>
              <w:rPr>
                <w:rFonts w:eastAsia="Times New Roman" w:cs="Calibri"/>
                <w:noProof/>
              </w:rPr>
            </w:pPr>
            <w:r>
              <w:rPr>
                <w:noProof/>
              </w:rPr>
              <w:t>A Természetvédelmi és Erdészeti Intézet, I.P. és a gyantagyártók nemzeti szakmai szövetsége (Resipinus) közötti, a vidéki tüzek megfigyeléséről és felderítéséről szóló jegyzőkönyv megkötése.</w:t>
            </w:r>
          </w:p>
        </w:tc>
      </w:tr>
      <w:tr w:rsidR="00DC5EC6" w14:paraId="5DB127A4" w14:textId="77777777">
        <w:trPr>
          <w:trHeight w:val="509"/>
        </w:trPr>
        <w:tc>
          <w:tcPr>
            <w:tcW w:w="1135" w:type="dxa"/>
            <w:vMerge/>
            <w:vAlign w:val="center"/>
            <w:hideMark/>
          </w:tcPr>
          <w:p w14:paraId="287EBF32" w14:textId="77777777" w:rsidR="00DC5EC6" w:rsidRDefault="00DC5EC6">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2179B6CF" w14:textId="77777777" w:rsidR="00DC5EC6" w:rsidRDefault="00DC5EC6">
            <w:pPr>
              <w:keepNext/>
              <w:spacing w:before="40" w:after="0" w:line="240" w:lineRule="auto"/>
              <w:jc w:val="both"/>
              <w:rPr>
                <w:rFonts w:ascii="Calibri" w:eastAsia="Times New Roman" w:hAnsi="Calibri" w:cs="Calibri"/>
                <w:noProof/>
                <w:sz w:val="16"/>
              </w:rPr>
            </w:pPr>
          </w:p>
        </w:tc>
        <w:tc>
          <w:tcPr>
            <w:tcW w:w="1134" w:type="dxa"/>
            <w:vMerge/>
            <w:vAlign w:val="center"/>
            <w:hideMark/>
          </w:tcPr>
          <w:p w14:paraId="5566EE47" w14:textId="77777777" w:rsidR="00DC5EC6" w:rsidRDefault="00DC5EC6">
            <w:pPr>
              <w:keepNext/>
              <w:spacing w:before="40" w:after="0" w:line="240" w:lineRule="auto"/>
              <w:jc w:val="both"/>
              <w:rPr>
                <w:rFonts w:ascii="Calibri" w:eastAsia="Times New Roman" w:hAnsi="Calibri" w:cs="Calibri"/>
                <w:noProof/>
                <w:sz w:val="16"/>
              </w:rPr>
            </w:pPr>
          </w:p>
        </w:tc>
        <w:tc>
          <w:tcPr>
            <w:tcW w:w="1701" w:type="dxa"/>
            <w:vMerge/>
            <w:vAlign w:val="center"/>
            <w:hideMark/>
          </w:tcPr>
          <w:p w14:paraId="68CFF3C8" w14:textId="77777777" w:rsidR="00DC5EC6" w:rsidRDefault="00DC5EC6">
            <w:pPr>
              <w:keepNext/>
              <w:spacing w:before="40" w:after="0" w:line="240" w:lineRule="auto"/>
              <w:jc w:val="both"/>
              <w:rPr>
                <w:rFonts w:ascii="Calibri" w:eastAsia="Times New Roman" w:hAnsi="Calibri" w:cs="Calibri"/>
                <w:noProof/>
                <w:sz w:val="16"/>
              </w:rPr>
            </w:pPr>
          </w:p>
        </w:tc>
        <w:tc>
          <w:tcPr>
            <w:tcW w:w="1275" w:type="dxa"/>
            <w:vMerge/>
            <w:vAlign w:val="center"/>
            <w:hideMark/>
          </w:tcPr>
          <w:p w14:paraId="0CC81F45" w14:textId="77777777" w:rsidR="00DC5EC6" w:rsidRDefault="00DC5EC6">
            <w:pPr>
              <w:keepNext/>
              <w:spacing w:before="40" w:after="0" w:line="240" w:lineRule="auto"/>
              <w:jc w:val="both"/>
              <w:rPr>
                <w:rFonts w:ascii="Calibri" w:eastAsia="Times New Roman" w:hAnsi="Calibri" w:cs="Calibri"/>
                <w:noProof/>
                <w:sz w:val="16"/>
              </w:rPr>
            </w:pPr>
          </w:p>
        </w:tc>
        <w:tc>
          <w:tcPr>
            <w:tcW w:w="993" w:type="dxa"/>
            <w:vMerge/>
            <w:vAlign w:val="center"/>
            <w:hideMark/>
          </w:tcPr>
          <w:p w14:paraId="746444D9" w14:textId="77777777" w:rsidR="00DC5EC6" w:rsidRDefault="00DC5EC6">
            <w:pPr>
              <w:keepNext/>
              <w:spacing w:before="40" w:after="0" w:line="240" w:lineRule="auto"/>
              <w:jc w:val="both"/>
              <w:rPr>
                <w:rFonts w:ascii="Calibri" w:eastAsia="Times New Roman" w:hAnsi="Calibri" w:cs="Calibri"/>
                <w:noProof/>
                <w:sz w:val="16"/>
              </w:rPr>
            </w:pPr>
          </w:p>
        </w:tc>
        <w:tc>
          <w:tcPr>
            <w:tcW w:w="992" w:type="dxa"/>
            <w:vMerge/>
            <w:vAlign w:val="center"/>
            <w:hideMark/>
          </w:tcPr>
          <w:p w14:paraId="45B22E2B" w14:textId="77777777" w:rsidR="00DC5EC6" w:rsidRDefault="00DC5EC6">
            <w:pPr>
              <w:keepNext/>
              <w:spacing w:before="40" w:after="0" w:line="240" w:lineRule="auto"/>
              <w:jc w:val="both"/>
              <w:rPr>
                <w:rFonts w:ascii="Calibri" w:eastAsia="Times New Roman" w:hAnsi="Calibri" w:cs="Calibri"/>
                <w:noProof/>
                <w:sz w:val="16"/>
              </w:rPr>
            </w:pPr>
          </w:p>
        </w:tc>
        <w:tc>
          <w:tcPr>
            <w:tcW w:w="709" w:type="dxa"/>
            <w:vMerge/>
            <w:vAlign w:val="center"/>
            <w:hideMark/>
          </w:tcPr>
          <w:p w14:paraId="5FA212D8" w14:textId="77777777" w:rsidR="00DC5EC6" w:rsidRDefault="00DC5EC6">
            <w:pPr>
              <w:keepNext/>
              <w:spacing w:before="40" w:after="0" w:line="240" w:lineRule="auto"/>
              <w:jc w:val="both"/>
              <w:rPr>
                <w:rFonts w:ascii="Calibri" w:eastAsia="Times New Roman" w:hAnsi="Calibri" w:cs="Calibri"/>
                <w:noProof/>
                <w:sz w:val="16"/>
              </w:rPr>
            </w:pPr>
          </w:p>
        </w:tc>
        <w:tc>
          <w:tcPr>
            <w:tcW w:w="567" w:type="dxa"/>
            <w:vMerge/>
            <w:vAlign w:val="center"/>
            <w:hideMark/>
          </w:tcPr>
          <w:p w14:paraId="67B9BF89" w14:textId="77777777" w:rsidR="00DC5EC6" w:rsidRDefault="00DC5EC6">
            <w:pPr>
              <w:keepNext/>
              <w:spacing w:before="40" w:after="0" w:line="240" w:lineRule="auto"/>
              <w:jc w:val="both"/>
              <w:rPr>
                <w:rFonts w:ascii="Calibri" w:eastAsia="Times New Roman" w:hAnsi="Calibri" w:cs="Calibri"/>
                <w:noProof/>
                <w:sz w:val="16"/>
              </w:rPr>
            </w:pPr>
          </w:p>
        </w:tc>
        <w:tc>
          <w:tcPr>
            <w:tcW w:w="708" w:type="dxa"/>
            <w:vMerge/>
            <w:vAlign w:val="center"/>
            <w:hideMark/>
          </w:tcPr>
          <w:p w14:paraId="5BF5C728" w14:textId="77777777" w:rsidR="00DC5EC6" w:rsidRDefault="00DC5EC6">
            <w:pPr>
              <w:keepNext/>
              <w:spacing w:before="40" w:after="0" w:line="240" w:lineRule="auto"/>
              <w:jc w:val="both"/>
              <w:rPr>
                <w:rFonts w:ascii="Calibri" w:eastAsia="Times New Roman" w:hAnsi="Calibri" w:cs="Calibri"/>
                <w:noProof/>
                <w:sz w:val="16"/>
              </w:rPr>
            </w:pPr>
          </w:p>
        </w:tc>
        <w:tc>
          <w:tcPr>
            <w:tcW w:w="3969" w:type="dxa"/>
            <w:vMerge/>
            <w:vAlign w:val="center"/>
            <w:hideMark/>
          </w:tcPr>
          <w:p w14:paraId="7EE621F1" w14:textId="77777777" w:rsidR="00DC5EC6" w:rsidRDefault="00DC5EC6">
            <w:pPr>
              <w:keepNext/>
              <w:spacing w:before="40" w:after="0" w:line="240" w:lineRule="auto"/>
              <w:jc w:val="both"/>
              <w:rPr>
                <w:rFonts w:ascii="Calibri" w:eastAsia="Times New Roman" w:hAnsi="Calibri" w:cs="Calibri"/>
                <w:noProof/>
                <w:sz w:val="16"/>
              </w:rPr>
            </w:pPr>
          </w:p>
        </w:tc>
      </w:tr>
      <w:tr w:rsidR="00C9655D" w14:paraId="67ABFFD7" w14:textId="77777777">
        <w:trPr>
          <w:trHeight w:val="630"/>
        </w:trPr>
        <w:tc>
          <w:tcPr>
            <w:tcW w:w="1135" w:type="dxa"/>
            <w:shd w:val="clear" w:color="auto" w:fill="C4EFCE"/>
            <w:vAlign w:val="center"/>
            <w:hideMark/>
          </w:tcPr>
          <w:p w14:paraId="704A999D" w14:textId="77777777" w:rsidR="00C9655D" w:rsidRDefault="00C9655D" w:rsidP="00C9655D">
            <w:pPr>
              <w:pStyle w:val="P68B1DB1-Normal7"/>
              <w:keepNext/>
              <w:spacing w:before="40" w:after="0" w:line="240" w:lineRule="auto"/>
              <w:jc w:val="center"/>
              <w:rPr>
                <w:rFonts w:eastAsia="Times New Roman" w:cs="Calibri"/>
                <w:noProof/>
              </w:rPr>
            </w:pPr>
            <w:r>
              <w:rPr>
                <w:noProof/>
              </w:rPr>
              <w:t>12.2</w:t>
            </w:r>
          </w:p>
        </w:tc>
        <w:tc>
          <w:tcPr>
            <w:tcW w:w="1276" w:type="dxa"/>
            <w:shd w:val="clear" w:color="auto" w:fill="C4EFCE"/>
            <w:noWrap/>
            <w:vAlign w:val="center"/>
            <w:hideMark/>
          </w:tcPr>
          <w:p w14:paraId="78F41078" w14:textId="77777777" w:rsidR="00C9655D" w:rsidRDefault="00C9655D" w:rsidP="00C9655D">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4628D649" w14:textId="77777777" w:rsidR="00C9655D" w:rsidRDefault="00C9655D" w:rsidP="00C9655D">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27B190C1" w14:textId="77777777" w:rsidR="00C9655D" w:rsidRDefault="00C9655D" w:rsidP="00C9655D">
            <w:pPr>
              <w:pStyle w:val="P68B1DB1-Normal8"/>
              <w:keepNext/>
              <w:spacing w:before="40" w:after="0" w:line="240" w:lineRule="auto"/>
              <w:jc w:val="center"/>
              <w:rPr>
                <w:rFonts w:eastAsia="Times New Roman" w:cs="Calibri"/>
                <w:noProof/>
              </w:rPr>
            </w:pPr>
            <w:r>
              <w:rPr>
                <w:noProof/>
              </w:rPr>
              <w:t>A konzorciumok által a textil- és ruházati, a lábbeli- és a természetes gyantaágazatban új biogazdasági termékek, technológiák és eljárások kifejlesztésére benyújtott projektek jóváhagyása</w:t>
            </w:r>
          </w:p>
        </w:tc>
        <w:tc>
          <w:tcPr>
            <w:tcW w:w="1275" w:type="dxa"/>
            <w:shd w:val="clear" w:color="auto" w:fill="C4EFCE"/>
            <w:noWrap/>
            <w:vAlign w:val="center"/>
            <w:hideMark/>
          </w:tcPr>
          <w:p w14:paraId="620AF49C" w14:textId="77777777" w:rsidR="00C9655D" w:rsidRDefault="00C9655D" w:rsidP="00C9655D">
            <w:pPr>
              <w:pStyle w:val="P68B1DB1-Normal8"/>
              <w:keepNext/>
              <w:spacing w:before="40" w:after="0" w:line="240" w:lineRule="auto"/>
              <w:jc w:val="center"/>
              <w:rPr>
                <w:rFonts w:eastAsia="Times New Roman" w:cs="Calibri"/>
                <w:noProof/>
              </w:rPr>
            </w:pPr>
            <w:r>
              <w:rPr>
                <w:noProof/>
              </w:rPr>
              <w:t>Az új biogazdasági termékek, technológiák és eljárások fejlesztésére irányuló projektek jóváhagyása</w:t>
            </w:r>
          </w:p>
        </w:tc>
        <w:tc>
          <w:tcPr>
            <w:tcW w:w="993" w:type="dxa"/>
            <w:shd w:val="clear" w:color="auto" w:fill="C4EFCE"/>
            <w:noWrap/>
            <w:vAlign w:val="center"/>
            <w:hideMark/>
          </w:tcPr>
          <w:p w14:paraId="5956DCDC" w14:textId="77777777" w:rsidR="00C9655D" w:rsidRDefault="00C9655D" w:rsidP="00C9655D">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7463DC1B" w14:textId="77777777" w:rsidR="00C9655D" w:rsidRDefault="00C9655D" w:rsidP="00C9655D">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35FFDF23" w14:textId="77777777" w:rsidR="00C9655D" w:rsidRDefault="00C9655D" w:rsidP="00C9655D">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342007C6" w14:textId="01B73AF7" w:rsidR="00C9655D" w:rsidRDefault="00C9655D" w:rsidP="00C9655D">
            <w:pPr>
              <w:pStyle w:val="P68B1DB1-Normal8"/>
              <w:keepNext/>
              <w:spacing w:before="40"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4BD70A66" w14:textId="77777777" w:rsidR="00C9655D" w:rsidRDefault="00C9655D" w:rsidP="00C9655D">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0EDAFC67" w14:textId="77777777" w:rsidR="00C9655D" w:rsidRDefault="00C9655D" w:rsidP="00C9655D">
            <w:pPr>
              <w:pStyle w:val="P68B1DB1-Normal8"/>
              <w:keepNext/>
              <w:spacing w:before="40" w:after="0" w:line="240" w:lineRule="auto"/>
              <w:jc w:val="both"/>
              <w:rPr>
                <w:rFonts w:eastAsia="Times New Roman" w:cs="Calibri"/>
                <w:noProof/>
              </w:rPr>
            </w:pPr>
            <w:r>
              <w:rPr>
                <w:noProof/>
              </w:rPr>
              <w:t xml:space="preserve">A konzorciumok által a textil- és ruházati, a lábbeli- és a természetes gyantaágazatban új biogazdasági termékek, technológiák és eljárások kifejlesztésére benyújtott projektek kiválasztási bizottság általi jóváhagyása. </w:t>
            </w:r>
          </w:p>
          <w:p w14:paraId="7E2CA1C9" w14:textId="77777777" w:rsidR="00C9655D" w:rsidRDefault="00C9655D" w:rsidP="00C9655D">
            <w:pPr>
              <w:pStyle w:val="P68B1DB1-Normal8"/>
              <w:keepNext/>
              <w:spacing w:before="40" w:after="0" w:line="240" w:lineRule="auto"/>
              <w:jc w:val="both"/>
              <w:rPr>
                <w:rFonts w:eastAsia="Times New Roman" w:cs="Calibri"/>
                <w:noProof/>
              </w:rPr>
            </w:pPr>
            <w:r>
              <w:rPr>
                <w:noProof/>
              </w:rPr>
              <w:t xml:space="preserve">A konzorciumok által támogatásra benyújtott projektek a következő programok egyikébe tartoznak: „A fenntartható és körforgásos biogazdaság előmozdítása a textil- és ruhaiparban”, „A fenntartható és körforgásos biogazdaság előmozdítása a lábbeliágazatban” és „A természetes gyanták előmozdítása és hasznosítása”. </w:t>
            </w:r>
          </w:p>
          <w:p w14:paraId="373315BC" w14:textId="57EEC5F1" w:rsidR="00C9655D" w:rsidRDefault="00C9655D" w:rsidP="00C9655D">
            <w:pPr>
              <w:pStyle w:val="P68B1DB1-Normal8"/>
              <w:keepNext/>
              <w:spacing w:before="40" w:after="0" w:line="240" w:lineRule="auto"/>
              <w:jc w:val="both"/>
              <w:rPr>
                <w:rFonts w:eastAsia="Times New Roman" w:cs="Calibri"/>
                <w:noProof/>
              </w:rPr>
            </w:pPr>
            <w:r>
              <w:rPr>
                <w:noProof/>
              </w:rPr>
              <w:t xml:space="preserve">Az alacsony szén-dioxid-kibocsátású gazdaságra, a rezilienciára és az éghajlatváltozáshoz való alkalmazkodásra kell összpontosítaniuk a tiszta technológiai megoldások, az alacsony hatású alternatívák és az elérhető legjobb technikák alkalmazása révén. A projektekre vonatkozó kiválasztási kritériumok előírják, hogy valamennyi támogatott K+I projektnek biztosítania kell a közvetlen és közvetett szén-dioxid-kibocsátás csökkentését. </w:t>
            </w:r>
          </w:p>
          <w:p w14:paraId="13B6D23C" w14:textId="3DD59F32" w:rsidR="00C9655D" w:rsidRDefault="00C9655D" w:rsidP="00C9655D">
            <w:pPr>
              <w:pStyle w:val="P68B1DB1-Normal8"/>
              <w:keepNext/>
              <w:spacing w:before="40" w:after="0" w:line="240" w:lineRule="auto"/>
              <w:jc w:val="both"/>
              <w:rPr>
                <w:rFonts w:eastAsia="Times New Roman" w:cs="Calibri"/>
                <w:noProof/>
              </w:rPr>
            </w:pPr>
            <w:r>
              <w:rPr>
                <w:noProof/>
              </w:rPr>
              <w:t>A kiválasztott projekteknek egy kizárási lista és a vonatkozó uniós és nemzeti környezetvédelmi jogszabályoknak való megfelelés követelménye révén meg kell felelniük a jelentős károkozás elkerülését célzó elvről szóló technikai iránymutatásnak (2021/C58/01).</w:t>
            </w:r>
          </w:p>
        </w:tc>
      </w:tr>
      <w:tr w:rsidR="003A6168" w14:paraId="1F72AFA7" w14:textId="77777777">
        <w:trPr>
          <w:trHeight w:val="640"/>
        </w:trPr>
        <w:tc>
          <w:tcPr>
            <w:tcW w:w="1135" w:type="dxa"/>
            <w:shd w:val="clear" w:color="auto" w:fill="C4EFCE"/>
            <w:vAlign w:val="center"/>
            <w:hideMark/>
          </w:tcPr>
          <w:p w14:paraId="79604885" w14:textId="77777777" w:rsidR="003A6168" w:rsidRDefault="003A6168" w:rsidP="003A6168">
            <w:pPr>
              <w:pStyle w:val="P68B1DB1-Normal7"/>
              <w:keepNext/>
              <w:spacing w:before="40" w:after="0" w:line="240" w:lineRule="auto"/>
              <w:jc w:val="center"/>
              <w:rPr>
                <w:rFonts w:eastAsia="Times New Roman" w:cs="Calibri"/>
                <w:noProof/>
              </w:rPr>
            </w:pPr>
            <w:r>
              <w:rPr>
                <w:noProof/>
              </w:rPr>
              <w:t>12.3</w:t>
            </w:r>
          </w:p>
        </w:tc>
        <w:tc>
          <w:tcPr>
            <w:tcW w:w="1276" w:type="dxa"/>
            <w:shd w:val="clear" w:color="auto" w:fill="C4EFCE"/>
            <w:noWrap/>
            <w:vAlign w:val="center"/>
            <w:hideMark/>
          </w:tcPr>
          <w:p w14:paraId="7DCAFD0A" w14:textId="77777777" w:rsidR="003A6168" w:rsidRDefault="003A6168" w:rsidP="003A6168">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F5A6A08"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7AA2A96B" w14:textId="77777777" w:rsidR="003A6168" w:rsidRDefault="003A6168" w:rsidP="003A6168">
            <w:pPr>
              <w:pStyle w:val="P68B1DB1-Normal8"/>
              <w:keepNext/>
              <w:spacing w:before="40" w:after="0" w:line="240" w:lineRule="auto"/>
              <w:jc w:val="center"/>
              <w:rPr>
                <w:rFonts w:eastAsia="Times New Roman" w:cs="Calibri"/>
                <w:noProof/>
              </w:rPr>
            </w:pPr>
            <w:r>
              <w:rPr>
                <w:noProof/>
              </w:rPr>
              <w:t xml:space="preserve">Bioalapú erőforrásokat integráló új termékek, technológiák és kísérleti folyamatok </w:t>
            </w:r>
          </w:p>
        </w:tc>
        <w:tc>
          <w:tcPr>
            <w:tcW w:w="1275" w:type="dxa"/>
            <w:shd w:val="clear" w:color="auto" w:fill="C4EFCE"/>
            <w:noWrap/>
            <w:vAlign w:val="center"/>
            <w:hideMark/>
          </w:tcPr>
          <w:p w14:paraId="4D4A5918"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3848C4DC" w14:textId="77777777" w:rsidR="003A6168" w:rsidRDefault="003A6168" w:rsidP="003A6168">
            <w:pPr>
              <w:pStyle w:val="P68B1DB1-Normal8"/>
              <w:keepNext/>
              <w:spacing w:before="40"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5AB50F47" w14:textId="77777777" w:rsidR="003A6168" w:rsidRDefault="003A6168" w:rsidP="003A6168">
            <w:pPr>
              <w:pStyle w:val="P68B1DB1-Normal8"/>
              <w:keepNext/>
              <w:spacing w:before="40" w:after="0" w:line="240" w:lineRule="auto"/>
              <w:jc w:val="center"/>
              <w:rPr>
                <w:rFonts w:eastAsia="Times New Roman" w:cs="Calibri"/>
                <w:noProof/>
              </w:rPr>
            </w:pPr>
            <w:r>
              <w:rPr>
                <w:noProof/>
              </w:rPr>
              <w:t> 0</w:t>
            </w:r>
          </w:p>
        </w:tc>
        <w:tc>
          <w:tcPr>
            <w:tcW w:w="709" w:type="dxa"/>
            <w:shd w:val="clear" w:color="auto" w:fill="C4EFCE"/>
            <w:noWrap/>
            <w:vAlign w:val="center"/>
            <w:hideMark/>
          </w:tcPr>
          <w:p w14:paraId="6F17EB16" w14:textId="77777777" w:rsidR="003A6168" w:rsidRDefault="003A6168" w:rsidP="003A6168">
            <w:pPr>
              <w:pStyle w:val="P68B1DB1-Normal8"/>
              <w:keepNext/>
              <w:spacing w:before="40" w:after="0" w:line="240" w:lineRule="auto"/>
              <w:jc w:val="center"/>
              <w:rPr>
                <w:rFonts w:eastAsia="Times New Roman" w:cs="Calibri"/>
                <w:noProof/>
              </w:rPr>
            </w:pPr>
            <w:r>
              <w:rPr>
                <w:noProof/>
              </w:rPr>
              <w:t> 15</w:t>
            </w:r>
          </w:p>
        </w:tc>
        <w:tc>
          <w:tcPr>
            <w:tcW w:w="567" w:type="dxa"/>
            <w:shd w:val="clear" w:color="auto" w:fill="C4EFCE"/>
            <w:noWrap/>
            <w:vAlign w:val="center"/>
            <w:hideMark/>
          </w:tcPr>
          <w:p w14:paraId="03A29219" w14:textId="617606FC"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0ECB7A2A"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2F1A4FC3" w14:textId="77777777" w:rsidR="003A6168" w:rsidRDefault="003A6168" w:rsidP="003A6168">
            <w:pPr>
              <w:pStyle w:val="P68B1DB1-Normal8"/>
              <w:keepNext/>
              <w:spacing w:before="40" w:after="0" w:line="240" w:lineRule="auto"/>
              <w:jc w:val="both"/>
              <w:rPr>
                <w:rFonts w:eastAsia="Times New Roman" w:cs="Calibri"/>
                <w:noProof/>
              </w:rPr>
            </w:pPr>
            <w:r>
              <w:rPr>
                <w:noProof/>
              </w:rPr>
              <w:t>Bioalapú erőforrásokat integráló új termékek, technológiák és kísérleti folyamatok. Ez legalább 10 új terméket vagy technológiát (6–7. technológiai érettségi szint) és legalább 5 ipari kísérleti folyamatot (7–9. technológiai érettségi szint) foglal magában a következő ágazatokban: textil-, lábbeli- és gyantagyártás.</w:t>
            </w:r>
          </w:p>
        </w:tc>
      </w:tr>
      <w:tr w:rsidR="003A6168" w14:paraId="029AA38F" w14:textId="77777777">
        <w:trPr>
          <w:trHeight w:val="430"/>
        </w:trPr>
        <w:tc>
          <w:tcPr>
            <w:tcW w:w="1135" w:type="dxa"/>
            <w:shd w:val="clear" w:color="auto" w:fill="C4EFCE"/>
            <w:vAlign w:val="center"/>
            <w:hideMark/>
          </w:tcPr>
          <w:p w14:paraId="0DC95BE8" w14:textId="77777777" w:rsidR="003A6168" w:rsidRDefault="003A6168" w:rsidP="003A6168">
            <w:pPr>
              <w:pStyle w:val="P68B1DB1-Normal7"/>
              <w:keepNext/>
              <w:spacing w:before="40" w:after="0" w:line="240" w:lineRule="auto"/>
              <w:jc w:val="center"/>
              <w:rPr>
                <w:rFonts w:eastAsia="Times New Roman" w:cs="Calibri"/>
                <w:noProof/>
              </w:rPr>
            </w:pPr>
            <w:r>
              <w:rPr>
                <w:noProof/>
              </w:rPr>
              <w:t>12.4</w:t>
            </w:r>
          </w:p>
        </w:tc>
        <w:tc>
          <w:tcPr>
            <w:tcW w:w="1276" w:type="dxa"/>
            <w:shd w:val="clear" w:color="auto" w:fill="C4EFCE"/>
            <w:noWrap/>
            <w:vAlign w:val="center"/>
            <w:hideMark/>
          </w:tcPr>
          <w:p w14:paraId="00D79CA4" w14:textId="77777777" w:rsidR="003A6168" w:rsidRDefault="003A6168" w:rsidP="003A6168">
            <w:pPr>
              <w:pStyle w:val="P68B1DB1-Normal8"/>
              <w:keepNext/>
              <w:spacing w:before="40" w:after="0" w:line="240" w:lineRule="auto"/>
              <w:jc w:val="center"/>
              <w:rPr>
                <w:rFonts w:eastAsia="Times New Roman" w:cs="Calibri"/>
                <w:noProof/>
              </w:rPr>
            </w:pPr>
            <w:r>
              <w:rPr>
                <w:noProof/>
              </w:rPr>
              <w:t>TC-C12–i01</w:t>
            </w:r>
          </w:p>
        </w:tc>
        <w:tc>
          <w:tcPr>
            <w:tcW w:w="1134" w:type="dxa"/>
            <w:shd w:val="clear" w:color="auto" w:fill="C4EFCE"/>
            <w:noWrap/>
            <w:vAlign w:val="center"/>
            <w:hideMark/>
          </w:tcPr>
          <w:p w14:paraId="6AA0EC62" w14:textId="77777777" w:rsidR="003A6168" w:rsidRDefault="003A6168" w:rsidP="003A6168">
            <w:pPr>
              <w:pStyle w:val="P68B1DB1-Normal8"/>
              <w:keepNext/>
              <w:spacing w:before="40" w:after="0" w:line="240" w:lineRule="auto"/>
              <w:jc w:val="center"/>
              <w:rPr>
                <w:rFonts w:eastAsia="Times New Roman" w:cs="Calibri"/>
                <w:noProof/>
              </w:rPr>
            </w:pPr>
            <w:r>
              <w:rPr>
                <w:noProof/>
              </w:rPr>
              <w:t>T</w:t>
            </w:r>
          </w:p>
        </w:tc>
        <w:tc>
          <w:tcPr>
            <w:tcW w:w="1701" w:type="dxa"/>
            <w:shd w:val="clear" w:color="auto" w:fill="C4EFCE"/>
            <w:noWrap/>
            <w:vAlign w:val="center"/>
            <w:hideMark/>
          </w:tcPr>
          <w:p w14:paraId="3A995D45" w14:textId="77777777" w:rsidR="003A6168" w:rsidRDefault="003A6168" w:rsidP="003A6168">
            <w:pPr>
              <w:pStyle w:val="P68B1DB1-Normal8"/>
              <w:keepNext/>
              <w:spacing w:before="40" w:after="0" w:line="240" w:lineRule="auto"/>
              <w:jc w:val="center"/>
              <w:rPr>
                <w:rFonts w:eastAsia="Times New Roman" w:cs="Calibri"/>
                <w:noProof/>
              </w:rPr>
            </w:pPr>
            <w:r>
              <w:rPr>
                <w:noProof/>
              </w:rPr>
              <w:t>Gyantatermesztési potenciállal rendelkező tengeri fenyőerdők fejlesztése</w:t>
            </w:r>
          </w:p>
        </w:tc>
        <w:tc>
          <w:tcPr>
            <w:tcW w:w="1275" w:type="dxa"/>
            <w:shd w:val="clear" w:color="auto" w:fill="C4EFCE"/>
            <w:noWrap/>
            <w:vAlign w:val="center"/>
            <w:hideMark/>
          </w:tcPr>
          <w:p w14:paraId="289BF410" w14:textId="77777777" w:rsidR="003A6168" w:rsidRDefault="003A6168" w:rsidP="003A6168">
            <w:pPr>
              <w:pStyle w:val="P68B1DB1-Normal8"/>
              <w:keepNext/>
              <w:spacing w:before="40" w:after="0" w:line="240" w:lineRule="auto"/>
              <w:jc w:val="center"/>
              <w:rPr>
                <w:rFonts w:eastAsia="Times New Roman" w:cs="Calibri"/>
                <w:noProof/>
              </w:rPr>
            </w:pPr>
            <w:r>
              <w:rPr>
                <w:noProof/>
              </w:rPr>
              <w:t> </w:t>
            </w:r>
          </w:p>
        </w:tc>
        <w:tc>
          <w:tcPr>
            <w:tcW w:w="993" w:type="dxa"/>
            <w:shd w:val="clear" w:color="auto" w:fill="C4EFCE"/>
            <w:noWrap/>
            <w:vAlign w:val="center"/>
            <w:hideMark/>
          </w:tcPr>
          <w:p w14:paraId="01EED50B" w14:textId="77777777" w:rsidR="003A6168" w:rsidRDefault="003A6168" w:rsidP="003A6168">
            <w:pPr>
              <w:pStyle w:val="P68B1DB1-Normal8"/>
              <w:keepNext/>
              <w:spacing w:before="40" w:after="0" w:line="240" w:lineRule="auto"/>
              <w:jc w:val="center"/>
              <w:rPr>
                <w:rFonts w:eastAsia="Times New Roman" w:cs="Calibri"/>
                <w:noProof/>
              </w:rPr>
            </w:pPr>
            <w:r>
              <w:rPr>
                <w:noProof/>
              </w:rPr>
              <w:t>ha</w:t>
            </w:r>
          </w:p>
        </w:tc>
        <w:tc>
          <w:tcPr>
            <w:tcW w:w="992" w:type="dxa"/>
            <w:shd w:val="clear" w:color="auto" w:fill="C4EFCE"/>
            <w:noWrap/>
            <w:vAlign w:val="center"/>
            <w:hideMark/>
          </w:tcPr>
          <w:p w14:paraId="426FC88F" w14:textId="77777777" w:rsidR="003A6168" w:rsidRDefault="003A6168" w:rsidP="003A6168">
            <w:pPr>
              <w:pStyle w:val="P68B1DB1-Normal8"/>
              <w:keepNext/>
              <w:spacing w:before="40" w:after="0" w:line="240" w:lineRule="auto"/>
              <w:jc w:val="center"/>
              <w:rPr>
                <w:rFonts w:eastAsia="Times New Roman" w:cs="Calibri"/>
                <w:noProof/>
              </w:rPr>
            </w:pPr>
            <w:r>
              <w:rPr>
                <w:noProof/>
              </w:rPr>
              <w:t>0</w:t>
            </w:r>
          </w:p>
        </w:tc>
        <w:tc>
          <w:tcPr>
            <w:tcW w:w="709" w:type="dxa"/>
            <w:shd w:val="clear" w:color="auto" w:fill="C4EFCE"/>
            <w:noWrap/>
            <w:vAlign w:val="center"/>
            <w:hideMark/>
          </w:tcPr>
          <w:p w14:paraId="556DED51" w14:textId="77777777" w:rsidR="003A6168" w:rsidRDefault="003A6168" w:rsidP="003A6168">
            <w:pPr>
              <w:pStyle w:val="P68B1DB1-Normal8"/>
              <w:keepNext/>
              <w:spacing w:before="40" w:after="0" w:line="240" w:lineRule="auto"/>
              <w:jc w:val="center"/>
              <w:rPr>
                <w:rFonts w:eastAsia="Times New Roman" w:cs="Calibri"/>
                <w:noProof/>
              </w:rPr>
            </w:pPr>
            <w:r>
              <w:rPr>
                <w:noProof/>
              </w:rPr>
              <w:t>8500</w:t>
            </w:r>
          </w:p>
        </w:tc>
        <w:tc>
          <w:tcPr>
            <w:tcW w:w="567" w:type="dxa"/>
            <w:shd w:val="clear" w:color="auto" w:fill="C4EFCE"/>
            <w:noWrap/>
            <w:vAlign w:val="center"/>
            <w:hideMark/>
          </w:tcPr>
          <w:p w14:paraId="75362553" w14:textId="2A4B09FA" w:rsidR="003A6168" w:rsidRDefault="003A6168" w:rsidP="003A6168">
            <w:pPr>
              <w:pStyle w:val="P68B1DB1-Normal8"/>
              <w:keepNext/>
              <w:spacing w:before="40"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942C662" w14:textId="77777777" w:rsidR="003A6168" w:rsidRDefault="003A6168" w:rsidP="003A6168">
            <w:pPr>
              <w:pStyle w:val="P68B1DB1-Normal8"/>
              <w:keepNext/>
              <w:spacing w:before="40" w:after="0" w:line="240" w:lineRule="auto"/>
              <w:jc w:val="center"/>
              <w:rPr>
                <w:rFonts w:eastAsia="Times New Roman" w:cs="Calibri"/>
                <w:noProof/>
              </w:rPr>
            </w:pPr>
            <w:r>
              <w:rPr>
                <w:noProof/>
              </w:rPr>
              <w:t>2025</w:t>
            </w:r>
          </w:p>
        </w:tc>
        <w:tc>
          <w:tcPr>
            <w:tcW w:w="3969" w:type="dxa"/>
            <w:shd w:val="clear" w:color="auto" w:fill="C4EFCE"/>
            <w:vAlign w:val="center"/>
            <w:hideMark/>
          </w:tcPr>
          <w:p w14:paraId="51C1605D" w14:textId="77777777" w:rsidR="003A6168" w:rsidRDefault="003A6168" w:rsidP="003A6168">
            <w:pPr>
              <w:pStyle w:val="P68B1DB1-Normal8"/>
              <w:keepNext/>
              <w:spacing w:before="40" w:after="0" w:line="240" w:lineRule="auto"/>
              <w:jc w:val="both"/>
              <w:rPr>
                <w:rFonts w:eastAsia="Times New Roman" w:cs="Calibri"/>
                <w:noProof/>
              </w:rPr>
            </w:pPr>
            <w:r>
              <w:rPr>
                <w:noProof/>
              </w:rPr>
              <w:t>A tengeri fenyőerdők természetes regenerációs technikák és gyantás ágak metszése révén kialakult területe.</w:t>
            </w:r>
          </w:p>
        </w:tc>
      </w:tr>
      <w:tr w:rsidR="00DC5EC6" w14:paraId="06448507" w14:textId="77777777">
        <w:trPr>
          <w:trHeight w:val="509"/>
        </w:trPr>
        <w:tc>
          <w:tcPr>
            <w:tcW w:w="1135" w:type="dxa"/>
            <w:vMerge w:val="restart"/>
            <w:shd w:val="clear" w:color="auto" w:fill="C4EFCE"/>
            <w:vAlign w:val="center"/>
            <w:hideMark/>
          </w:tcPr>
          <w:p w14:paraId="01815B47" w14:textId="77777777" w:rsidR="00DC5EC6" w:rsidRDefault="003245A4">
            <w:pPr>
              <w:pStyle w:val="P68B1DB1-Normal7"/>
              <w:keepNext/>
              <w:spacing w:before="40" w:after="0" w:line="240" w:lineRule="auto"/>
              <w:jc w:val="center"/>
              <w:rPr>
                <w:rFonts w:eastAsia="Times New Roman" w:cs="Calibri"/>
                <w:noProof/>
              </w:rPr>
            </w:pPr>
            <w:r>
              <w:rPr>
                <w:noProof/>
              </w:rPr>
              <w:t>12.5</w:t>
            </w:r>
          </w:p>
        </w:tc>
        <w:tc>
          <w:tcPr>
            <w:tcW w:w="1276" w:type="dxa"/>
            <w:vMerge w:val="restart"/>
            <w:shd w:val="clear" w:color="auto" w:fill="C4EFCE"/>
            <w:noWrap/>
            <w:vAlign w:val="center"/>
            <w:hideMark/>
          </w:tcPr>
          <w:p w14:paraId="5A975A5B" w14:textId="77777777" w:rsidR="00DC5EC6" w:rsidRDefault="003245A4">
            <w:pPr>
              <w:pStyle w:val="P68B1DB1-Normal8"/>
              <w:keepNext/>
              <w:spacing w:before="40" w:after="0" w:line="240" w:lineRule="auto"/>
              <w:jc w:val="center"/>
              <w:rPr>
                <w:rFonts w:eastAsia="Times New Roman" w:cs="Calibri"/>
                <w:noProof/>
              </w:rPr>
            </w:pPr>
            <w:r>
              <w:rPr>
                <w:noProof/>
              </w:rPr>
              <w:t>TC-C12-r25</w:t>
            </w:r>
          </w:p>
        </w:tc>
        <w:tc>
          <w:tcPr>
            <w:tcW w:w="1134" w:type="dxa"/>
            <w:vMerge w:val="restart"/>
            <w:shd w:val="clear" w:color="auto" w:fill="C4EFCE"/>
            <w:noWrap/>
            <w:vAlign w:val="center"/>
            <w:hideMark/>
          </w:tcPr>
          <w:p w14:paraId="7B72424B" w14:textId="77777777" w:rsidR="00DC5EC6" w:rsidRDefault="003245A4">
            <w:pPr>
              <w:pStyle w:val="P68B1DB1-Normal8"/>
              <w:keepNext/>
              <w:spacing w:before="40" w:after="0" w:line="240" w:lineRule="auto"/>
              <w:jc w:val="center"/>
              <w:rPr>
                <w:rFonts w:eastAsia="Times New Roman" w:cs="Calibri"/>
                <w:noProof/>
              </w:rPr>
            </w:pPr>
            <w:r>
              <w:rPr>
                <w:noProof/>
              </w:rPr>
              <w:t>M</w:t>
            </w:r>
          </w:p>
        </w:tc>
        <w:tc>
          <w:tcPr>
            <w:tcW w:w="1701" w:type="dxa"/>
            <w:vMerge w:val="restart"/>
            <w:shd w:val="clear" w:color="auto" w:fill="C4EFCE"/>
            <w:noWrap/>
            <w:vAlign w:val="center"/>
            <w:hideMark/>
          </w:tcPr>
          <w:p w14:paraId="69664442" w14:textId="77777777" w:rsidR="00DC5EC6" w:rsidRDefault="003245A4">
            <w:pPr>
              <w:pStyle w:val="P68B1DB1-Normal8"/>
              <w:keepNext/>
              <w:spacing w:before="40" w:after="0" w:line="240" w:lineRule="auto"/>
              <w:jc w:val="center"/>
              <w:rPr>
                <w:rFonts w:eastAsia="Times New Roman" w:cs="Calibri"/>
                <w:noProof/>
              </w:rPr>
            </w:pPr>
            <w:r>
              <w:rPr>
                <w:noProof/>
              </w:rPr>
              <w:t>Az új általános hulladékgazdálkodási rendszer hatálybalépése</w:t>
            </w:r>
          </w:p>
        </w:tc>
        <w:tc>
          <w:tcPr>
            <w:tcW w:w="1275" w:type="dxa"/>
            <w:vMerge w:val="restart"/>
            <w:shd w:val="clear" w:color="auto" w:fill="C4EFCE"/>
            <w:noWrap/>
            <w:vAlign w:val="center"/>
            <w:hideMark/>
          </w:tcPr>
          <w:p w14:paraId="1355927D" w14:textId="77777777" w:rsidR="00DC5EC6" w:rsidRDefault="003245A4">
            <w:pPr>
              <w:pStyle w:val="P68B1DB1-Normal8"/>
              <w:keepNext/>
              <w:spacing w:before="40" w:after="0" w:line="240" w:lineRule="auto"/>
              <w:jc w:val="center"/>
              <w:rPr>
                <w:rFonts w:eastAsia="Times New Roman" w:cs="Calibri"/>
                <w:noProof/>
              </w:rPr>
            </w:pPr>
            <w:r>
              <w:rPr>
                <w:noProof/>
              </w:rPr>
              <w:t>Az új általános hulladékgazdálkodási rendszer hatálybalépése</w:t>
            </w:r>
          </w:p>
        </w:tc>
        <w:tc>
          <w:tcPr>
            <w:tcW w:w="993" w:type="dxa"/>
            <w:vMerge w:val="restart"/>
            <w:shd w:val="clear" w:color="auto" w:fill="C4EFCE"/>
            <w:noWrap/>
            <w:vAlign w:val="center"/>
            <w:hideMark/>
          </w:tcPr>
          <w:p w14:paraId="54E17836"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992" w:type="dxa"/>
            <w:vMerge w:val="restart"/>
            <w:shd w:val="clear" w:color="auto" w:fill="C4EFCE"/>
            <w:noWrap/>
            <w:vAlign w:val="center"/>
            <w:hideMark/>
          </w:tcPr>
          <w:p w14:paraId="68CD8F4C"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709" w:type="dxa"/>
            <w:vMerge w:val="restart"/>
            <w:shd w:val="clear" w:color="auto" w:fill="C4EFCE"/>
            <w:noWrap/>
            <w:vAlign w:val="center"/>
            <w:hideMark/>
          </w:tcPr>
          <w:p w14:paraId="30FF5517"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567" w:type="dxa"/>
            <w:vMerge w:val="restart"/>
            <w:shd w:val="clear" w:color="auto" w:fill="C4EFCE"/>
            <w:noWrap/>
            <w:vAlign w:val="center"/>
            <w:hideMark/>
          </w:tcPr>
          <w:p w14:paraId="4E701E35" w14:textId="20EA5CE8" w:rsidR="00DC5EC6" w:rsidRDefault="003A6168">
            <w:pPr>
              <w:pStyle w:val="P68B1DB1-Normal8"/>
              <w:keepNext/>
              <w:spacing w:before="40" w:after="0" w:line="240" w:lineRule="auto"/>
              <w:jc w:val="center"/>
              <w:rPr>
                <w:rFonts w:eastAsia="Times New Roman" w:cs="Calibri"/>
                <w:noProof/>
              </w:rPr>
            </w:pPr>
            <w:r>
              <w:rPr>
                <w:noProof/>
              </w:rPr>
              <w:t xml:space="preserve">3. </w:t>
            </w:r>
            <w:r w:rsidR="003245A4">
              <w:rPr>
                <w:noProof/>
              </w:rPr>
              <w:t>NEGYEDÉV</w:t>
            </w:r>
          </w:p>
        </w:tc>
        <w:tc>
          <w:tcPr>
            <w:tcW w:w="708" w:type="dxa"/>
            <w:vMerge w:val="restart"/>
            <w:shd w:val="clear" w:color="auto" w:fill="C4EFCE"/>
            <w:noWrap/>
            <w:vAlign w:val="center"/>
            <w:hideMark/>
          </w:tcPr>
          <w:p w14:paraId="3E43C2B4" w14:textId="77777777" w:rsidR="00DC5EC6" w:rsidRDefault="003245A4">
            <w:pPr>
              <w:pStyle w:val="P68B1DB1-Normal8"/>
              <w:keepNext/>
              <w:spacing w:before="40" w:after="0" w:line="240" w:lineRule="auto"/>
              <w:jc w:val="center"/>
              <w:rPr>
                <w:rFonts w:eastAsia="Times New Roman" w:cs="Calibri"/>
                <w:noProof/>
              </w:rPr>
            </w:pPr>
            <w:r>
              <w:rPr>
                <w:noProof/>
              </w:rPr>
              <w:t>2021</w:t>
            </w:r>
          </w:p>
        </w:tc>
        <w:tc>
          <w:tcPr>
            <w:tcW w:w="3969" w:type="dxa"/>
            <w:vMerge w:val="restart"/>
            <w:shd w:val="clear" w:color="auto" w:fill="C4EFCE"/>
            <w:vAlign w:val="center"/>
            <w:hideMark/>
          </w:tcPr>
          <w:p w14:paraId="48913900" w14:textId="77777777" w:rsidR="00DC5EC6" w:rsidRDefault="003245A4">
            <w:pPr>
              <w:pStyle w:val="P68B1DB1-Normal8"/>
              <w:keepNext/>
              <w:spacing w:before="40" w:after="0" w:line="240" w:lineRule="auto"/>
              <w:jc w:val="both"/>
              <w:rPr>
                <w:rFonts w:eastAsia="Times New Roman" w:cs="Calibri"/>
                <w:noProof/>
              </w:rPr>
            </w:pPr>
            <w:r>
              <w:rPr>
                <w:noProof/>
              </w:rPr>
              <w:t>Az új általános hulladékgazdálkodási rendszer (RGGR) hatálybalépése, amely egyszerűsíti az adminisztratív folyamatot és csökkenti a melléktermékek felhasználásához kapcsolódó költségeket.</w:t>
            </w:r>
          </w:p>
        </w:tc>
      </w:tr>
      <w:tr w:rsidR="00DC5EC6" w14:paraId="586A7CD8" w14:textId="77777777">
        <w:trPr>
          <w:trHeight w:val="509"/>
        </w:trPr>
        <w:tc>
          <w:tcPr>
            <w:tcW w:w="1135" w:type="dxa"/>
            <w:vMerge/>
            <w:vAlign w:val="center"/>
            <w:hideMark/>
          </w:tcPr>
          <w:p w14:paraId="0DB010B9" w14:textId="77777777" w:rsidR="00DC5EC6" w:rsidRDefault="00DC5EC6">
            <w:pPr>
              <w:keepNext/>
              <w:spacing w:before="40" w:after="0" w:line="240" w:lineRule="auto"/>
              <w:jc w:val="both"/>
              <w:rPr>
                <w:rFonts w:ascii="Calibri" w:eastAsia="Times New Roman" w:hAnsi="Calibri" w:cs="Calibri"/>
                <w:b/>
                <w:noProof/>
                <w:sz w:val="16"/>
              </w:rPr>
            </w:pPr>
          </w:p>
        </w:tc>
        <w:tc>
          <w:tcPr>
            <w:tcW w:w="1276" w:type="dxa"/>
            <w:vMerge/>
            <w:vAlign w:val="center"/>
            <w:hideMark/>
          </w:tcPr>
          <w:p w14:paraId="367E3F02" w14:textId="77777777" w:rsidR="00DC5EC6" w:rsidRDefault="00DC5EC6">
            <w:pPr>
              <w:keepNext/>
              <w:spacing w:before="40" w:after="0" w:line="240" w:lineRule="auto"/>
              <w:jc w:val="both"/>
              <w:rPr>
                <w:rFonts w:ascii="Calibri" w:eastAsia="Times New Roman" w:hAnsi="Calibri" w:cs="Calibri"/>
                <w:noProof/>
                <w:sz w:val="16"/>
              </w:rPr>
            </w:pPr>
          </w:p>
        </w:tc>
        <w:tc>
          <w:tcPr>
            <w:tcW w:w="1134" w:type="dxa"/>
            <w:vMerge/>
            <w:vAlign w:val="center"/>
            <w:hideMark/>
          </w:tcPr>
          <w:p w14:paraId="2443F33D" w14:textId="77777777" w:rsidR="00DC5EC6" w:rsidRDefault="00DC5EC6">
            <w:pPr>
              <w:keepNext/>
              <w:spacing w:before="40" w:after="0" w:line="240" w:lineRule="auto"/>
              <w:jc w:val="both"/>
              <w:rPr>
                <w:rFonts w:ascii="Calibri" w:eastAsia="Times New Roman" w:hAnsi="Calibri" w:cs="Calibri"/>
                <w:noProof/>
                <w:sz w:val="16"/>
              </w:rPr>
            </w:pPr>
          </w:p>
        </w:tc>
        <w:tc>
          <w:tcPr>
            <w:tcW w:w="1701" w:type="dxa"/>
            <w:vMerge/>
            <w:vAlign w:val="center"/>
            <w:hideMark/>
          </w:tcPr>
          <w:p w14:paraId="5DD737E3" w14:textId="77777777" w:rsidR="00DC5EC6" w:rsidRDefault="00DC5EC6">
            <w:pPr>
              <w:keepNext/>
              <w:spacing w:before="40" w:after="0" w:line="240" w:lineRule="auto"/>
              <w:jc w:val="both"/>
              <w:rPr>
                <w:rFonts w:ascii="Calibri" w:eastAsia="Times New Roman" w:hAnsi="Calibri" w:cs="Calibri"/>
                <w:noProof/>
                <w:sz w:val="16"/>
              </w:rPr>
            </w:pPr>
          </w:p>
        </w:tc>
        <w:tc>
          <w:tcPr>
            <w:tcW w:w="1275" w:type="dxa"/>
            <w:vMerge/>
            <w:vAlign w:val="center"/>
            <w:hideMark/>
          </w:tcPr>
          <w:p w14:paraId="2487D94E" w14:textId="77777777" w:rsidR="00DC5EC6" w:rsidRDefault="00DC5EC6">
            <w:pPr>
              <w:keepNext/>
              <w:spacing w:before="40" w:after="0" w:line="240" w:lineRule="auto"/>
              <w:jc w:val="both"/>
              <w:rPr>
                <w:rFonts w:ascii="Calibri" w:eastAsia="Times New Roman" w:hAnsi="Calibri" w:cs="Calibri"/>
                <w:noProof/>
                <w:sz w:val="16"/>
              </w:rPr>
            </w:pPr>
          </w:p>
        </w:tc>
        <w:tc>
          <w:tcPr>
            <w:tcW w:w="993" w:type="dxa"/>
            <w:vMerge/>
            <w:vAlign w:val="center"/>
            <w:hideMark/>
          </w:tcPr>
          <w:p w14:paraId="0AA85703" w14:textId="77777777" w:rsidR="00DC5EC6" w:rsidRDefault="00DC5EC6">
            <w:pPr>
              <w:keepNext/>
              <w:spacing w:before="40" w:after="0" w:line="240" w:lineRule="auto"/>
              <w:jc w:val="both"/>
              <w:rPr>
                <w:rFonts w:ascii="Calibri" w:eastAsia="Times New Roman" w:hAnsi="Calibri" w:cs="Calibri"/>
                <w:noProof/>
                <w:sz w:val="16"/>
              </w:rPr>
            </w:pPr>
          </w:p>
        </w:tc>
        <w:tc>
          <w:tcPr>
            <w:tcW w:w="992" w:type="dxa"/>
            <w:vMerge/>
            <w:vAlign w:val="center"/>
            <w:hideMark/>
          </w:tcPr>
          <w:p w14:paraId="771EC11D" w14:textId="77777777" w:rsidR="00DC5EC6" w:rsidRDefault="00DC5EC6">
            <w:pPr>
              <w:keepNext/>
              <w:spacing w:before="40" w:after="0" w:line="240" w:lineRule="auto"/>
              <w:jc w:val="both"/>
              <w:rPr>
                <w:rFonts w:ascii="Calibri" w:eastAsia="Times New Roman" w:hAnsi="Calibri" w:cs="Calibri"/>
                <w:noProof/>
                <w:sz w:val="16"/>
              </w:rPr>
            </w:pPr>
          </w:p>
        </w:tc>
        <w:tc>
          <w:tcPr>
            <w:tcW w:w="709" w:type="dxa"/>
            <w:vMerge/>
            <w:vAlign w:val="center"/>
            <w:hideMark/>
          </w:tcPr>
          <w:p w14:paraId="71E36A1F" w14:textId="77777777" w:rsidR="00DC5EC6" w:rsidRDefault="00DC5EC6">
            <w:pPr>
              <w:keepNext/>
              <w:spacing w:before="40" w:after="0" w:line="240" w:lineRule="auto"/>
              <w:jc w:val="both"/>
              <w:rPr>
                <w:rFonts w:ascii="Calibri" w:eastAsia="Times New Roman" w:hAnsi="Calibri" w:cs="Calibri"/>
                <w:noProof/>
                <w:sz w:val="16"/>
              </w:rPr>
            </w:pPr>
          </w:p>
        </w:tc>
        <w:tc>
          <w:tcPr>
            <w:tcW w:w="567" w:type="dxa"/>
            <w:vMerge/>
            <w:vAlign w:val="center"/>
            <w:hideMark/>
          </w:tcPr>
          <w:p w14:paraId="3C6B1961" w14:textId="77777777" w:rsidR="00DC5EC6" w:rsidRDefault="00DC5EC6">
            <w:pPr>
              <w:keepNext/>
              <w:spacing w:before="40" w:after="0" w:line="240" w:lineRule="auto"/>
              <w:jc w:val="both"/>
              <w:rPr>
                <w:rFonts w:ascii="Calibri" w:eastAsia="Times New Roman" w:hAnsi="Calibri" w:cs="Calibri"/>
                <w:noProof/>
                <w:sz w:val="16"/>
              </w:rPr>
            </w:pPr>
          </w:p>
        </w:tc>
        <w:tc>
          <w:tcPr>
            <w:tcW w:w="708" w:type="dxa"/>
            <w:vMerge/>
            <w:vAlign w:val="center"/>
            <w:hideMark/>
          </w:tcPr>
          <w:p w14:paraId="73B96A4A" w14:textId="77777777" w:rsidR="00DC5EC6" w:rsidRDefault="00DC5EC6">
            <w:pPr>
              <w:keepNext/>
              <w:spacing w:before="40" w:after="0" w:line="240" w:lineRule="auto"/>
              <w:jc w:val="both"/>
              <w:rPr>
                <w:rFonts w:ascii="Calibri" w:eastAsia="Times New Roman" w:hAnsi="Calibri" w:cs="Calibri"/>
                <w:noProof/>
                <w:sz w:val="16"/>
              </w:rPr>
            </w:pPr>
          </w:p>
        </w:tc>
        <w:tc>
          <w:tcPr>
            <w:tcW w:w="3969" w:type="dxa"/>
            <w:vMerge/>
            <w:vAlign w:val="center"/>
            <w:hideMark/>
          </w:tcPr>
          <w:p w14:paraId="2B2F80BC" w14:textId="77777777" w:rsidR="00DC5EC6" w:rsidRDefault="00DC5EC6">
            <w:pPr>
              <w:keepNext/>
              <w:spacing w:before="40" w:after="0" w:line="240" w:lineRule="auto"/>
              <w:jc w:val="both"/>
              <w:rPr>
                <w:rFonts w:ascii="Calibri" w:eastAsia="Times New Roman" w:hAnsi="Calibri" w:cs="Calibri"/>
                <w:noProof/>
                <w:sz w:val="16"/>
              </w:rPr>
            </w:pPr>
          </w:p>
        </w:tc>
      </w:tr>
      <w:tr w:rsidR="00DC5EC6" w14:paraId="2697EE8C" w14:textId="77777777">
        <w:trPr>
          <w:trHeight w:val="640"/>
        </w:trPr>
        <w:tc>
          <w:tcPr>
            <w:tcW w:w="1135" w:type="dxa"/>
            <w:shd w:val="clear" w:color="auto" w:fill="C4EFCE"/>
            <w:vAlign w:val="center"/>
            <w:hideMark/>
          </w:tcPr>
          <w:p w14:paraId="08444E6D" w14:textId="77777777" w:rsidR="00DC5EC6" w:rsidRDefault="003245A4">
            <w:pPr>
              <w:pStyle w:val="P68B1DB1-Normal7"/>
              <w:keepNext/>
              <w:spacing w:before="40" w:after="0" w:line="240" w:lineRule="auto"/>
              <w:jc w:val="center"/>
              <w:rPr>
                <w:rFonts w:eastAsia="Times New Roman" w:cs="Calibri"/>
                <w:noProof/>
              </w:rPr>
            </w:pPr>
            <w:r>
              <w:rPr>
                <w:noProof/>
              </w:rPr>
              <w:t>12.6</w:t>
            </w:r>
          </w:p>
        </w:tc>
        <w:tc>
          <w:tcPr>
            <w:tcW w:w="1276" w:type="dxa"/>
            <w:shd w:val="clear" w:color="auto" w:fill="C4EFCE"/>
            <w:noWrap/>
            <w:vAlign w:val="center"/>
            <w:hideMark/>
          </w:tcPr>
          <w:p w14:paraId="3F816AEA" w14:textId="77777777" w:rsidR="00DC5EC6" w:rsidRDefault="003245A4">
            <w:pPr>
              <w:pStyle w:val="P68B1DB1-Normal8"/>
              <w:keepNext/>
              <w:spacing w:before="40" w:after="0" w:line="240" w:lineRule="auto"/>
              <w:jc w:val="center"/>
              <w:rPr>
                <w:rFonts w:eastAsia="Times New Roman" w:cs="Calibri"/>
                <w:noProof/>
              </w:rPr>
            </w:pPr>
            <w:r>
              <w:rPr>
                <w:noProof/>
              </w:rPr>
              <w:t>TC-C12-r25</w:t>
            </w:r>
          </w:p>
        </w:tc>
        <w:tc>
          <w:tcPr>
            <w:tcW w:w="1134" w:type="dxa"/>
            <w:shd w:val="clear" w:color="auto" w:fill="C4EFCE"/>
            <w:noWrap/>
            <w:vAlign w:val="center"/>
            <w:hideMark/>
          </w:tcPr>
          <w:p w14:paraId="62EF5924" w14:textId="77777777" w:rsidR="00DC5EC6" w:rsidRDefault="003245A4">
            <w:pPr>
              <w:pStyle w:val="P68B1DB1-Normal8"/>
              <w:keepNext/>
              <w:spacing w:before="40" w:after="0" w:line="240" w:lineRule="auto"/>
              <w:jc w:val="center"/>
              <w:rPr>
                <w:rFonts w:eastAsia="Times New Roman" w:cs="Calibri"/>
                <w:noProof/>
              </w:rPr>
            </w:pPr>
            <w:r>
              <w:rPr>
                <w:noProof/>
              </w:rPr>
              <w:t>M</w:t>
            </w:r>
          </w:p>
        </w:tc>
        <w:tc>
          <w:tcPr>
            <w:tcW w:w="1701" w:type="dxa"/>
            <w:shd w:val="clear" w:color="auto" w:fill="C4EFCE"/>
            <w:noWrap/>
            <w:vAlign w:val="center"/>
            <w:hideMark/>
          </w:tcPr>
          <w:p w14:paraId="133B9485" w14:textId="77777777" w:rsidR="00DC5EC6" w:rsidRDefault="003245A4">
            <w:pPr>
              <w:pStyle w:val="P68B1DB1-Normal8"/>
              <w:keepNext/>
              <w:spacing w:before="40" w:after="0" w:line="240" w:lineRule="auto"/>
              <w:jc w:val="center"/>
              <w:rPr>
                <w:rFonts w:eastAsia="Times New Roman" w:cs="Calibri"/>
                <w:noProof/>
              </w:rPr>
            </w:pPr>
            <w:r>
              <w:rPr>
                <w:noProof/>
              </w:rPr>
              <w:t xml:space="preserve">A zöld közbeszerzésre vonatkozó felülvizsgált nemzeti stratégia hatálybalépése  </w:t>
            </w:r>
          </w:p>
        </w:tc>
        <w:tc>
          <w:tcPr>
            <w:tcW w:w="1275" w:type="dxa"/>
            <w:shd w:val="clear" w:color="auto" w:fill="C4EFCE"/>
            <w:noWrap/>
            <w:vAlign w:val="center"/>
            <w:hideMark/>
          </w:tcPr>
          <w:p w14:paraId="6FBD6F01" w14:textId="77777777" w:rsidR="00DC5EC6" w:rsidRDefault="003245A4">
            <w:pPr>
              <w:pStyle w:val="P68B1DB1-Normal8"/>
              <w:keepNext/>
              <w:spacing w:before="40" w:after="0" w:line="240" w:lineRule="auto"/>
              <w:jc w:val="center"/>
              <w:rPr>
                <w:rFonts w:eastAsia="Times New Roman" w:cs="Calibri"/>
                <w:noProof/>
              </w:rPr>
            </w:pPr>
            <w:r>
              <w:rPr>
                <w:noProof/>
              </w:rPr>
              <w:t xml:space="preserve"> A zöld közbeszerzésre vonatkozó felülvizsgált nemzeti stratégia hatálybalépése</w:t>
            </w:r>
          </w:p>
        </w:tc>
        <w:tc>
          <w:tcPr>
            <w:tcW w:w="993" w:type="dxa"/>
            <w:shd w:val="clear" w:color="auto" w:fill="C4EFCE"/>
            <w:noWrap/>
            <w:vAlign w:val="center"/>
            <w:hideMark/>
          </w:tcPr>
          <w:p w14:paraId="51587E83"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992" w:type="dxa"/>
            <w:shd w:val="clear" w:color="auto" w:fill="C4EFCE"/>
            <w:noWrap/>
            <w:vAlign w:val="center"/>
            <w:hideMark/>
          </w:tcPr>
          <w:p w14:paraId="4AFA38E3"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709" w:type="dxa"/>
            <w:shd w:val="clear" w:color="auto" w:fill="C4EFCE"/>
            <w:noWrap/>
            <w:vAlign w:val="center"/>
            <w:hideMark/>
          </w:tcPr>
          <w:p w14:paraId="7C65395F" w14:textId="77777777" w:rsidR="00DC5EC6" w:rsidRDefault="003245A4">
            <w:pPr>
              <w:pStyle w:val="P68B1DB1-Normal8"/>
              <w:keepNext/>
              <w:spacing w:before="40" w:after="0" w:line="240" w:lineRule="auto"/>
              <w:jc w:val="center"/>
              <w:rPr>
                <w:rFonts w:eastAsia="Times New Roman" w:cs="Calibri"/>
                <w:noProof/>
              </w:rPr>
            </w:pPr>
            <w:r>
              <w:rPr>
                <w:noProof/>
              </w:rPr>
              <w:t> </w:t>
            </w:r>
          </w:p>
        </w:tc>
        <w:tc>
          <w:tcPr>
            <w:tcW w:w="567" w:type="dxa"/>
            <w:shd w:val="clear" w:color="auto" w:fill="C4EFCE"/>
            <w:noWrap/>
            <w:vAlign w:val="center"/>
            <w:hideMark/>
          </w:tcPr>
          <w:p w14:paraId="5256FAB4" w14:textId="7EF2BBDF" w:rsidR="00DC5EC6" w:rsidRDefault="003A6168">
            <w:pPr>
              <w:pStyle w:val="P68B1DB1-Normal8"/>
              <w:keepNext/>
              <w:spacing w:before="40"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6DDCBBB5" w14:textId="77777777" w:rsidR="00DC5EC6" w:rsidRDefault="003245A4">
            <w:pPr>
              <w:pStyle w:val="P68B1DB1-Normal8"/>
              <w:keepNext/>
              <w:spacing w:before="40" w:after="0" w:line="240" w:lineRule="auto"/>
              <w:jc w:val="center"/>
              <w:rPr>
                <w:rFonts w:eastAsia="Times New Roman" w:cs="Calibri"/>
                <w:noProof/>
              </w:rPr>
            </w:pPr>
            <w:r>
              <w:rPr>
                <w:noProof/>
              </w:rPr>
              <w:t>2022</w:t>
            </w:r>
          </w:p>
        </w:tc>
        <w:tc>
          <w:tcPr>
            <w:tcW w:w="3969" w:type="dxa"/>
            <w:shd w:val="clear" w:color="auto" w:fill="C4EFCE"/>
            <w:vAlign w:val="center"/>
            <w:hideMark/>
          </w:tcPr>
          <w:p w14:paraId="4819F34F" w14:textId="77777777" w:rsidR="00DC5EC6" w:rsidRDefault="003245A4">
            <w:pPr>
              <w:pStyle w:val="P68B1DB1-Normal8"/>
              <w:keepNext/>
              <w:spacing w:before="40" w:after="0" w:line="240" w:lineRule="auto"/>
              <w:jc w:val="both"/>
              <w:rPr>
                <w:rFonts w:eastAsia="Times New Roman" w:cs="Calibri"/>
                <w:noProof/>
              </w:rPr>
            </w:pPr>
            <w:r>
              <w:rPr>
                <w:noProof/>
              </w:rPr>
              <w:t>A zöld közbeszerzésre vonatkozó felülvizsgált nemzeti stratégia hatálybalépése, amely meghatározza a fenntartható bioalapú anyagokat integráló szolgáltatások és termékek beszerzésével kapcsolatos ökológiai kritériumokat, többek között kötelező ökológiai kritériumok bevezetése révén.</w:t>
            </w:r>
          </w:p>
        </w:tc>
      </w:tr>
      <w:tr w:rsidR="003A6168" w14:paraId="16B20D57" w14:textId="77777777">
        <w:trPr>
          <w:trHeight w:val="640"/>
        </w:trPr>
        <w:tc>
          <w:tcPr>
            <w:tcW w:w="1135" w:type="dxa"/>
            <w:shd w:val="clear" w:color="auto" w:fill="C4EFCE"/>
            <w:vAlign w:val="center"/>
          </w:tcPr>
          <w:p w14:paraId="39C49F59" w14:textId="55C321DD" w:rsidR="003A6168" w:rsidRDefault="003A6168" w:rsidP="003A6168">
            <w:pPr>
              <w:pStyle w:val="P68B1DB1-Normal11"/>
              <w:keepNext/>
              <w:spacing w:before="40" w:after="0" w:line="240" w:lineRule="auto"/>
              <w:jc w:val="center"/>
              <w:rPr>
                <w:rFonts w:eastAsia="Times New Roman" w:cstheme="minorHAnsi"/>
                <w:noProof/>
              </w:rPr>
            </w:pPr>
            <w:r>
              <w:rPr>
                <w:noProof/>
              </w:rPr>
              <w:t>12.7</w:t>
            </w:r>
          </w:p>
        </w:tc>
        <w:tc>
          <w:tcPr>
            <w:tcW w:w="1276" w:type="dxa"/>
            <w:shd w:val="clear" w:color="auto" w:fill="C4EFCE"/>
            <w:noWrap/>
            <w:vAlign w:val="center"/>
          </w:tcPr>
          <w:p w14:paraId="4721E143" w14:textId="51E9943A" w:rsidR="003A6168" w:rsidRDefault="003A6168" w:rsidP="003A6168">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9CBAF90" w14:textId="55797804" w:rsidR="003A6168" w:rsidRDefault="003A6168" w:rsidP="003A6168">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61B1A8E" w14:textId="2FFE12A3" w:rsidR="003A6168" w:rsidRDefault="003A6168" w:rsidP="003A6168">
            <w:pPr>
              <w:pStyle w:val="P68B1DB1-Normal12"/>
              <w:keepNext/>
              <w:spacing w:before="40" w:after="0" w:line="240" w:lineRule="auto"/>
              <w:jc w:val="center"/>
              <w:rPr>
                <w:rFonts w:eastAsia="Times New Roman" w:cstheme="minorHAnsi"/>
                <w:noProof/>
              </w:rPr>
            </w:pPr>
            <w:r>
              <w:rPr>
                <w:noProof/>
              </w:rPr>
              <w:t>Az ökomodulációs kritériumok harmonizált meghatározásának hatálybalépése</w:t>
            </w:r>
          </w:p>
        </w:tc>
        <w:tc>
          <w:tcPr>
            <w:tcW w:w="1275" w:type="dxa"/>
            <w:shd w:val="clear" w:color="auto" w:fill="C4EFCE"/>
            <w:noWrap/>
            <w:vAlign w:val="center"/>
          </w:tcPr>
          <w:p w14:paraId="28D67B26" w14:textId="01B175F2" w:rsidR="003A6168" w:rsidRDefault="003A6168" w:rsidP="003A6168">
            <w:pPr>
              <w:pStyle w:val="P68B1DB1-Normal12"/>
              <w:keepNext/>
              <w:spacing w:before="40" w:after="0" w:line="240" w:lineRule="auto"/>
              <w:jc w:val="center"/>
              <w:rPr>
                <w:rFonts w:eastAsia="Times New Roman" w:cstheme="minorHAnsi"/>
                <w:noProof/>
              </w:rPr>
            </w:pPr>
            <w:r>
              <w:rPr>
                <w:noProof/>
              </w:rPr>
              <w:t>A jogi aktusban szereplő, az ökomodulációs kritériumok harmonizált meghatározásának hatálybalépésére vonatkozó rendelkezés</w:t>
            </w:r>
          </w:p>
        </w:tc>
        <w:tc>
          <w:tcPr>
            <w:tcW w:w="993" w:type="dxa"/>
            <w:shd w:val="clear" w:color="auto" w:fill="C4EFCE"/>
            <w:noWrap/>
            <w:vAlign w:val="center"/>
          </w:tcPr>
          <w:p w14:paraId="473F382C" w14:textId="77777777" w:rsidR="003A6168" w:rsidRDefault="003A6168" w:rsidP="003A6168">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5F5AC1E1" w14:textId="77777777" w:rsidR="003A6168" w:rsidRDefault="003A6168" w:rsidP="003A6168">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7CCC309" w14:textId="77777777" w:rsidR="003A6168" w:rsidRDefault="003A6168" w:rsidP="003A6168">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4562F222" w14:textId="0E0F0671"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7FEFCF39" w14:textId="54FDBFEF" w:rsidR="003A6168" w:rsidRDefault="003A6168" w:rsidP="003A6168">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DEDCBD9" w14:textId="1740201F" w:rsidR="003A6168" w:rsidRDefault="003A6168" w:rsidP="003A6168">
            <w:pPr>
              <w:pStyle w:val="P68B1DB1-Normal12"/>
              <w:keepNext/>
              <w:spacing w:before="40" w:after="0" w:line="240" w:lineRule="auto"/>
              <w:jc w:val="both"/>
              <w:rPr>
                <w:rFonts w:eastAsia="Times New Roman" w:cstheme="minorHAnsi"/>
                <w:noProof/>
              </w:rPr>
            </w:pPr>
            <w:r>
              <w:rPr>
                <w:noProof/>
              </w:rPr>
              <w:t>A kiterjesztett gyártói felelősség alá tartozó integrált rendszerekben a pénzügyi előnyök ökomodulációjára vonatkozó kritériumok harmonizált és kötelező meghatározását meghatározó jogi aktus hatálybalépése.</w:t>
            </w:r>
          </w:p>
        </w:tc>
      </w:tr>
      <w:tr w:rsidR="003A6168" w14:paraId="62815762" w14:textId="77777777">
        <w:trPr>
          <w:trHeight w:val="640"/>
        </w:trPr>
        <w:tc>
          <w:tcPr>
            <w:tcW w:w="1135" w:type="dxa"/>
            <w:shd w:val="clear" w:color="auto" w:fill="C4EFCE"/>
            <w:vAlign w:val="center"/>
          </w:tcPr>
          <w:p w14:paraId="07AC7261" w14:textId="275A6E6F" w:rsidR="003A6168" w:rsidRDefault="003A6168" w:rsidP="003A6168">
            <w:pPr>
              <w:pStyle w:val="P68B1DB1-Normal11"/>
              <w:keepNext/>
              <w:spacing w:before="40" w:after="0" w:line="240" w:lineRule="auto"/>
              <w:jc w:val="center"/>
              <w:rPr>
                <w:rFonts w:eastAsia="Times New Roman" w:cstheme="minorHAnsi"/>
                <w:noProof/>
              </w:rPr>
            </w:pPr>
            <w:r>
              <w:rPr>
                <w:noProof/>
              </w:rPr>
              <w:t>12.8</w:t>
            </w:r>
          </w:p>
        </w:tc>
        <w:tc>
          <w:tcPr>
            <w:tcW w:w="1276" w:type="dxa"/>
            <w:shd w:val="clear" w:color="auto" w:fill="C4EFCE"/>
            <w:noWrap/>
            <w:vAlign w:val="center"/>
          </w:tcPr>
          <w:p w14:paraId="7DACBA0B" w14:textId="5F170093" w:rsidR="003A6168" w:rsidRDefault="003A6168" w:rsidP="003A6168">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666A2AC9" w14:textId="0BD59B92" w:rsidR="003A6168" w:rsidRDefault="003A6168" w:rsidP="003A6168">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11F8455A" w14:textId="4FE660FF" w:rsidR="003A6168" w:rsidRDefault="003A6168" w:rsidP="003A6168">
            <w:pPr>
              <w:pStyle w:val="P68B1DB1-Normal12"/>
              <w:keepNext/>
              <w:spacing w:before="40" w:after="0" w:line="240" w:lineRule="auto"/>
              <w:jc w:val="center"/>
              <w:rPr>
                <w:rFonts w:eastAsia="Times New Roman" w:cstheme="minorHAnsi"/>
                <w:noProof/>
              </w:rPr>
            </w:pPr>
            <w:r>
              <w:rPr>
                <w:noProof/>
              </w:rPr>
              <w:t>Az egyszer használatos műanyag palackokra, a vasfémekre és az alumíniumra vonatkozó hasznosítást ösztönző rendszer (lerakási és visszatérítési rendszer)</w:t>
            </w:r>
          </w:p>
        </w:tc>
        <w:tc>
          <w:tcPr>
            <w:tcW w:w="1275" w:type="dxa"/>
            <w:shd w:val="clear" w:color="auto" w:fill="C4EFCE"/>
            <w:noWrap/>
            <w:vAlign w:val="center"/>
          </w:tcPr>
          <w:p w14:paraId="7C89497C" w14:textId="1EB460B7" w:rsidR="003A6168" w:rsidRDefault="003A6168" w:rsidP="003A6168">
            <w:pPr>
              <w:pStyle w:val="P68B1DB1-Normal12"/>
              <w:keepNext/>
              <w:spacing w:before="40" w:after="0" w:line="240" w:lineRule="auto"/>
              <w:jc w:val="center"/>
              <w:rPr>
                <w:rFonts w:eastAsia="Times New Roman" w:cstheme="minorHAnsi"/>
                <w:noProof/>
              </w:rPr>
            </w:pPr>
            <w:r>
              <w:rPr>
                <w:noProof/>
              </w:rPr>
              <w:t xml:space="preserve">A betétdíjas és visszatérítési rendszer működésbe lépése </w:t>
            </w:r>
          </w:p>
        </w:tc>
        <w:tc>
          <w:tcPr>
            <w:tcW w:w="993" w:type="dxa"/>
            <w:shd w:val="clear" w:color="auto" w:fill="C4EFCE"/>
            <w:noWrap/>
            <w:vAlign w:val="center"/>
          </w:tcPr>
          <w:p w14:paraId="39D5184D" w14:textId="77777777" w:rsidR="003A6168" w:rsidRDefault="003A6168" w:rsidP="003A6168">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3F121E5C" w14:textId="77777777" w:rsidR="003A6168" w:rsidRDefault="003A6168" w:rsidP="003A6168">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2387D7" w14:textId="77777777" w:rsidR="003A6168" w:rsidRDefault="003A6168" w:rsidP="003A6168">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2F1F0378" w14:textId="15566E35"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53D4ED8E" w14:textId="0A031EF8" w:rsidR="003A6168" w:rsidRDefault="003A6168" w:rsidP="003A6168">
            <w:pPr>
              <w:pStyle w:val="P68B1DB1-Normal12"/>
              <w:keepNext/>
              <w:spacing w:before="40" w:after="0" w:line="240" w:lineRule="auto"/>
              <w:jc w:val="center"/>
              <w:rPr>
                <w:rFonts w:eastAsia="Times New Roman" w:cstheme="minorHAnsi"/>
                <w:noProof/>
              </w:rPr>
            </w:pPr>
            <w:r>
              <w:rPr>
                <w:noProof/>
              </w:rPr>
              <w:t>2023</w:t>
            </w:r>
          </w:p>
        </w:tc>
        <w:tc>
          <w:tcPr>
            <w:tcW w:w="3969" w:type="dxa"/>
            <w:shd w:val="clear" w:color="auto" w:fill="C4EFCE"/>
            <w:vAlign w:val="center"/>
          </w:tcPr>
          <w:p w14:paraId="2AAA4E0F" w14:textId="1222BCF4" w:rsidR="003A6168" w:rsidRDefault="003A6168" w:rsidP="003A6168">
            <w:pPr>
              <w:pStyle w:val="P68B1DB1-Normal12"/>
              <w:keepNext/>
              <w:spacing w:before="40" w:after="0" w:line="240" w:lineRule="auto"/>
              <w:jc w:val="both"/>
              <w:rPr>
                <w:rFonts w:eastAsia="Times New Roman" w:cstheme="minorHAnsi"/>
                <w:noProof/>
              </w:rPr>
            </w:pPr>
            <w:r>
              <w:rPr>
                <w:noProof/>
              </w:rPr>
              <w:t>Betétdíjas és visszatérítési rendszert kell működésbe léptetni és alkalmazni az egyszer használatos műanyag palackok, a vasfémek és az alumínium esetében.</w:t>
            </w:r>
          </w:p>
        </w:tc>
      </w:tr>
      <w:tr w:rsidR="003A6168" w14:paraId="32FCFF9B" w14:textId="77777777">
        <w:trPr>
          <w:trHeight w:val="640"/>
        </w:trPr>
        <w:tc>
          <w:tcPr>
            <w:tcW w:w="1135" w:type="dxa"/>
            <w:shd w:val="clear" w:color="auto" w:fill="C4EFCE"/>
            <w:vAlign w:val="center"/>
          </w:tcPr>
          <w:p w14:paraId="616AFCCE" w14:textId="0499EDB2" w:rsidR="003A6168" w:rsidRDefault="003A6168" w:rsidP="003A6168">
            <w:pPr>
              <w:pStyle w:val="P68B1DB1-Normal11"/>
              <w:keepNext/>
              <w:spacing w:before="40" w:after="0" w:line="240" w:lineRule="auto"/>
              <w:jc w:val="center"/>
              <w:rPr>
                <w:rFonts w:eastAsia="Times New Roman" w:cstheme="minorHAnsi"/>
                <w:noProof/>
              </w:rPr>
            </w:pPr>
            <w:r>
              <w:rPr>
                <w:noProof/>
              </w:rPr>
              <w:t>12.9</w:t>
            </w:r>
          </w:p>
        </w:tc>
        <w:tc>
          <w:tcPr>
            <w:tcW w:w="1276" w:type="dxa"/>
            <w:shd w:val="clear" w:color="auto" w:fill="C4EFCE"/>
            <w:noWrap/>
            <w:vAlign w:val="center"/>
          </w:tcPr>
          <w:p w14:paraId="6071425A" w14:textId="403D2E54" w:rsidR="003A6168" w:rsidRDefault="003A6168" w:rsidP="003A6168">
            <w:pPr>
              <w:pStyle w:val="P68B1DB1-Normal12"/>
              <w:keepNext/>
              <w:spacing w:before="40" w:after="0" w:line="240" w:lineRule="auto"/>
              <w:jc w:val="center"/>
              <w:rPr>
                <w:rFonts w:eastAsia="Times New Roman" w:cstheme="minorHAnsi"/>
                <w:noProof/>
              </w:rPr>
            </w:pPr>
            <w:r>
              <w:rPr>
                <w:noProof/>
              </w:rPr>
              <w:t>TC-C12-r39</w:t>
            </w:r>
          </w:p>
        </w:tc>
        <w:tc>
          <w:tcPr>
            <w:tcW w:w="1134" w:type="dxa"/>
            <w:shd w:val="clear" w:color="auto" w:fill="C4EFCE"/>
            <w:noWrap/>
            <w:vAlign w:val="center"/>
          </w:tcPr>
          <w:p w14:paraId="740B5687" w14:textId="64AAC94A" w:rsidR="003A6168" w:rsidRDefault="003A6168" w:rsidP="003A6168">
            <w:pPr>
              <w:pStyle w:val="P68B1DB1-Normal12"/>
              <w:keepNext/>
              <w:spacing w:before="40" w:after="0" w:line="240" w:lineRule="auto"/>
              <w:jc w:val="center"/>
              <w:rPr>
                <w:rFonts w:eastAsia="Times New Roman" w:cstheme="minorHAnsi"/>
                <w:noProof/>
              </w:rPr>
            </w:pPr>
            <w:r>
              <w:rPr>
                <w:noProof/>
              </w:rPr>
              <w:t>M</w:t>
            </w:r>
          </w:p>
        </w:tc>
        <w:tc>
          <w:tcPr>
            <w:tcW w:w="1701" w:type="dxa"/>
            <w:shd w:val="clear" w:color="auto" w:fill="C4EFCE"/>
            <w:noWrap/>
            <w:vAlign w:val="center"/>
          </w:tcPr>
          <w:p w14:paraId="72035F18" w14:textId="06F91A11" w:rsidR="003A6168" w:rsidRDefault="003A6168" w:rsidP="003A6168">
            <w:pPr>
              <w:pStyle w:val="P68B1DB1-Normal12"/>
              <w:keepNext/>
              <w:spacing w:before="40" w:after="0" w:line="240" w:lineRule="auto"/>
              <w:jc w:val="center"/>
              <w:rPr>
                <w:rFonts w:eastAsia="Times New Roman" w:cstheme="minorHAnsi"/>
                <w:noProof/>
              </w:rPr>
            </w:pPr>
            <w:r>
              <w:rPr>
                <w:noProof/>
              </w:rPr>
              <w:t>Az elektromos hulladék és az elektronikus berendezések visszavételi rendszere</w:t>
            </w:r>
          </w:p>
        </w:tc>
        <w:tc>
          <w:tcPr>
            <w:tcW w:w="1275" w:type="dxa"/>
            <w:shd w:val="clear" w:color="auto" w:fill="C4EFCE"/>
            <w:noWrap/>
            <w:vAlign w:val="center"/>
          </w:tcPr>
          <w:p w14:paraId="066404D9" w14:textId="7C6AF3C2" w:rsidR="003A6168" w:rsidRDefault="003A6168" w:rsidP="003A6168">
            <w:pPr>
              <w:pStyle w:val="P68B1DB1-Normal12"/>
              <w:keepNext/>
              <w:spacing w:before="40" w:after="0" w:line="240" w:lineRule="auto"/>
              <w:jc w:val="center"/>
              <w:rPr>
                <w:rFonts w:eastAsia="Times New Roman" w:cstheme="minorHAnsi"/>
                <w:noProof/>
              </w:rPr>
            </w:pPr>
            <w:r>
              <w:rPr>
                <w:noProof/>
              </w:rPr>
              <w:t>A jogszabály hatálybalépésére utaló jogszabályi rendelkezés</w:t>
            </w:r>
          </w:p>
        </w:tc>
        <w:tc>
          <w:tcPr>
            <w:tcW w:w="993" w:type="dxa"/>
            <w:shd w:val="clear" w:color="auto" w:fill="C4EFCE"/>
            <w:noWrap/>
            <w:vAlign w:val="center"/>
          </w:tcPr>
          <w:p w14:paraId="461AA650" w14:textId="77777777" w:rsidR="003A6168" w:rsidRDefault="003A6168" w:rsidP="003A6168">
            <w:pPr>
              <w:keepNext/>
              <w:spacing w:before="40" w:after="0" w:line="240" w:lineRule="auto"/>
              <w:jc w:val="center"/>
              <w:rPr>
                <w:rFonts w:eastAsia="Times New Roman" w:cstheme="minorHAnsi"/>
                <w:noProof/>
                <w:sz w:val="16"/>
              </w:rPr>
            </w:pPr>
          </w:p>
        </w:tc>
        <w:tc>
          <w:tcPr>
            <w:tcW w:w="992" w:type="dxa"/>
            <w:shd w:val="clear" w:color="auto" w:fill="C4EFCE"/>
            <w:noWrap/>
            <w:vAlign w:val="center"/>
          </w:tcPr>
          <w:p w14:paraId="076B2EB9" w14:textId="77777777" w:rsidR="003A6168" w:rsidRDefault="003A6168" w:rsidP="003A6168">
            <w:pPr>
              <w:keepNext/>
              <w:spacing w:before="40" w:after="0" w:line="240" w:lineRule="auto"/>
              <w:jc w:val="center"/>
              <w:rPr>
                <w:rFonts w:eastAsia="Times New Roman" w:cstheme="minorHAnsi"/>
                <w:noProof/>
                <w:sz w:val="16"/>
              </w:rPr>
            </w:pPr>
          </w:p>
        </w:tc>
        <w:tc>
          <w:tcPr>
            <w:tcW w:w="709" w:type="dxa"/>
            <w:shd w:val="clear" w:color="auto" w:fill="C4EFCE"/>
            <w:noWrap/>
            <w:vAlign w:val="center"/>
          </w:tcPr>
          <w:p w14:paraId="35EC12A6" w14:textId="77777777" w:rsidR="003A6168" w:rsidRDefault="003A6168" w:rsidP="003A6168">
            <w:pPr>
              <w:keepNext/>
              <w:spacing w:before="40" w:after="0" w:line="240" w:lineRule="auto"/>
              <w:jc w:val="center"/>
              <w:rPr>
                <w:rFonts w:eastAsia="Times New Roman" w:cstheme="minorHAnsi"/>
                <w:noProof/>
                <w:sz w:val="16"/>
              </w:rPr>
            </w:pPr>
          </w:p>
        </w:tc>
        <w:tc>
          <w:tcPr>
            <w:tcW w:w="567" w:type="dxa"/>
            <w:shd w:val="clear" w:color="auto" w:fill="C4EFCE"/>
            <w:noWrap/>
            <w:vAlign w:val="center"/>
          </w:tcPr>
          <w:p w14:paraId="3C9440EC" w14:textId="7BCC7F94" w:rsidR="003A6168" w:rsidRDefault="003A6168" w:rsidP="003A6168">
            <w:pPr>
              <w:pStyle w:val="P68B1DB1-Normal12"/>
              <w:keepNext/>
              <w:spacing w:before="40"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1E8B76AD" w14:textId="6C11828E" w:rsidR="003A6168" w:rsidRDefault="003A6168" w:rsidP="003A6168">
            <w:pPr>
              <w:pStyle w:val="P68B1DB1-Normal12"/>
              <w:keepNext/>
              <w:spacing w:before="40" w:after="0" w:line="240" w:lineRule="auto"/>
              <w:jc w:val="center"/>
              <w:rPr>
                <w:rFonts w:eastAsia="Times New Roman" w:cstheme="minorHAnsi"/>
                <w:noProof/>
              </w:rPr>
            </w:pPr>
            <w:r>
              <w:rPr>
                <w:noProof/>
              </w:rPr>
              <w:t>2025</w:t>
            </w:r>
          </w:p>
        </w:tc>
        <w:tc>
          <w:tcPr>
            <w:tcW w:w="3969" w:type="dxa"/>
            <w:shd w:val="clear" w:color="auto" w:fill="C4EFCE"/>
            <w:vAlign w:val="center"/>
          </w:tcPr>
          <w:p w14:paraId="675495A0" w14:textId="1CFE3794" w:rsidR="003A6168" w:rsidRDefault="003A6168" w:rsidP="003A6168">
            <w:pPr>
              <w:pStyle w:val="P68B1DB1-Normal12"/>
              <w:keepNext/>
              <w:spacing w:before="40" w:after="0" w:line="240" w:lineRule="auto"/>
              <w:jc w:val="both"/>
              <w:rPr>
                <w:rFonts w:eastAsia="Times New Roman"/>
                <w:noProof/>
              </w:rPr>
            </w:pPr>
            <w:r>
              <w:rPr>
                <w:noProof/>
              </w:rPr>
              <w:t>Független megvalósíthatósági tanulmányt követően, és amennyiben a tanulmány pozitív, hatályba lép az elektromos és elektronikus hulladék visszavételi rendszerének bevezetésére vonatkozó jogi keretet meghatározó jogszabály.</w:t>
            </w:r>
          </w:p>
        </w:tc>
      </w:tr>
    </w:tbl>
    <w:p w14:paraId="2DA74A5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 </w:t>
      </w:r>
    </w:p>
    <w:p w14:paraId="05DB275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11FB5CD6"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52"/>
          <w:headerReference w:type="default" r:id="rId253"/>
          <w:footerReference w:type="even" r:id="rId254"/>
          <w:footerReference w:type="default" r:id="rId255"/>
          <w:headerReference w:type="first" r:id="rId256"/>
          <w:footerReference w:type="first" r:id="rId257"/>
          <w:pgSz w:w="16839" w:h="11907" w:orient="landscape"/>
          <w:pgMar w:top="1134" w:right="1134" w:bottom="1134" w:left="1134" w:header="567" w:footer="567" w:gutter="0"/>
          <w:cols w:space="720"/>
          <w:docGrid w:linePitch="360"/>
        </w:sectPr>
      </w:pPr>
    </w:p>
    <w:p w14:paraId="73252C7F" w14:textId="5A07EA37" w:rsidR="00DC5EC6" w:rsidRDefault="003245A4">
      <w:pPr>
        <w:pStyle w:val="P68B1DB1-Normal3"/>
        <w:keepNext/>
        <w:spacing w:before="40" w:after="0" w:line="259" w:lineRule="auto"/>
        <w:ind w:left="130" w:firstLine="720"/>
        <w:jc w:val="both"/>
        <w:outlineLvl w:val="1"/>
        <w:rPr>
          <w:rFonts w:eastAsiaTheme="minorEastAsia" w:cs="Times New Roman"/>
          <w:smallCaps/>
          <w:noProof/>
        </w:rPr>
      </w:pPr>
      <w:r>
        <w:rPr>
          <w:noProof/>
        </w:rPr>
        <w:t>M.</w:t>
      </w:r>
      <w:r>
        <w:rPr>
          <w:smallCaps/>
          <w:noProof/>
        </w:rPr>
        <w:t xml:space="preserve"> 1. </w:t>
      </w:r>
      <w:r w:rsidR="00342815">
        <w:rPr>
          <w:noProof/>
        </w:rPr>
        <w:t>KOMPONENS</w:t>
      </w:r>
      <w:r>
        <w:rPr>
          <w:smallCaps/>
          <w:noProof/>
        </w:rPr>
        <w:t xml:space="preserve">: </w:t>
      </w:r>
      <w:r>
        <w:rPr>
          <w:noProof/>
        </w:rPr>
        <w:t>Energiahatékonyság az épületekben</w:t>
      </w:r>
    </w:p>
    <w:p w14:paraId="7428EB29" w14:textId="77777777" w:rsidR="00DC5EC6" w:rsidRDefault="003245A4">
      <w:pPr>
        <w:pStyle w:val="P68B1DB1-Normal4"/>
        <w:keepNext/>
        <w:spacing w:beforeLines="40" w:before="96" w:after="0" w:line="22" w:lineRule="atLeast"/>
        <w:jc w:val="both"/>
        <w:rPr>
          <w:rFonts w:eastAsia="Times New Roman" w:cs="Times New Roman"/>
          <w:noProof/>
        </w:rPr>
      </w:pPr>
      <w:r>
        <w:rPr>
          <w:noProof/>
        </w:rPr>
        <w:t xml:space="preserve">A komponens a következő kihívásokkal foglalkozik: A lakossági szektor az energiafogyasztás 18%-át, a szolgáltatási szektor pedig további 14%-át teszi ki. Az épületek ezért fontos szerepet játszanak Portugália számára a karbonsemlegességi célok elérésében. Az e területen, és különösen a lakossági szegmensben hozott intézkedések hozzájárulhatnak az energiaszegénység enyhítéséhez is, amely Portugáliában továbbra is komoly aggodalomra ad okot, mivel 2019-ben még mindig 19% volt azon háztartások aránya, amelyek nem képesek megfelelően melegíteni az otthonokat. Portugália kötelezettséget vállalt arra, hogy 2050-ig megvalósítja a karbonsemlegességet, ezért elő kell mozdítania </w:t>
      </w:r>
      <w:r>
        <w:rPr>
          <w:noProof/>
          <w:shd w:val="clear" w:color="auto" w:fill="FFFFFF"/>
        </w:rPr>
        <w:t xml:space="preserve">épületállományának dekarbonizációját, miközben javítania </w:t>
      </w:r>
      <w:r>
        <w:rPr>
          <w:noProof/>
        </w:rPr>
        <w:t>kell a lakhatási feltételeket (beltéri kényelem és minőség) és a megfizethetőséget. Ezt az épületek energiahatékonyságának növelésével, az energiahatékonyság és a megújuló energia villamosítással való kombinálásával kell elérni, és különösen az alacsony jövedelmű háztartásokat kell megcélozni az energiaszegénység kezelésére.</w:t>
      </w:r>
    </w:p>
    <w:p w14:paraId="60D27ACE" w14:textId="77777777" w:rsidR="00DC5EC6" w:rsidRDefault="003245A4">
      <w:pPr>
        <w:pStyle w:val="P68B1DB1-Normal4"/>
        <w:widowControl w:val="0"/>
        <w:spacing w:beforeLines="40" w:before="96" w:after="161" w:line="22" w:lineRule="atLeast"/>
        <w:jc w:val="both"/>
        <w:rPr>
          <w:rFonts w:eastAsia="Calibri" w:cs="Times New Roman"/>
          <w:noProof/>
        </w:rPr>
      </w:pPr>
      <w:r>
        <w:rPr>
          <w:noProof/>
        </w:rPr>
        <w:t>Számos „piaci hiányosságot” azonosítottak, amelyek számos olyan problémának felelnek meg, amelyek késleltetik az épületállomány átalakítását és a potenciális energiamegtakarítások kiaknázását, mint például:</w:t>
      </w:r>
    </w:p>
    <w:p w14:paraId="05BE14DE"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az energiafelhasználással és a potenciális megtakarításokkal kapcsolatos ismeretek hiánya;</w:t>
      </w:r>
    </w:p>
    <w:p w14:paraId="68334EEE"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korlátozott felújítási és építési tevékenység a pénzügyi válságot követő időszakban;</w:t>
      </w:r>
    </w:p>
    <w:p w14:paraId="1367E8D7"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 vonzó finanszírozási termékek hiánya;</w:t>
      </w:r>
    </w:p>
    <w:p w14:paraId="145C348F"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az épületállománnyal kapcsolatos korlátozott információk; és</w:t>
      </w:r>
    </w:p>
    <w:p w14:paraId="30590B1F" w14:textId="77777777" w:rsidR="00DC5EC6" w:rsidRDefault="003245A4">
      <w:pPr>
        <w:pStyle w:val="P68B1DB1-Normal4"/>
        <w:keepNext/>
        <w:widowControl w:val="0"/>
        <w:numPr>
          <w:ilvl w:val="0"/>
          <w:numId w:val="50"/>
        </w:numPr>
        <w:spacing w:beforeLines="40" w:before="96" w:after="161" w:line="22" w:lineRule="atLeast"/>
        <w:jc w:val="both"/>
        <w:rPr>
          <w:rFonts w:eastAsia="Calibri" w:cs="Times New Roman"/>
          <w:noProof/>
        </w:rPr>
      </w:pPr>
      <w:r>
        <w:rPr>
          <w:noProof/>
        </w:rPr>
        <w:t>a hatékony és intelligens technológiák korlátozott alkalmazása.</w:t>
      </w:r>
    </w:p>
    <w:p w14:paraId="630C6E70" w14:textId="77777777" w:rsidR="00DC5EC6" w:rsidRDefault="003245A4">
      <w:pPr>
        <w:pStyle w:val="P68B1DB1-Normal4"/>
        <w:spacing w:beforeLines="40" w:before="96" w:after="0" w:line="22" w:lineRule="atLeast"/>
        <w:jc w:val="both"/>
        <w:rPr>
          <w:rFonts w:eastAsiaTheme="minorEastAsia" w:cs="Times New Roman"/>
          <w:noProof/>
        </w:rPr>
      </w:pPr>
      <w:r>
        <w:rPr>
          <w:noProof/>
        </w:rPr>
        <w:t xml:space="preserve">A komponens célja a köz- és magánépületek felújítása energiahatékonyságuk és kényelmük javítása érdekében, egyúttal csökkentve az ország energiaszámláját és energiafüggőségét, üvegházhatásúgáz-kibocsátását és energiafüggőségét, enyhítse az energiaszegénységet, és integrálja a megújuló energiaforrásokat az épített környezetbe. Ennek számos társadalmi, környezeti és gazdasági előnnyel kell járnia az emberek és a vállalkozások számára, például helyi munkahelyek teremtését és a légszennyezés csökkentését. </w:t>
      </w:r>
    </w:p>
    <w:p w14:paraId="6EF5B825" w14:textId="77777777" w:rsidR="00DC5EC6" w:rsidRDefault="003245A4">
      <w:pPr>
        <w:pStyle w:val="P68B1DB1-Normal4"/>
        <w:spacing w:beforeLines="40" w:before="96" w:after="0" w:line="22" w:lineRule="atLeast"/>
        <w:jc w:val="both"/>
        <w:rPr>
          <w:rFonts w:eastAsiaTheme="minorEastAsia" w:cs="Times New Roman"/>
          <w:noProof/>
        </w:rPr>
      </w:pPr>
      <w:r>
        <w:rPr>
          <w:noProof/>
        </w:rPr>
        <w:t xml:space="preserve">A komponens támogatja az éghajlatvédelmi átállásba, különösen a tiszta és hatékony energiatermelésbe és -felhasználásba történő beruházásokról szóló országspecifikus ajánlás (2020. évi 3. országspecifikus ajánlás) végrehajtását. Kapcsolódik a „Renovate” kiemelt kezdeményezéshez, és a zöld átállás részét is képezi. </w:t>
      </w:r>
    </w:p>
    <w:p w14:paraId="63A64E23" w14:textId="77777777" w:rsidR="00DC5EC6" w:rsidRDefault="003245A4">
      <w:pPr>
        <w:pStyle w:val="P68B1DB1-Normal4"/>
        <w:spacing w:beforeLines="40" w:before="96" w:after="0" w:line="22" w:lineRule="atLeast"/>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3504A60C" w14:textId="77777777" w:rsidR="00DC5EC6" w:rsidRDefault="00DC5EC6">
      <w:pPr>
        <w:spacing w:beforeLines="40" w:before="96" w:after="0" w:line="22" w:lineRule="atLeast"/>
        <w:jc w:val="both"/>
        <w:rPr>
          <w:rFonts w:ascii="Times New Roman" w:eastAsiaTheme="minorEastAsia" w:hAnsi="Times New Roman" w:cs="Times New Roman"/>
          <w:noProof/>
        </w:rPr>
      </w:pPr>
    </w:p>
    <w:p w14:paraId="7E1087BA"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M.1. Vissza nem térítendő pénzügyi támogatás – a reformok és beruházások ismertetése</w:t>
      </w:r>
    </w:p>
    <w:p w14:paraId="5B33E3CE" w14:textId="77777777" w:rsidR="00DC5EC6" w:rsidRDefault="003245A4">
      <w:pPr>
        <w:pStyle w:val="P68B1DB1-Normal5"/>
        <w:spacing w:before="240" w:after="0" w:line="240" w:lineRule="auto"/>
        <w:ind w:left="851"/>
        <w:jc w:val="both"/>
        <w:outlineLvl w:val="2"/>
        <w:rPr>
          <w:rFonts w:eastAsiaTheme="minorEastAsia" w:cs="Times New Roman"/>
          <w:noProof/>
        </w:rPr>
      </w:pPr>
      <w:r>
        <w:rPr>
          <w:noProof/>
        </w:rPr>
        <w:t>Beruházás TC-C13–i01: A lakóépületek energiahatékonysága</w:t>
      </w:r>
    </w:p>
    <w:p w14:paraId="70B72BC7"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w:t>
      </w:r>
      <w:r>
        <w:rPr>
          <w:noProof/>
          <w:shd w:val="clear" w:color="auto" w:fill="FFFFFF"/>
        </w:rPr>
        <w:t xml:space="preserve"> magántulajdonú lakóépületek energetikai felújításának</w:t>
      </w:r>
      <w:r>
        <w:rPr>
          <w:noProof/>
        </w:rPr>
        <w:t xml:space="preserve"> előmozdítása, energiahatékony megoldások bevezetése, a nem hatékony berendezések cseréje és a beépített kapacitás növelése az energia- és erőforrás-hatékonyság előmozdítása, a saját megújulóenergia-fogyasztás fokozása és az energiaszegénység kezelése érdekében. </w:t>
      </w:r>
    </w:p>
    <w:p w14:paraId="3E17583F" w14:textId="77777777" w:rsidR="00DC5EC6" w:rsidRDefault="003245A4">
      <w:pPr>
        <w:pStyle w:val="P68B1DB1-Normal4"/>
        <w:keepNext/>
        <w:spacing w:before="40" w:after="0" w:line="259" w:lineRule="auto"/>
        <w:jc w:val="both"/>
        <w:rPr>
          <w:rFonts w:eastAsiaTheme="minorEastAsia" w:cs="Times New Roman"/>
          <w:noProof/>
        </w:rPr>
      </w:pPr>
      <w:r>
        <w:rPr>
          <w:noProof/>
        </w:rPr>
        <w:t>A beruházás a következő intézkedésekből áll:</w:t>
      </w:r>
    </w:p>
    <w:p w14:paraId="20A1328B" w14:textId="77777777" w:rsidR="00DC5EC6" w:rsidRDefault="003245A4">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Az épületek felújítását, energiahatékonyságát, dekarbonizációját, vízhatékonyságát és körforgásos gazdaságát előmozdító projektek költségeinek támogatása (jellemzően a teljes költség 50–70%-a). Ezt évente közzétett hirdetmények útján kell megtenni.</w:t>
      </w:r>
    </w:p>
    <w:p w14:paraId="631CC72D" w14:textId="77777777" w:rsidR="00DC5EC6" w:rsidRDefault="003245A4">
      <w:pPr>
        <w:pStyle w:val="P68B1DB1-Normal4"/>
        <w:keepNext/>
        <w:widowControl w:val="0"/>
        <w:numPr>
          <w:ilvl w:val="0"/>
          <w:numId w:val="59"/>
        </w:numPr>
        <w:spacing w:before="40" w:after="136" w:line="240" w:lineRule="auto"/>
        <w:jc w:val="both"/>
        <w:rPr>
          <w:rFonts w:ascii="Calibri" w:eastAsia="Calibri" w:hAnsi="Calibri" w:cs="Calibri"/>
          <w:noProof/>
          <w:sz w:val="21"/>
        </w:rPr>
      </w:pPr>
      <w:r>
        <w:rPr>
          <w:noProof/>
        </w:rPr>
        <w:t xml:space="preserve">Az energiaszegénységben élő alacsony jövedelmű háztartások esetében (ahol a költségek akár 100%-a is támogatható), az ilyen intézkedésekhez szorosabb együttműködésre van szükség a központi és helyi hatóságok, valamint más szereplők, például a helyi szövetségek között. </w:t>
      </w:r>
      <w:r>
        <w:rPr>
          <w:i/>
          <w:noProof/>
        </w:rPr>
        <w:t>Az átlagosan 1 300 EUR értékű vales eficiência-t vagy</w:t>
      </w:r>
      <w:r>
        <w:rPr>
          <w:noProof/>
        </w:rPr>
        <w:t>energiahatékonysági utalványt kell kibocsátani és átadni az energiaszegénységben élő háztartásoknak, amelyek feljogosítják a kedvezményezettet bizonyos munkákra, energiahatékony megoldásokra, berendezésekre és az energiafelhasználás villamosítására.</w:t>
      </w:r>
    </w:p>
    <w:p w14:paraId="6211EA87" w14:textId="77777777" w:rsidR="00DC5EC6" w:rsidRDefault="003245A4">
      <w:pPr>
        <w:pStyle w:val="P68B1DB1-Normal4"/>
        <w:keepNext/>
        <w:numPr>
          <w:ilvl w:val="0"/>
          <w:numId w:val="60"/>
        </w:numPr>
        <w:spacing w:before="40" w:after="160" w:line="259" w:lineRule="auto"/>
        <w:contextualSpacing/>
        <w:jc w:val="both"/>
        <w:rPr>
          <w:rFonts w:eastAsiaTheme="minorEastAsia" w:cs="Times New Roman"/>
          <w:noProof/>
        </w:rPr>
      </w:pPr>
      <w:r>
        <w:rPr>
          <w:noProof/>
        </w:rPr>
        <w:t xml:space="preserve">A támogató anyagokat terjeszteni kell a meghozandó legjobb energiahatékonysági intézkedésekre vonatkozó döntések elősegítése érdekében. </w:t>
      </w:r>
    </w:p>
    <w:p w14:paraId="645F2D6F" w14:textId="77777777" w:rsidR="00DC5EC6" w:rsidRDefault="003245A4">
      <w:pPr>
        <w:pStyle w:val="P68B1DB1-Normal4"/>
        <w:keepNext/>
        <w:numPr>
          <w:ilvl w:val="0"/>
          <w:numId w:val="60"/>
        </w:numPr>
        <w:spacing w:before="40" w:after="160" w:line="259" w:lineRule="auto"/>
        <w:contextualSpacing/>
        <w:jc w:val="both"/>
        <w:rPr>
          <w:rFonts w:eastAsiaTheme="minorEastAsia" w:cs="Times New Roman"/>
          <w:noProof/>
        </w:rPr>
      </w:pPr>
      <w:r>
        <w:rPr>
          <w:noProof/>
        </w:rPr>
        <w:t>A különböző nemzeti és helyi szervezetekkel összehangolt kommunikációs csatornákat és egyablakos ügyintézési pontokat is elérhetővé kell tenni annak érdekében, hogy a fogyasztók a legjobb befektetési döntéseket hozhassák meg.</w:t>
      </w:r>
    </w:p>
    <w:p w14:paraId="325EE6D9" w14:textId="77777777" w:rsidR="00DC5EC6" w:rsidRDefault="003245A4">
      <w:pPr>
        <w:pStyle w:val="P68B1DB1-Normal4"/>
        <w:keepNext/>
        <w:spacing w:before="40" w:after="0" w:line="259" w:lineRule="auto"/>
        <w:jc w:val="both"/>
        <w:rPr>
          <w:rFonts w:eastAsiaTheme="minorEastAsia" w:cs="Times New Roman"/>
          <w:noProof/>
        </w:rPr>
      </w:pPr>
      <w:r>
        <w:rPr>
          <w:noProof/>
        </w:rPr>
        <w:t>A tervezett beruházás célja, hogy átlagosan mintegy 200 ktoe primerenergia-megtakarítást és a CO2-kibocsátás mintegy 150 kt-os csökkentését érje el.</w:t>
      </w:r>
    </w:p>
    <w:p w14:paraId="7DCADF68"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AE98B0B" w14:textId="77777777" w:rsidR="00DC5EC6" w:rsidRDefault="003245A4">
      <w:pPr>
        <w:pStyle w:val="P68B1DB1-Normal5"/>
        <w:spacing w:before="240" w:after="0" w:line="240" w:lineRule="auto"/>
        <w:ind w:left="851"/>
        <w:jc w:val="both"/>
        <w:outlineLvl w:val="2"/>
        <w:rPr>
          <w:rFonts w:eastAsiaTheme="minorEastAsia" w:cs="Times New Roman"/>
          <w:noProof/>
        </w:rPr>
      </w:pPr>
      <w:r>
        <w:rPr>
          <w:noProof/>
        </w:rPr>
        <w:t>Beruházás TC-C13–i02: A központi kormányzati épületek energiahatékonysága</w:t>
      </w:r>
    </w:p>
    <w:p w14:paraId="1C88255A" w14:textId="77777777" w:rsidR="00DC5EC6" w:rsidRDefault="003245A4">
      <w:pPr>
        <w:pStyle w:val="P68B1DB1-Normal19"/>
        <w:keepNext/>
        <w:spacing w:before="40" w:after="0" w:line="259" w:lineRule="auto"/>
        <w:jc w:val="both"/>
        <w:rPr>
          <w:rFonts w:eastAsiaTheme="minorEastAsia" w:cs="Times New Roman"/>
          <w:noProof/>
          <w:sz w:val="16"/>
        </w:rPr>
      </w:pPr>
      <w:r>
        <w:rPr>
          <w:noProof/>
          <w:sz w:val="24"/>
        </w:rPr>
        <w:t>E beruházás célja a</w:t>
      </w:r>
      <w:r>
        <w:rPr>
          <w:noProof/>
          <w:sz w:val="24"/>
          <w:shd w:val="clear" w:color="auto" w:fill="FFFFFF"/>
        </w:rPr>
        <w:t xml:space="preserve"> központi kormányzati épületek energetikai felújításának</w:t>
      </w:r>
      <w:r>
        <w:rPr>
          <w:noProof/>
          <w:sz w:val="24"/>
        </w:rPr>
        <w:t xml:space="preserve"> előmozdítása, az energia- és erőforrás-hatékonyság előmozdítása, valamint a saját megújulóenergia-fogyasztás növelése</w:t>
      </w:r>
      <w:r>
        <w:rPr>
          <w:noProof/>
          <w:sz w:val="16"/>
        </w:rPr>
        <w:t xml:space="preserve">. </w:t>
      </w:r>
    </w:p>
    <w:p w14:paraId="2E0DA704"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az épületek felújítását, energiahatékonyságát, dekarbonizációját, vízhatékonyságát és körforgásos gazdaságát előmozdító intézkedésekből áll. </w:t>
      </w:r>
    </w:p>
    <w:p w14:paraId="5CCD1C91"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Az ECO.AP 2030 európai ökoinnovációs cselekvési terv keretében évente hirdetményeket kell közzétenni az építési beavatkozások különböző típusairól, amelyeket az európai ökoinnovációs cselekvési terv keretében kidolgozandó hatékonysági tervekben kell meghatározni. Az ECO.AP 2030 program keretében technikai támogatást kell nyújtani a központi hatóságoknak a projektek meghatározásához és végrehajtásuk előmozdításához. </w:t>
      </w:r>
    </w:p>
    <w:p w14:paraId="43CDD7E4"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A támogató anyagokat továbbítani kell a közigazgatási tisztviselőknek, hogy segítsék őket a meghozandó legjobb energiahatékonysági intézkedések meghozatalában. </w:t>
      </w:r>
    </w:p>
    <w:p w14:paraId="4AE03146" w14:textId="6D5DCF33" w:rsidR="00DC5EC6" w:rsidRDefault="003245A4">
      <w:pPr>
        <w:pStyle w:val="P68B1DB1-Normal4"/>
        <w:keepNext/>
        <w:spacing w:before="40" w:after="0" w:line="259" w:lineRule="auto"/>
        <w:jc w:val="both"/>
        <w:rPr>
          <w:rFonts w:eastAsiaTheme="minorEastAsia" w:cs="Times New Roman"/>
          <w:noProof/>
        </w:rPr>
      </w:pPr>
      <w:r>
        <w:rPr>
          <w:noProof/>
        </w:rPr>
        <w:t>A tervezett beruházás célja, hogy átlagosan mintegy 185 ktoe primerenergia-megtakarítást és a CO2-kibocsátás mintegy 140 kt-os</w:t>
      </w:r>
      <w:r w:rsidR="00C9655D">
        <w:rPr>
          <w:noProof/>
        </w:rPr>
        <w:t xml:space="preserve"> </w:t>
      </w:r>
      <w:r w:rsidRPr="00C9655D">
        <w:rPr>
          <w:noProof/>
        </w:rPr>
        <w:t xml:space="preserve">csökkentését </w:t>
      </w:r>
      <w:r>
        <w:rPr>
          <w:noProof/>
        </w:rPr>
        <w:t>érje el.</w:t>
      </w:r>
    </w:p>
    <w:p w14:paraId="15CF3667"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4966DD71" w14:textId="77777777" w:rsidR="00DC5EC6" w:rsidRDefault="003245A4">
      <w:pPr>
        <w:pStyle w:val="P68B1DB1-Normal5"/>
        <w:spacing w:before="240" w:after="0" w:line="240" w:lineRule="auto"/>
        <w:ind w:left="851"/>
        <w:jc w:val="both"/>
        <w:outlineLvl w:val="2"/>
        <w:rPr>
          <w:rFonts w:eastAsiaTheme="minorEastAsia" w:cs="Times New Roman"/>
          <w:noProof/>
        </w:rPr>
      </w:pPr>
      <w:r>
        <w:rPr>
          <w:noProof/>
        </w:rPr>
        <w:t>Beruházás TC-C13–i03: A szolgáltatási ágazat által használt épületek energiahatékonysága</w:t>
      </w:r>
    </w:p>
    <w:p w14:paraId="0A4A1198" w14:textId="77777777" w:rsidR="00DC5EC6" w:rsidRDefault="003245A4">
      <w:pPr>
        <w:pStyle w:val="P68B1DB1-Normal4"/>
        <w:spacing w:before="40" w:after="0" w:line="240" w:lineRule="auto"/>
        <w:jc w:val="both"/>
        <w:rPr>
          <w:rFonts w:eastAsiaTheme="minorEastAsia" w:cs="Times New Roman"/>
          <w:noProof/>
        </w:rPr>
      </w:pPr>
      <w:r>
        <w:rPr>
          <w:noProof/>
        </w:rPr>
        <w:t xml:space="preserve">E beruházás célja a </w:t>
      </w:r>
      <w:r>
        <w:rPr>
          <w:noProof/>
          <w:shd w:val="clear" w:color="auto" w:fill="FFFFFF"/>
        </w:rPr>
        <w:t>szolgáltatási ágazat által használt épületek energetikai felújításának előmozdítása, az</w:t>
      </w:r>
      <w:r>
        <w:rPr>
          <w:noProof/>
        </w:rPr>
        <w:t xml:space="preserve"> energia- és erőforrás-hatékonyság előmozdítása, valamint a saját megújulóenergia-termelés fokozása. </w:t>
      </w:r>
    </w:p>
    <w:p w14:paraId="5691AA04" w14:textId="77777777" w:rsidR="00DC5EC6" w:rsidRDefault="003245A4">
      <w:pPr>
        <w:pStyle w:val="P68B1DB1-Normal4"/>
        <w:spacing w:before="40" w:after="0" w:line="240" w:lineRule="auto"/>
        <w:jc w:val="both"/>
        <w:rPr>
          <w:rFonts w:eastAsiaTheme="minorEastAsia" w:cs="Times New Roman"/>
          <w:noProof/>
        </w:rPr>
      </w:pPr>
      <w:r>
        <w:rPr>
          <w:noProof/>
        </w:rPr>
        <w:t>Ez a beruházás a következő intézkedésekből áll:</w:t>
      </w:r>
    </w:p>
    <w:p w14:paraId="2D344554"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Évente hirdetményeket kell közzétenni, hogy támogatásért folyamodjanak (általában a teljes költség 50–70%-a), hogy ezeket a költségeket megosszák az épületekkel kapcsolatos beavatkozások különböző típusaiban az energia- és környezeti teljesítményük javítása érdekében. </w:t>
      </w:r>
    </w:p>
    <w:p w14:paraId="4954743E"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 xml:space="preserve">A támogató anyagokat terjeszteni kell a meghozandó legjobb energiahatékonysági intézkedésekre vonatkozó döntések elősegítése érdekében. </w:t>
      </w:r>
    </w:p>
    <w:p w14:paraId="47FC485D" w14:textId="77777777" w:rsidR="00DC5EC6" w:rsidRDefault="003245A4">
      <w:pPr>
        <w:pStyle w:val="P68B1DB1-Normal4"/>
        <w:keepNext/>
        <w:numPr>
          <w:ilvl w:val="0"/>
          <w:numId w:val="30"/>
        </w:numPr>
        <w:spacing w:before="40" w:after="160" w:line="240" w:lineRule="auto"/>
        <w:contextualSpacing/>
        <w:jc w:val="both"/>
        <w:rPr>
          <w:rFonts w:eastAsiaTheme="minorEastAsia" w:cs="Times New Roman"/>
          <w:noProof/>
        </w:rPr>
      </w:pPr>
      <w:r>
        <w:rPr>
          <w:noProof/>
        </w:rPr>
        <w:t>A különböző nemzeti és helyi szervezetekkel összehangolt kommunikációs csatornákat is elérhetővé kell tenni annak érdekében, hogy a fogyasztók a legjobb befektetési döntéseket hozhassák meg, hogy miként lehet megszerezni ezt a támogatást.</w:t>
      </w:r>
    </w:p>
    <w:p w14:paraId="3470E975" w14:textId="77777777" w:rsidR="00DC5EC6" w:rsidRDefault="003245A4">
      <w:pPr>
        <w:pStyle w:val="P68B1DB1-Normal4"/>
        <w:spacing w:before="40" w:after="0" w:line="240" w:lineRule="auto"/>
        <w:jc w:val="both"/>
        <w:rPr>
          <w:rFonts w:eastAsiaTheme="minorEastAsia" w:cs="Times New Roman"/>
          <w:noProof/>
        </w:rPr>
      </w:pPr>
      <w:r>
        <w:rPr>
          <w:noProof/>
        </w:rPr>
        <w:t>A tervezett beruházás célja, hogy átlagosan mintegy 50 ktoe primerenergia-megtakarítást és körülbelül 30 kt szén-</w:t>
      </w:r>
      <w:r>
        <w:rPr>
          <w:noProof/>
          <w:vertAlign w:val="subscript"/>
        </w:rPr>
        <w:t>dioxid</w:t>
      </w:r>
      <w:r>
        <w:rPr>
          <w:noProof/>
        </w:rPr>
        <w:t xml:space="preserve"> -kibocsátáscsökkentést érjen el.</w:t>
      </w:r>
    </w:p>
    <w:p w14:paraId="55C9613B" w14:textId="77777777" w:rsidR="00DC5EC6" w:rsidRDefault="003245A4">
      <w:pPr>
        <w:pStyle w:val="P68B1DB1-Normal4"/>
        <w:spacing w:before="40" w:after="0" w:line="240" w:lineRule="auto"/>
        <w:jc w:val="both"/>
        <w:rPr>
          <w:rFonts w:eastAsiaTheme="minorEastAsia" w:cs="Times New Roman"/>
          <w:noProof/>
        </w:rPr>
        <w:sectPr w:rsidR="00DC5EC6" w:rsidSect="00E00EDD">
          <w:headerReference w:type="even" r:id="rId258"/>
          <w:headerReference w:type="default" r:id="rId259"/>
          <w:footerReference w:type="even" r:id="rId260"/>
          <w:footerReference w:type="default" r:id="rId261"/>
          <w:headerReference w:type="first" r:id="rId262"/>
          <w:footerReference w:type="first" r:id="rId263"/>
          <w:pgSz w:w="11907" w:h="16839"/>
          <w:pgMar w:top="1134" w:right="1134" w:bottom="1134" w:left="1134" w:header="567" w:footer="567" w:gutter="0"/>
          <w:cols w:space="720"/>
          <w:docGrid w:linePitch="360"/>
        </w:sectPr>
      </w:pPr>
      <w:r>
        <w:rPr>
          <w:noProof/>
        </w:rPr>
        <w:t>A beruházás végrehajtását 2025. december 31-ig be kell fejezni.</w:t>
      </w:r>
    </w:p>
    <w:p w14:paraId="29A3F2EB"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M.2. Vissza nem térítendő pénzügyi támogatás – a végrehajtáshoz és a nyomon követéshez kapcsolódó mérföldkövek, célok, mutatók és ütemterv</w:t>
      </w:r>
    </w:p>
    <w:p w14:paraId="11AAFD16"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850"/>
        <w:gridCol w:w="851"/>
        <w:gridCol w:w="567"/>
        <w:gridCol w:w="708"/>
        <w:gridCol w:w="3969"/>
      </w:tblGrid>
      <w:tr w:rsidR="00DC5EC6" w14:paraId="0E0C05EE" w14:textId="77777777" w:rsidTr="00C9655D">
        <w:trPr>
          <w:trHeight w:val="910"/>
          <w:tblHeader/>
        </w:trPr>
        <w:tc>
          <w:tcPr>
            <w:tcW w:w="1135" w:type="dxa"/>
            <w:vMerge w:val="restart"/>
            <w:shd w:val="clear" w:color="auto" w:fill="BDD6EE"/>
            <w:vAlign w:val="center"/>
            <w:hideMark/>
          </w:tcPr>
          <w:p w14:paraId="67BBF50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30B4FF8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2ABC28BA" w14:textId="6B49251B" w:rsidR="00DC5EC6" w:rsidRDefault="003245A4">
            <w:pPr>
              <w:pStyle w:val="P68B1DB1-Normal6"/>
              <w:spacing w:after="0" w:line="240" w:lineRule="auto"/>
              <w:jc w:val="center"/>
              <w:rPr>
                <w:rFonts w:eastAsia="Times New Roman" w:cs="Times New Roman"/>
                <w:noProof/>
                <w:sz w:val="14"/>
              </w:rPr>
            </w:pPr>
            <w:r>
              <w:rPr>
                <w:noProof/>
              </w:rPr>
              <w:t>Mérföldkő/cél</w:t>
            </w:r>
          </w:p>
        </w:tc>
        <w:tc>
          <w:tcPr>
            <w:tcW w:w="1701" w:type="dxa"/>
            <w:vMerge w:val="restart"/>
            <w:shd w:val="clear" w:color="auto" w:fill="BDD6EE"/>
            <w:vAlign w:val="center"/>
            <w:hideMark/>
          </w:tcPr>
          <w:p w14:paraId="0F732803"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4FD2B6A8"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shd w:val="clear" w:color="auto" w:fill="BDD6EE"/>
            <w:vAlign w:val="center"/>
            <w:hideMark/>
          </w:tcPr>
          <w:p w14:paraId="61B63461"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260455EA"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0F60C25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3FAB00E2" w14:textId="77777777" w:rsidTr="00C9655D">
        <w:trPr>
          <w:trHeight w:val="470"/>
          <w:tblHeader/>
        </w:trPr>
        <w:tc>
          <w:tcPr>
            <w:tcW w:w="1135" w:type="dxa"/>
            <w:vMerge/>
            <w:vAlign w:val="center"/>
            <w:hideMark/>
          </w:tcPr>
          <w:p w14:paraId="7E4C472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4F51F51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16343213" w14:textId="293593C9" w:rsidR="00DC5EC6" w:rsidRDefault="00DC5EC6">
            <w:pPr>
              <w:spacing w:after="0" w:line="240" w:lineRule="auto"/>
              <w:jc w:val="center"/>
              <w:rPr>
                <w:rFonts w:ascii="Times New Roman" w:eastAsia="Times New Roman" w:hAnsi="Times New Roman" w:cs="Times New Roman"/>
                <w:b/>
                <w:noProof/>
                <w:sz w:val="14"/>
              </w:rPr>
            </w:pPr>
          </w:p>
        </w:tc>
        <w:tc>
          <w:tcPr>
            <w:tcW w:w="1701" w:type="dxa"/>
            <w:vMerge/>
            <w:vAlign w:val="center"/>
            <w:hideMark/>
          </w:tcPr>
          <w:p w14:paraId="6B71B7A6"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49F56B7"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FCE643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850" w:type="dxa"/>
            <w:shd w:val="clear" w:color="auto" w:fill="BDD6EE"/>
            <w:vAlign w:val="center"/>
            <w:hideMark/>
          </w:tcPr>
          <w:p w14:paraId="5BE8C6D0" w14:textId="77777777" w:rsidR="00DC5EC6" w:rsidRDefault="003245A4">
            <w:pPr>
              <w:pStyle w:val="P68B1DB1-Normal6"/>
              <w:spacing w:after="0" w:line="240" w:lineRule="auto"/>
              <w:jc w:val="center"/>
              <w:rPr>
                <w:rFonts w:eastAsia="Times New Roman" w:cs="Times New Roman"/>
                <w:noProof/>
              </w:rPr>
            </w:pPr>
            <w:r>
              <w:rPr>
                <w:noProof/>
              </w:rPr>
              <w:t>Alapérték</w:t>
            </w:r>
          </w:p>
        </w:tc>
        <w:tc>
          <w:tcPr>
            <w:tcW w:w="851" w:type="dxa"/>
            <w:shd w:val="clear" w:color="auto" w:fill="BDD6EE"/>
            <w:vAlign w:val="center"/>
            <w:hideMark/>
          </w:tcPr>
          <w:p w14:paraId="0C1FF235"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409B8A29" w14:textId="21F3FDFB" w:rsidR="00DC5EC6" w:rsidRDefault="00C9655D">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2A10157F" w14:textId="77777777" w:rsidR="00DC5EC6" w:rsidRDefault="003245A4">
            <w:pPr>
              <w:pStyle w:val="P68B1DB1-Normal6"/>
              <w:spacing w:after="0" w:line="240" w:lineRule="auto"/>
              <w:jc w:val="center"/>
              <w:rPr>
                <w:rFonts w:eastAsia="Times New Roman" w:cs="Times New Roman"/>
                <w:noProof/>
              </w:rPr>
            </w:pPr>
            <w:r>
              <w:rPr>
                <w:noProof/>
              </w:rPr>
              <w:t>Éve</w:t>
            </w:r>
          </w:p>
        </w:tc>
        <w:tc>
          <w:tcPr>
            <w:tcW w:w="3969" w:type="dxa"/>
            <w:vMerge/>
            <w:vAlign w:val="center"/>
            <w:hideMark/>
          </w:tcPr>
          <w:p w14:paraId="4615715E" w14:textId="77777777" w:rsidR="00DC5EC6" w:rsidRDefault="00DC5EC6">
            <w:pPr>
              <w:spacing w:after="0" w:line="240" w:lineRule="auto"/>
              <w:rPr>
                <w:rFonts w:ascii="Times New Roman" w:eastAsia="Times New Roman" w:hAnsi="Times New Roman" w:cs="Times New Roman"/>
                <w:b/>
                <w:noProof/>
                <w:sz w:val="18"/>
              </w:rPr>
            </w:pPr>
          </w:p>
        </w:tc>
      </w:tr>
      <w:tr w:rsidR="00C9655D" w14:paraId="606EC8F0" w14:textId="77777777" w:rsidTr="00C9655D">
        <w:trPr>
          <w:trHeight w:val="420"/>
        </w:trPr>
        <w:tc>
          <w:tcPr>
            <w:tcW w:w="1135" w:type="dxa"/>
            <w:shd w:val="clear" w:color="auto" w:fill="C4EFCE"/>
            <w:vAlign w:val="center"/>
            <w:hideMark/>
          </w:tcPr>
          <w:p w14:paraId="1E4DC0DC" w14:textId="77777777" w:rsidR="00C9655D" w:rsidRDefault="00C9655D" w:rsidP="00C9655D">
            <w:pPr>
              <w:pStyle w:val="P68B1DB1-Normal7"/>
              <w:spacing w:after="0" w:line="240" w:lineRule="auto"/>
              <w:jc w:val="center"/>
              <w:rPr>
                <w:rFonts w:eastAsia="Times New Roman" w:cs="Calibri"/>
                <w:noProof/>
              </w:rPr>
            </w:pPr>
            <w:r>
              <w:rPr>
                <w:noProof/>
              </w:rPr>
              <w:t>13.1</w:t>
            </w:r>
          </w:p>
        </w:tc>
        <w:tc>
          <w:tcPr>
            <w:tcW w:w="1276" w:type="dxa"/>
            <w:shd w:val="clear" w:color="auto" w:fill="C4EFCE"/>
            <w:noWrap/>
            <w:vAlign w:val="center"/>
            <w:hideMark/>
          </w:tcPr>
          <w:p w14:paraId="27EC7AD6" w14:textId="77777777" w:rsidR="00C9655D" w:rsidRDefault="00C9655D" w:rsidP="00C9655D">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36311F16" w14:textId="77777777" w:rsidR="00C9655D" w:rsidRDefault="00C9655D" w:rsidP="00C9655D">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5826370" w14:textId="77777777" w:rsidR="00C9655D" w:rsidRDefault="00C9655D" w:rsidP="00C9655D">
            <w:pPr>
              <w:pStyle w:val="P68B1DB1-Normal8"/>
              <w:spacing w:after="0" w:line="240" w:lineRule="auto"/>
              <w:rPr>
                <w:rFonts w:eastAsia="Times New Roman" w:cs="Calibri"/>
                <w:noProof/>
              </w:rPr>
            </w:pPr>
            <w:r>
              <w:rPr>
                <w:noProof/>
              </w:rPr>
              <w:t>A magánlakóépületek energiahatékonysági felújítása</w:t>
            </w:r>
          </w:p>
        </w:tc>
        <w:tc>
          <w:tcPr>
            <w:tcW w:w="1275" w:type="dxa"/>
            <w:shd w:val="clear" w:color="auto" w:fill="C4EFCE"/>
            <w:noWrap/>
            <w:vAlign w:val="center"/>
            <w:hideMark/>
          </w:tcPr>
          <w:p w14:paraId="462D8E5D" w14:textId="77777777" w:rsidR="00C9655D" w:rsidRDefault="00C9655D" w:rsidP="00C9655D">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CBB54FC" w14:textId="77777777" w:rsidR="00C9655D" w:rsidRDefault="00C9655D" w:rsidP="00C9655D">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9B8212A" w14:textId="77777777" w:rsidR="00C9655D" w:rsidRDefault="00C9655D" w:rsidP="00C9655D">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47DD0506" w14:textId="77777777" w:rsidR="00C9655D" w:rsidRDefault="00C9655D" w:rsidP="00C9655D">
            <w:pPr>
              <w:pStyle w:val="P68B1DB1-Normal8"/>
              <w:spacing w:after="0" w:line="240" w:lineRule="auto"/>
              <w:jc w:val="both"/>
              <w:rPr>
                <w:rFonts w:eastAsia="Times New Roman" w:cs="Calibri"/>
                <w:noProof/>
              </w:rPr>
            </w:pPr>
            <w:r>
              <w:rPr>
                <w:noProof/>
              </w:rPr>
              <w:t>830 000</w:t>
            </w:r>
          </w:p>
        </w:tc>
        <w:tc>
          <w:tcPr>
            <w:tcW w:w="567" w:type="dxa"/>
            <w:shd w:val="clear" w:color="auto" w:fill="C4EFCE"/>
            <w:noWrap/>
            <w:vAlign w:val="center"/>
            <w:hideMark/>
          </w:tcPr>
          <w:p w14:paraId="05169CF0" w14:textId="783F43EB" w:rsidR="00C9655D" w:rsidRDefault="00C9655D" w:rsidP="00C9655D">
            <w:pPr>
              <w:pStyle w:val="P68B1DB1-Normal8"/>
              <w:spacing w:after="0" w:line="240" w:lineRule="auto"/>
              <w:jc w:val="both"/>
              <w:rPr>
                <w:rFonts w:eastAsia="Times New Roman" w:cs="Calibri"/>
                <w:noProof/>
              </w:rPr>
            </w:pPr>
            <w:r>
              <w:rPr>
                <w:noProof/>
              </w:rPr>
              <w:t>2. NEGYEDÉV</w:t>
            </w:r>
          </w:p>
        </w:tc>
        <w:tc>
          <w:tcPr>
            <w:tcW w:w="708" w:type="dxa"/>
            <w:shd w:val="clear" w:color="auto" w:fill="C4EFCE"/>
            <w:noWrap/>
            <w:vAlign w:val="center"/>
            <w:hideMark/>
          </w:tcPr>
          <w:p w14:paraId="4F8F49ED" w14:textId="77777777" w:rsidR="00C9655D" w:rsidRDefault="00C9655D" w:rsidP="00C9655D">
            <w:pPr>
              <w:pStyle w:val="P68B1DB1-Normal8"/>
              <w:spacing w:after="0" w:line="240" w:lineRule="auto"/>
              <w:jc w:val="both"/>
              <w:rPr>
                <w:rFonts w:eastAsia="Times New Roman" w:cs="Calibri"/>
                <w:noProof/>
              </w:rPr>
            </w:pPr>
            <w:r>
              <w:rPr>
                <w:noProof/>
              </w:rPr>
              <w:t>2024</w:t>
            </w:r>
          </w:p>
        </w:tc>
        <w:tc>
          <w:tcPr>
            <w:tcW w:w="3969" w:type="dxa"/>
            <w:shd w:val="clear" w:color="auto" w:fill="C4EFCE"/>
            <w:vAlign w:val="center"/>
            <w:hideMark/>
          </w:tcPr>
          <w:p w14:paraId="4713DF6A" w14:textId="77777777" w:rsidR="00C9655D" w:rsidRDefault="00C9655D" w:rsidP="00C9655D">
            <w:pPr>
              <w:pStyle w:val="P68B1DB1-Normal8"/>
              <w:spacing w:after="0" w:line="240" w:lineRule="auto"/>
              <w:jc w:val="both"/>
              <w:rPr>
                <w:rFonts w:eastAsia="Times New Roman" w:cs="Calibri"/>
                <w:noProof/>
              </w:rPr>
            </w:pPr>
            <w:r>
              <w:rPr>
                <w:noProof/>
              </w:rPr>
              <w:t>A felújított magánlakóépületek területe. Az energiahatékonysági felújításoknak átlagosan legalább az épületek felújításáról szóló (EU) 2019/786 bizottsági ajánlásban meghatározott közepes mélységű felújítást kell megvalósítaniuk.</w:t>
            </w:r>
          </w:p>
        </w:tc>
      </w:tr>
      <w:tr w:rsidR="00C9655D" w14:paraId="1017303B" w14:textId="77777777" w:rsidTr="00C9655D">
        <w:trPr>
          <w:trHeight w:val="420"/>
        </w:trPr>
        <w:tc>
          <w:tcPr>
            <w:tcW w:w="1135" w:type="dxa"/>
            <w:shd w:val="clear" w:color="auto" w:fill="C4EFCE"/>
            <w:vAlign w:val="center"/>
            <w:hideMark/>
          </w:tcPr>
          <w:p w14:paraId="10D598D6" w14:textId="77777777" w:rsidR="00C9655D" w:rsidRDefault="00C9655D" w:rsidP="00C9655D">
            <w:pPr>
              <w:pStyle w:val="P68B1DB1-Normal7"/>
              <w:spacing w:after="0" w:line="240" w:lineRule="auto"/>
              <w:jc w:val="center"/>
              <w:rPr>
                <w:rFonts w:eastAsia="Times New Roman" w:cs="Calibri"/>
                <w:noProof/>
              </w:rPr>
            </w:pPr>
            <w:r>
              <w:rPr>
                <w:noProof/>
              </w:rPr>
              <w:t>13.2</w:t>
            </w:r>
          </w:p>
        </w:tc>
        <w:tc>
          <w:tcPr>
            <w:tcW w:w="1276" w:type="dxa"/>
            <w:shd w:val="clear" w:color="auto" w:fill="C4EFCE"/>
            <w:noWrap/>
            <w:vAlign w:val="center"/>
            <w:hideMark/>
          </w:tcPr>
          <w:p w14:paraId="6D5511F8" w14:textId="77777777" w:rsidR="00C9655D" w:rsidRDefault="00C9655D" w:rsidP="00C9655D">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739F5B31" w14:textId="77777777" w:rsidR="00C9655D" w:rsidRDefault="00C9655D" w:rsidP="00C9655D">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37A49A2" w14:textId="77777777" w:rsidR="00C9655D" w:rsidRDefault="00C9655D" w:rsidP="00C9655D">
            <w:pPr>
              <w:pStyle w:val="P68B1DB1-Normal8"/>
              <w:spacing w:after="0" w:line="240" w:lineRule="auto"/>
              <w:rPr>
                <w:rFonts w:eastAsia="Times New Roman" w:cs="Calibri"/>
                <w:noProof/>
              </w:rPr>
            </w:pPr>
            <w:r>
              <w:rPr>
                <w:noProof/>
              </w:rPr>
              <w:t xml:space="preserve">A magánlakóépületek energiahatékonysági felújítása </w:t>
            </w:r>
          </w:p>
        </w:tc>
        <w:tc>
          <w:tcPr>
            <w:tcW w:w="1275" w:type="dxa"/>
            <w:shd w:val="clear" w:color="auto" w:fill="C4EFCE"/>
            <w:noWrap/>
            <w:vAlign w:val="center"/>
            <w:hideMark/>
          </w:tcPr>
          <w:p w14:paraId="456795CE" w14:textId="77777777" w:rsidR="00C9655D" w:rsidRDefault="00C9655D" w:rsidP="00C9655D">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1EAE464" w14:textId="77777777" w:rsidR="00C9655D" w:rsidRDefault="00C9655D" w:rsidP="00C9655D">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B48A107" w14:textId="77777777" w:rsidR="00C9655D" w:rsidRDefault="00C9655D" w:rsidP="00C9655D">
            <w:pPr>
              <w:pStyle w:val="P68B1DB1-Normal8"/>
              <w:spacing w:after="0" w:line="240" w:lineRule="auto"/>
              <w:jc w:val="center"/>
              <w:rPr>
                <w:rFonts w:eastAsia="Times New Roman" w:cs="Calibri"/>
                <w:noProof/>
              </w:rPr>
            </w:pPr>
            <w:r>
              <w:rPr>
                <w:noProof/>
              </w:rPr>
              <w:t>830 000</w:t>
            </w:r>
          </w:p>
        </w:tc>
        <w:tc>
          <w:tcPr>
            <w:tcW w:w="851" w:type="dxa"/>
            <w:shd w:val="clear" w:color="auto" w:fill="C4EFCE"/>
            <w:noWrap/>
            <w:vAlign w:val="center"/>
            <w:hideMark/>
          </w:tcPr>
          <w:p w14:paraId="4C565512" w14:textId="77777777" w:rsidR="00C9655D" w:rsidRDefault="00C9655D" w:rsidP="00C9655D">
            <w:pPr>
              <w:pStyle w:val="P68B1DB1-Normal8"/>
              <w:spacing w:after="0" w:line="240" w:lineRule="auto"/>
              <w:jc w:val="both"/>
              <w:rPr>
                <w:rFonts w:eastAsia="Times New Roman" w:cs="Calibri"/>
                <w:noProof/>
              </w:rPr>
            </w:pPr>
            <w:r>
              <w:rPr>
                <w:noProof/>
              </w:rPr>
              <w:t>1 020 000</w:t>
            </w:r>
          </w:p>
        </w:tc>
        <w:tc>
          <w:tcPr>
            <w:tcW w:w="567" w:type="dxa"/>
            <w:shd w:val="clear" w:color="auto" w:fill="C4EFCE"/>
            <w:noWrap/>
            <w:vAlign w:val="center"/>
            <w:hideMark/>
          </w:tcPr>
          <w:p w14:paraId="270A70FA" w14:textId="1F70B927" w:rsidR="00C9655D" w:rsidRDefault="00C9655D" w:rsidP="00C9655D">
            <w:pPr>
              <w:pStyle w:val="P68B1DB1-Normal8"/>
              <w:spacing w:after="0" w:line="240" w:lineRule="auto"/>
              <w:jc w:val="both"/>
              <w:rPr>
                <w:rFonts w:eastAsia="Times New Roman" w:cs="Calibri"/>
                <w:noProof/>
              </w:rPr>
            </w:pPr>
            <w:r>
              <w:rPr>
                <w:noProof/>
              </w:rPr>
              <w:t>2. NEGYEDÉV</w:t>
            </w:r>
          </w:p>
        </w:tc>
        <w:tc>
          <w:tcPr>
            <w:tcW w:w="708" w:type="dxa"/>
            <w:shd w:val="clear" w:color="auto" w:fill="C4EFCE"/>
            <w:noWrap/>
            <w:vAlign w:val="center"/>
            <w:hideMark/>
          </w:tcPr>
          <w:p w14:paraId="569CEDB4" w14:textId="77777777" w:rsidR="00C9655D" w:rsidRDefault="00C9655D" w:rsidP="00C9655D">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D57E5C9" w14:textId="77777777" w:rsidR="00C9655D" w:rsidRDefault="00C9655D" w:rsidP="00C9655D">
            <w:pPr>
              <w:pStyle w:val="P68B1DB1-Normal8"/>
              <w:spacing w:after="0" w:line="240" w:lineRule="auto"/>
              <w:jc w:val="both"/>
              <w:rPr>
                <w:rFonts w:eastAsia="Times New Roman" w:cs="Calibri"/>
                <w:noProof/>
              </w:rPr>
            </w:pPr>
            <w:r>
              <w:rPr>
                <w:noProof/>
              </w:rPr>
              <w:t>A felújított magánlakóépületek területe. Az energiahatékonysági felújításoknak átlagosan legalább az épületek felújításáról szóló (EU) 2019/786 bizottsági ajánlásban meghatározott közepes mélységű felújítást kell megvalósítaniuk.</w:t>
            </w:r>
          </w:p>
        </w:tc>
      </w:tr>
      <w:tr w:rsidR="00DC5EC6" w14:paraId="2393B3AE" w14:textId="77777777" w:rsidTr="00C9655D">
        <w:trPr>
          <w:trHeight w:val="1060"/>
        </w:trPr>
        <w:tc>
          <w:tcPr>
            <w:tcW w:w="1135" w:type="dxa"/>
            <w:shd w:val="clear" w:color="auto" w:fill="C4EFCE"/>
            <w:vAlign w:val="center"/>
            <w:hideMark/>
          </w:tcPr>
          <w:p w14:paraId="67D8B225" w14:textId="77777777" w:rsidR="00DC5EC6" w:rsidRDefault="003245A4">
            <w:pPr>
              <w:pStyle w:val="P68B1DB1-Normal7"/>
              <w:spacing w:after="0" w:line="240" w:lineRule="auto"/>
              <w:jc w:val="center"/>
              <w:rPr>
                <w:rFonts w:eastAsia="Times New Roman" w:cs="Calibri"/>
                <w:noProof/>
              </w:rPr>
            </w:pPr>
            <w:r>
              <w:rPr>
                <w:noProof/>
              </w:rPr>
              <w:t>13.3</w:t>
            </w:r>
          </w:p>
        </w:tc>
        <w:tc>
          <w:tcPr>
            <w:tcW w:w="1276" w:type="dxa"/>
            <w:shd w:val="clear" w:color="auto" w:fill="C4EFCE"/>
            <w:noWrap/>
            <w:vAlign w:val="center"/>
            <w:hideMark/>
          </w:tcPr>
          <w:p w14:paraId="7F372A8D" w14:textId="77777777" w:rsidR="00DC5EC6" w:rsidRDefault="003245A4">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02685FC2" w14:textId="77777777" w:rsidR="00DC5EC6" w:rsidRDefault="003245A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92E44C1" w14:textId="77777777" w:rsidR="00DC5EC6" w:rsidRDefault="003245A4">
            <w:pPr>
              <w:pStyle w:val="P68B1DB1-Normal8"/>
              <w:spacing w:after="0" w:line="240" w:lineRule="auto"/>
              <w:rPr>
                <w:rFonts w:eastAsia="Times New Roman" w:cs="Calibri"/>
                <w:noProof/>
              </w:rPr>
            </w:pPr>
            <w:r>
              <w:rPr>
                <w:noProof/>
              </w:rPr>
              <w:t>Az energiaszegénységben élő háztartásoknak kiosztott „hatékonysági utalványok”, amelyek célja a régi berendezések cseréje és energiahatékony megoldások alkalmazása</w:t>
            </w:r>
          </w:p>
        </w:tc>
        <w:tc>
          <w:tcPr>
            <w:tcW w:w="1275" w:type="dxa"/>
            <w:shd w:val="clear" w:color="auto" w:fill="C4EFCE"/>
            <w:noWrap/>
            <w:vAlign w:val="center"/>
            <w:hideMark/>
          </w:tcPr>
          <w:p w14:paraId="7F10918E" w14:textId="77777777" w:rsidR="00DC5EC6" w:rsidRDefault="003245A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9ACE5A7" w14:textId="77777777" w:rsidR="00DC5EC6" w:rsidRDefault="003245A4">
            <w:pPr>
              <w:pStyle w:val="P68B1DB1-Normal8"/>
              <w:spacing w:after="0" w:line="240" w:lineRule="auto"/>
              <w:jc w:val="center"/>
              <w:rPr>
                <w:rFonts w:eastAsia="Times New Roman" w:cs="Calibri"/>
                <w:noProof/>
              </w:rPr>
            </w:pPr>
            <w:r>
              <w:rPr>
                <w:noProof/>
              </w:rPr>
              <w:t>Szám</w:t>
            </w:r>
          </w:p>
        </w:tc>
        <w:tc>
          <w:tcPr>
            <w:tcW w:w="850" w:type="dxa"/>
            <w:shd w:val="clear" w:color="auto" w:fill="C4EFCE"/>
            <w:noWrap/>
            <w:vAlign w:val="center"/>
            <w:hideMark/>
          </w:tcPr>
          <w:p w14:paraId="38F31541" w14:textId="77777777" w:rsidR="00DC5EC6" w:rsidRDefault="003245A4">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6083336E" w14:textId="77777777" w:rsidR="00DC5EC6" w:rsidRDefault="003245A4">
            <w:pPr>
              <w:pStyle w:val="P68B1DB1-Normal8"/>
              <w:spacing w:after="0" w:line="240" w:lineRule="auto"/>
              <w:jc w:val="both"/>
              <w:rPr>
                <w:rFonts w:eastAsia="Times New Roman" w:cs="Calibri"/>
                <w:noProof/>
              </w:rPr>
            </w:pPr>
            <w:r>
              <w:rPr>
                <w:noProof/>
              </w:rPr>
              <w:t>100 000</w:t>
            </w:r>
          </w:p>
        </w:tc>
        <w:tc>
          <w:tcPr>
            <w:tcW w:w="567" w:type="dxa"/>
            <w:shd w:val="clear" w:color="auto" w:fill="C4EFCE"/>
            <w:noWrap/>
            <w:vAlign w:val="center"/>
            <w:hideMark/>
          </w:tcPr>
          <w:p w14:paraId="2458F47B" w14:textId="3080EC0E" w:rsidR="00DC5EC6" w:rsidRDefault="003A6168">
            <w:pPr>
              <w:pStyle w:val="P68B1DB1-Normal8"/>
              <w:spacing w:after="0" w:line="240" w:lineRule="auto"/>
              <w:jc w:val="both"/>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03A7CD48" w14:textId="77777777" w:rsidR="00DC5EC6" w:rsidRDefault="003245A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577AF848" w14:textId="77777777" w:rsidR="00DC5EC6" w:rsidRDefault="003245A4">
            <w:pPr>
              <w:pStyle w:val="P68B1DB1-Normal8"/>
              <w:spacing w:after="0" w:line="240" w:lineRule="auto"/>
              <w:jc w:val="both"/>
              <w:rPr>
                <w:rFonts w:eastAsia="Times New Roman" w:cs="Calibri"/>
                <w:noProof/>
              </w:rPr>
            </w:pPr>
            <w:r>
              <w:rPr>
                <w:noProof/>
              </w:rPr>
              <w:t>Az energiatakarékos berendezések, például hőszivattyúk vásárlására, valamint a háztartás energiahatékonyságának javítását célzó munkálatok elvégzésére az energiaszegénységben élő háztartásoknak (a szociális energiadíjból részesülő háztartások összességéből) kiosztott, átlagosan 1 300 EUR értékű „hatékonysági utalványok” száma. Magában foglalja a telepítési szolgáltatásokat és a korábbi berendezések összegyűjtését (a környezetvédelmi szempontból felelős végső rendeltetési helyre történő továbbítás).</w:t>
            </w:r>
          </w:p>
        </w:tc>
      </w:tr>
      <w:tr w:rsidR="003A6168" w14:paraId="0B0E361D" w14:textId="77777777" w:rsidTr="00C9655D">
        <w:trPr>
          <w:trHeight w:val="640"/>
        </w:trPr>
        <w:tc>
          <w:tcPr>
            <w:tcW w:w="1135" w:type="dxa"/>
            <w:shd w:val="clear" w:color="auto" w:fill="C4EFCE"/>
            <w:vAlign w:val="center"/>
            <w:hideMark/>
          </w:tcPr>
          <w:p w14:paraId="7460E5A9" w14:textId="77777777" w:rsidR="003A6168" w:rsidRDefault="003A6168" w:rsidP="003A6168">
            <w:pPr>
              <w:pStyle w:val="P68B1DB1-Normal7"/>
              <w:spacing w:after="0" w:line="240" w:lineRule="auto"/>
              <w:jc w:val="center"/>
              <w:rPr>
                <w:rFonts w:eastAsia="Times New Roman" w:cs="Calibri"/>
                <w:noProof/>
              </w:rPr>
            </w:pPr>
            <w:r>
              <w:rPr>
                <w:noProof/>
              </w:rPr>
              <w:t>13.4</w:t>
            </w:r>
          </w:p>
        </w:tc>
        <w:tc>
          <w:tcPr>
            <w:tcW w:w="1276" w:type="dxa"/>
            <w:shd w:val="clear" w:color="auto" w:fill="C4EFCE"/>
            <w:noWrap/>
            <w:vAlign w:val="center"/>
            <w:hideMark/>
          </w:tcPr>
          <w:p w14:paraId="4457813A" w14:textId="77777777" w:rsidR="003A6168" w:rsidRDefault="003A6168" w:rsidP="003A6168">
            <w:pPr>
              <w:pStyle w:val="P68B1DB1-Normal8"/>
              <w:spacing w:after="0" w:line="240" w:lineRule="auto"/>
              <w:jc w:val="both"/>
              <w:rPr>
                <w:rFonts w:eastAsia="Times New Roman" w:cs="Calibri"/>
                <w:noProof/>
              </w:rPr>
            </w:pPr>
            <w:r>
              <w:rPr>
                <w:noProof/>
              </w:rPr>
              <w:t>TC-C13-i01</w:t>
            </w:r>
          </w:p>
        </w:tc>
        <w:tc>
          <w:tcPr>
            <w:tcW w:w="1134" w:type="dxa"/>
            <w:shd w:val="clear" w:color="auto" w:fill="C4EFCE"/>
            <w:noWrap/>
            <w:vAlign w:val="center"/>
            <w:hideMark/>
          </w:tcPr>
          <w:p w14:paraId="6C055939"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243CC0AB" w14:textId="77777777" w:rsidR="003A6168" w:rsidRDefault="003A6168" w:rsidP="003A6168">
            <w:pPr>
              <w:pStyle w:val="P68B1DB1-Normal8"/>
              <w:spacing w:after="0" w:line="240" w:lineRule="auto"/>
              <w:rPr>
                <w:rFonts w:eastAsia="Times New Roman" w:cs="Calibri"/>
                <w:noProof/>
              </w:rPr>
            </w:pPr>
            <w:r>
              <w:rPr>
                <w:noProof/>
              </w:rPr>
              <w:t>További megújulóenergia-termelési kapacitás saját fogyasztásra és megújulóenergia-közösségekben történő felhasználásra a magánlakásos ágazatban</w:t>
            </w:r>
          </w:p>
        </w:tc>
        <w:tc>
          <w:tcPr>
            <w:tcW w:w="1275" w:type="dxa"/>
            <w:shd w:val="clear" w:color="auto" w:fill="C4EFCE"/>
            <w:noWrap/>
            <w:vAlign w:val="center"/>
            <w:hideMark/>
          </w:tcPr>
          <w:p w14:paraId="49B81565"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3619A327"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1094D262"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3857AA75" w14:textId="77777777" w:rsidR="003A6168" w:rsidRDefault="003A6168" w:rsidP="003A6168">
            <w:pPr>
              <w:pStyle w:val="P68B1DB1-Normal8"/>
              <w:spacing w:after="0" w:line="240" w:lineRule="auto"/>
              <w:jc w:val="both"/>
              <w:rPr>
                <w:rFonts w:eastAsia="Times New Roman" w:cs="Calibri"/>
                <w:noProof/>
              </w:rPr>
            </w:pPr>
            <w:r>
              <w:rPr>
                <w:noProof/>
              </w:rPr>
              <w:t>35</w:t>
            </w:r>
          </w:p>
        </w:tc>
        <w:tc>
          <w:tcPr>
            <w:tcW w:w="567" w:type="dxa"/>
            <w:shd w:val="clear" w:color="auto" w:fill="C4EFCE"/>
            <w:noWrap/>
            <w:vAlign w:val="center"/>
            <w:hideMark/>
          </w:tcPr>
          <w:p w14:paraId="16330E77" w14:textId="350969C1"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3FBEBB67"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132845E6" w14:textId="77777777" w:rsidR="003A6168" w:rsidRDefault="003A6168" w:rsidP="003A6168">
            <w:pPr>
              <w:pStyle w:val="P68B1DB1-Normal8"/>
              <w:spacing w:after="0" w:line="240" w:lineRule="auto"/>
              <w:jc w:val="both"/>
              <w:rPr>
                <w:rFonts w:eastAsia="Times New Roman" w:cs="Calibri"/>
                <w:noProof/>
              </w:rPr>
            </w:pPr>
            <w:r>
              <w:rPr>
                <w:noProof/>
              </w:rPr>
              <w:t>További megújulóenergia-termelési kapacitás (például fotovoltaikus panelek és akkumulátorok, amint ez utóbbi technológia kiforrotttá válik) saját fogyasztásra és megújulóenergia-közösségekben történő felhasználásra a magánlakásos szektorban.</w:t>
            </w:r>
          </w:p>
        </w:tc>
      </w:tr>
      <w:tr w:rsidR="00DC5EC6" w14:paraId="72822A32" w14:textId="77777777" w:rsidTr="00C9655D">
        <w:trPr>
          <w:trHeight w:val="420"/>
        </w:trPr>
        <w:tc>
          <w:tcPr>
            <w:tcW w:w="1135" w:type="dxa"/>
            <w:shd w:val="clear" w:color="auto" w:fill="C4EFCE"/>
            <w:vAlign w:val="center"/>
            <w:hideMark/>
          </w:tcPr>
          <w:p w14:paraId="3B3EBACC" w14:textId="77777777" w:rsidR="00DC5EC6" w:rsidRDefault="003245A4">
            <w:pPr>
              <w:pStyle w:val="P68B1DB1-Normal7"/>
              <w:spacing w:after="0" w:line="240" w:lineRule="auto"/>
              <w:jc w:val="center"/>
              <w:rPr>
                <w:rFonts w:eastAsia="Times New Roman" w:cs="Calibri"/>
                <w:noProof/>
              </w:rPr>
            </w:pPr>
            <w:r>
              <w:rPr>
                <w:noProof/>
              </w:rPr>
              <w:t>13.5</w:t>
            </w:r>
          </w:p>
        </w:tc>
        <w:tc>
          <w:tcPr>
            <w:tcW w:w="1276" w:type="dxa"/>
            <w:shd w:val="clear" w:color="auto" w:fill="C4EFCE"/>
            <w:noWrap/>
            <w:vAlign w:val="center"/>
            <w:hideMark/>
          </w:tcPr>
          <w:p w14:paraId="7090E9CA" w14:textId="77777777" w:rsidR="00DC5EC6" w:rsidRDefault="003245A4">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0265E7BE" w14:textId="77777777" w:rsidR="00DC5EC6" w:rsidRDefault="003245A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A781328" w14:textId="77777777" w:rsidR="00DC5EC6" w:rsidRDefault="003245A4">
            <w:pPr>
              <w:pStyle w:val="P68B1DB1-Normal8"/>
              <w:spacing w:after="0" w:line="240" w:lineRule="auto"/>
              <w:jc w:val="both"/>
              <w:rPr>
                <w:rFonts w:eastAsia="Times New Roman" w:cs="Calibri"/>
                <w:noProof/>
              </w:rPr>
            </w:pPr>
            <w:r>
              <w:rPr>
                <w:noProof/>
              </w:rPr>
              <w:t>A központi kormányzati épületek energiahatékonysági felújítása</w:t>
            </w:r>
          </w:p>
        </w:tc>
        <w:tc>
          <w:tcPr>
            <w:tcW w:w="1275" w:type="dxa"/>
            <w:shd w:val="clear" w:color="auto" w:fill="C4EFCE"/>
            <w:noWrap/>
            <w:vAlign w:val="center"/>
            <w:hideMark/>
          </w:tcPr>
          <w:p w14:paraId="0B83A2AE" w14:textId="77777777" w:rsidR="00DC5EC6" w:rsidRDefault="003245A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40499B8" w14:textId="77777777" w:rsidR="00DC5EC6" w:rsidRDefault="003245A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4F89FDA3" w14:textId="77777777" w:rsidR="00DC5EC6" w:rsidRDefault="003245A4">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7BD42F3A" w14:textId="77777777" w:rsidR="00DC5EC6" w:rsidRDefault="003245A4">
            <w:pPr>
              <w:pStyle w:val="P68B1DB1-Normal8"/>
              <w:spacing w:after="0" w:line="240" w:lineRule="auto"/>
              <w:jc w:val="both"/>
              <w:rPr>
                <w:rFonts w:eastAsia="Times New Roman" w:cs="Calibri"/>
                <w:noProof/>
              </w:rPr>
            </w:pPr>
            <w:r>
              <w:rPr>
                <w:noProof/>
              </w:rPr>
              <w:t>1 065 000</w:t>
            </w:r>
          </w:p>
        </w:tc>
        <w:tc>
          <w:tcPr>
            <w:tcW w:w="567" w:type="dxa"/>
            <w:shd w:val="clear" w:color="auto" w:fill="C4EFCE"/>
            <w:noWrap/>
            <w:vAlign w:val="center"/>
            <w:hideMark/>
          </w:tcPr>
          <w:p w14:paraId="1624BC2F" w14:textId="1A4DC6C6" w:rsidR="00DC5EC6" w:rsidRDefault="003A6168">
            <w:pPr>
              <w:pStyle w:val="P68B1DB1-Normal8"/>
              <w:spacing w:after="0" w:line="240" w:lineRule="auto"/>
              <w:jc w:val="both"/>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A541125" w14:textId="77777777" w:rsidR="00DC5EC6" w:rsidRDefault="003245A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26228984" w14:textId="77777777" w:rsidR="00DC5EC6" w:rsidRDefault="00DC5EC6">
            <w:pPr>
              <w:spacing w:after="0" w:line="240" w:lineRule="auto"/>
              <w:jc w:val="both"/>
              <w:rPr>
                <w:rFonts w:ascii="Calibri" w:eastAsia="Times New Roman" w:hAnsi="Calibri" w:cs="Calibri"/>
                <w:noProof/>
                <w:sz w:val="16"/>
              </w:rPr>
            </w:pPr>
          </w:p>
          <w:p w14:paraId="160254F6" w14:textId="77777777" w:rsidR="00DC5EC6" w:rsidRDefault="003245A4">
            <w:pPr>
              <w:pStyle w:val="P68B1DB1-Normal8"/>
              <w:spacing w:after="0" w:line="240" w:lineRule="auto"/>
              <w:jc w:val="both"/>
              <w:rPr>
                <w:rFonts w:eastAsia="Times New Roman" w:cs="Calibri"/>
                <w:noProof/>
              </w:rPr>
            </w:pPr>
            <w:r>
              <w:rPr>
                <w:noProof/>
              </w:rPr>
              <w:t>A felújított központi kormányzati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3AB1A080" w14:textId="77777777" w:rsidTr="00C9655D">
        <w:trPr>
          <w:trHeight w:val="420"/>
        </w:trPr>
        <w:tc>
          <w:tcPr>
            <w:tcW w:w="1135" w:type="dxa"/>
            <w:shd w:val="clear" w:color="auto" w:fill="C4EFCE"/>
            <w:vAlign w:val="center"/>
            <w:hideMark/>
          </w:tcPr>
          <w:p w14:paraId="60E0C01F" w14:textId="77777777" w:rsidR="003A6168" w:rsidRDefault="003A6168" w:rsidP="003A6168">
            <w:pPr>
              <w:pStyle w:val="P68B1DB1-Normal7"/>
              <w:spacing w:after="0" w:line="240" w:lineRule="auto"/>
              <w:jc w:val="center"/>
              <w:rPr>
                <w:rFonts w:eastAsia="Times New Roman" w:cs="Calibri"/>
                <w:noProof/>
              </w:rPr>
            </w:pPr>
            <w:r>
              <w:rPr>
                <w:noProof/>
              </w:rPr>
              <w:t>13.6</w:t>
            </w:r>
          </w:p>
        </w:tc>
        <w:tc>
          <w:tcPr>
            <w:tcW w:w="1276" w:type="dxa"/>
            <w:shd w:val="clear" w:color="auto" w:fill="C4EFCE"/>
            <w:noWrap/>
            <w:vAlign w:val="center"/>
            <w:hideMark/>
          </w:tcPr>
          <w:p w14:paraId="293744CC" w14:textId="77777777" w:rsidR="003A6168" w:rsidRDefault="003A6168" w:rsidP="003A6168">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4857104A"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4F18B9FA" w14:textId="77777777" w:rsidR="003A6168" w:rsidRDefault="003A6168" w:rsidP="003A6168">
            <w:pPr>
              <w:pStyle w:val="P68B1DB1-Normal8"/>
              <w:spacing w:after="0" w:line="240" w:lineRule="auto"/>
              <w:jc w:val="both"/>
              <w:rPr>
                <w:rFonts w:eastAsia="Times New Roman" w:cs="Calibri"/>
                <w:noProof/>
              </w:rPr>
            </w:pPr>
            <w:r>
              <w:rPr>
                <w:noProof/>
              </w:rPr>
              <w:t xml:space="preserve">A központi kormányzati épületek energiahatékonysági felújítása </w:t>
            </w:r>
          </w:p>
        </w:tc>
        <w:tc>
          <w:tcPr>
            <w:tcW w:w="1275" w:type="dxa"/>
            <w:shd w:val="clear" w:color="auto" w:fill="C4EFCE"/>
            <w:noWrap/>
            <w:vAlign w:val="center"/>
            <w:hideMark/>
          </w:tcPr>
          <w:p w14:paraId="02A39686"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58D238F8" w14:textId="77777777" w:rsidR="003A6168" w:rsidRDefault="003A6168" w:rsidP="003A6168">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13E054F8" w14:textId="62C82D65" w:rsidR="003A6168" w:rsidRDefault="003A6168" w:rsidP="003A6168">
            <w:pPr>
              <w:pStyle w:val="P68B1DB1-Normal8"/>
              <w:spacing w:after="0" w:line="240" w:lineRule="auto"/>
              <w:jc w:val="center"/>
              <w:rPr>
                <w:rFonts w:eastAsia="Times New Roman" w:cs="Calibri"/>
                <w:noProof/>
              </w:rPr>
            </w:pPr>
            <w:r>
              <w:rPr>
                <w:noProof/>
              </w:rPr>
              <w:t>1 065 000</w:t>
            </w:r>
          </w:p>
        </w:tc>
        <w:tc>
          <w:tcPr>
            <w:tcW w:w="851" w:type="dxa"/>
            <w:shd w:val="clear" w:color="auto" w:fill="C4EFCE"/>
            <w:noWrap/>
            <w:vAlign w:val="center"/>
            <w:hideMark/>
          </w:tcPr>
          <w:p w14:paraId="20287487" w14:textId="77777777" w:rsidR="003A6168" w:rsidRDefault="003A6168" w:rsidP="003A6168">
            <w:pPr>
              <w:pStyle w:val="P68B1DB1-Normal8"/>
              <w:spacing w:after="0" w:line="240" w:lineRule="auto"/>
              <w:jc w:val="both"/>
              <w:rPr>
                <w:rFonts w:eastAsia="Times New Roman" w:cs="Calibri"/>
                <w:noProof/>
              </w:rPr>
            </w:pPr>
            <w:r>
              <w:rPr>
                <w:noProof/>
              </w:rPr>
              <w:t>1 255 000</w:t>
            </w:r>
          </w:p>
        </w:tc>
        <w:tc>
          <w:tcPr>
            <w:tcW w:w="567" w:type="dxa"/>
            <w:shd w:val="clear" w:color="auto" w:fill="C4EFCE"/>
            <w:noWrap/>
            <w:vAlign w:val="center"/>
            <w:hideMark/>
          </w:tcPr>
          <w:p w14:paraId="4B0B2EFE" w14:textId="40CCE9E2"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071698D9"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8F276C1" w14:textId="77777777" w:rsidR="003A6168" w:rsidRDefault="003A6168" w:rsidP="003A6168">
            <w:pPr>
              <w:spacing w:after="0" w:line="240" w:lineRule="auto"/>
              <w:jc w:val="both"/>
              <w:rPr>
                <w:rFonts w:ascii="Calibri" w:eastAsia="Times New Roman" w:hAnsi="Calibri" w:cs="Calibri"/>
                <w:noProof/>
                <w:sz w:val="16"/>
              </w:rPr>
            </w:pPr>
          </w:p>
          <w:p w14:paraId="58C28D3F" w14:textId="77777777" w:rsidR="003A6168" w:rsidRDefault="003A6168" w:rsidP="003A6168">
            <w:pPr>
              <w:pStyle w:val="P68B1DB1-Normal8"/>
              <w:spacing w:after="0" w:line="240" w:lineRule="auto"/>
              <w:jc w:val="both"/>
              <w:rPr>
                <w:rFonts w:eastAsia="Times New Roman" w:cs="Calibri"/>
                <w:noProof/>
              </w:rPr>
            </w:pPr>
            <w:r>
              <w:rPr>
                <w:noProof/>
              </w:rPr>
              <w:t>A felújított központi kormányzati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6107EFB2" w14:textId="77777777" w:rsidTr="00C9655D">
        <w:trPr>
          <w:trHeight w:val="1791"/>
        </w:trPr>
        <w:tc>
          <w:tcPr>
            <w:tcW w:w="1135" w:type="dxa"/>
            <w:shd w:val="clear" w:color="auto" w:fill="C4EFCE"/>
            <w:vAlign w:val="center"/>
            <w:hideMark/>
          </w:tcPr>
          <w:p w14:paraId="6E63D5C7" w14:textId="77777777" w:rsidR="003A6168" w:rsidRDefault="003A6168" w:rsidP="003A6168">
            <w:pPr>
              <w:pStyle w:val="P68B1DB1-Normal7"/>
              <w:spacing w:after="0" w:line="240" w:lineRule="auto"/>
              <w:jc w:val="center"/>
              <w:rPr>
                <w:rFonts w:eastAsia="Times New Roman" w:cs="Calibri"/>
                <w:noProof/>
              </w:rPr>
            </w:pPr>
            <w:r>
              <w:rPr>
                <w:noProof/>
              </w:rPr>
              <w:t>13.7</w:t>
            </w:r>
          </w:p>
        </w:tc>
        <w:tc>
          <w:tcPr>
            <w:tcW w:w="1276" w:type="dxa"/>
            <w:shd w:val="clear" w:color="auto" w:fill="C4EFCE"/>
            <w:noWrap/>
            <w:vAlign w:val="center"/>
            <w:hideMark/>
          </w:tcPr>
          <w:p w14:paraId="070D1DC5" w14:textId="77777777" w:rsidR="003A6168" w:rsidRDefault="003A6168" w:rsidP="003A6168">
            <w:pPr>
              <w:pStyle w:val="P68B1DB1-Normal8"/>
              <w:spacing w:after="0" w:line="240" w:lineRule="auto"/>
              <w:jc w:val="both"/>
              <w:rPr>
                <w:rFonts w:eastAsia="Times New Roman" w:cs="Calibri"/>
                <w:noProof/>
              </w:rPr>
            </w:pPr>
            <w:r>
              <w:rPr>
                <w:noProof/>
              </w:rPr>
              <w:t>TC-C13-i02</w:t>
            </w:r>
          </w:p>
        </w:tc>
        <w:tc>
          <w:tcPr>
            <w:tcW w:w="1134" w:type="dxa"/>
            <w:shd w:val="clear" w:color="auto" w:fill="C4EFCE"/>
            <w:noWrap/>
            <w:vAlign w:val="center"/>
            <w:hideMark/>
          </w:tcPr>
          <w:p w14:paraId="1D3BC664"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936AA2B" w14:textId="77777777" w:rsidR="003A6168" w:rsidRDefault="003A6168" w:rsidP="003A6168">
            <w:pPr>
              <w:pStyle w:val="P68B1DB1-Normal8"/>
              <w:spacing w:after="0" w:line="240" w:lineRule="auto"/>
              <w:jc w:val="both"/>
              <w:rPr>
                <w:rFonts w:eastAsia="Times New Roman" w:cs="Calibri"/>
                <w:noProof/>
              </w:rPr>
            </w:pPr>
            <w:r>
              <w:rPr>
                <w:noProof/>
              </w:rPr>
              <w:t xml:space="preserve">További megújulóenergia-termelési kapacitás saját fogyasztásra és megújulóenergia-közösségekben történő felhasználásra a központi kormányzati épületekben </w:t>
            </w:r>
          </w:p>
        </w:tc>
        <w:tc>
          <w:tcPr>
            <w:tcW w:w="1275" w:type="dxa"/>
            <w:shd w:val="clear" w:color="auto" w:fill="C4EFCE"/>
            <w:noWrap/>
            <w:vAlign w:val="center"/>
            <w:hideMark/>
          </w:tcPr>
          <w:p w14:paraId="612B042B"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4A4BC993"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5880F214"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65D3D5C3" w14:textId="77777777" w:rsidR="003A6168" w:rsidRDefault="003A6168" w:rsidP="003A6168">
            <w:pPr>
              <w:pStyle w:val="P68B1DB1-Normal8"/>
              <w:spacing w:after="0" w:line="240" w:lineRule="auto"/>
              <w:jc w:val="both"/>
              <w:rPr>
                <w:rFonts w:eastAsia="Times New Roman" w:cs="Calibri"/>
                <w:noProof/>
              </w:rPr>
            </w:pPr>
            <w:r>
              <w:rPr>
                <w:noProof/>
              </w:rPr>
              <w:t>28</w:t>
            </w:r>
          </w:p>
        </w:tc>
        <w:tc>
          <w:tcPr>
            <w:tcW w:w="567" w:type="dxa"/>
            <w:shd w:val="clear" w:color="auto" w:fill="C4EFCE"/>
            <w:noWrap/>
            <w:vAlign w:val="center"/>
            <w:hideMark/>
          </w:tcPr>
          <w:p w14:paraId="0ABC7448" w14:textId="42A79F03"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7AC5AAD8"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0C38259F" w14:textId="77777777" w:rsidR="003A6168" w:rsidRDefault="003A6168" w:rsidP="003A6168">
            <w:pPr>
              <w:pStyle w:val="P68B1DB1-Normal8"/>
              <w:spacing w:after="0" w:line="240" w:lineRule="auto"/>
              <w:jc w:val="both"/>
              <w:rPr>
                <w:rFonts w:eastAsia="Times New Roman" w:cs="Calibri"/>
                <w:noProof/>
              </w:rPr>
            </w:pPr>
            <w:r>
              <w:rPr>
                <w:noProof/>
              </w:rPr>
              <w:t xml:space="preserve">További megújulóenergia-termelési kapacitás (például fotovoltaikus panelek és akkumulátorok, amint ez utóbbi technológia érett) a saját fogyasztásra és a központi kormányzati épületek megújulóenergia-közösségeiben történő felhasználásra. </w:t>
            </w:r>
          </w:p>
        </w:tc>
      </w:tr>
      <w:tr w:rsidR="00DC5EC6" w14:paraId="315A0896" w14:textId="77777777" w:rsidTr="00C9655D">
        <w:trPr>
          <w:trHeight w:val="630"/>
        </w:trPr>
        <w:tc>
          <w:tcPr>
            <w:tcW w:w="1135" w:type="dxa"/>
            <w:shd w:val="clear" w:color="auto" w:fill="C4EFCE"/>
            <w:vAlign w:val="center"/>
            <w:hideMark/>
          </w:tcPr>
          <w:p w14:paraId="08835C94" w14:textId="77777777" w:rsidR="00DC5EC6" w:rsidRDefault="003245A4">
            <w:pPr>
              <w:pStyle w:val="P68B1DB1-Normal7"/>
              <w:spacing w:after="0" w:line="240" w:lineRule="auto"/>
              <w:jc w:val="center"/>
              <w:rPr>
                <w:rFonts w:eastAsia="Times New Roman" w:cs="Calibri"/>
                <w:noProof/>
              </w:rPr>
            </w:pPr>
            <w:r>
              <w:rPr>
                <w:noProof/>
              </w:rPr>
              <w:t>13.8</w:t>
            </w:r>
          </w:p>
        </w:tc>
        <w:tc>
          <w:tcPr>
            <w:tcW w:w="1276" w:type="dxa"/>
            <w:shd w:val="clear" w:color="auto" w:fill="C4EFCE"/>
            <w:noWrap/>
            <w:vAlign w:val="center"/>
            <w:hideMark/>
          </w:tcPr>
          <w:p w14:paraId="3283563C" w14:textId="77777777" w:rsidR="00DC5EC6" w:rsidRDefault="003245A4">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39005AC" w14:textId="77777777" w:rsidR="00DC5EC6" w:rsidRDefault="003245A4">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77369B6E" w14:textId="77777777" w:rsidR="00DC5EC6" w:rsidRDefault="003245A4">
            <w:pPr>
              <w:pStyle w:val="P68B1DB1-Normal8"/>
              <w:spacing w:after="0" w:line="240" w:lineRule="auto"/>
              <w:jc w:val="both"/>
              <w:rPr>
                <w:rFonts w:eastAsia="Times New Roman" w:cs="Calibri"/>
                <w:noProof/>
              </w:rPr>
            </w:pPr>
            <w:r>
              <w:rPr>
                <w:noProof/>
              </w:rPr>
              <w:t>A magánszolgáltató épületek energiahatékonysági felújítása</w:t>
            </w:r>
          </w:p>
        </w:tc>
        <w:tc>
          <w:tcPr>
            <w:tcW w:w="1275" w:type="dxa"/>
            <w:shd w:val="clear" w:color="auto" w:fill="C4EFCE"/>
            <w:noWrap/>
            <w:vAlign w:val="center"/>
            <w:hideMark/>
          </w:tcPr>
          <w:p w14:paraId="04F5C639" w14:textId="77777777" w:rsidR="00DC5EC6" w:rsidRDefault="003245A4">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63C2248A" w14:textId="77777777" w:rsidR="00DC5EC6" w:rsidRDefault="003245A4">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2A00A5F0" w14:textId="77777777" w:rsidR="00DC5EC6" w:rsidRDefault="003245A4">
            <w:pPr>
              <w:pStyle w:val="P68B1DB1-Normal8"/>
              <w:spacing w:after="0" w:line="240" w:lineRule="auto"/>
              <w:jc w:val="center"/>
              <w:rPr>
                <w:rFonts w:eastAsia="Times New Roman" w:cs="Calibri"/>
                <w:noProof/>
              </w:rPr>
            </w:pPr>
            <w:r>
              <w:rPr>
                <w:noProof/>
              </w:rPr>
              <w:t>0</w:t>
            </w:r>
          </w:p>
        </w:tc>
        <w:tc>
          <w:tcPr>
            <w:tcW w:w="851" w:type="dxa"/>
            <w:shd w:val="clear" w:color="auto" w:fill="C4EFCE"/>
            <w:noWrap/>
            <w:vAlign w:val="center"/>
            <w:hideMark/>
          </w:tcPr>
          <w:p w14:paraId="75EABFED" w14:textId="77777777" w:rsidR="00DC5EC6" w:rsidRDefault="003245A4">
            <w:pPr>
              <w:pStyle w:val="P68B1DB1-Normal8"/>
              <w:spacing w:after="0" w:line="240" w:lineRule="auto"/>
              <w:jc w:val="both"/>
              <w:rPr>
                <w:rFonts w:eastAsia="Times New Roman" w:cs="Calibri"/>
                <w:noProof/>
              </w:rPr>
            </w:pPr>
            <w:r>
              <w:rPr>
                <w:noProof/>
              </w:rPr>
              <w:t>315 000</w:t>
            </w:r>
          </w:p>
        </w:tc>
        <w:tc>
          <w:tcPr>
            <w:tcW w:w="567" w:type="dxa"/>
            <w:shd w:val="clear" w:color="auto" w:fill="C4EFCE"/>
            <w:noWrap/>
            <w:vAlign w:val="center"/>
            <w:hideMark/>
          </w:tcPr>
          <w:p w14:paraId="49D1DBD6" w14:textId="1F2970B0" w:rsidR="00DC5EC6" w:rsidRDefault="003A6168">
            <w:pPr>
              <w:pStyle w:val="P68B1DB1-Normal8"/>
              <w:spacing w:after="0" w:line="240" w:lineRule="auto"/>
              <w:jc w:val="both"/>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12EB7A96" w14:textId="77777777" w:rsidR="00DC5EC6" w:rsidRDefault="003245A4">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6ECA77CC" w14:textId="77777777" w:rsidR="00DC5EC6" w:rsidRDefault="00DC5EC6">
            <w:pPr>
              <w:spacing w:after="0" w:line="240" w:lineRule="auto"/>
              <w:jc w:val="both"/>
              <w:rPr>
                <w:rFonts w:ascii="Calibri" w:eastAsia="Times New Roman" w:hAnsi="Calibri" w:cs="Calibri"/>
                <w:noProof/>
                <w:sz w:val="16"/>
              </w:rPr>
            </w:pPr>
          </w:p>
          <w:p w14:paraId="6862CCDC" w14:textId="77777777" w:rsidR="00DC5EC6" w:rsidRDefault="003245A4">
            <w:pPr>
              <w:pStyle w:val="P68B1DB1-Normal8"/>
              <w:spacing w:after="0" w:line="240" w:lineRule="auto"/>
              <w:jc w:val="both"/>
              <w:rPr>
                <w:rFonts w:eastAsia="Times New Roman" w:cs="Calibri"/>
                <w:noProof/>
              </w:rPr>
            </w:pPr>
            <w:r>
              <w:rPr>
                <w:noProof/>
              </w:rPr>
              <w:t>A magánszolgáltatók által használt felújított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7CEEEEA3" w14:textId="77777777" w:rsidTr="00C9655D">
        <w:trPr>
          <w:trHeight w:val="630"/>
        </w:trPr>
        <w:tc>
          <w:tcPr>
            <w:tcW w:w="1135" w:type="dxa"/>
            <w:shd w:val="clear" w:color="auto" w:fill="C4EFCE"/>
            <w:vAlign w:val="center"/>
            <w:hideMark/>
          </w:tcPr>
          <w:p w14:paraId="1558A3B7" w14:textId="77777777" w:rsidR="003A6168" w:rsidRDefault="003A6168" w:rsidP="003A6168">
            <w:pPr>
              <w:pStyle w:val="P68B1DB1-Normal7"/>
              <w:spacing w:after="0" w:line="240" w:lineRule="auto"/>
              <w:jc w:val="center"/>
              <w:rPr>
                <w:rFonts w:eastAsia="Times New Roman" w:cs="Calibri"/>
                <w:noProof/>
              </w:rPr>
            </w:pPr>
            <w:r>
              <w:rPr>
                <w:noProof/>
              </w:rPr>
              <w:t>13.9</w:t>
            </w:r>
          </w:p>
        </w:tc>
        <w:tc>
          <w:tcPr>
            <w:tcW w:w="1276" w:type="dxa"/>
            <w:shd w:val="clear" w:color="auto" w:fill="C4EFCE"/>
            <w:noWrap/>
            <w:vAlign w:val="center"/>
            <w:hideMark/>
          </w:tcPr>
          <w:p w14:paraId="048D644C" w14:textId="77777777" w:rsidR="003A6168" w:rsidRDefault="003A6168" w:rsidP="003A6168">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3F4D6FA8"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18C154C7" w14:textId="77777777" w:rsidR="003A6168" w:rsidRDefault="003A6168" w:rsidP="003A6168">
            <w:pPr>
              <w:pStyle w:val="P68B1DB1-Normal8"/>
              <w:spacing w:after="0" w:line="240" w:lineRule="auto"/>
              <w:jc w:val="both"/>
              <w:rPr>
                <w:rFonts w:eastAsia="Times New Roman" w:cs="Calibri"/>
                <w:noProof/>
              </w:rPr>
            </w:pPr>
            <w:r>
              <w:rPr>
                <w:noProof/>
              </w:rPr>
              <w:t>A magánszolgáltató épületek energiahatékonysági felújítása</w:t>
            </w:r>
          </w:p>
        </w:tc>
        <w:tc>
          <w:tcPr>
            <w:tcW w:w="1275" w:type="dxa"/>
            <w:shd w:val="clear" w:color="auto" w:fill="C4EFCE"/>
            <w:noWrap/>
            <w:vAlign w:val="center"/>
            <w:hideMark/>
          </w:tcPr>
          <w:p w14:paraId="4BDE1A7A"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22AA9F67" w14:textId="77777777" w:rsidR="003A6168" w:rsidRDefault="003A6168" w:rsidP="003A6168">
            <w:pPr>
              <w:pStyle w:val="P68B1DB1-Normal8"/>
              <w:spacing w:after="0" w:line="240" w:lineRule="auto"/>
              <w:jc w:val="center"/>
              <w:rPr>
                <w:rFonts w:eastAsia="Times New Roman" w:cs="Calibri"/>
                <w:noProof/>
              </w:rPr>
            </w:pPr>
            <w:r>
              <w:rPr>
                <w:noProof/>
              </w:rPr>
              <w:t>m²</w:t>
            </w:r>
          </w:p>
        </w:tc>
        <w:tc>
          <w:tcPr>
            <w:tcW w:w="850" w:type="dxa"/>
            <w:shd w:val="clear" w:color="auto" w:fill="C4EFCE"/>
            <w:noWrap/>
            <w:vAlign w:val="center"/>
            <w:hideMark/>
          </w:tcPr>
          <w:p w14:paraId="06B1E72C" w14:textId="77777777" w:rsidR="003A6168" w:rsidRDefault="003A6168" w:rsidP="003A6168">
            <w:pPr>
              <w:pStyle w:val="P68B1DB1-Normal8"/>
              <w:spacing w:after="0" w:line="240" w:lineRule="auto"/>
              <w:jc w:val="center"/>
              <w:rPr>
                <w:rFonts w:eastAsia="Times New Roman" w:cs="Calibri"/>
                <w:noProof/>
              </w:rPr>
            </w:pPr>
            <w:r>
              <w:rPr>
                <w:noProof/>
              </w:rPr>
              <w:t>315 000</w:t>
            </w:r>
          </w:p>
        </w:tc>
        <w:tc>
          <w:tcPr>
            <w:tcW w:w="851" w:type="dxa"/>
            <w:shd w:val="clear" w:color="auto" w:fill="C4EFCE"/>
            <w:noWrap/>
            <w:vAlign w:val="center"/>
            <w:hideMark/>
          </w:tcPr>
          <w:p w14:paraId="71FE31A9" w14:textId="77777777" w:rsidR="003A6168" w:rsidRDefault="003A6168" w:rsidP="003A6168">
            <w:pPr>
              <w:pStyle w:val="P68B1DB1-Normal8"/>
              <w:spacing w:after="0" w:line="240" w:lineRule="auto"/>
              <w:jc w:val="both"/>
              <w:rPr>
                <w:rFonts w:eastAsia="Times New Roman" w:cs="Calibri"/>
                <w:noProof/>
              </w:rPr>
            </w:pPr>
            <w:r>
              <w:rPr>
                <w:noProof/>
              </w:rPr>
              <w:t>360 000</w:t>
            </w:r>
          </w:p>
        </w:tc>
        <w:tc>
          <w:tcPr>
            <w:tcW w:w="567" w:type="dxa"/>
            <w:shd w:val="clear" w:color="auto" w:fill="C4EFCE"/>
            <w:noWrap/>
            <w:vAlign w:val="center"/>
            <w:hideMark/>
          </w:tcPr>
          <w:p w14:paraId="3FC426D1" w14:textId="5D9BD2DA"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6311F4AB"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42E42EAB" w14:textId="77777777" w:rsidR="003A6168" w:rsidRDefault="003A6168" w:rsidP="003A6168">
            <w:pPr>
              <w:spacing w:after="0" w:line="240" w:lineRule="auto"/>
              <w:jc w:val="both"/>
              <w:rPr>
                <w:rFonts w:ascii="Calibri" w:eastAsia="Times New Roman" w:hAnsi="Calibri" w:cs="Calibri"/>
                <w:noProof/>
                <w:sz w:val="16"/>
              </w:rPr>
            </w:pPr>
          </w:p>
          <w:p w14:paraId="46DF3B33" w14:textId="77777777" w:rsidR="003A6168" w:rsidRDefault="003A6168" w:rsidP="003A6168">
            <w:pPr>
              <w:pStyle w:val="P68B1DB1-Normal8"/>
              <w:spacing w:after="0" w:line="240" w:lineRule="auto"/>
              <w:jc w:val="both"/>
              <w:rPr>
                <w:rFonts w:eastAsia="Times New Roman" w:cs="Calibri"/>
                <w:noProof/>
              </w:rPr>
            </w:pPr>
            <w:r>
              <w:rPr>
                <w:noProof/>
              </w:rPr>
              <w:t>A magánszektor által használt felújított épületek területe. Az energiahatékonysági felújításoknak átlagosan legalább az épületek felújításáról szóló (EU) 2019/786 bizottsági ajánlásban meghatározott közepes mélységű felújítást kell megvalósítaniuk.</w:t>
            </w:r>
          </w:p>
        </w:tc>
      </w:tr>
      <w:tr w:rsidR="003A6168" w14:paraId="5F36D45E" w14:textId="77777777" w:rsidTr="00C9655D">
        <w:trPr>
          <w:trHeight w:val="1995"/>
        </w:trPr>
        <w:tc>
          <w:tcPr>
            <w:tcW w:w="1135" w:type="dxa"/>
            <w:shd w:val="clear" w:color="auto" w:fill="C4EFCE"/>
            <w:vAlign w:val="center"/>
            <w:hideMark/>
          </w:tcPr>
          <w:p w14:paraId="4985012C" w14:textId="77777777" w:rsidR="003A6168" w:rsidRDefault="003A6168" w:rsidP="003A6168">
            <w:pPr>
              <w:pStyle w:val="P68B1DB1-Normal7"/>
              <w:spacing w:after="0" w:line="240" w:lineRule="auto"/>
              <w:jc w:val="center"/>
              <w:rPr>
                <w:rFonts w:eastAsia="Times New Roman" w:cs="Calibri"/>
                <w:noProof/>
              </w:rPr>
            </w:pPr>
            <w:r>
              <w:rPr>
                <w:noProof/>
              </w:rPr>
              <w:t>13.10</w:t>
            </w:r>
          </w:p>
        </w:tc>
        <w:tc>
          <w:tcPr>
            <w:tcW w:w="1276" w:type="dxa"/>
            <w:shd w:val="clear" w:color="auto" w:fill="C4EFCE"/>
            <w:noWrap/>
            <w:vAlign w:val="center"/>
            <w:hideMark/>
          </w:tcPr>
          <w:p w14:paraId="0E8ACC47" w14:textId="77777777" w:rsidR="003A6168" w:rsidRDefault="003A6168" w:rsidP="003A6168">
            <w:pPr>
              <w:pStyle w:val="P68B1DB1-Normal8"/>
              <w:spacing w:after="0" w:line="240" w:lineRule="auto"/>
              <w:jc w:val="both"/>
              <w:rPr>
                <w:rFonts w:eastAsia="Times New Roman" w:cs="Calibri"/>
                <w:noProof/>
              </w:rPr>
            </w:pPr>
            <w:r>
              <w:rPr>
                <w:noProof/>
              </w:rPr>
              <w:t>TC-C13-i03</w:t>
            </w:r>
          </w:p>
        </w:tc>
        <w:tc>
          <w:tcPr>
            <w:tcW w:w="1134" w:type="dxa"/>
            <w:shd w:val="clear" w:color="auto" w:fill="C4EFCE"/>
            <w:noWrap/>
            <w:vAlign w:val="center"/>
            <w:hideMark/>
          </w:tcPr>
          <w:p w14:paraId="7DCB8AB8" w14:textId="77777777" w:rsidR="003A6168" w:rsidRDefault="003A6168" w:rsidP="003A6168">
            <w:pPr>
              <w:pStyle w:val="P68B1DB1-Normal8"/>
              <w:spacing w:after="0" w:line="240" w:lineRule="auto"/>
              <w:jc w:val="both"/>
              <w:rPr>
                <w:rFonts w:eastAsia="Times New Roman" w:cs="Calibri"/>
                <w:noProof/>
              </w:rPr>
            </w:pPr>
            <w:r>
              <w:rPr>
                <w:noProof/>
              </w:rPr>
              <w:t>T</w:t>
            </w:r>
          </w:p>
        </w:tc>
        <w:tc>
          <w:tcPr>
            <w:tcW w:w="1701" w:type="dxa"/>
            <w:shd w:val="clear" w:color="auto" w:fill="C4EFCE"/>
            <w:noWrap/>
            <w:vAlign w:val="center"/>
            <w:hideMark/>
          </w:tcPr>
          <w:p w14:paraId="0495A743" w14:textId="77777777" w:rsidR="003A6168" w:rsidRDefault="003A6168" w:rsidP="003A6168">
            <w:pPr>
              <w:pStyle w:val="P68B1DB1-Normal8"/>
              <w:spacing w:after="0" w:line="240" w:lineRule="auto"/>
              <w:jc w:val="both"/>
              <w:rPr>
                <w:rFonts w:eastAsia="Times New Roman" w:cs="Calibri"/>
                <w:noProof/>
              </w:rPr>
            </w:pPr>
            <w:r>
              <w:rPr>
                <w:noProof/>
              </w:rPr>
              <w:t xml:space="preserve">További megújulóenergia-termelési kapacitás saját fogyasztásra és megújulóenergia-közösségekben történő felhasználásra a magánszektorban </w:t>
            </w:r>
          </w:p>
        </w:tc>
        <w:tc>
          <w:tcPr>
            <w:tcW w:w="1275" w:type="dxa"/>
            <w:shd w:val="clear" w:color="auto" w:fill="C4EFCE"/>
            <w:noWrap/>
            <w:vAlign w:val="center"/>
            <w:hideMark/>
          </w:tcPr>
          <w:p w14:paraId="7C3E76E6" w14:textId="77777777" w:rsidR="003A6168" w:rsidRDefault="003A6168" w:rsidP="003A6168">
            <w:pPr>
              <w:pStyle w:val="P68B1DB1-Normal8"/>
              <w:spacing w:after="0" w:line="240" w:lineRule="auto"/>
              <w:jc w:val="both"/>
              <w:rPr>
                <w:rFonts w:eastAsia="Times New Roman" w:cs="Calibri"/>
                <w:noProof/>
              </w:rPr>
            </w:pPr>
            <w:r>
              <w:rPr>
                <w:noProof/>
              </w:rPr>
              <w:t> </w:t>
            </w:r>
          </w:p>
        </w:tc>
        <w:tc>
          <w:tcPr>
            <w:tcW w:w="993" w:type="dxa"/>
            <w:shd w:val="clear" w:color="auto" w:fill="C4EFCE"/>
            <w:noWrap/>
            <w:vAlign w:val="center"/>
            <w:hideMark/>
          </w:tcPr>
          <w:p w14:paraId="0364534A"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850" w:type="dxa"/>
            <w:shd w:val="clear" w:color="auto" w:fill="C4EFCE"/>
            <w:noWrap/>
            <w:vAlign w:val="center"/>
            <w:hideMark/>
          </w:tcPr>
          <w:p w14:paraId="3ADBE991" w14:textId="77777777" w:rsidR="003A6168" w:rsidRDefault="003A6168" w:rsidP="003A6168">
            <w:pPr>
              <w:pStyle w:val="P68B1DB1-Normal8"/>
              <w:spacing w:after="0" w:line="240" w:lineRule="auto"/>
              <w:jc w:val="both"/>
              <w:rPr>
                <w:rFonts w:eastAsia="Times New Roman" w:cs="Calibri"/>
                <w:noProof/>
              </w:rPr>
            </w:pPr>
            <w:r>
              <w:rPr>
                <w:noProof/>
              </w:rPr>
              <w:t>0</w:t>
            </w:r>
          </w:p>
        </w:tc>
        <w:tc>
          <w:tcPr>
            <w:tcW w:w="851" w:type="dxa"/>
            <w:shd w:val="clear" w:color="auto" w:fill="C4EFCE"/>
            <w:noWrap/>
            <w:vAlign w:val="center"/>
            <w:hideMark/>
          </w:tcPr>
          <w:p w14:paraId="219C358C" w14:textId="77777777" w:rsidR="003A6168" w:rsidRDefault="003A6168" w:rsidP="003A6168">
            <w:pPr>
              <w:pStyle w:val="P68B1DB1-Normal8"/>
              <w:spacing w:after="0" w:line="240" w:lineRule="auto"/>
              <w:jc w:val="both"/>
              <w:rPr>
                <w:rFonts w:eastAsia="Times New Roman" w:cs="Calibri"/>
                <w:noProof/>
              </w:rPr>
            </w:pPr>
            <w:r>
              <w:rPr>
                <w:noProof/>
              </w:rPr>
              <w:t>30</w:t>
            </w:r>
          </w:p>
        </w:tc>
        <w:tc>
          <w:tcPr>
            <w:tcW w:w="567" w:type="dxa"/>
            <w:shd w:val="clear" w:color="auto" w:fill="C4EFCE"/>
            <w:noWrap/>
            <w:vAlign w:val="center"/>
            <w:hideMark/>
          </w:tcPr>
          <w:p w14:paraId="00BEF57C" w14:textId="6866549D" w:rsidR="003A6168" w:rsidRDefault="003A6168" w:rsidP="003A6168">
            <w:pPr>
              <w:pStyle w:val="P68B1DB1-Normal8"/>
              <w:spacing w:after="0" w:line="240" w:lineRule="auto"/>
              <w:jc w:val="both"/>
              <w:rPr>
                <w:rFonts w:eastAsia="Times New Roman" w:cs="Calibri"/>
                <w:noProof/>
              </w:rPr>
            </w:pPr>
            <w:r>
              <w:rPr>
                <w:noProof/>
              </w:rPr>
              <w:t>4. NEGYEDÉV</w:t>
            </w:r>
          </w:p>
        </w:tc>
        <w:tc>
          <w:tcPr>
            <w:tcW w:w="708" w:type="dxa"/>
            <w:shd w:val="clear" w:color="auto" w:fill="C4EFCE"/>
            <w:noWrap/>
            <w:vAlign w:val="center"/>
            <w:hideMark/>
          </w:tcPr>
          <w:p w14:paraId="38DC3D4F" w14:textId="77777777" w:rsidR="003A6168" w:rsidRDefault="003A6168" w:rsidP="003A6168">
            <w:pPr>
              <w:pStyle w:val="P68B1DB1-Normal8"/>
              <w:spacing w:after="0" w:line="240" w:lineRule="auto"/>
              <w:jc w:val="both"/>
              <w:rPr>
                <w:rFonts w:eastAsia="Times New Roman" w:cs="Calibri"/>
                <w:noProof/>
              </w:rPr>
            </w:pPr>
            <w:r>
              <w:rPr>
                <w:noProof/>
              </w:rPr>
              <w:t>2025</w:t>
            </w:r>
          </w:p>
        </w:tc>
        <w:tc>
          <w:tcPr>
            <w:tcW w:w="3969" w:type="dxa"/>
            <w:shd w:val="clear" w:color="auto" w:fill="C4EFCE"/>
            <w:vAlign w:val="center"/>
            <w:hideMark/>
          </w:tcPr>
          <w:p w14:paraId="7428E06E" w14:textId="77777777" w:rsidR="003A6168" w:rsidRDefault="003A6168" w:rsidP="003A6168">
            <w:pPr>
              <w:pStyle w:val="P68B1DB1-Normal8"/>
              <w:spacing w:after="0" w:line="240" w:lineRule="auto"/>
              <w:jc w:val="both"/>
              <w:rPr>
                <w:rFonts w:eastAsia="Times New Roman" w:cs="Calibri"/>
                <w:noProof/>
              </w:rPr>
            </w:pPr>
            <w:r>
              <w:rPr>
                <w:noProof/>
              </w:rPr>
              <w:t>További megújulóenergia-termelési kapacitás (például fotovoltaikus panelek és akkumulátorok, amint ez utóbbi technológia érett) a saját fogyasztásra és a megújulóenergia-közösségekben történő felhasználásra a magánszektorban.</w:t>
            </w:r>
          </w:p>
        </w:tc>
      </w:tr>
    </w:tbl>
    <w:p w14:paraId="557E1674" w14:textId="77777777" w:rsidR="00DC5EC6" w:rsidRDefault="00DC5EC6">
      <w:pPr>
        <w:spacing w:before="40" w:after="0" w:line="259" w:lineRule="auto"/>
        <w:jc w:val="both"/>
        <w:rPr>
          <w:rFonts w:ascii="Times New Roman" w:eastAsiaTheme="minorEastAsia" w:hAnsi="Times New Roman" w:cs="Times New Roman"/>
          <w:noProof/>
          <w:sz w:val="24"/>
        </w:rPr>
      </w:pPr>
    </w:p>
    <w:p w14:paraId="61304717" w14:textId="77777777" w:rsidR="00DC5EC6" w:rsidRDefault="00DC5EC6">
      <w:pPr>
        <w:spacing w:before="40" w:after="0" w:line="259" w:lineRule="auto"/>
        <w:jc w:val="both"/>
        <w:rPr>
          <w:rFonts w:ascii="Times New Roman" w:eastAsiaTheme="minorEastAsia" w:hAnsi="Times New Roman" w:cs="Times New Roman"/>
          <w:noProof/>
          <w:sz w:val="24"/>
        </w:rPr>
      </w:pPr>
    </w:p>
    <w:p w14:paraId="2EA2F20F"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64"/>
          <w:headerReference w:type="default" r:id="rId265"/>
          <w:footerReference w:type="even" r:id="rId266"/>
          <w:footerReference w:type="default" r:id="rId267"/>
          <w:headerReference w:type="first" r:id="rId268"/>
          <w:footerReference w:type="first" r:id="rId269"/>
          <w:pgSz w:w="16839" w:h="11907" w:orient="landscape"/>
          <w:pgMar w:top="1134" w:right="1134" w:bottom="1134" w:left="1134" w:header="567" w:footer="567" w:gutter="0"/>
          <w:cols w:space="720"/>
          <w:docGrid w:linePitch="360"/>
        </w:sectPr>
      </w:pPr>
    </w:p>
    <w:p w14:paraId="3C2CFB1F" w14:textId="32AE0E26"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 xml:space="preserve">N. 14. </w:t>
      </w:r>
      <w:r w:rsidR="00342815">
        <w:rPr>
          <w:noProof/>
        </w:rPr>
        <w:t>KOMPONENS</w:t>
      </w:r>
      <w:r>
        <w:rPr>
          <w:noProof/>
        </w:rPr>
        <w:t>: Hidrogén és megújuló energiaforrások</w:t>
      </w:r>
    </w:p>
    <w:p w14:paraId="24AAADA7" w14:textId="77777777" w:rsidR="00DC5EC6" w:rsidRDefault="003245A4">
      <w:pPr>
        <w:pStyle w:val="P68B1DB1-Normal4"/>
        <w:spacing w:before="40" w:after="0" w:line="259" w:lineRule="auto"/>
        <w:jc w:val="both"/>
        <w:rPr>
          <w:rFonts w:eastAsiaTheme="minorEastAsia" w:cs="Times New Roman"/>
          <w:noProof/>
        </w:rPr>
      </w:pPr>
      <w:r>
        <w:rPr>
          <w:noProof/>
        </w:rPr>
        <w:t>Portugália kötelezettséget vállalt arra, hogy 2050-ig megvalósítja a karbonsemlegességet, és az országot a Párizsi Megállapodás keretében az éghajlatváltozás elleni küzdelemben vezető szerepet betöltő országok közé sorolta. A 2050-ig szóló szén-dioxid-semlegességi ütemterv (RNC 2050) dekarbonizációs célként határozza meg a 2005-ös kibocsátásokhoz képest több mint 85%-os kibocsátáscsökkentést és 13000000 tonna szénmegkötési kapacitást. A komponens a megújuló hidrogén elterjedésének előmozdítása révén az úgynevezett nehezen csökkenthető ágazatokkal foglalkozik.</w:t>
      </w:r>
    </w:p>
    <w:p w14:paraId="42D4ADE5" w14:textId="77777777" w:rsidR="00DC5EC6" w:rsidRDefault="003245A4">
      <w:pPr>
        <w:pStyle w:val="P68B1DB1-Normal4"/>
        <w:spacing w:before="40" w:after="0" w:line="259" w:lineRule="auto"/>
        <w:jc w:val="both"/>
        <w:rPr>
          <w:rFonts w:eastAsiaTheme="minorEastAsia" w:cs="Times New Roman"/>
          <w:noProof/>
        </w:rPr>
      </w:pPr>
      <w:r>
        <w:rPr>
          <w:noProof/>
        </w:rPr>
        <w:t>Az alkotóelem célja az energetikai átállásnak, valamint az ipar és a közlekedés dekarbonizációjának előmozdítása, különös tekintettel a megújuló hidrogén és más megújuló gázok előállítására. Az autonóm régiók esetében a hangsúly a megújuló energia (geotermikus, szél-, fotovoltaikus és vízenergia) és a tárolás elterjesztésén van. Ez az összetevő kulcsfontosságú a nemzeti energiafüggőség helyi forrásokból történő energiatermelés révén történő csökkentéséhez, a kereskedelmi egyensúly javításához és a hazai gazdaság rezilienciájának fokozásához.</w:t>
      </w:r>
    </w:p>
    <w:p w14:paraId="741FF5F1" w14:textId="77777777" w:rsidR="00DC5EC6" w:rsidRDefault="003245A4">
      <w:pPr>
        <w:pStyle w:val="P68B1DB1-Normal4"/>
        <w:spacing w:before="40" w:after="0" w:line="259" w:lineRule="auto"/>
        <w:jc w:val="both"/>
        <w:rPr>
          <w:rFonts w:eastAsiaTheme="minorEastAsia" w:cs="Times New Roman"/>
          <w:noProof/>
        </w:rPr>
      </w:pPr>
      <w:r>
        <w:rPr>
          <w:noProof/>
        </w:rPr>
        <w:t>A komponens támogatja az országspecifikus ajánlás végrehajtását, amely szerint a beruházásokat az éghajlatvédelmi átállásra kell összpontosítani, különös tekintettel a megújulóenergia-termelésre (2019. és 2020. évi 3. országspecifikus ajánlás).</w:t>
      </w:r>
    </w:p>
    <w:p w14:paraId="092B10E5"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5433DBDC"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N.1. Vissza nem térítendő pénzügyi támogatás – a reformok és beruházások ismertetése</w:t>
      </w:r>
    </w:p>
    <w:p w14:paraId="64866960"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TC-r29 reform: Nemzeti hidrogénstratégia (EN-H2)</w:t>
      </w:r>
    </w:p>
    <w:p w14:paraId="13857BA4" w14:textId="77777777" w:rsidR="00DC5EC6" w:rsidRDefault="003245A4">
      <w:pPr>
        <w:pStyle w:val="P68B1DB1-Normal4"/>
        <w:spacing w:before="40" w:after="0" w:line="259" w:lineRule="auto"/>
        <w:jc w:val="both"/>
        <w:rPr>
          <w:rFonts w:eastAsiaTheme="minorEastAsia" w:cs="Times New Roman"/>
          <w:noProof/>
        </w:rPr>
      </w:pPr>
      <w:r>
        <w:rPr>
          <w:noProof/>
        </w:rPr>
        <w:t>Az intézkedés célja, hogy ösztönző és stabilitási elemet vezessen be az energiaágazat számára, előmozdítva a megújuló hidrogén fokozatos bevezetését a dekarbonizált gazdaságra való átállásra vonatkozó átfogóbb stratégia fenntartható pilléreként. Ez a stratégia keretbe foglalja a hidrogén energiarendszerben betöltött jelenlegi és jövőbeli szerepét, és intézkedéseket és célokat javasol a hidrogénnek a gazdaság különböző ágazataiba való beépítésére vonatkozóan. Ez magában foglalja az átálláshoz szükséges feltételek megteremtését is, beleértve többek között a jogszabályokat és a szabályozást, a biztonságot, a szabványokat, az innovációt és fejlesztést, valamint a finanszírozást. Az intézkedés célja a Nemzeti Gázszállítási Hálózat és a Nemzeti Gázelosztó Hálózat szabályozásának módosítása, amelyet az Energiaügyi és Földtani Főigazgatóság hagy jóvá. A módosított rendeletnek lehetővé kell tennie a gázszállítási infrastruktúrákhoz való csatlakozás feltételeinek meghatározását, különösen a megújuló eredetű gázok – köztük a megújuló hidrogén és az alacsony széntartalmú gázok – injektálása tekintetében, valamint e gázok hálózatokba történő betáplálásának minimális és maximális százalékos arányát. Emellett a módosított rendeletnek tartalmaznia kell a műszaki szabványok szükséges felülvizsgálatát, amelyek biztosítják a szolgáltatás minőségét és ezen infrastruktúrák biztonságos használatát valamennyi felhasználó számára.</w:t>
      </w:r>
    </w:p>
    <w:p w14:paraId="02E50E69"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2021. szeptember 30-ig be kell fejezni.</w:t>
      </w:r>
    </w:p>
    <w:p w14:paraId="28667EBB"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TC-C14–i01: Hidrogén és megújuló gázok</w:t>
      </w:r>
    </w:p>
    <w:p w14:paraId="7F188255" w14:textId="77777777" w:rsidR="00DC5EC6" w:rsidRDefault="003245A4">
      <w:pPr>
        <w:pStyle w:val="P68B1DB1-Normal4"/>
        <w:spacing w:before="40" w:after="0" w:line="259" w:lineRule="auto"/>
        <w:jc w:val="both"/>
        <w:rPr>
          <w:rFonts w:eastAsiaTheme="minorEastAsia" w:cs="Times New Roman"/>
          <w:noProof/>
        </w:rPr>
      </w:pPr>
      <w:r>
        <w:rPr>
          <w:noProof/>
        </w:rPr>
        <w:t>Az intézkedés célja a megújuló hidrogén és más megújuló eredetű gázok saját fogyasztásra vagy a hálózatba történő betáplálásra történő előállítására irányuló magánprojektek támogatása.</w:t>
      </w:r>
    </w:p>
    <w:p w14:paraId="6A4CE2C6"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a megújuló gázok termelésének, tárolásának, szállításának és elosztásának előmozdítására irányuló intézkedésekből áll, amelyek célja a megújuló gázok energiafogyasztáshoz való hozzájárulásának növelése, az ÜHG-kibocsátás csökkentése, az energiafüggőség csökkentése és az energiaellátás biztonságának javítása. Számos alkalmazást támogatnak, például a megújuló gázok közlekedési célú felhasználását és a megújuló gázok földgázhálózatba történő betáplálását. </w:t>
      </w:r>
    </w:p>
    <w:p w14:paraId="22A4B55A" w14:textId="77777777" w:rsidR="00DC5EC6" w:rsidRDefault="003245A4">
      <w:pPr>
        <w:pStyle w:val="P68B1DB1-Normal4"/>
        <w:spacing w:before="40" w:after="0" w:line="259" w:lineRule="auto"/>
        <w:jc w:val="both"/>
        <w:rPr>
          <w:rFonts w:eastAsiaTheme="minorEastAsia" w:cs="Times New Roman"/>
          <w:noProof/>
        </w:rPr>
      </w:pPr>
      <w:r>
        <w:rPr>
          <w:noProof/>
        </w:rPr>
        <w:t>A megújuló gázok, például a megújuló hidrogén vagy a biometán kizárólag megújuló energiaforrásokból történő előállítása számos technológiát alkalmazhat, például: Az elektrolízis, Termokémiai és hidrotermikus folyamatok; Biológiai folyamatok (biofotolízis és fermentáció); Biomassza-anyagok anaerob lebontásából származó biogáz-dúsítás (a biogáztermelés kivételével); és metanizáció (megújuló hidrogén újrahasznosított szén-dioxiddal kombinálva).</w:t>
      </w:r>
    </w:p>
    <w:p w14:paraId="23CDF4FF" w14:textId="348261AB" w:rsidR="00DC5EC6" w:rsidRDefault="003245A4">
      <w:pPr>
        <w:pStyle w:val="P68B1DB1-Normal4"/>
        <w:spacing w:before="40" w:after="0" w:line="259" w:lineRule="auto"/>
        <w:jc w:val="both"/>
        <w:rPr>
          <w:rFonts w:eastAsiaTheme="minorEastAsia" w:cs="Times New Roman"/>
          <w:noProof/>
        </w:rPr>
      </w:pPr>
      <w:r>
        <w:rPr>
          <w:noProof/>
        </w:rPr>
        <w:t>A beruházásoknak különös figyelmet kell fordítaniuk, és a megújuló hidrogén és más megújuló gázok előállításához szükséges beépített kapacitás növelésére kell irányulniuk, beleértve a megújuló hidrogén előállítására szolgáló elektrolizátorok beépített kapacitását is. A projektet nyílt és megkülönböztetésmentes ajánlati felhívások útján kell végrehajtani azzal a céllal, hogy projektenként legfeljebb 15 000 000 EUR értékben támogassák a projekteket.</w:t>
      </w:r>
    </w:p>
    <w:p w14:paraId="2F3C9010" w14:textId="0A561EF2" w:rsidR="00DC5EC6" w:rsidRDefault="003245A4">
      <w:pPr>
        <w:pStyle w:val="P68B1DB1-Normal4"/>
        <w:spacing w:before="40" w:after="0" w:line="259" w:lineRule="auto"/>
        <w:jc w:val="both"/>
        <w:rPr>
          <w:rFonts w:eastAsiaTheme="minorEastAsia" w:cs="Times New Roman"/>
          <w:noProof/>
        </w:rPr>
      </w:pPr>
      <w:r>
        <w:rPr>
          <w:noProof/>
        </w:rPr>
        <w:t>A beruházás végrehajtását 2026. március 31-ig be kell fejezni.</w:t>
      </w:r>
    </w:p>
    <w:p w14:paraId="416F7CD8"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TC-C14–i02-RAM: Megújuló energiaforrásokból előállított villamos energia potenciálja Madeira szigetén</w:t>
      </w:r>
    </w:p>
    <w:p w14:paraId="6D154BCC"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a megújulóenergia-termelés, -tárolás, -szállítás és -elosztás támogatása. Az e beruházásba bevont projekteknek lehetővé kell tenniük a megújuló energiaforrásokból előállított villamos energia részarányának növelését, amelyet minden szigeten rendelkezésre kell bocsátani. Ez a beruházás hozzájárul a villamosenergia-termelés dekarbonizációjára irányuló stratégiához, növelve a hazai gazdaság rezilienciáját. </w:t>
      </w:r>
    </w:p>
    <w:p w14:paraId="6509CF70" w14:textId="77777777" w:rsidR="00DC5EC6" w:rsidRDefault="003245A4">
      <w:pPr>
        <w:pStyle w:val="P68B1DB1-Normal4"/>
        <w:spacing w:before="40" w:after="0" w:line="259" w:lineRule="auto"/>
        <w:jc w:val="both"/>
        <w:rPr>
          <w:rFonts w:eastAsiaTheme="minorEastAsia" w:cs="Times New Roman"/>
          <w:noProof/>
        </w:rPr>
      </w:pPr>
      <w:r>
        <w:rPr>
          <w:noProof/>
        </w:rPr>
        <w:t xml:space="preserve">A beruházás a következő részbefektetésekből áll: </w:t>
      </w:r>
    </w:p>
    <w:p w14:paraId="4467DF1E"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 víz Serra vízerőmű és a Calheta I. vízerőmű teljes felújítása és felújítása, amely 6,2 MW beépített teljesítményt újjáéleszt, és 4 MW hozzáadásával növeli a beépített kapacitást;</w:t>
      </w:r>
    </w:p>
    <w:p w14:paraId="5FE75D29"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Az akkumulátortároló rendszerek beépített kapacitásának növelése legalább 21 MW/27MWh tárolókapacitás hozzáadásával;</w:t>
      </w:r>
    </w:p>
    <w:p w14:paraId="49EDD0E0"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Új, legalább 15 MVAr teljesítményű szinkronkompenzátor telepítése;</w:t>
      </w:r>
    </w:p>
    <w:p w14:paraId="4372F931"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 villamosenergia-hálózat kapacitásának növelése annak érdekében, hogy a villamosenergia-rendszerekbe legalább 48 MW új beépített teljesítményt építsenek be a megújuló energiaforrásokba (40 MW Madeira + 8 MW Porto Santo);</w:t>
      </w:r>
    </w:p>
    <w:p w14:paraId="2CCEA225"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130000 összekapcsolt intelligens fogyasztásmérő telepítése és 8750 utcai világítási pont cseréje alacsony energiafogyasztású megoldásokkal (beleértve az utcai világítási rendszer korszerűsítését).</w:t>
      </w:r>
    </w:p>
    <w:p w14:paraId="0E2F3B03"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44F7A633"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TC-C14–i03-RAA: Energetikai átállás az Azori-szigeteken</w:t>
      </w:r>
    </w:p>
    <w:p w14:paraId="6BAFD0A3" w14:textId="77777777" w:rsidR="00DC5EC6" w:rsidRDefault="003245A4">
      <w:pPr>
        <w:pStyle w:val="P68B1DB1-Normal4"/>
        <w:spacing w:before="40" w:after="0" w:line="259" w:lineRule="auto"/>
        <w:jc w:val="both"/>
        <w:rPr>
          <w:rFonts w:eastAsiaTheme="minorEastAsia" w:cs="Times New Roman"/>
          <w:noProof/>
        </w:rPr>
      </w:pPr>
      <w:r>
        <w:rPr>
          <w:noProof/>
        </w:rPr>
        <w:t>Az intézkedés célja a legkorszerűbb villamosenergia-infrastruktúra kifejlesztése, valamint az energetikai önellátás növelését célzó innovatív műszaki megoldásokat tartalmazó projektek megvalósítása. Az Azori-szigeteken a megújuló energiaforrásokból történő villamosenergia-termelés jelenleg a régió teljes értékének mintegy 40%-át teszi ki, amelynek mintegy 24%-a a szigetcsoport két legnagyobb szigetének geotermikus energiájából származik. A villamos energia fennmaradó 60%-át fosszilis tüzelőanyagokból, fűtőolajból és dízelolajból állítják elő, amelyek magas éves számlát jelentenek, nemcsak az üzemanyagok beszerzési értéke miatt, hanem a szárazföldről a szigetekre történő tengeri szállításuk és a szigetek közötti elosztás miatt is. Az ilyen típusú termelés – a hozzá kapcsolódó magas költségek mellett – erős külső függőséget jelent, amely nemzeti vagy nemzetközi válsághelyzetekben veszélyeztetheti a szigetcsoport energiaszükségletének kielégítésére való képességet.</w:t>
      </w:r>
    </w:p>
    <w:p w14:paraId="52E3DC73" w14:textId="77777777" w:rsidR="00DC5EC6" w:rsidRDefault="003245A4">
      <w:pPr>
        <w:pStyle w:val="P68B1DB1-Normal4"/>
        <w:spacing w:before="40" w:after="0" w:line="259" w:lineRule="auto"/>
        <w:jc w:val="both"/>
        <w:rPr>
          <w:rFonts w:eastAsiaTheme="minorEastAsia" w:cs="Times New Roman"/>
          <w:noProof/>
        </w:rPr>
      </w:pPr>
      <w:r>
        <w:rPr>
          <w:noProof/>
        </w:rPr>
        <w:t>A beruházás a következő részbefektetésekből áll:</w:t>
      </w:r>
    </w:p>
    <w:p w14:paraId="0A8CFC86"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A telepített megújulóenergia-termelési kapacitás – főként a geotermikus – 12 MW-os növelése és a már telepített geotermikus villamosenergia-erőmű 5 MW-os újjáélesztése;</w:t>
      </w:r>
    </w:p>
    <w:p w14:paraId="5DC064DD" w14:textId="24EDE81B"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Corvo szigetén a megújuló energiaforrásokból történő villamosenergia-termelésre szolgáló telepített kapacitás 850 kW-os növelése fotovoltaikus és szélerőműpark telepítése révén;</w:t>
      </w:r>
    </w:p>
    <w:p w14:paraId="38EA575D" w14:textId="77777777"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Új villamosenergia-tároló rendszerek telepítése Santa Maria, São Jorge, Pico, Faial, Flores és Corvo szigetén legalább 20 MW;</w:t>
      </w:r>
    </w:p>
    <w:p w14:paraId="112665E7" w14:textId="55EE2481" w:rsidR="00DC5EC6" w:rsidRDefault="003245A4">
      <w:pPr>
        <w:pStyle w:val="P68B1DB1-Normal4"/>
        <w:keepNext/>
        <w:numPr>
          <w:ilvl w:val="0"/>
          <w:numId w:val="31"/>
        </w:numPr>
        <w:spacing w:before="40" w:after="160" w:line="259" w:lineRule="auto"/>
        <w:contextualSpacing/>
        <w:jc w:val="both"/>
        <w:rPr>
          <w:rFonts w:eastAsiaTheme="minorEastAsia" w:cs="Times New Roman"/>
          <w:noProof/>
        </w:rPr>
      </w:pPr>
      <w:r>
        <w:rPr>
          <w:noProof/>
        </w:rPr>
        <w:t>Új kisméretű fotovoltaikus villamosenergia-termelő egységek telepítése decentralizált termelés és fogyasztás céljára, összesen 11,2 MW értékben.</w:t>
      </w:r>
    </w:p>
    <w:p w14:paraId="091FFD9A" w14:textId="64D57B8C" w:rsidR="00DC5EC6" w:rsidRDefault="003245A4">
      <w:pPr>
        <w:pStyle w:val="P68B1DB1-Normal4"/>
        <w:spacing w:before="40" w:after="0" w:line="259" w:lineRule="auto"/>
        <w:jc w:val="both"/>
        <w:rPr>
          <w:rFonts w:eastAsiaTheme="minorEastAsia" w:cs="Times New Roman"/>
          <w:noProof/>
        </w:rPr>
      </w:pPr>
      <w:r>
        <w:rPr>
          <w:noProof/>
        </w:rPr>
        <w:t>A beruházás végrehajtását 2026. június 30-ig be kell fejezni.</w:t>
      </w:r>
    </w:p>
    <w:p w14:paraId="151D3F34" w14:textId="77777777"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270"/>
          <w:headerReference w:type="default" r:id="rId271"/>
          <w:footerReference w:type="even" r:id="rId272"/>
          <w:footerReference w:type="default" r:id="rId273"/>
          <w:headerReference w:type="first" r:id="rId274"/>
          <w:footerReference w:type="first" r:id="rId275"/>
          <w:pgSz w:w="11907" w:h="16839"/>
          <w:pgMar w:top="1134" w:right="1134" w:bottom="1134" w:left="1134" w:header="567" w:footer="567" w:gutter="0"/>
          <w:cols w:space="720"/>
          <w:docGrid w:linePitch="360"/>
        </w:sectPr>
      </w:pPr>
    </w:p>
    <w:p w14:paraId="1E0E5F58"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N.2. Vissza nem térítendő pénzügyi támogatás – a végrehajtáshoz és a nyomon követéshez kapcsolódó mérföldkövek, célok, mutatók és ütemterv</w:t>
      </w:r>
    </w:p>
    <w:p w14:paraId="286C8850"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709"/>
        <w:gridCol w:w="567"/>
        <w:gridCol w:w="708"/>
        <w:gridCol w:w="3969"/>
      </w:tblGrid>
      <w:tr w:rsidR="00DC5EC6" w14:paraId="3CFBE898" w14:textId="77777777">
        <w:trPr>
          <w:trHeight w:val="830"/>
          <w:tblHeader/>
        </w:trPr>
        <w:tc>
          <w:tcPr>
            <w:tcW w:w="1135" w:type="dxa"/>
            <w:vMerge w:val="restart"/>
            <w:shd w:val="clear" w:color="auto" w:fill="BDD6EE"/>
            <w:vAlign w:val="center"/>
            <w:hideMark/>
          </w:tcPr>
          <w:p w14:paraId="66B63AA1"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77F41CF5"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05EA6259" w14:textId="77777777" w:rsidR="00DC5EC6" w:rsidRDefault="003245A4">
            <w:pPr>
              <w:pStyle w:val="P68B1DB1-Normal6"/>
              <w:spacing w:after="0" w:line="240" w:lineRule="auto"/>
              <w:jc w:val="center"/>
              <w:rPr>
                <w:rFonts w:ascii="Calibri" w:eastAsia="Times New Roman" w:hAnsi="Calibri" w:cs="Calibri"/>
                <w:noProof/>
                <w:sz w:val="16"/>
              </w:rPr>
            </w:pPr>
            <w:r>
              <w:rPr>
                <w:noProof/>
              </w:rPr>
              <w:t>Mérföldkő/</w:t>
            </w:r>
          </w:p>
          <w:p w14:paraId="6B07E77A" w14:textId="0BCBAF46" w:rsidR="00DC5EC6" w:rsidRDefault="003245A4">
            <w:pPr>
              <w:pStyle w:val="P68B1DB1-Normal6"/>
              <w:spacing w:after="0" w:line="240" w:lineRule="auto"/>
              <w:jc w:val="center"/>
              <w:rPr>
                <w:rFonts w:ascii="Calibri" w:eastAsia="Times New Roman" w:hAnsi="Calibri" w:cs="Calibri"/>
                <w:noProof/>
                <w:sz w:val="16"/>
              </w:rPr>
            </w:pPr>
            <w:r>
              <w:rPr>
                <w:noProof/>
              </w:rPr>
              <w:t>Cél</w:t>
            </w:r>
          </w:p>
        </w:tc>
        <w:tc>
          <w:tcPr>
            <w:tcW w:w="1701" w:type="dxa"/>
            <w:vMerge w:val="restart"/>
            <w:shd w:val="clear" w:color="auto" w:fill="BDD6EE"/>
            <w:vAlign w:val="center"/>
            <w:hideMark/>
          </w:tcPr>
          <w:p w14:paraId="2948128E" w14:textId="77777777" w:rsidR="00DC5EC6" w:rsidRDefault="003245A4">
            <w:pPr>
              <w:pStyle w:val="P68B1DB1-Normal6"/>
              <w:spacing w:after="0" w:line="240" w:lineRule="auto"/>
              <w:jc w:val="center"/>
              <w:rPr>
                <w:rFonts w:ascii="Calibri" w:eastAsia="Times New Roman" w:hAnsi="Calibri" w:cs="Calibri"/>
                <w:noProof/>
                <w:sz w:val="16"/>
              </w:rPr>
            </w:pPr>
            <w:r>
              <w:rPr>
                <w:noProof/>
              </w:rPr>
              <w:t>Név</w:t>
            </w:r>
          </w:p>
        </w:tc>
        <w:tc>
          <w:tcPr>
            <w:tcW w:w="1275" w:type="dxa"/>
            <w:vMerge w:val="restart"/>
            <w:shd w:val="clear" w:color="auto" w:fill="BDD6EE"/>
            <w:vAlign w:val="center"/>
            <w:hideMark/>
          </w:tcPr>
          <w:p w14:paraId="4CFCA654" w14:textId="77777777" w:rsidR="00DC5EC6" w:rsidRDefault="003245A4">
            <w:pPr>
              <w:pStyle w:val="P68B1DB1-Normal6"/>
              <w:spacing w:after="0" w:line="240" w:lineRule="auto"/>
              <w:jc w:val="center"/>
              <w:rPr>
                <w:rFonts w:ascii="Calibri" w:eastAsia="Times New Roman" w:hAnsi="Calibri" w:cs="Calibri"/>
                <w:noProof/>
                <w:sz w:val="16"/>
              </w:rPr>
            </w:pPr>
            <w:r>
              <w:rPr>
                <w:noProof/>
              </w:rPr>
              <w:t>Minőségi mutatók (a mérföldkövekhez)</w:t>
            </w:r>
          </w:p>
        </w:tc>
        <w:tc>
          <w:tcPr>
            <w:tcW w:w="2694" w:type="dxa"/>
            <w:gridSpan w:val="3"/>
            <w:shd w:val="clear" w:color="auto" w:fill="BDD6EE"/>
            <w:vAlign w:val="center"/>
            <w:hideMark/>
          </w:tcPr>
          <w:p w14:paraId="1385CF11"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0F657DE5"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439B6EF1" w14:textId="77777777" w:rsidR="00DC5EC6" w:rsidRDefault="003245A4">
            <w:pPr>
              <w:pStyle w:val="P68B1DB1-Normal6"/>
              <w:spacing w:after="0" w:line="240" w:lineRule="auto"/>
              <w:jc w:val="center"/>
              <w:rPr>
                <w:rFonts w:ascii="Calibri" w:eastAsia="Times New Roman" w:hAnsi="Calibri" w:cs="Calibri"/>
                <w:noProof/>
                <w:sz w:val="16"/>
              </w:rPr>
            </w:pPr>
            <w:r>
              <w:rPr>
                <w:noProof/>
              </w:rPr>
              <w:t>Az egyes mérföldkövek és célok leírása és egyértelmű meghatározása</w:t>
            </w:r>
          </w:p>
        </w:tc>
      </w:tr>
      <w:tr w:rsidR="00DC5EC6" w14:paraId="55300FC2" w14:textId="77777777">
        <w:trPr>
          <w:trHeight w:val="430"/>
          <w:tblHeader/>
        </w:trPr>
        <w:tc>
          <w:tcPr>
            <w:tcW w:w="1135" w:type="dxa"/>
            <w:vMerge/>
            <w:vAlign w:val="center"/>
            <w:hideMark/>
          </w:tcPr>
          <w:p w14:paraId="2716EF47"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35E64B63" w14:textId="77777777" w:rsidR="00DC5EC6" w:rsidRDefault="00DC5EC6">
            <w:pPr>
              <w:spacing w:after="0" w:line="240" w:lineRule="auto"/>
              <w:rPr>
                <w:rFonts w:ascii="Calibri" w:eastAsia="Times New Roman" w:hAnsi="Calibri" w:cs="Calibri"/>
                <w:b/>
                <w:noProof/>
                <w:sz w:val="16"/>
              </w:rPr>
            </w:pPr>
          </w:p>
        </w:tc>
        <w:tc>
          <w:tcPr>
            <w:tcW w:w="1134" w:type="dxa"/>
            <w:vMerge/>
            <w:shd w:val="clear" w:color="auto" w:fill="BDD6EE"/>
            <w:vAlign w:val="center"/>
            <w:hideMark/>
          </w:tcPr>
          <w:p w14:paraId="5EE6F193" w14:textId="4E289509" w:rsidR="00DC5EC6" w:rsidRDefault="00DC5EC6">
            <w:pPr>
              <w:spacing w:after="0" w:line="240" w:lineRule="auto"/>
              <w:jc w:val="center"/>
              <w:rPr>
                <w:rFonts w:ascii="Calibri" w:eastAsia="Times New Roman" w:hAnsi="Calibri" w:cs="Calibri"/>
                <w:b/>
                <w:noProof/>
                <w:sz w:val="16"/>
              </w:rPr>
            </w:pPr>
          </w:p>
        </w:tc>
        <w:tc>
          <w:tcPr>
            <w:tcW w:w="1701" w:type="dxa"/>
            <w:vMerge/>
            <w:vAlign w:val="center"/>
            <w:hideMark/>
          </w:tcPr>
          <w:p w14:paraId="5CCE81B9" w14:textId="77777777" w:rsidR="00DC5EC6" w:rsidRDefault="00DC5EC6">
            <w:pPr>
              <w:spacing w:after="0" w:line="240" w:lineRule="auto"/>
              <w:rPr>
                <w:rFonts w:ascii="Calibri" w:eastAsia="Times New Roman" w:hAnsi="Calibri" w:cs="Calibri"/>
                <w:b/>
                <w:noProof/>
                <w:sz w:val="16"/>
              </w:rPr>
            </w:pPr>
          </w:p>
        </w:tc>
        <w:tc>
          <w:tcPr>
            <w:tcW w:w="1275" w:type="dxa"/>
            <w:vMerge/>
            <w:vAlign w:val="center"/>
            <w:hideMark/>
          </w:tcPr>
          <w:p w14:paraId="79537091" w14:textId="77777777" w:rsidR="00DC5EC6" w:rsidRDefault="00DC5EC6">
            <w:pPr>
              <w:spacing w:after="0" w:line="240" w:lineRule="auto"/>
              <w:rPr>
                <w:rFonts w:ascii="Calibri" w:eastAsia="Times New Roman" w:hAnsi="Calibri" w:cs="Calibri"/>
                <w:b/>
                <w:noProof/>
                <w:sz w:val="16"/>
              </w:rPr>
            </w:pPr>
          </w:p>
        </w:tc>
        <w:tc>
          <w:tcPr>
            <w:tcW w:w="993" w:type="dxa"/>
            <w:shd w:val="clear" w:color="auto" w:fill="BDD6EE"/>
            <w:vAlign w:val="center"/>
            <w:hideMark/>
          </w:tcPr>
          <w:p w14:paraId="11126D21"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AF1479C"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vAlign w:val="center"/>
            <w:hideMark/>
          </w:tcPr>
          <w:p w14:paraId="6554DD1F"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03B3E9F9" w14:textId="0F0E6396" w:rsidR="00DC5EC6" w:rsidRDefault="00411F1F">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2823A4AA" w14:textId="360F3DD8"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7A70D1DD" w14:textId="77777777" w:rsidR="00DC5EC6" w:rsidRDefault="00DC5EC6">
            <w:pPr>
              <w:spacing w:after="0" w:line="240" w:lineRule="auto"/>
              <w:rPr>
                <w:rFonts w:ascii="Calibri" w:eastAsia="Times New Roman" w:hAnsi="Calibri" w:cs="Calibri"/>
                <w:b/>
                <w:noProof/>
                <w:sz w:val="16"/>
              </w:rPr>
            </w:pPr>
          </w:p>
        </w:tc>
      </w:tr>
      <w:tr w:rsidR="00DC5EC6" w14:paraId="152A9A27" w14:textId="77777777">
        <w:trPr>
          <w:trHeight w:val="840"/>
        </w:trPr>
        <w:tc>
          <w:tcPr>
            <w:tcW w:w="1135" w:type="dxa"/>
            <w:shd w:val="clear" w:color="auto" w:fill="C4EFCE"/>
            <w:vAlign w:val="center"/>
            <w:hideMark/>
          </w:tcPr>
          <w:p w14:paraId="2FD964B6" w14:textId="77777777" w:rsidR="00DC5EC6" w:rsidRDefault="003245A4">
            <w:pPr>
              <w:pStyle w:val="P68B1DB1-Normal7"/>
              <w:spacing w:after="0" w:line="240" w:lineRule="auto"/>
              <w:jc w:val="center"/>
              <w:rPr>
                <w:rFonts w:eastAsia="Times New Roman" w:cs="Calibri"/>
                <w:noProof/>
              </w:rPr>
            </w:pPr>
            <w:r>
              <w:rPr>
                <w:noProof/>
              </w:rPr>
              <w:t>14.1</w:t>
            </w:r>
          </w:p>
        </w:tc>
        <w:tc>
          <w:tcPr>
            <w:tcW w:w="1276" w:type="dxa"/>
            <w:shd w:val="clear" w:color="auto" w:fill="C4EFCE"/>
            <w:noWrap/>
            <w:vAlign w:val="center"/>
            <w:hideMark/>
          </w:tcPr>
          <w:p w14:paraId="41F96EC9" w14:textId="77777777" w:rsidR="00DC5EC6" w:rsidRDefault="003245A4">
            <w:pPr>
              <w:pStyle w:val="P68B1DB1-Normal8"/>
              <w:spacing w:after="0" w:line="240" w:lineRule="auto"/>
              <w:jc w:val="center"/>
              <w:rPr>
                <w:rFonts w:eastAsia="Times New Roman" w:cs="Calibri"/>
                <w:noProof/>
              </w:rPr>
            </w:pPr>
            <w:r>
              <w:rPr>
                <w:noProof/>
              </w:rPr>
              <w:t>TC-C14-r29</w:t>
            </w:r>
          </w:p>
        </w:tc>
        <w:tc>
          <w:tcPr>
            <w:tcW w:w="1134" w:type="dxa"/>
            <w:shd w:val="clear" w:color="auto" w:fill="C4EFCE"/>
            <w:noWrap/>
            <w:vAlign w:val="center"/>
            <w:hideMark/>
          </w:tcPr>
          <w:p w14:paraId="191BF89A"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611CEEC8" w14:textId="77777777" w:rsidR="00DC5EC6" w:rsidRDefault="003245A4">
            <w:pPr>
              <w:pStyle w:val="P68B1DB1-Normal8"/>
              <w:spacing w:after="0" w:line="240" w:lineRule="auto"/>
              <w:jc w:val="center"/>
              <w:rPr>
                <w:rFonts w:eastAsia="Times New Roman" w:cs="Calibri"/>
                <w:noProof/>
              </w:rPr>
            </w:pPr>
            <w:r>
              <w:rPr>
                <w:noProof/>
              </w:rPr>
              <w:t>A Nemzeti Gázszállítási Hálózatról és a Nemzeti Gázelosztó Hálózatról szóló rendelet hatálybalépése</w:t>
            </w:r>
          </w:p>
        </w:tc>
        <w:tc>
          <w:tcPr>
            <w:tcW w:w="1275" w:type="dxa"/>
            <w:shd w:val="clear" w:color="auto" w:fill="C4EFCE"/>
            <w:noWrap/>
            <w:vAlign w:val="center"/>
            <w:hideMark/>
          </w:tcPr>
          <w:p w14:paraId="2E014965" w14:textId="77777777" w:rsidR="00DC5EC6" w:rsidRDefault="003245A4">
            <w:pPr>
              <w:pStyle w:val="P68B1DB1-Normal8"/>
              <w:spacing w:after="0" w:line="240" w:lineRule="auto"/>
              <w:jc w:val="center"/>
              <w:rPr>
                <w:rFonts w:eastAsia="Times New Roman" w:cs="Calibri"/>
                <w:noProof/>
              </w:rPr>
            </w:pPr>
            <w:r>
              <w:rPr>
                <w:noProof/>
              </w:rPr>
              <w:t>A Nemzeti Gázszállítási Hálózatról és a Nemzeti Gázelosztó Hálózatról szóló rendelet hatálybalépése</w:t>
            </w:r>
          </w:p>
        </w:tc>
        <w:tc>
          <w:tcPr>
            <w:tcW w:w="993" w:type="dxa"/>
            <w:shd w:val="clear" w:color="auto" w:fill="C4EFCE"/>
            <w:noWrap/>
            <w:vAlign w:val="center"/>
            <w:hideMark/>
          </w:tcPr>
          <w:p w14:paraId="02698043"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46A3247"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1917A085"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A75C6D0" w14:textId="714419C0"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5358F1C1" w14:textId="77777777" w:rsidR="00DC5EC6" w:rsidRDefault="003245A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004872AD" w14:textId="77777777" w:rsidR="00DC5EC6" w:rsidRDefault="003245A4">
            <w:pPr>
              <w:pStyle w:val="P68B1DB1-Normal8"/>
              <w:spacing w:after="0" w:line="240" w:lineRule="auto"/>
              <w:jc w:val="both"/>
              <w:rPr>
                <w:rFonts w:eastAsia="Times New Roman" w:cs="Calibri"/>
                <w:noProof/>
              </w:rPr>
            </w:pPr>
            <w:r>
              <w:rPr>
                <w:noProof/>
              </w:rPr>
              <w:t xml:space="preserve">A módosított Nemzeti Gázszállítási Hálózat és a Nemzeti Gázelosztó Hálózat szabályozásának hatálybalépése. A Nemzeti Gázszállítási Hálózat és a Nemzeti Gázelosztó Hálózat szabályozásának módosításait az Energiaügyi és Földtani Főigazgatóság hagyja jóvá. </w:t>
            </w:r>
          </w:p>
          <w:p w14:paraId="163F4AF0" w14:textId="0CC86E9F" w:rsidR="00DC5EC6" w:rsidRDefault="003245A4">
            <w:pPr>
              <w:pStyle w:val="P68B1DB1-Normal8"/>
              <w:spacing w:after="0" w:line="240" w:lineRule="auto"/>
              <w:jc w:val="both"/>
              <w:rPr>
                <w:rFonts w:eastAsia="Times New Roman" w:cs="Calibri"/>
                <w:noProof/>
              </w:rPr>
            </w:pPr>
            <w:r>
              <w:rPr>
                <w:noProof/>
              </w:rPr>
              <w:t>A rendeletek lehetővé teszik a gázszállítási infrastruktúrákhoz való csatlakozás feltételeinek meghatározását, különösen a megújuló eredetű gázok – köztük a megújuló hidrogén – injektálását, valamint e gázok hálózatokba történő betáplálásának minimális és maximális százalékos arányát. Emellett magukban foglalják a műszaki szabványok szükséges felülvizsgálatát, amelyek biztosítják a szolgáltatás minőségét és ezen infrastruktúrák biztonságos használatát valamennyi felhasználó számára.</w:t>
            </w:r>
          </w:p>
        </w:tc>
      </w:tr>
      <w:tr w:rsidR="00DC5EC6" w14:paraId="67119968" w14:textId="77777777">
        <w:trPr>
          <w:trHeight w:val="430"/>
        </w:trPr>
        <w:tc>
          <w:tcPr>
            <w:tcW w:w="1135" w:type="dxa"/>
            <w:shd w:val="clear" w:color="auto" w:fill="C4EFCE"/>
            <w:vAlign w:val="center"/>
            <w:hideMark/>
          </w:tcPr>
          <w:p w14:paraId="57E1192A" w14:textId="77777777" w:rsidR="00DC5EC6" w:rsidRDefault="003245A4">
            <w:pPr>
              <w:pStyle w:val="P68B1DB1-Normal7"/>
              <w:spacing w:after="0" w:line="240" w:lineRule="auto"/>
              <w:jc w:val="center"/>
              <w:rPr>
                <w:rFonts w:eastAsia="Times New Roman" w:cs="Calibri"/>
                <w:noProof/>
              </w:rPr>
            </w:pPr>
            <w:r>
              <w:rPr>
                <w:noProof/>
              </w:rPr>
              <w:t>14.2</w:t>
            </w:r>
          </w:p>
        </w:tc>
        <w:tc>
          <w:tcPr>
            <w:tcW w:w="1276" w:type="dxa"/>
            <w:shd w:val="clear" w:color="auto" w:fill="C4EFCE"/>
            <w:noWrap/>
            <w:vAlign w:val="center"/>
            <w:hideMark/>
          </w:tcPr>
          <w:p w14:paraId="718F4CD4" w14:textId="77777777" w:rsidR="00DC5EC6" w:rsidRDefault="003245A4">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2183426D"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4398082B" w14:textId="77777777" w:rsidR="00DC5EC6" w:rsidRDefault="003245A4">
            <w:pPr>
              <w:pStyle w:val="P68B1DB1-Normal8"/>
              <w:spacing w:after="0" w:line="240" w:lineRule="auto"/>
              <w:jc w:val="center"/>
              <w:rPr>
                <w:rFonts w:eastAsia="Times New Roman" w:cs="Calibri"/>
                <w:noProof/>
              </w:rPr>
            </w:pPr>
            <w:r>
              <w:rPr>
                <w:noProof/>
              </w:rPr>
              <w:t>Első pályázati felhívás megújulógáz-termelési projektekre</w:t>
            </w:r>
          </w:p>
        </w:tc>
        <w:tc>
          <w:tcPr>
            <w:tcW w:w="1275" w:type="dxa"/>
            <w:shd w:val="clear" w:color="auto" w:fill="C4EFCE"/>
            <w:noWrap/>
            <w:vAlign w:val="center"/>
            <w:hideMark/>
          </w:tcPr>
          <w:p w14:paraId="3A7E38C8" w14:textId="77777777" w:rsidR="00DC5EC6" w:rsidRDefault="003245A4">
            <w:pPr>
              <w:pStyle w:val="P68B1DB1-Normal8"/>
              <w:spacing w:after="0" w:line="240" w:lineRule="auto"/>
              <w:jc w:val="center"/>
              <w:rPr>
                <w:rFonts w:eastAsia="Times New Roman" w:cs="Calibri"/>
                <w:noProof/>
              </w:rPr>
            </w:pPr>
            <w:r>
              <w:rPr>
                <w:noProof/>
              </w:rPr>
              <w:t>Az első ajánlati felhívás megnyitása</w:t>
            </w:r>
          </w:p>
        </w:tc>
        <w:tc>
          <w:tcPr>
            <w:tcW w:w="993" w:type="dxa"/>
            <w:shd w:val="clear" w:color="auto" w:fill="C4EFCE"/>
            <w:noWrap/>
            <w:vAlign w:val="center"/>
            <w:hideMark/>
          </w:tcPr>
          <w:p w14:paraId="17551E5C"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7A70C3" w14:textId="77777777" w:rsidR="00DC5EC6" w:rsidRDefault="003245A4">
            <w:pPr>
              <w:pStyle w:val="P68B1DB1-Normal8"/>
              <w:spacing w:after="0" w:line="240" w:lineRule="auto"/>
              <w:jc w:val="center"/>
              <w:rPr>
                <w:rFonts w:eastAsia="Times New Roman" w:cs="Calibri"/>
                <w:noProof/>
              </w:rPr>
            </w:pPr>
            <w:r>
              <w:rPr>
                <w:noProof/>
              </w:rPr>
              <w:t> </w:t>
            </w:r>
          </w:p>
        </w:tc>
        <w:tc>
          <w:tcPr>
            <w:tcW w:w="709" w:type="dxa"/>
            <w:shd w:val="clear" w:color="auto" w:fill="C4EFCE"/>
            <w:noWrap/>
            <w:vAlign w:val="center"/>
            <w:hideMark/>
          </w:tcPr>
          <w:p w14:paraId="6F44AB4C" w14:textId="77777777" w:rsidR="00DC5EC6" w:rsidRDefault="003245A4">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386C873C" w14:textId="013D1265"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368CCFC1" w14:textId="77777777" w:rsidR="00DC5EC6" w:rsidRDefault="003245A4">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530AF97A" w14:textId="77777777" w:rsidR="00DC5EC6" w:rsidRDefault="003245A4">
            <w:pPr>
              <w:pStyle w:val="P68B1DB1-Normal8"/>
              <w:spacing w:after="0" w:line="240" w:lineRule="auto"/>
              <w:jc w:val="both"/>
              <w:rPr>
                <w:rFonts w:eastAsia="Times New Roman" w:cs="Calibri"/>
                <w:noProof/>
              </w:rPr>
            </w:pPr>
            <w:r>
              <w:rPr>
                <w:noProof/>
              </w:rPr>
              <w:t>Az első pályázati felhívás megnyitása olyan projektek kiválasztására, amelyek legalább 88 MW új telepített megújuló hidrogén- és megújuló gázenergia-kapacitást biztosítanak, amelyek teljes életciklusra számított ÜHG-kibocsátása nulla vagy közel nulla.</w:t>
            </w:r>
          </w:p>
        </w:tc>
      </w:tr>
      <w:tr w:rsidR="00DC5EC6" w14:paraId="54E877CC" w14:textId="77777777">
        <w:trPr>
          <w:trHeight w:val="430"/>
        </w:trPr>
        <w:tc>
          <w:tcPr>
            <w:tcW w:w="1135" w:type="dxa"/>
            <w:shd w:val="clear" w:color="auto" w:fill="C4EFCE"/>
            <w:vAlign w:val="center"/>
            <w:hideMark/>
          </w:tcPr>
          <w:p w14:paraId="29370DB0" w14:textId="77777777" w:rsidR="00DC5EC6" w:rsidRDefault="003245A4">
            <w:pPr>
              <w:pStyle w:val="P68B1DB1-Normal7"/>
              <w:spacing w:after="0" w:line="240" w:lineRule="auto"/>
              <w:jc w:val="center"/>
              <w:rPr>
                <w:rFonts w:eastAsia="Times New Roman" w:cs="Calibri"/>
                <w:noProof/>
              </w:rPr>
            </w:pPr>
            <w:r>
              <w:rPr>
                <w:noProof/>
              </w:rPr>
              <w:t>14.3</w:t>
            </w:r>
          </w:p>
        </w:tc>
        <w:tc>
          <w:tcPr>
            <w:tcW w:w="1276" w:type="dxa"/>
            <w:shd w:val="clear" w:color="auto" w:fill="C4EFCE"/>
            <w:noWrap/>
            <w:vAlign w:val="center"/>
            <w:hideMark/>
          </w:tcPr>
          <w:p w14:paraId="4014E9C9" w14:textId="77777777" w:rsidR="00DC5EC6" w:rsidRDefault="003245A4">
            <w:pPr>
              <w:pStyle w:val="P68B1DB1-Normal8"/>
              <w:spacing w:after="0" w:line="240" w:lineRule="auto"/>
              <w:jc w:val="center"/>
              <w:rPr>
                <w:rFonts w:eastAsia="Times New Roman" w:cs="Calibri"/>
                <w:noProof/>
              </w:rPr>
            </w:pPr>
            <w:r>
              <w:rPr>
                <w:noProof/>
              </w:rPr>
              <w:t>TC-C14-i01</w:t>
            </w:r>
          </w:p>
        </w:tc>
        <w:tc>
          <w:tcPr>
            <w:tcW w:w="1134" w:type="dxa"/>
            <w:shd w:val="clear" w:color="auto" w:fill="C4EFCE"/>
            <w:noWrap/>
            <w:vAlign w:val="center"/>
            <w:hideMark/>
          </w:tcPr>
          <w:p w14:paraId="7D599D7B"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1FB733D" w14:textId="77777777" w:rsidR="00DC5EC6" w:rsidRDefault="003245A4">
            <w:pPr>
              <w:pStyle w:val="P68B1DB1-Normal8"/>
              <w:spacing w:after="0" w:line="240" w:lineRule="auto"/>
              <w:jc w:val="center"/>
              <w:rPr>
                <w:rFonts w:eastAsia="Times New Roman" w:cs="Calibri"/>
                <w:noProof/>
              </w:rPr>
            </w:pPr>
            <w:r>
              <w:rPr>
                <w:noProof/>
              </w:rPr>
              <w:t>További megújuló hidrogén- és megújulógáz-termelési kapacitás</w:t>
            </w:r>
          </w:p>
        </w:tc>
        <w:tc>
          <w:tcPr>
            <w:tcW w:w="1275" w:type="dxa"/>
            <w:shd w:val="clear" w:color="auto" w:fill="C4EFCE"/>
            <w:noWrap/>
            <w:vAlign w:val="center"/>
            <w:hideMark/>
          </w:tcPr>
          <w:p w14:paraId="5680D93B"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81A7FD5" w14:textId="77777777" w:rsidR="00DC5EC6" w:rsidRDefault="003245A4">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BA6C83A"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85C153C" w14:textId="6CF1971A" w:rsidR="00DC5EC6" w:rsidRDefault="003245A4">
            <w:pPr>
              <w:pStyle w:val="P68B1DB1-Normal8"/>
              <w:spacing w:after="0" w:line="240" w:lineRule="auto"/>
              <w:jc w:val="center"/>
              <w:rPr>
                <w:rFonts w:eastAsia="Times New Roman" w:cs="Calibri"/>
                <w:noProof/>
              </w:rPr>
            </w:pPr>
            <w:r>
              <w:rPr>
                <w:noProof/>
              </w:rPr>
              <w:t>200</w:t>
            </w:r>
          </w:p>
        </w:tc>
        <w:tc>
          <w:tcPr>
            <w:tcW w:w="567" w:type="dxa"/>
            <w:shd w:val="clear" w:color="auto" w:fill="C4EFCE"/>
            <w:noWrap/>
            <w:vAlign w:val="center"/>
            <w:hideMark/>
          </w:tcPr>
          <w:p w14:paraId="2FA79988" w14:textId="14F74EDD"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4BB9BE1D" w14:textId="007A3D2D" w:rsidR="00DC5EC6" w:rsidRDefault="003245A4">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2FBF31DB" w14:textId="77777777" w:rsidR="00DC5EC6" w:rsidRDefault="003245A4">
            <w:pPr>
              <w:pStyle w:val="P68B1DB1-Normal8"/>
              <w:spacing w:after="0" w:line="240" w:lineRule="auto"/>
              <w:jc w:val="both"/>
              <w:rPr>
                <w:rFonts w:eastAsia="Times New Roman" w:cs="Calibri"/>
                <w:noProof/>
              </w:rPr>
            </w:pPr>
            <w:r>
              <w:rPr>
                <w:noProof/>
              </w:rPr>
              <w:t xml:space="preserve">További megújuló hidrogén- és megújulógáz-termelési kapacitás nulla vagy nullához közeli életciklusra számított ÜHG-kibocsátással. </w:t>
            </w:r>
          </w:p>
        </w:tc>
      </w:tr>
      <w:tr w:rsidR="003A6168" w14:paraId="4E5061F1" w14:textId="77777777">
        <w:trPr>
          <w:trHeight w:val="473"/>
        </w:trPr>
        <w:tc>
          <w:tcPr>
            <w:tcW w:w="1135" w:type="dxa"/>
            <w:shd w:val="clear" w:color="auto" w:fill="C4EFCE"/>
            <w:vAlign w:val="center"/>
            <w:hideMark/>
          </w:tcPr>
          <w:p w14:paraId="7548B3C2" w14:textId="77777777" w:rsidR="003A6168" w:rsidRDefault="003A6168" w:rsidP="003A6168">
            <w:pPr>
              <w:pStyle w:val="P68B1DB1-Normal7"/>
              <w:spacing w:after="0" w:line="240" w:lineRule="auto"/>
              <w:jc w:val="center"/>
              <w:rPr>
                <w:rFonts w:eastAsia="Times New Roman" w:cs="Calibri"/>
                <w:noProof/>
              </w:rPr>
            </w:pPr>
            <w:r>
              <w:rPr>
                <w:noProof/>
              </w:rPr>
              <w:t>14.4</w:t>
            </w:r>
          </w:p>
        </w:tc>
        <w:tc>
          <w:tcPr>
            <w:tcW w:w="1276" w:type="dxa"/>
            <w:shd w:val="clear" w:color="auto" w:fill="C4EFCE"/>
            <w:noWrap/>
            <w:vAlign w:val="center"/>
            <w:hideMark/>
          </w:tcPr>
          <w:p w14:paraId="012513D7"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0676C40D"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54BC8E5" w14:textId="77777777" w:rsidR="003A6168" w:rsidRDefault="003A6168" w:rsidP="003A6168">
            <w:pPr>
              <w:pStyle w:val="P68B1DB1-Normal8"/>
              <w:spacing w:after="0" w:line="240" w:lineRule="auto"/>
              <w:jc w:val="center"/>
              <w:rPr>
                <w:rFonts w:eastAsia="Times New Roman" w:cs="Calibri"/>
                <w:noProof/>
              </w:rPr>
            </w:pPr>
            <w:r>
              <w:rPr>
                <w:noProof/>
              </w:rPr>
              <w:t xml:space="preserve">Új szinkronkompenzátor beszerelése </w:t>
            </w:r>
          </w:p>
        </w:tc>
        <w:tc>
          <w:tcPr>
            <w:tcW w:w="1275" w:type="dxa"/>
            <w:shd w:val="clear" w:color="auto" w:fill="C4EFCE"/>
            <w:noWrap/>
            <w:vAlign w:val="center"/>
            <w:hideMark/>
          </w:tcPr>
          <w:p w14:paraId="1766B193" w14:textId="6C89AA7B" w:rsidR="003A6168" w:rsidRDefault="003A6168" w:rsidP="003A6168">
            <w:pPr>
              <w:pStyle w:val="P68B1DB1-Normal8"/>
              <w:spacing w:after="0" w:line="240" w:lineRule="auto"/>
              <w:jc w:val="center"/>
              <w:rPr>
                <w:rFonts w:eastAsia="Times New Roman" w:cs="Calibri"/>
                <w:noProof/>
              </w:rPr>
            </w:pPr>
            <w:r>
              <w:rPr>
                <w:noProof/>
              </w:rPr>
              <w:t>Új szinkronkompenzátor beszerelése</w:t>
            </w:r>
          </w:p>
        </w:tc>
        <w:tc>
          <w:tcPr>
            <w:tcW w:w="993" w:type="dxa"/>
            <w:shd w:val="clear" w:color="auto" w:fill="C4EFCE"/>
            <w:noWrap/>
            <w:vAlign w:val="center"/>
            <w:hideMark/>
          </w:tcPr>
          <w:p w14:paraId="59B70755" w14:textId="77777777" w:rsidR="003A6168" w:rsidRDefault="003A6168" w:rsidP="003A6168">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5DA13D59" w14:textId="77777777" w:rsidR="003A6168" w:rsidRDefault="003A6168" w:rsidP="003A6168">
            <w:pPr>
              <w:pStyle w:val="P68B1DB1-Normal9"/>
              <w:spacing w:after="0" w:line="240" w:lineRule="auto"/>
              <w:rPr>
                <w:rFonts w:eastAsia="Times New Roman" w:cs="Calibri"/>
                <w:noProof/>
              </w:rPr>
            </w:pPr>
            <w:r>
              <w:rPr>
                <w:noProof/>
              </w:rPr>
              <w:t> </w:t>
            </w:r>
          </w:p>
        </w:tc>
        <w:tc>
          <w:tcPr>
            <w:tcW w:w="709" w:type="dxa"/>
            <w:shd w:val="clear" w:color="auto" w:fill="C4EFCE"/>
            <w:noWrap/>
            <w:vAlign w:val="center"/>
            <w:hideMark/>
          </w:tcPr>
          <w:p w14:paraId="0DBB59D9" w14:textId="77777777" w:rsidR="003A6168" w:rsidRDefault="003A6168" w:rsidP="003A6168">
            <w:pPr>
              <w:pStyle w:val="P68B1DB1-Normal9"/>
              <w:spacing w:after="0" w:line="240" w:lineRule="auto"/>
              <w:rPr>
                <w:rFonts w:eastAsia="Times New Roman" w:cs="Calibri"/>
                <w:noProof/>
              </w:rPr>
            </w:pPr>
            <w:r>
              <w:rPr>
                <w:noProof/>
              </w:rPr>
              <w:t> </w:t>
            </w:r>
          </w:p>
        </w:tc>
        <w:tc>
          <w:tcPr>
            <w:tcW w:w="567" w:type="dxa"/>
            <w:shd w:val="clear" w:color="auto" w:fill="C4EFCE"/>
            <w:noWrap/>
            <w:vAlign w:val="center"/>
            <w:hideMark/>
          </w:tcPr>
          <w:p w14:paraId="67729D7D" w14:textId="320C5606"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310C570" w14:textId="785E274B" w:rsidR="003A6168" w:rsidRDefault="003A6168" w:rsidP="003A6168">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5732B49" w14:textId="77777777" w:rsidR="003A6168" w:rsidRDefault="003A6168" w:rsidP="003A6168">
            <w:pPr>
              <w:pStyle w:val="P68B1DB1-Normal8"/>
              <w:spacing w:after="0" w:line="240" w:lineRule="auto"/>
              <w:jc w:val="both"/>
              <w:rPr>
                <w:rFonts w:eastAsia="Times New Roman" w:cs="Calibri"/>
                <w:noProof/>
              </w:rPr>
            </w:pPr>
            <w:r>
              <w:rPr>
                <w:noProof/>
              </w:rPr>
              <w:t>Egy új, legalább 15 MVAr-t tartalmazó szinkronkompresszátor beszerzése és üzembe helyezése.</w:t>
            </w:r>
          </w:p>
        </w:tc>
      </w:tr>
      <w:tr w:rsidR="00411F1F" w14:paraId="22EE209C" w14:textId="77777777">
        <w:trPr>
          <w:trHeight w:val="1377"/>
        </w:trPr>
        <w:tc>
          <w:tcPr>
            <w:tcW w:w="1135" w:type="dxa"/>
            <w:shd w:val="clear" w:color="auto" w:fill="C4EFCE"/>
            <w:vAlign w:val="center"/>
            <w:hideMark/>
          </w:tcPr>
          <w:p w14:paraId="7CCA2CE5" w14:textId="77777777" w:rsidR="00411F1F" w:rsidRDefault="00411F1F" w:rsidP="00411F1F">
            <w:pPr>
              <w:pStyle w:val="P68B1DB1-Normal7"/>
              <w:spacing w:after="0" w:line="240" w:lineRule="auto"/>
              <w:jc w:val="center"/>
              <w:rPr>
                <w:rFonts w:eastAsia="Times New Roman" w:cs="Calibri"/>
                <w:noProof/>
              </w:rPr>
            </w:pPr>
            <w:r>
              <w:rPr>
                <w:noProof/>
              </w:rPr>
              <w:t>14.5</w:t>
            </w:r>
          </w:p>
        </w:tc>
        <w:tc>
          <w:tcPr>
            <w:tcW w:w="1276" w:type="dxa"/>
            <w:shd w:val="clear" w:color="auto" w:fill="C4EFCE"/>
            <w:noWrap/>
            <w:vAlign w:val="center"/>
            <w:hideMark/>
          </w:tcPr>
          <w:p w14:paraId="73293EEE" w14:textId="77777777" w:rsidR="00411F1F" w:rsidRDefault="00411F1F" w:rsidP="00411F1F">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060267A"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3B0CD18" w14:textId="77777777" w:rsidR="00411F1F" w:rsidRDefault="00411F1F" w:rsidP="00411F1F">
            <w:pPr>
              <w:pStyle w:val="P68B1DB1-Normal8"/>
              <w:spacing w:after="0" w:line="240" w:lineRule="auto"/>
              <w:jc w:val="center"/>
              <w:rPr>
                <w:rFonts w:eastAsia="Times New Roman" w:cs="Calibri"/>
                <w:noProof/>
              </w:rPr>
            </w:pPr>
            <w:r>
              <w:rPr>
                <w:noProof/>
              </w:rPr>
              <w:t>Kiegészítő beépített vízenergia-termelési kapacitás</w:t>
            </w:r>
          </w:p>
        </w:tc>
        <w:tc>
          <w:tcPr>
            <w:tcW w:w="1275" w:type="dxa"/>
            <w:shd w:val="clear" w:color="auto" w:fill="C4EFCE"/>
            <w:noWrap/>
            <w:vAlign w:val="center"/>
            <w:hideMark/>
          </w:tcPr>
          <w:p w14:paraId="40B8E317"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FECCD3D"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A8A5583"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7FF267A" w14:textId="77777777" w:rsidR="00411F1F" w:rsidRDefault="00411F1F" w:rsidP="00411F1F">
            <w:pPr>
              <w:pStyle w:val="P68B1DB1-Normal8"/>
              <w:spacing w:after="0" w:line="240" w:lineRule="auto"/>
              <w:jc w:val="center"/>
              <w:rPr>
                <w:rFonts w:eastAsia="Times New Roman" w:cs="Calibri"/>
                <w:noProof/>
              </w:rPr>
            </w:pPr>
            <w:r>
              <w:rPr>
                <w:noProof/>
              </w:rPr>
              <w:t>4</w:t>
            </w:r>
          </w:p>
        </w:tc>
        <w:tc>
          <w:tcPr>
            <w:tcW w:w="567" w:type="dxa"/>
            <w:shd w:val="clear" w:color="auto" w:fill="C4EFCE"/>
            <w:noWrap/>
            <w:vAlign w:val="center"/>
            <w:hideMark/>
          </w:tcPr>
          <w:p w14:paraId="127416C0" w14:textId="7389542D"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0A99841E" w14:textId="28C62021" w:rsidR="00411F1F" w:rsidRDefault="00411F1F" w:rsidP="00411F1F">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E6E2780" w14:textId="77777777" w:rsidR="00411F1F" w:rsidRDefault="00411F1F" w:rsidP="00411F1F">
            <w:pPr>
              <w:pStyle w:val="P68B1DB1-Normal8"/>
              <w:spacing w:after="0" w:line="240" w:lineRule="auto"/>
              <w:jc w:val="both"/>
              <w:rPr>
                <w:rFonts w:eastAsia="Times New Roman" w:cs="Calibri"/>
                <w:noProof/>
              </w:rPr>
            </w:pPr>
            <w:r>
              <w:rPr>
                <w:noProof/>
              </w:rPr>
              <w:t xml:space="preserve">A felújított Serra vízerőmű beépített teljesítményének növelése. </w:t>
            </w:r>
          </w:p>
        </w:tc>
      </w:tr>
      <w:tr w:rsidR="003A6168" w14:paraId="0D7AA8AD" w14:textId="77777777">
        <w:trPr>
          <w:trHeight w:val="290"/>
        </w:trPr>
        <w:tc>
          <w:tcPr>
            <w:tcW w:w="1135" w:type="dxa"/>
            <w:shd w:val="clear" w:color="auto" w:fill="C4EFCE"/>
            <w:vAlign w:val="center"/>
            <w:hideMark/>
          </w:tcPr>
          <w:p w14:paraId="2465C29C" w14:textId="77777777" w:rsidR="003A6168" w:rsidRDefault="003A6168" w:rsidP="003A6168">
            <w:pPr>
              <w:pStyle w:val="P68B1DB1-Normal7"/>
              <w:spacing w:after="0" w:line="240" w:lineRule="auto"/>
              <w:jc w:val="center"/>
              <w:rPr>
                <w:rFonts w:eastAsia="Times New Roman" w:cs="Calibri"/>
                <w:noProof/>
              </w:rPr>
            </w:pPr>
            <w:r>
              <w:rPr>
                <w:noProof/>
              </w:rPr>
              <w:t>14.6</w:t>
            </w:r>
          </w:p>
        </w:tc>
        <w:tc>
          <w:tcPr>
            <w:tcW w:w="1276" w:type="dxa"/>
            <w:shd w:val="clear" w:color="auto" w:fill="C4EFCE"/>
            <w:noWrap/>
            <w:vAlign w:val="center"/>
            <w:hideMark/>
          </w:tcPr>
          <w:p w14:paraId="6EE7AE84"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491EE19C"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0C1E7A0" w14:textId="77777777" w:rsidR="003A6168" w:rsidRDefault="003A6168" w:rsidP="003A6168">
            <w:pPr>
              <w:pStyle w:val="P68B1DB1-Normal8"/>
              <w:spacing w:after="0" w:line="240" w:lineRule="auto"/>
              <w:jc w:val="center"/>
              <w:rPr>
                <w:rFonts w:eastAsia="Times New Roman" w:cs="Calibri"/>
                <w:noProof/>
              </w:rPr>
            </w:pPr>
            <w:r>
              <w:rPr>
                <w:noProof/>
              </w:rPr>
              <w:t>Felújított beépített vízenergia-termelési kapacitás</w:t>
            </w:r>
          </w:p>
        </w:tc>
        <w:tc>
          <w:tcPr>
            <w:tcW w:w="1275" w:type="dxa"/>
            <w:shd w:val="clear" w:color="auto" w:fill="C4EFCE"/>
            <w:noWrap/>
            <w:vAlign w:val="center"/>
            <w:hideMark/>
          </w:tcPr>
          <w:p w14:paraId="69DFC9AD"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48E8E9"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0D1BFE2D"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05F2BB6C" w14:textId="77777777" w:rsidR="003A6168" w:rsidRDefault="003A6168" w:rsidP="003A6168">
            <w:pPr>
              <w:pStyle w:val="P68B1DB1-Normal8"/>
              <w:spacing w:after="0" w:line="240" w:lineRule="auto"/>
              <w:jc w:val="center"/>
              <w:rPr>
                <w:rFonts w:eastAsia="Times New Roman" w:cs="Calibri"/>
                <w:noProof/>
              </w:rPr>
            </w:pPr>
            <w:r>
              <w:rPr>
                <w:noProof/>
              </w:rPr>
              <w:t>6,2</w:t>
            </w:r>
          </w:p>
        </w:tc>
        <w:tc>
          <w:tcPr>
            <w:tcW w:w="567" w:type="dxa"/>
            <w:shd w:val="clear" w:color="auto" w:fill="C4EFCE"/>
            <w:noWrap/>
            <w:vAlign w:val="center"/>
            <w:hideMark/>
          </w:tcPr>
          <w:p w14:paraId="4C0CE51E" w14:textId="465FEE83"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5BE834C" w14:textId="77777777" w:rsidR="003A6168" w:rsidRDefault="003A6168" w:rsidP="003A6168">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62CFB3E" w14:textId="77777777" w:rsidR="003A6168" w:rsidRDefault="003A6168" w:rsidP="003A6168">
            <w:pPr>
              <w:pStyle w:val="P68B1DB1-Normal8"/>
              <w:spacing w:after="0" w:line="240" w:lineRule="auto"/>
              <w:jc w:val="both"/>
              <w:rPr>
                <w:rFonts w:eastAsia="Times New Roman" w:cs="Calibri"/>
                <w:noProof/>
              </w:rPr>
            </w:pPr>
            <w:r>
              <w:rPr>
                <w:noProof/>
              </w:rPr>
              <w:t xml:space="preserve">A következő vízerőművek teljes felújítása: </w:t>
            </w:r>
          </w:p>
          <w:p w14:paraId="28A4644B" w14:textId="77777777" w:rsidR="003A6168" w:rsidRDefault="003A6168" w:rsidP="003A6168">
            <w:pPr>
              <w:pStyle w:val="P68B1DB1-Normal8"/>
              <w:spacing w:after="0" w:line="240" w:lineRule="auto"/>
              <w:jc w:val="both"/>
              <w:rPr>
                <w:rFonts w:eastAsia="Times New Roman" w:cs="Calibri"/>
                <w:noProof/>
              </w:rPr>
            </w:pPr>
            <w:r>
              <w:rPr>
                <w:noProof/>
              </w:rPr>
              <w:t xml:space="preserve">Serra Hydroelectric Power Plant (Vízi Serra Hydroelectric Power Plant): elektromos és mechanikus berendezések cseréje és korszerűsítése, kizárólag az épület karbantartása. </w:t>
            </w:r>
          </w:p>
          <w:p w14:paraId="18BFB475" w14:textId="2EB31E76" w:rsidR="003A6168" w:rsidRDefault="003A6168" w:rsidP="003A6168">
            <w:pPr>
              <w:pStyle w:val="P68B1DB1-Normal8"/>
              <w:spacing w:after="0" w:line="240" w:lineRule="auto"/>
              <w:jc w:val="both"/>
              <w:rPr>
                <w:rFonts w:eastAsia="Times New Roman" w:cs="Calibri"/>
                <w:noProof/>
              </w:rPr>
            </w:pPr>
            <w:r>
              <w:rPr>
                <w:noProof/>
              </w:rPr>
              <w:t>Calheta I. hidroelektromos erőmű: a legtöbb eszköz cseréje, különös tekintettel a két, 0,5 MW beépített kapacitású áramfejlesztő egységre és egyéb elektromos rendszerekre, az épület kivételével. A munkálatok magukban foglalják az üzemhez vezető csatornák mintegy 13 km-es teljes hosszának helyreállítását is.</w:t>
            </w:r>
          </w:p>
        </w:tc>
      </w:tr>
      <w:tr w:rsidR="003A6168" w14:paraId="6E33C52D" w14:textId="77777777">
        <w:trPr>
          <w:trHeight w:val="290"/>
        </w:trPr>
        <w:tc>
          <w:tcPr>
            <w:tcW w:w="1135" w:type="dxa"/>
            <w:shd w:val="clear" w:color="auto" w:fill="C4EFCE"/>
            <w:vAlign w:val="center"/>
            <w:hideMark/>
          </w:tcPr>
          <w:p w14:paraId="40BC8F13" w14:textId="77777777" w:rsidR="003A6168" w:rsidRDefault="003A6168" w:rsidP="003A6168">
            <w:pPr>
              <w:pStyle w:val="P68B1DB1-Normal7"/>
              <w:spacing w:after="0" w:line="240" w:lineRule="auto"/>
              <w:jc w:val="center"/>
              <w:rPr>
                <w:rFonts w:eastAsia="Times New Roman" w:cs="Calibri"/>
                <w:noProof/>
              </w:rPr>
            </w:pPr>
            <w:r>
              <w:rPr>
                <w:noProof/>
              </w:rPr>
              <w:t>14.7</w:t>
            </w:r>
          </w:p>
        </w:tc>
        <w:tc>
          <w:tcPr>
            <w:tcW w:w="1276" w:type="dxa"/>
            <w:shd w:val="clear" w:color="auto" w:fill="C4EFCE"/>
            <w:noWrap/>
            <w:vAlign w:val="center"/>
            <w:hideMark/>
          </w:tcPr>
          <w:p w14:paraId="1CC99350"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7C251B82"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69D33F4" w14:textId="77777777" w:rsidR="003A6168" w:rsidRDefault="003A6168" w:rsidP="003A6168">
            <w:pPr>
              <w:pStyle w:val="P68B1DB1-Normal8"/>
              <w:spacing w:after="0" w:line="240" w:lineRule="auto"/>
              <w:jc w:val="center"/>
              <w:rPr>
                <w:rFonts w:eastAsia="Times New Roman" w:cs="Calibri"/>
                <w:noProof/>
              </w:rPr>
            </w:pPr>
            <w:r>
              <w:rPr>
                <w:noProof/>
              </w:rPr>
              <w:t>További beépített kapacitás az akkumulátortároló rendszerben</w:t>
            </w:r>
          </w:p>
        </w:tc>
        <w:tc>
          <w:tcPr>
            <w:tcW w:w="1275" w:type="dxa"/>
            <w:shd w:val="clear" w:color="auto" w:fill="C4EFCE"/>
            <w:noWrap/>
            <w:vAlign w:val="center"/>
            <w:hideMark/>
          </w:tcPr>
          <w:p w14:paraId="47DED681"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AD7FBEA"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5AE80CCF"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3404202" w14:textId="77777777" w:rsidR="003A6168" w:rsidRDefault="003A6168" w:rsidP="003A6168">
            <w:pPr>
              <w:pStyle w:val="P68B1DB1-Normal8"/>
              <w:spacing w:after="0" w:line="240" w:lineRule="auto"/>
              <w:jc w:val="center"/>
              <w:rPr>
                <w:rFonts w:eastAsia="Times New Roman" w:cs="Calibri"/>
                <w:noProof/>
              </w:rPr>
            </w:pPr>
            <w:r>
              <w:rPr>
                <w:noProof/>
              </w:rPr>
              <w:t>21</w:t>
            </w:r>
          </w:p>
        </w:tc>
        <w:tc>
          <w:tcPr>
            <w:tcW w:w="567" w:type="dxa"/>
            <w:shd w:val="clear" w:color="auto" w:fill="C4EFCE"/>
            <w:noWrap/>
            <w:vAlign w:val="center"/>
            <w:hideMark/>
          </w:tcPr>
          <w:p w14:paraId="23311448" w14:textId="2DB8E9C7"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CE3C18F" w14:textId="77777777" w:rsidR="003A6168" w:rsidRDefault="003A6168" w:rsidP="003A6168">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508188D" w14:textId="77777777" w:rsidR="003A6168" w:rsidRDefault="003A6168" w:rsidP="003A6168">
            <w:pPr>
              <w:pStyle w:val="P68B1DB1-Normal8"/>
              <w:spacing w:after="0" w:line="240" w:lineRule="auto"/>
              <w:jc w:val="both"/>
              <w:rPr>
                <w:rFonts w:eastAsia="Times New Roman" w:cs="Calibri"/>
                <w:noProof/>
              </w:rPr>
            </w:pPr>
            <w:r>
              <w:rPr>
                <w:noProof/>
              </w:rPr>
              <w:t xml:space="preserve">A villamosenergia-tárolás növelése az akkumulátorrendszerek beépített kapacitásának növelésével. </w:t>
            </w:r>
          </w:p>
          <w:p w14:paraId="388555A7" w14:textId="00D42124" w:rsidR="003A6168" w:rsidRDefault="003A6168" w:rsidP="003A6168">
            <w:pPr>
              <w:pStyle w:val="P68B1DB1-Normal8"/>
              <w:spacing w:after="0" w:line="240" w:lineRule="auto"/>
              <w:jc w:val="both"/>
              <w:rPr>
                <w:rFonts w:eastAsia="Times New Roman" w:cs="Calibri"/>
                <w:noProof/>
              </w:rPr>
            </w:pPr>
            <w:r>
              <w:rPr>
                <w:noProof/>
              </w:rPr>
              <w:t>A hozzáadott kapacitás legalább 21 MW/27 MWh</w:t>
            </w:r>
          </w:p>
        </w:tc>
      </w:tr>
      <w:tr w:rsidR="00411F1F" w14:paraId="1948699A" w14:textId="77777777">
        <w:trPr>
          <w:trHeight w:val="430"/>
        </w:trPr>
        <w:tc>
          <w:tcPr>
            <w:tcW w:w="1135" w:type="dxa"/>
            <w:shd w:val="clear" w:color="auto" w:fill="C4EFCE"/>
            <w:vAlign w:val="center"/>
            <w:hideMark/>
          </w:tcPr>
          <w:p w14:paraId="2C554E92" w14:textId="77777777" w:rsidR="00411F1F" w:rsidRDefault="00411F1F" w:rsidP="00411F1F">
            <w:pPr>
              <w:pStyle w:val="P68B1DB1-Normal7"/>
              <w:spacing w:after="0" w:line="240" w:lineRule="auto"/>
              <w:jc w:val="center"/>
              <w:rPr>
                <w:rFonts w:eastAsia="Times New Roman" w:cs="Calibri"/>
                <w:noProof/>
              </w:rPr>
            </w:pPr>
            <w:r>
              <w:rPr>
                <w:noProof/>
              </w:rPr>
              <w:t>14.8</w:t>
            </w:r>
          </w:p>
        </w:tc>
        <w:tc>
          <w:tcPr>
            <w:tcW w:w="1276" w:type="dxa"/>
            <w:shd w:val="clear" w:color="auto" w:fill="C4EFCE"/>
            <w:noWrap/>
            <w:vAlign w:val="center"/>
            <w:hideMark/>
          </w:tcPr>
          <w:p w14:paraId="5FB40C15" w14:textId="77777777" w:rsidR="00411F1F" w:rsidRDefault="00411F1F" w:rsidP="00411F1F">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194061B1"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5F07188" w14:textId="77777777" w:rsidR="00411F1F" w:rsidRDefault="00411F1F" w:rsidP="00411F1F">
            <w:pPr>
              <w:pStyle w:val="P68B1DB1-Normal8"/>
              <w:spacing w:after="0" w:line="240" w:lineRule="auto"/>
              <w:jc w:val="center"/>
              <w:rPr>
                <w:rFonts w:eastAsia="Times New Roman" w:cs="Calibri"/>
                <w:noProof/>
              </w:rPr>
            </w:pPr>
            <w:r>
              <w:rPr>
                <w:noProof/>
              </w:rPr>
              <w:t>További kapacitás az új beépített energia villamosenergia-rendszerbe történő integrálására</w:t>
            </w:r>
          </w:p>
        </w:tc>
        <w:tc>
          <w:tcPr>
            <w:tcW w:w="1275" w:type="dxa"/>
            <w:shd w:val="clear" w:color="auto" w:fill="C4EFCE"/>
            <w:noWrap/>
            <w:vAlign w:val="center"/>
            <w:hideMark/>
          </w:tcPr>
          <w:p w14:paraId="04404B06"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18AC5C6"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33D2174B"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DD47456" w14:textId="77777777" w:rsidR="00411F1F" w:rsidRDefault="00411F1F" w:rsidP="00411F1F">
            <w:pPr>
              <w:pStyle w:val="P68B1DB1-Normal8"/>
              <w:spacing w:after="0" w:line="240" w:lineRule="auto"/>
              <w:jc w:val="center"/>
              <w:rPr>
                <w:rFonts w:eastAsia="Times New Roman" w:cs="Calibri"/>
                <w:noProof/>
              </w:rPr>
            </w:pPr>
            <w:r>
              <w:rPr>
                <w:noProof/>
              </w:rPr>
              <w:t>48</w:t>
            </w:r>
          </w:p>
        </w:tc>
        <w:tc>
          <w:tcPr>
            <w:tcW w:w="567" w:type="dxa"/>
            <w:shd w:val="clear" w:color="auto" w:fill="C4EFCE"/>
            <w:noWrap/>
            <w:vAlign w:val="center"/>
            <w:hideMark/>
          </w:tcPr>
          <w:p w14:paraId="7A7FC3C8" w14:textId="7EF6F9ED"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1286C6DF" w14:textId="77777777" w:rsidR="00411F1F" w:rsidRDefault="00411F1F" w:rsidP="00411F1F">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7880C30" w14:textId="53A5D4C2" w:rsidR="00411F1F" w:rsidRDefault="00411F1F" w:rsidP="00411F1F">
            <w:pPr>
              <w:pStyle w:val="P68B1DB1-Normal8"/>
              <w:spacing w:after="0" w:line="240" w:lineRule="auto"/>
              <w:jc w:val="both"/>
              <w:rPr>
                <w:rFonts w:eastAsia="Times New Roman" w:cs="Calibri"/>
                <w:noProof/>
              </w:rPr>
            </w:pPr>
            <w:r>
              <w:rPr>
                <w:noProof/>
              </w:rPr>
              <w:t>A megújuló energiaforrásoknak az ARM villamosenergia-rendszerébe való integrálására irányuló kapacitás növelése. A korszerűsítés Porto Santo esetében 8 MW, Madeirán pedig 40 MW-ot tesz ki.</w:t>
            </w:r>
          </w:p>
        </w:tc>
      </w:tr>
      <w:tr w:rsidR="003A6168" w14:paraId="7777E58F" w14:textId="77777777">
        <w:trPr>
          <w:trHeight w:val="430"/>
        </w:trPr>
        <w:tc>
          <w:tcPr>
            <w:tcW w:w="1135" w:type="dxa"/>
            <w:shd w:val="clear" w:color="auto" w:fill="C4EFCE"/>
            <w:vAlign w:val="center"/>
            <w:hideMark/>
          </w:tcPr>
          <w:p w14:paraId="0A07FC76" w14:textId="77777777" w:rsidR="003A6168" w:rsidRDefault="003A6168" w:rsidP="003A6168">
            <w:pPr>
              <w:pStyle w:val="P68B1DB1-Normal7"/>
              <w:spacing w:after="0" w:line="240" w:lineRule="auto"/>
              <w:jc w:val="center"/>
              <w:rPr>
                <w:rFonts w:eastAsia="Times New Roman" w:cs="Calibri"/>
                <w:noProof/>
              </w:rPr>
            </w:pPr>
            <w:r>
              <w:rPr>
                <w:noProof/>
              </w:rPr>
              <w:t>14.9</w:t>
            </w:r>
          </w:p>
        </w:tc>
        <w:tc>
          <w:tcPr>
            <w:tcW w:w="1276" w:type="dxa"/>
            <w:shd w:val="clear" w:color="auto" w:fill="C4EFCE"/>
            <w:noWrap/>
            <w:vAlign w:val="center"/>
            <w:hideMark/>
          </w:tcPr>
          <w:p w14:paraId="6F6CE13A"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3F096E46"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D8452D" w14:textId="77777777" w:rsidR="003A6168" w:rsidRDefault="003A6168" w:rsidP="003A6168">
            <w:pPr>
              <w:pStyle w:val="P68B1DB1-Normal8"/>
              <w:spacing w:after="0" w:line="240" w:lineRule="auto"/>
              <w:jc w:val="center"/>
              <w:rPr>
                <w:rFonts w:eastAsia="Times New Roman" w:cs="Calibri"/>
                <w:noProof/>
              </w:rPr>
            </w:pPr>
            <w:r>
              <w:rPr>
                <w:noProof/>
              </w:rPr>
              <w:t xml:space="preserve">Intelligens fogyasztásmérők telepítése </w:t>
            </w:r>
          </w:p>
        </w:tc>
        <w:tc>
          <w:tcPr>
            <w:tcW w:w="1275" w:type="dxa"/>
            <w:shd w:val="clear" w:color="auto" w:fill="C4EFCE"/>
            <w:noWrap/>
            <w:vAlign w:val="center"/>
            <w:hideMark/>
          </w:tcPr>
          <w:p w14:paraId="6EE2AFB4"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97B7CDD"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171D01F"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64A2B0C" w14:textId="53CB6B01" w:rsidR="003A6168" w:rsidRDefault="003A6168" w:rsidP="003A6168">
            <w:pPr>
              <w:pStyle w:val="P68B1DB1-Normal8"/>
              <w:spacing w:after="0" w:line="240" w:lineRule="auto"/>
              <w:jc w:val="center"/>
              <w:rPr>
                <w:rFonts w:eastAsia="Times New Roman" w:cs="Calibri"/>
                <w:noProof/>
              </w:rPr>
            </w:pPr>
            <w:r>
              <w:rPr>
                <w:noProof/>
              </w:rPr>
              <w:t>130 000</w:t>
            </w:r>
          </w:p>
        </w:tc>
        <w:tc>
          <w:tcPr>
            <w:tcW w:w="567" w:type="dxa"/>
            <w:shd w:val="clear" w:color="auto" w:fill="C4EFCE"/>
            <w:noWrap/>
            <w:vAlign w:val="center"/>
            <w:hideMark/>
          </w:tcPr>
          <w:p w14:paraId="466259E1" w14:textId="382D5C07"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61EE381"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A0AB2BE" w14:textId="77777777" w:rsidR="003A6168" w:rsidRDefault="003A6168" w:rsidP="003A6168">
            <w:pPr>
              <w:pStyle w:val="P68B1DB1-Normal8"/>
              <w:spacing w:after="0" w:line="240" w:lineRule="auto"/>
              <w:jc w:val="both"/>
              <w:rPr>
                <w:rFonts w:eastAsia="Times New Roman" w:cs="Calibri"/>
                <w:noProof/>
              </w:rPr>
            </w:pPr>
            <w:r>
              <w:rPr>
                <w:noProof/>
              </w:rPr>
              <w:t>Új intelligens fogyasztásmérők biztosítása és telepítése (fogyasztási információkat rögzítő és a kommunikációs hálózathoz csatlakoztatott villamosenergia-fogyasztásmérők)</w:t>
            </w:r>
          </w:p>
        </w:tc>
      </w:tr>
      <w:tr w:rsidR="003A6168" w14:paraId="085247C8" w14:textId="77777777">
        <w:trPr>
          <w:trHeight w:val="300"/>
        </w:trPr>
        <w:tc>
          <w:tcPr>
            <w:tcW w:w="1135" w:type="dxa"/>
            <w:shd w:val="clear" w:color="auto" w:fill="C4EFCE"/>
            <w:vAlign w:val="center"/>
            <w:hideMark/>
          </w:tcPr>
          <w:p w14:paraId="4DAE842D" w14:textId="77777777" w:rsidR="003A6168" w:rsidRDefault="003A6168" w:rsidP="003A6168">
            <w:pPr>
              <w:pStyle w:val="P68B1DB1-Normal7"/>
              <w:spacing w:after="0" w:line="240" w:lineRule="auto"/>
              <w:jc w:val="center"/>
              <w:rPr>
                <w:rFonts w:eastAsia="Times New Roman" w:cs="Calibri"/>
                <w:noProof/>
              </w:rPr>
            </w:pPr>
            <w:r>
              <w:rPr>
                <w:noProof/>
              </w:rPr>
              <w:t>14.10</w:t>
            </w:r>
          </w:p>
        </w:tc>
        <w:tc>
          <w:tcPr>
            <w:tcW w:w="1276" w:type="dxa"/>
            <w:shd w:val="clear" w:color="auto" w:fill="C4EFCE"/>
            <w:noWrap/>
            <w:vAlign w:val="center"/>
            <w:hideMark/>
          </w:tcPr>
          <w:p w14:paraId="3B119B79" w14:textId="77777777" w:rsidR="003A6168" w:rsidRDefault="003A6168" w:rsidP="003A6168">
            <w:pPr>
              <w:pStyle w:val="P68B1DB1-Normal8"/>
              <w:spacing w:after="0" w:line="240" w:lineRule="auto"/>
              <w:jc w:val="center"/>
              <w:rPr>
                <w:rFonts w:eastAsia="Times New Roman" w:cs="Calibri"/>
                <w:noProof/>
              </w:rPr>
            </w:pPr>
            <w:r>
              <w:rPr>
                <w:noProof/>
              </w:rPr>
              <w:t>TC-C14-i02-RAM</w:t>
            </w:r>
          </w:p>
        </w:tc>
        <w:tc>
          <w:tcPr>
            <w:tcW w:w="1134" w:type="dxa"/>
            <w:shd w:val="clear" w:color="auto" w:fill="C4EFCE"/>
            <w:noWrap/>
            <w:vAlign w:val="center"/>
            <w:hideMark/>
          </w:tcPr>
          <w:p w14:paraId="2D8644BA"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3077042" w14:textId="77777777" w:rsidR="003A6168" w:rsidRDefault="003A6168" w:rsidP="003A6168">
            <w:pPr>
              <w:pStyle w:val="P68B1DB1-Normal8"/>
              <w:spacing w:after="0" w:line="240" w:lineRule="auto"/>
              <w:jc w:val="center"/>
              <w:rPr>
                <w:rFonts w:eastAsia="Times New Roman" w:cs="Calibri"/>
                <w:noProof/>
              </w:rPr>
            </w:pPr>
            <w:r>
              <w:rPr>
                <w:noProof/>
              </w:rPr>
              <w:t xml:space="preserve">Közvilágítási pontok cseréje </w:t>
            </w:r>
          </w:p>
        </w:tc>
        <w:tc>
          <w:tcPr>
            <w:tcW w:w="1275" w:type="dxa"/>
            <w:shd w:val="clear" w:color="auto" w:fill="C4EFCE"/>
            <w:noWrap/>
            <w:vAlign w:val="center"/>
            <w:hideMark/>
          </w:tcPr>
          <w:p w14:paraId="1F6A61E8"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3AB129"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9AB4E5C"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5BE9D871" w14:textId="77777777" w:rsidR="003A6168" w:rsidRDefault="003A6168" w:rsidP="003A6168">
            <w:pPr>
              <w:pStyle w:val="P68B1DB1-Normal8"/>
              <w:spacing w:after="0" w:line="240" w:lineRule="auto"/>
              <w:jc w:val="center"/>
              <w:rPr>
                <w:rFonts w:eastAsia="Times New Roman" w:cs="Calibri"/>
                <w:noProof/>
              </w:rPr>
            </w:pPr>
            <w:r>
              <w:rPr>
                <w:noProof/>
              </w:rPr>
              <w:t>8 750</w:t>
            </w:r>
          </w:p>
        </w:tc>
        <w:tc>
          <w:tcPr>
            <w:tcW w:w="567" w:type="dxa"/>
            <w:shd w:val="clear" w:color="auto" w:fill="C4EFCE"/>
            <w:noWrap/>
            <w:vAlign w:val="center"/>
            <w:hideMark/>
          </w:tcPr>
          <w:p w14:paraId="352149A8" w14:textId="57C9148D"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9138D5E"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233918" w14:textId="77777777" w:rsidR="003A6168" w:rsidRDefault="003A6168" w:rsidP="003A6168">
            <w:pPr>
              <w:pStyle w:val="P68B1DB1-Normal8"/>
              <w:spacing w:after="0" w:line="240" w:lineRule="auto"/>
              <w:jc w:val="both"/>
              <w:rPr>
                <w:rFonts w:eastAsia="Times New Roman" w:cs="Calibri"/>
                <w:noProof/>
              </w:rPr>
            </w:pPr>
            <w:r>
              <w:rPr>
                <w:noProof/>
              </w:rPr>
              <w:t>A közvilágítási hálózat lecserélése alacsony energiafogyasztású LED-világításra és irányítási rendszerükre</w:t>
            </w:r>
          </w:p>
        </w:tc>
      </w:tr>
      <w:tr w:rsidR="00411F1F" w14:paraId="49C49B34" w14:textId="77777777">
        <w:trPr>
          <w:trHeight w:val="630"/>
        </w:trPr>
        <w:tc>
          <w:tcPr>
            <w:tcW w:w="1135" w:type="dxa"/>
            <w:shd w:val="clear" w:color="auto" w:fill="C4EFCE"/>
            <w:vAlign w:val="center"/>
            <w:hideMark/>
          </w:tcPr>
          <w:p w14:paraId="57987303" w14:textId="77777777" w:rsidR="00411F1F" w:rsidRDefault="00411F1F" w:rsidP="00411F1F">
            <w:pPr>
              <w:pStyle w:val="P68B1DB1-Normal7"/>
              <w:spacing w:after="0" w:line="240" w:lineRule="auto"/>
              <w:jc w:val="center"/>
              <w:rPr>
                <w:rFonts w:eastAsia="Times New Roman" w:cs="Calibri"/>
                <w:noProof/>
              </w:rPr>
            </w:pPr>
            <w:r>
              <w:rPr>
                <w:noProof/>
              </w:rPr>
              <w:t>14.11</w:t>
            </w:r>
          </w:p>
        </w:tc>
        <w:tc>
          <w:tcPr>
            <w:tcW w:w="1276" w:type="dxa"/>
            <w:shd w:val="clear" w:color="auto" w:fill="C4EFCE"/>
            <w:noWrap/>
            <w:vAlign w:val="center"/>
            <w:hideMark/>
          </w:tcPr>
          <w:p w14:paraId="0E810C24" w14:textId="77777777" w:rsidR="00411F1F" w:rsidRDefault="00411F1F" w:rsidP="00411F1F">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07BB7096"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CDAE41D" w14:textId="77777777" w:rsidR="00411F1F" w:rsidRDefault="00411F1F" w:rsidP="00411F1F">
            <w:pPr>
              <w:pStyle w:val="P68B1DB1-Normal8"/>
              <w:spacing w:after="0" w:line="240" w:lineRule="auto"/>
              <w:jc w:val="center"/>
              <w:rPr>
                <w:rFonts w:eastAsia="Times New Roman" w:cs="Calibri"/>
                <w:noProof/>
              </w:rPr>
            </w:pPr>
            <w:r>
              <w:rPr>
                <w:noProof/>
              </w:rPr>
              <w:t>Kiegészítő és felújított beépített geotermikus termelési kapacitás</w:t>
            </w:r>
          </w:p>
        </w:tc>
        <w:tc>
          <w:tcPr>
            <w:tcW w:w="1275" w:type="dxa"/>
            <w:shd w:val="clear" w:color="auto" w:fill="C4EFCE"/>
            <w:noWrap/>
            <w:vAlign w:val="center"/>
            <w:hideMark/>
          </w:tcPr>
          <w:p w14:paraId="346DFA29"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A22D7A0"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25B70213"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78D74A92" w14:textId="77777777" w:rsidR="00411F1F" w:rsidRDefault="00411F1F" w:rsidP="00411F1F">
            <w:pPr>
              <w:pStyle w:val="P68B1DB1-Normal8"/>
              <w:spacing w:after="0" w:line="240" w:lineRule="auto"/>
              <w:jc w:val="center"/>
              <w:rPr>
                <w:rFonts w:eastAsia="Times New Roman" w:cs="Calibri"/>
                <w:noProof/>
              </w:rPr>
            </w:pPr>
            <w:r>
              <w:rPr>
                <w:noProof/>
              </w:rPr>
              <w:t>17</w:t>
            </w:r>
          </w:p>
        </w:tc>
        <w:tc>
          <w:tcPr>
            <w:tcW w:w="567" w:type="dxa"/>
            <w:shd w:val="clear" w:color="auto" w:fill="C4EFCE"/>
            <w:noWrap/>
            <w:vAlign w:val="center"/>
            <w:hideMark/>
          </w:tcPr>
          <w:p w14:paraId="7654C1AA" w14:textId="37CA8717"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2C969610" w14:textId="294D2D88" w:rsidR="00411F1F" w:rsidRDefault="00411F1F" w:rsidP="00411F1F">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615578BD" w14:textId="77777777" w:rsidR="00411F1F" w:rsidRDefault="00411F1F" w:rsidP="00411F1F">
            <w:pPr>
              <w:pStyle w:val="P68B1DB1-Normal8"/>
              <w:spacing w:after="0" w:line="240" w:lineRule="auto"/>
              <w:jc w:val="both"/>
              <w:rPr>
                <w:rFonts w:eastAsia="Times New Roman" w:cs="Calibri"/>
                <w:noProof/>
              </w:rPr>
            </w:pPr>
            <w:r>
              <w:rPr>
                <w:noProof/>
              </w:rPr>
              <w:t xml:space="preserve">A megújuló energiaforrásokból történő villamosenergia-termelési kapacitás növelése, különös tekintettel a geotermikus energiára. A többletkapacitást (12 MW) a Pico Alto Geothermal Plantben és a Pico Vermelho Geothermal Plantben kell telepíteni. </w:t>
            </w:r>
          </w:p>
          <w:p w14:paraId="2807AEAB" w14:textId="570B2349" w:rsidR="00411F1F" w:rsidRDefault="00411F1F" w:rsidP="00411F1F">
            <w:pPr>
              <w:pStyle w:val="P68B1DB1-Normal8"/>
              <w:spacing w:after="0" w:line="240" w:lineRule="auto"/>
              <w:jc w:val="both"/>
              <w:rPr>
                <w:rFonts w:eastAsia="Times New Roman" w:cs="Calibri"/>
                <w:noProof/>
              </w:rPr>
            </w:pPr>
            <w:r>
              <w:rPr>
                <w:noProof/>
              </w:rPr>
              <w:t>A Ribeira Grande geotermikus erőmű felújításának három új geotermikus kútot kell megvalósítania, és a meglévő 2x2,5 MW teljesítményű termelőegységek helyébe egy hatékonyabb, 5 MW-os termelőegység lép.</w:t>
            </w:r>
          </w:p>
        </w:tc>
      </w:tr>
      <w:tr w:rsidR="00411F1F" w14:paraId="6EB81417" w14:textId="77777777">
        <w:trPr>
          <w:trHeight w:val="430"/>
        </w:trPr>
        <w:tc>
          <w:tcPr>
            <w:tcW w:w="1135" w:type="dxa"/>
            <w:shd w:val="clear" w:color="auto" w:fill="C4EFCE"/>
            <w:vAlign w:val="center"/>
            <w:hideMark/>
          </w:tcPr>
          <w:p w14:paraId="3405F6EB" w14:textId="77777777" w:rsidR="00411F1F" w:rsidRDefault="00411F1F" w:rsidP="00411F1F">
            <w:pPr>
              <w:pStyle w:val="P68B1DB1-Normal7"/>
              <w:spacing w:after="0" w:line="240" w:lineRule="auto"/>
              <w:jc w:val="center"/>
              <w:rPr>
                <w:rFonts w:eastAsia="Times New Roman" w:cs="Calibri"/>
                <w:noProof/>
              </w:rPr>
            </w:pPr>
            <w:r>
              <w:rPr>
                <w:noProof/>
              </w:rPr>
              <w:t>14.12</w:t>
            </w:r>
          </w:p>
        </w:tc>
        <w:tc>
          <w:tcPr>
            <w:tcW w:w="1276" w:type="dxa"/>
            <w:shd w:val="clear" w:color="auto" w:fill="C4EFCE"/>
            <w:noWrap/>
            <w:vAlign w:val="center"/>
            <w:hideMark/>
          </w:tcPr>
          <w:p w14:paraId="63DE5821" w14:textId="77777777" w:rsidR="00411F1F" w:rsidRDefault="00411F1F" w:rsidP="00411F1F">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63E7E41F"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22755F2" w14:textId="77777777" w:rsidR="00411F1F" w:rsidRDefault="00411F1F" w:rsidP="00411F1F">
            <w:pPr>
              <w:pStyle w:val="P68B1DB1-Normal8"/>
              <w:spacing w:after="0" w:line="240" w:lineRule="auto"/>
              <w:jc w:val="center"/>
              <w:rPr>
                <w:rFonts w:eastAsia="Times New Roman" w:cs="Calibri"/>
                <w:noProof/>
              </w:rPr>
            </w:pPr>
            <w:r>
              <w:rPr>
                <w:noProof/>
              </w:rPr>
              <w:t>További megújuló villamosenergia-termelés Corvoban</w:t>
            </w:r>
          </w:p>
        </w:tc>
        <w:tc>
          <w:tcPr>
            <w:tcW w:w="1275" w:type="dxa"/>
            <w:shd w:val="clear" w:color="auto" w:fill="C4EFCE"/>
            <w:noWrap/>
            <w:vAlign w:val="center"/>
            <w:hideMark/>
          </w:tcPr>
          <w:p w14:paraId="4A191934"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FE8B622" w14:textId="77777777" w:rsidR="00411F1F" w:rsidRDefault="00411F1F" w:rsidP="00411F1F">
            <w:pPr>
              <w:pStyle w:val="P68B1DB1-Normal8"/>
              <w:spacing w:after="0" w:line="240" w:lineRule="auto"/>
              <w:jc w:val="center"/>
              <w:rPr>
                <w:rFonts w:eastAsia="Times New Roman" w:cs="Calibri"/>
                <w:noProof/>
              </w:rPr>
            </w:pPr>
            <w:r>
              <w:rPr>
                <w:noProof/>
              </w:rPr>
              <w:t>kW</w:t>
            </w:r>
          </w:p>
        </w:tc>
        <w:tc>
          <w:tcPr>
            <w:tcW w:w="992" w:type="dxa"/>
            <w:shd w:val="clear" w:color="auto" w:fill="C4EFCE"/>
            <w:noWrap/>
            <w:vAlign w:val="center"/>
            <w:hideMark/>
          </w:tcPr>
          <w:p w14:paraId="5DA012D0"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60FE94F2" w14:textId="77777777" w:rsidR="00411F1F" w:rsidRDefault="00411F1F" w:rsidP="00411F1F">
            <w:pPr>
              <w:pStyle w:val="P68B1DB1-Normal8"/>
              <w:spacing w:after="0" w:line="240" w:lineRule="auto"/>
              <w:jc w:val="center"/>
              <w:rPr>
                <w:rFonts w:eastAsia="Times New Roman" w:cs="Calibri"/>
                <w:noProof/>
              </w:rPr>
            </w:pPr>
            <w:r>
              <w:rPr>
                <w:noProof/>
              </w:rPr>
              <w:t>850</w:t>
            </w:r>
          </w:p>
        </w:tc>
        <w:tc>
          <w:tcPr>
            <w:tcW w:w="567" w:type="dxa"/>
            <w:shd w:val="clear" w:color="auto" w:fill="C4EFCE"/>
            <w:noWrap/>
            <w:vAlign w:val="center"/>
            <w:hideMark/>
          </w:tcPr>
          <w:p w14:paraId="21A4EA86" w14:textId="55613E30"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4EC5CBA7" w14:textId="5D6061B7" w:rsidR="00411F1F" w:rsidRDefault="00411F1F" w:rsidP="00411F1F">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1522AF9F" w14:textId="5591984C" w:rsidR="00411F1F" w:rsidRDefault="00411F1F" w:rsidP="00411F1F">
            <w:pPr>
              <w:pStyle w:val="P68B1DB1-Normal8"/>
              <w:spacing w:after="0" w:line="240" w:lineRule="auto"/>
              <w:jc w:val="both"/>
              <w:rPr>
                <w:rFonts w:eastAsia="Times New Roman" w:cs="Calibri"/>
                <w:noProof/>
              </w:rPr>
            </w:pPr>
            <w:r>
              <w:rPr>
                <w:noProof/>
              </w:rPr>
              <w:t>A telepített villamosenergia-termelési kapacitás növelése Corvo szigetén egy fotovoltaikus és egy szélerőműpark telepítése révén.</w:t>
            </w:r>
          </w:p>
        </w:tc>
      </w:tr>
      <w:tr w:rsidR="00411F1F" w14:paraId="4BF28A70" w14:textId="77777777">
        <w:trPr>
          <w:trHeight w:val="640"/>
        </w:trPr>
        <w:tc>
          <w:tcPr>
            <w:tcW w:w="1135" w:type="dxa"/>
            <w:shd w:val="clear" w:color="auto" w:fill="C4EFCE"/>
            <w:vAlign w:val="center"/>
            <w:hideMark/>
          </w:tcPr>
          <w:p w14:paraId="26E7B270" w14:textId="77777777" w:rsidR="00411F1F" w:rsidRDefault="00411F1F" w:rsidP="00411F1F">
            <w:pPr>
              <w:pStyle w:val="P68B1DB1-Normal7"/>
              <w:spacing w:after="0" w:line="240" w:lineRule="auto"/>
              <w:jc w:val="center"/>
              <w:rPr>
                <w:rFonts w:eastAsia="Times New Roman" w:cs="Calibri"/>
                <w:noProof/>
              </w:rPr>
            </w:pPr>
            <w:r>
              <w:rPr>
                <w:noProof/>
              </w:rPr>
              <w:t>14.13</w:t>
            </w:r>
          </w:p>
        </w:tc>
        <w:tc>
          <w:tcPr>
            <w:tcW w:w="1276" w:type="dxa"/>
            <w:shd w:val="clear" w:color="auto" w:fill="C4EFCE"/>
            <w:noWrap/>
            <w:vAlign w:val="center"/>
            <w:hideMark/>
          </w:tcPr>
          <w:p w14:paraId="21B544BC" w14:textId="77777777" w:rsidR="00411F1F" w:rsidRDefault="00411F1F" w:rsidP="00411F1F">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21AB62A" w14:textId="77777777" w:rsidR="00411F1F" w:rsidRDefault="00411F1F" w:rsidP="00411F1F">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5CB493E" w14:textId="77777777" w:rsidR="00411F1F" w:rsidRDefault="00411F1F" w:rsidP="00411F1F">
            <w:pPr>
              <w:pStyle w:val="P68B1DB1-Normal8"/>
              <w:spacing w:after="0" w:line="240" w:lineRule="auto"/>
              <w:jc w:val="center"/>
              <w:rPr>
                <w:rFonts w:eastAsia="Times New Roman" w:cs="Calibri"/>
                <w:noProof/>
              </w:rPr>
            </w:pPr>
            <w:r>
              <w:rPr>
                <w:noProof/>
              </w:rPr>
              <w:t>Új akkumulátor-energiatároló rendszerek és energiagazdálkodási rendszerek az ARA-ban</w:t>
            </w:r>
          </w:p>
        </w:tc>
        <w:tc>
          <w:tcPr>
            <w:tcW w:w="1275" w:type="dxa"/>
            <w:shd w:val="clear" w:color="auto" w:fill="C4EFCE"/>
            <w:noWrap/>
            <w:vAlign w:val="center"/>
            <w:hideMark/>
          </w:tcPr>
          <w:p w14:paraId="32C59D26" w14:textId="77777777" w:rsidR="00411F1F" w:rsidRDefault="00411F1F" w:rsidP="00411F1F">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22A9B89" w14:textId="77777777" w:rsidR="00411F1F" w:rsidRDefault="00411F1F" w:rsidP="00411F1F">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179DC3B8" w14:textId="77777777" w:rsidR="00411F1F" w:rsidRDefault="00411F1F" w:rsidP="00411F1F">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1A6A215E" w14:textId="77777777" w:rsidR="00411F1F" w:rsidRDefault="00411F1F" w:rsidP="00411F1F">
            <w:pPr>
              <w:pStyle w:val="P68B1DB1-Normal8"/>
              <w:spacing w:after="0" w:line="240" w:lineRule="auto"/>
              <w:jc w:val="center"/>
              <w:rPr>
                <w:rFonts w:eastAsia="Times New Roman" w:cs="Calibri"/>
                <w:noProof/>
              </w:rPr>
            </w:pPr>
            <w:r>
              <w:rPr>
                <w:noProof/>
              </w:rPr>
              <w:t>20</w:t>
            </w:r>
          </w:p>
        </w:tc>
        <w:tc>
          <w:tcPr>
            <w:tcW w:w="567" w:type="dxa"/>
            <w:shd w:val="clear" w:color="auto" w:fill="C4EFCE"/>
            <w:noWrap/>
            <w:vAlign w:val="center"/>
            <w:hideMark/>
          </w:tcPr>
          <w:p w14:paraId="748EDD79" w14:textId="4411993A" w:rsidR="00411F1F" w:rsidRDefault="00411F1F" w:rsidP="00411F1F">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27D3725B" w14:textId="243A03A5" w:rsidR="00411F1F" w:rsidRDefault="00411F1F" w:rsidP="00411F1F">
            <w:pPr>
              <w:pStyle w:val="P68B1DB1-Normal8"/>
              <w:spacing w:after="0" w:line="240" w:lineRule="auto"/>
              <w:jc w:val="center"/>
              <w:rPr>
                <w:rFonts w:eastAsia="Times New Roman" w:cs="Calibri"/>
                <w:noProof/>
              </w:rPr>
            </w:pPr>
            <w:r>
              <w:rPr>
                <w:noProof/>
              </w:rPr>
              <w:t>2026</w:t>
            </w:r>
          </w:p>
        </w:tc>
        <w:tc>
          <w:tcPr>
            <w:tcW w:w="3969" w:type="dxa"/>
            <w:shd w:val="clear" w:color="auto" w:fill="C4EFCE"/>
            <w:vAlign w:val="center"/>
            <w:hideMark/>
          </w:tcPr>
          <w:p w14:paraId="75D6C939" w14:textId="77777777" w:rsidR="00411F1F" w:rsidRDefault="00411F1F" w:rsidP="00411F1F">
            <w:pPr>
              <w:pStyle w:val="P68B1DB1-Normal8"/>
              <w:spacing w:after="0" w:line="240" w:lineRule="auto"/>
              <w:jc w:val="both"/>
              <w:rPr>
                <w:rFonts w:eastAsia="Times New Roman" w:cs="Calibri"/>
                <w:noProof/>
              </w:rPr>
            </w:pPr>
            <w:r>
              <w:rPr>
                <w:noProof/>
              </w:rPr>
              <w:t>Új akkumulátoros energiatároló rendszerek és energiagazdálkodási rendszerek telepítése hat szigeten a megújuló energiaforrások nagyobb fokú integrációjának lehetővé tétele érdekében, az ellátás biztonságának és a szolgáltatás minőségének megőrzése mellett, összesen 20 MW és 30 MW közötti teljesítménytartományban. ·</w:t>
            </w:r>
          </w:p>
        </w:tc>
      </w:tr>
      <w:tr w:rsidR="003A6168" w14:paraId="1056362A" w14:textId="77777777">
        <w:trPr>
          <w:trHeight w:val="430"/>
        </w:trPr>
        <w:tc>
          <w:tcPr>
            <w:tcW w:w="1135" w:type="dxa"/>
            <w:shd w:val="clear" w:color="auto" w:fill="C4EFCE"/>
            <w:vAlign w:val="center"/>
            <w:hideMark/>
          </w:tcPr>
          <w:p w14:paraId="32B5D8E8" w14:textId="77777777" w:rsidR="003A6168" w:rsidRDefault="003A6168" w:rsidP="003A6168">
            <w:pPr>
              <w:pStyle w:val="P68B1DB1-Normal7"/>
              <w:spacing w:after="0" w:line="240" w:lineRule="auto"/>
              <w:jc w:val="center"/>
              <w:rPr>
                <w:rFonts w:eastAsia="Times New Roman" w:cs="Calibri"/>
                <w:noProof/>
              </w:rPr>
            </w:pPr>
            <w:r>
              <w:rPr>
                <w:noProof/>
              </w:rPr>
              <w:t>14.14</w:t>
            </w:r>
          </w:p>
        </w:tc>
        <w:tc>
          <w:tcPr>
            <w:tcW w:w="1276" w:type="dxa"/>
            <w:shd w:val="clear" w:color="auto" w:fill="C4EFCE"/>
            <w:noWrap/>
            <w:vAlign w:val="center"/>
            <w:hideMark/>
          </w:tcPr>
          <w:p w14:paraId="054F1D8B" w14:textId="77777777" w:rsidR="003A6168" w:rsidRDefault="003A6168" w:rsidP="003A6168">
            <w:pPr>
              <w:pStyle w:val="P68B1DB1-Normal8"/>
              <w:spacing w:after="0" w:line="240" w:lineRule="auto"/>
              <w:jc w:val="center"/>
              <w:rPr>
                <w:rFonts w:eastAsia="Times New Roman" w:cs="Calibri"/>
                <w:noProof/>
              </w:rPr>
            </w:pPr>
            <w:r>
              <w:rPr>
                <w:noProof/>
              </w:rPr>
              <w:t>TC-C14-i03-RAA</w:t>
            </w:r>
          </w:p>
        </w:tc>
        <w:tc>
          <w:tcPr>
            <w:tcW w:w="1134" w:type="dxa"/>
            <w:shd w:val="clear" w:color="auto" w:fill="C4EFCE"/>
            <w:noWrap/>
            <w:vAlign w:val="center"/>
            <w:hideMark/>
          </w:tcPr>
          <w:p w14:paraId="472D0821"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9DC164" w14:textId="77777777" w:rsidR="003A6168" w:rsidRDefault="003A6168" w:rsidP="003A6168">
            <w:pPr>
              <w:pStyle w:val="P68B1DB1-Normal8"/>
              <w:spacing w:after="0" w:line="240" w:lineRule="auto"/>
              <w:jc w:val="center"/>
              <w:rPr>
                <w:rFonts w:eastAsia="Times New Roman" w:cs="Calibri"/>
                <w:noProof/>
              </w:rPr>
            </w:pPr>
            <w:r>
              <w:rPr>
                <w:noProof/>
              </w:rPr>
              <w:t>Kis méretű fotovoltaikus erőművek telepítése helyi villamosenergia-termelésre és -fogyasztásra</w:t>
            </w:r>
          </w:p>
        </w:tc>
        <w:tc>
          <w:tcPr>
            <w:tcW w:w="1275" w:type="dxa"/>
            <w:shd w:val="clear" w:color="auto" w:fill="C4EFCE"/>
            <w:noWrap/>
            <w:vAlign w:val="center"/>
            <w:hideMark/>
          </w:tcPr>
          <w:p w14:paraId="3010E648" w14:textId="77777777" w:rsidR="003A6168" w:rsidRDefault="003A6168" w:rsidP="003A6168">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35F208A" w14:textId="77777777" w:rsidR="003A6168" w:rsidRDefault="003A6168" w:rsidP="003A6168">
            <w:pPr>
              <w:pStyle w:val="P68B1DB1-Normal8"/>
              <w:spacing w:after="0" w:line="240" w:lineRule="auto"/>
              <w:jc w:val="center"/>
              <w:rPr>
                <w:rFonts w:eastAsia="Times New Roman" w:cs="Calibri"/>
                <w:noProof/>
              </w:rPr>
            </w:pPr>
            <w:r>
              <w:rPr>
                <w:noProof/>
              </w:rPr>
              <w:t>MW</w:t>
            </w:r>
          </w:p>
        </w:tc>
        <w:tc>
          <w:tcPr>
            <w:tcW w:w="992" w:type="dxa"/>
            <w:shd w:val="clear" w:color="auto" w:fill="C4EFCE"/>
            <w:noWrap/>
            <w:vAlign w:val="center"/>
            <w:hideMark/>
          </w:tcPr>
          <w:p w14:paraId="43701371"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shd w:val="clear" w:color="auto" w:fill="C4EFCE"/>
            <w:noWrap/>
            <w:vAlign w:val="center"/>
            <w:hideMark/>
          </w:tcPr>
          <w:p w14:paraId="3DA6B091" w14:textId="1611D817" w:rsidR="003A6168" w:rsidRDefault="003A6168" w:rsidP="003A6168">
            <w:pPr>
              <w:pStyle w:val="P68B1DB1-Normal8"/>
              <w:spacing w:after="0" w:line="240" w:lineRule="auto"/>
              <w:jc w:val="center"/>
              <w:rPr>
                <w:rFonts w:eastAsia="Times New Roman" w:cs="Calibri"/>
                <w:noProof/>
              </w:rPr>
            </w:pPr>
            <w:r>
              <w:rPr>
                <w:noProof/>
              </w:rPr>
              <w:t>11,2</w:t>
            </w:r>
          </w:p>
        </w:tc>
        <w:tc>
          <w:tcPr>
            <w:tcW w:w="567" w:type="dxa"/>
            <w:shd w:val="clear" w:color="auto" w:fill="C4EFCE"/>
            <w:noWrap/>
            <w:vAlign w:val="center"/>
            <w:hideMark/>
          </w:tcPr>
          <w:p w14:paraId="3ED06E56" w14:textId="5BFF2E4D"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25B3E7" w14:textId="77777777" w:rsidR="003A6168" w:rsidRDefault="003A6168" w:rsidP="003A6168">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A739CE2" w14:textId="77777777" w:rsidR="003A6168" w:rsidRDefault="003A6168" w:rsidP="003A6168">
            <w:pPr>
              <w:pStyle w:val="P68B1DB1-Normal8"/>
              <w:spacing w:after="0" w:line="240" w:lineRule="auto"/>
              <w:jc w:val="both"/>
              <w:rPr>
                <w:rFonts w:eastAsia="Times New Roman" w:cs="Calibri"/>
                <w:noProof/>
              </w:rPr>
            </w:pPr>
            <w:r>
              <w:rPr>
                <w:noProof/>
              </w:rPr>
              <w:t>Új telepített villamosenergia-kapacitás telepítése szétszórt kis méretű, főként saját fogyasztású fotovoltaikus berendezésekbe történő beruházás révén, feltételezve, hogy a kedvezményezettek nem nyújtanak társfinanszírozást.</w:t>
            </w:r>
          </w:p>
        </w:tc>
      </w:tr>
    </w:tbl>
    <w:p w14:paraId="5A094B69"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76"/>
          <w:headerReference w:type="default" r:id="rId277"/>
          <w:footerReference w:type="even" r:id="rId278"/>
          <w:footerReference w:type="default" r:id="rId279"/>
          <w:headerReference w:type="first" r:id="rId280"/>
          <w:footerReference w:type="first" r:id="rId281"/>
          <w:pgSz w:w="16839" w:h="11907" w:orient="landscape"/>
          <w:pgMar w:top="1134" w:right="1134" w:bottom="1134" w:left="1134" w:header="567" w:footer="567" w:gutter="0"/>
          <w:cols w:space="720"/>
          <w:docGrid w:linePitch="360"/>
        </w:sectPr>
      </w:pPr>
    </w:p>
    <w:p w14:paraId="319EDBBA" w14:textId="6EA5870F" w:rsidR="00DC5EC6" w:rsidRDefault="003245A4">
      <w:pPr>
        <w:pStyle w:val="P68B1DB1-Normal3"/>
        <w:keepNext/>
        <w:spacing w:before="40" w:after="0" w:line="259" w:lineRule="auto"/>
        <w:ind w:left="130" w:firstLine="720"/>
        <w:jc w:val="both"/>
        <w:outlineLvl w:val="1"/>
        <w:rPr>
          <w:rFonts w:eastAsiaTheme="minorEastAsia" w:cs="Times New Roman"/>
          <w:smallCaps/>
          <w:noProof/>
        </w:rPr>
      </w:pPr>
      <w:r>
        <w:rPr>
          <w:noProof/>
        </w:rPr>
        <w:t>O.</w:t>
      </w:r>
      <w:r>
        <w:rPr>
          <w:smallCaps/>
          <w:noProof/>
        </w:rPr>
        <w:t xml:space="preserve"> 15. </w:t>
      </w:r>
      <w:r w:rsidR="00342815">
        <w:rPr>
          <w:noProof/>
        </w:rPr>
        <w:t>KOMPONENS</w:t>
      </w:r>
      <w:r>
        <w:rPr>
          <w:smallCaps/>
          <w:noProof/>
        </w:rPr>
        <w:t>:</w:t>
      </w:r>
      <w:r>
        <w:rPr>
          <w:noProof/>
        </w:rPr>
        <w:t xml:space="preserve"> Fenntartható mobilitás </w:t>
      </w:r>
    </w:p>
    <w:p w14:paraId="36604D95" w14:textId="77777777" w:rsidR="00DC5EC6" w:rsidRDefault="003245A4">
      <w:pPr>
        <w:pStyle w:val="P68B1DB1-Normal4"/>
        <w:spacing w:before="40" w:after="0" w:line="259" w:lineRule="auto"/>
        <w:jc w:val="both"/>
        <w:rPr>
          <w:rFonts w:eastAsiaTheme="minorEastAsia" w:cs="Times New Roman"/>
          <w:noProof/>
        </w:rPr>
      </w:pPr>
      <w:r>
        <w:rPr>
          <w:noProof/>
        </w:rPr>
        <w:t>A portugál helyreállítási és rezilienciaépítési terv e komponense a közlekedési ágazat előtt álló számos kihívással foglalkozik: az üvegházhatásúgáz- és szennyezőanyag-kibocsátás csökkentésének szükségessége, a magánautóktól való függőség csökkentése, valamint a jobb társadalmi kohézió biztosításának szükségessége a városi területeken.</w:t>
      </w:r>
    </w:p>
    <w:p w14:paraId="278D0CE5" w14:textId="77777777" w:rsidR="00DC5EC6" w:rsidRDefault="003245A4">
      <w:pPr>
        <w:pStyle w:val="P68B1DB1-Normal4"/>
        <w:spacing w:before="40" w:after="0" w:line="259" w:lineRule="auto"/>
        <w:jc w:val="both"/>
        <w:rPr>
          <w:rFonts w:eastAsiaTheme="minorEastAsia" w:cs="Times New Roman"/>
          <w:noProof/>
        </w:rPr>
      </w:pPr>
      <w:r>
        <w:rPr>
          <w:noProof/>
        </w:rPr>
        <w:t xml:space="preserve">Ennek az összetevőnek a célja a kibocsátások csökkentése és a tömegközlekedés javítása a hálózat bővítése, hozzáférhetőbbé tétele és a tömegközlekedés tervezési képességeinek megerősítése révén. Ez várhatóan több tömegközlekedési felhasználót eredményez, ösztönzi a személygépkocsiról a tömegközlekedésre való modális átállást, és előmozdítja a jobb közlekedésirányítási és -tervezési képességeket. E célból ez a komponens olyan reformokból és beruházásokból áll, amelyek előmozdítják a fenntartható tömegközlekedést a lisszaboni és a portói metró kibővítése, a lisszaboni könnyűvasút-rendszer, a portói gyorsforgalmi buszrendszer, valamint a tömegközlekedésben használt kibocsátásmentes buszok vásárlása révén. </w:t>
      </w:r>
    </w:p>
    <w:p w14:paraId="693476C5" w14:textId="77777777" w:rsidR="00DC5EC6" w:rsidRDefault="003245A4">
      <w:pPr>
        <w:pStyle w:val="P68B1DB1-Normal4"/>
        <w:spacing w:before="40" w:after="0" w:line="259" w:lineRule="auto"/>
        <w:jc w:val="both"/>
        <w:rPr>
          <w:rFonts w:eastAsiaTheme="minorEastAsia" w:cs="Times New Roman"/>
          <w:noProof/>
        </w:rPr>
      </w:pPr>
      <w:r>
        <w:rPr>
          <w:noProof/>
        </w:rPr>
        <w:t>A komponens hozzájárul a beruházásoknak a zöld átállásra való összpontosításáról szóló országspecifikus ajánlás (2020. évi 3. országspecifikus ajánlás) megvalósításához.</w:t>
      </w:r>
    </w:p>
    <w:p w14:paraId="1CBD4BA5" w14:textId="77777777" w:rsidR="00DC5EC6" w:rsidRDefault="003245A4">
      <w:pPr>
        <w:pStyle w:val="P68B1DB1-Normal4"/>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250BB7E2" w14:textId="77777777" w:rsidR="00DC5EC6" w:rsidRDefault="00DC5EC6">
      <w:pPr>
        <w:spacing w:before="40" w:after="0" w:line="259" w:lineRule="auto"/>
        <w:jc w:val="both"/>
        <w:rPr>
          <w:rFonts w:ascii="Times New Roman" w:eastAsiaTheme="minorEastAsia" w:hAnsi="Times New Roman" w:cs="Times New Roman"/>
          <w:noProof/>
          <w:sz w:val="24"/>
        </w:rPr>
      </w:pPr>
    </w:p>
    <w:p w14:paraId="4D9A22C1" w14:textId="77777777" w:rsidR="00DC5EC6" w:rsidRDefault="003245A4">
      <w:pPr>
        <w:pStyle w:val="P68B1DB1-Normal3"/>
        <w:spacing w:before="40" w:after="0" w:line="259" w:lineRule="auto"/>
        <w:ind w:left="130" w:firstLine="720"/>
        <w:jc w:val="both"/>
        <w:outlineLvl w:val="1"/>
        <w:rPr>
          <w:rFonts w:eastAsiaTheme="minorEastAsia" w:cs="Times New Roman"/>
          <w:i/>
          <w:noProof/>
        </w:rPr>
      </w:pPr>
      <w:r>
        <w:rPr>
          <w:noProof/>
        </w:rPr>
        <w:t xml:space="preserve">O.1. </w:t>
      </w:r>
      <w:r>
        <w:rPr>
          <w:noProof/>
        </w:rPr>
        <w:tab/>
        <w:t>Vissza nem térítendő pénzügyi támogatás – a reformok és beruházások ismertetése</w:t>
      </w:r>
    </w:p>
    <w:p w14:paraId="2D343529"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 xml:space="preserve">TC-r30 reform: A közlekedési ökoszisztéma reformja </w:t>
      </w:r>
    </w:p>
    <w:p w14:paraId="46E820B7" w14:textId="77777777" w:rsidR="00DC5EC6" w:rsidRDefault="003245A4">
      <w:pPr>
        <w:pStyle w:val="P68B1DB1-Normal4"/>
        <w:spacing w:before="40" w:after="0" w:line="259" w:lineRule="auto"/>
        <w:jc w:val="both"/>
        <w:rPr>
          <w:rFonts w:eastAsiaTheme="minorEastAsia" w:cs="Times New Roman"/>
          <w:noProof/>
        </w:rPr>
      </w:pPr>
      <w:r>
        <w:rPr>
          <w:noProof/>
        </w:rPr>
        <w:t>A reform célja a tömegközlekedési hatóságok, képességeik és készségeik megerősítése, és ezáltal az általuk irányított közlekedési rendszerek jobb tervezésére való képességük növelése, valamint a tömegközlekedés használatának fokozása. Előmozdítja a tömegközlekedési hatóságok kapacitásépítését többek között a közlekedési rendszerek tervezési és irányítási eszközeinek beszerzéséhez nyújtott támogatás, a tömegközlekedés használatát megkönnyítő új digitális megoldások, valamint a jegyértékesítési rendszerek korszerűsítésének és a műveletek nyomon követésének támogatása révén. A vasúti és közúti személyszállítási közszolgáltatásról, valamint az 1191/69/EGK és az 1107/70/EGK tanácsi rendelet hatályon kívül helyezéséről szóló, 2007. október 23-i 1370/2007/EK európai parlamenti és tanácsi rendelettel összhangban támogatja a közlekedésirányító hatóságokat a személyszállítási közszolgáltatásokra vonatkozó szerződések előkészítésében, megkötésében és végrehajtásában valamennyi nagyvárosi területen (AM) és a településközi közösségekben (CIM). Javítja a tömegközlekedéshez való hozzáférés feltételeit a csökkentett díjakra (programa</w:t>
      </w:r>
      <w:r>
        <w:rPr>
          <w:i/>
          <w:noProof/>
        </w:rPr>
        <w:t>de Apoio à Redução do Tarifário dos Transportes Públicos</w:t>
      </w:r>
      <w:r>
        <w:rPr>
          <w:noProof/>
        </w:rPr>
        <w:t>, PART), valamint a jobb és éghajlatbarátabb közlekedési szolgáltatásokra (programa</w:t>
      </w:r>
      <w:r>
        <w:rPr>
          <w:i/>
          <w:noProof/>
        </w:rPr>
        <w:t>de Apoio à Densificação e Reforço da Oferta de Transporte Público</w:t>
      </w:r>
      <w:r>
        <w:rPr>
          <w:noProof/>
        </w:rPr>
        <w:t>, PROTransP) vonatkozó programok, valamint a tömegközlekedést igénybe vevő személy javát szolgáló adóintézkedések – például a havi tömegközlekedési jegyek megvásárlásához kapcsolódó hozzáadottérték-adó levonása – végrehajtása révén.</w:t>
      </w:r>
    </w:p>
    <w:p w14:paraId="523BD682"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2023. december 31-ig be kell fejezni.</w:t>
      </w:r>
    </w:p>
    <w:p w14:paraId="5CA124BF" w14:textId="77777777" w:rsidR="00DC5EC6" w:rsidRDefault="003245A4">
      <w:pPr>
        <w:pStyle w:val="P68B1DB1-Normal5"/>
        <w:widowControl w:val="0"/>
        <w:spacing w:before="240" w:after="0" w:line="259" w:lineRule="auto"/>
        <w:ind w:left="851"/>
        <w:jc w:val="both"/>
        <w:outlineLvl w:val="2"/>
        <w:rPr>
          <w:rFonts w:eastAsiaTheme="minorEastAsia" w:cs="Times New Roman"/>
          <w:noProof/>
        </w:rPr>
      </w:pPr>
      <w:r>
        <w:rPr>
          <w:noProof/>
        </w:rPr>
        <w:t xml:space="preserve">Beruházás TC-C15–i01: A lisszaboni metróhálózat bővítése – Vörösvonal Alcântara </w:t>
      </w:r>
    </w:p>
    <w:p w14:paraId="2D0BA654" w14:textId="77777777" w:rsidR="00DC5EC6" w:rsidRDefault="003245A4">
      <w:pPr>
        <w:pStyle w:val="P68B1DB1-Normal4"/>
        <w:widowControl w:val="0"/>
        <w:spacing w:before="40" w:after="0" w:line="259" w:lineRule="auto"/>
        <w:jc w:val="both"/>
        <w:rPr>
          <w:rFonts w:eastAsiaTheme="minorEastAsia" w:cs="Times New Roman"/>
          <w:noProof/>
        </w:rPr>
      </w:pPr>
      <w:r>
        <w:rPr>
          <w:noProof/>
        </w:rPr>
        <w:t>Az intézkedés célja, hogy növelje a tömegközlekedés vonzerejét Lisszabonban, és a metróhálózat bővítése révén több felhasználót vonzzon.</w:t>
      </w:r>
    </w:p>
    <w:p w14:paraId="32F8B06B" w14:textId="77777777" w:rsidR="00DC5EC6" w:rsidRDefault="003245A4">
      <w:pPr>
        <w:pStyle w:val="P68B1DB1-Normal4"/>
        <w:widowControl w:val="0"/>
        <w:spacing w:before="40" w:after="0" w:line="259" w:lineRule="auto"/>
        <w:jc w:val="both"/>
        <w:rPr>
          <w:rFonts w:eastAsiaTheme="minorEastAsia" w:cs="Times New Roman"/>
          <w:noProof/>
        </w:rPr>
      </w:pPr>
      <w:r>
        <w:rPr>
          <w:noProof/>
        </w:rPr>
        <w:t xml:space="preserve">A beruházás a lisszaboni metróhálózat Alcântara történő kiterjesztéséből áll, amely 3,7 km-es és négy állomással egészíti ki a hálózatot. Ez az Alcântara-t olyan jelentős új közlekedési interfészté alakítja át, amely kapcsolatot teremt a metróhálózat és az elővárosi vasúti szolgáltatások között. </w:t>
      </w:r>
    </w:p>
    <w:p w14:paraId="0994D2CA" w14:textId="3517EDB9" w:rsidR="00DC5EC6" w:rsidRDefault="003245A4">
      <w:pPr>
        <w:pStyle w:val="P68B1DB1-Normal4"/>
        <w:widowControl w:val="0"/>
        <w:spacing w:before="40" w:after="0" w:line="259" w:lineRule="auto"/>
        <w:jc w:val="both"/>
        <w:rPr>
          <w:rFonts w:eastAsiaTheme="minorEastAsia" w:cs="Times New Roman"/>
          <w:noProof/>
        </w:rPr>
      </w:pPr>
      <w:r>
        <w:rPr>
          <w:noProof/>
        </w:rPr>
        <w:t>A beruházás végrehajtását 2026. június 30-ig be kell fejezni.</w:t>
      </w:r>
    </w:p>
    <w:p w14:paraId="2D6741A9"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TC-C15–i02: A portói metróhálózat bővítése – Casa da Música-Santo Ovídio</w:t>
      </w:r>
    </w:p>
    <w:p w14:paraId="6D4EC5A9"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hogy növelje a tömegközlekedés vonzerejét Portóban, és több felhasználót vonzzon. Célja a metróhálózat területi lefedettségének bővítése és a Porto-Vila Nova de Gaia tengely torlódási problémáinak kezelése.</w:t>
      </w:r>
    </w:p>
    <w:p w14:paraId="0201D95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beruházás a portói metróhálózat bővítéséből áll egy új, 6,74 km-es kétvágányú vonal megépítésével, amely 8 új állomást foglal magában a portói Boavista/Casa da Música között, valamint egy új állomást Santo Ovídioban (az Amarela vonallal összekötő vonallal) Vila Nova de Gaiában. </w:t>
      </w:r>
    </w:p>
    <w:p w14:paraId="1BFC66BB" w14:textId="4078E263"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3600650C" w14:textId="0045A331"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Beruházás TC-C15–i04: Buszgyors átutazás Boavista – Império </w:t>
      </w:r>
    </w:p>
    <w:p w14:paraId="483142D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hogy növelje a tömegközlekedés vonzerejét Portóban, és több felhasználót vonzzon. Célja az üvegházhatásúgáz- és szennyezőanyag-kibocsátás csökkentése, valamint a közutakról való modális váltás ösztönzése. </w:t>
      </w:r>
    </w:p>
    <w:p w14:paraId="24DD3461" w14:textId="2E7E71C1"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portói Praça do Império és Praça Mouzinho de Albuquerque közötti, 3,8 km-es (elsősorban autóbuszoknak szánt) autóbuszos gyorsforgalmi rendszer létrehozásából áll, amely összeköttetést biztosít a portói metróhálózattal. A buszgyors tranzitrendszert kibocsátásmentes (elektromos vagy hidrogénüzemű) buszokkal kell működtetni. </w:t>
      </w:r>
    </w:p>
    <w:p w14:paraId="552F28A8" w14:textId="54BD3E6B"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2024. szeptember 30-ig be kell fejezni.</w:t>
      </w:r>
    </w:p>
    <w:p w14:paraId="0D37907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TC-C15–i05: A tömegközlekedés dekarbonizációja</w:t>
      </w:r>
    </w:p>
    <w:p w14:paraId="27AD2FF8"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 portugál tömegközlekedési flotta megújítása és szén-dioxid-mentesítése kibocsátásmentes buszok biztosítása révén. </w:t>
      </w:r>
    </w:p>
    <w:p w14:paraId="3A160CAB" w14:textId="7B1069C1" w:rsidR="00DC5EC6" w:rsidRDefault="003245A4">
      <w:pPr>
        <w:pStyle w:val="P68B1DB1-Normal4"/>
        <w:keepNext/>
        <w:spacing w:before="40" w:after="0" w:line="259" w:lineRule="auto"/>
        <w:jc w:val="both"/>
        <w:rPr>
          <w:rFonts w:eastAsiaTheme="minorEastAsia" w:cs="Times New Roman"/>
          <w:noProof/>
        </w:rPr>
      </w:pPr>
      <w:r>
        <w:rPr>
          <w:noProof/>
        </w:rPr>
        <w:t xml:space="preserve">A beruházás 145 kibocsátásmentes (elektromos vagy hidrogénüzemű) autóbusz beszerzéséhez nyújtott pénzügyi támogatásból áll a tömegközlekedés és az üzemeltetésükhöz szükséges töltőinfrastruktúra számára. A támogatást a kibocsátásmentes (elektromos vagy hidrogénüzemű) busz és az azzal egyenértékű dízelüzemű jármű (EURO VI) beszerzési költségei közötti különbözet vissza nem térítendő támogatás formájában kell nyújtani. Az autóbuszokat a lisszaboni és a portói nagyvárosi területeken közszolgáltatási szerződések keretében történő személyszállítási közszolgáltatás nyújtására kell használni. </w:t>
      </w:r>
    </w:p>
    <w:p w14:paraId="30E9508A"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2023. december 31-ig be kell fejezni.</w:t>
      </w:r>
    </w:p>
    <w:p w14:paraId="3EA4262B" w14:textId="17791992" w:rsidR="00DC5EC6" w:rsidRDefault="003245A4">
      <w:pPr>
        <w:pStyle w:val="P68B1DB1-Normal5"/>
        <w:keepNext/>
        <w:spacing w:before="240" w:after="0" w:line="259" w:lineRule="auto"/>
        <w:ind w:left="851"/>
        <w:jc w:val="both"/>
        <w:outlineLvl w:val="2"/>
        <w:rPr>
          <w:rFonts w:eastAsiaTheme="minorEastAsia" w:cs="Times New Roman"/>
          <w:noProof/>
        </w:rPr>
      </w:pPr>
      <w:bookmarkStart w:id="28" w:name="_Toc137472463"/>
      <w:r>
        <w:rPr>
          <w:noProof/>
        </w:rPr>
        <w:t>Beruházás TC-C15–i06: A vasúti közlekedés digitalizálása</w:t>
      </w:r>
      <w:bookmarkEnd w:id="28"/>
    </w:p>
    <w:p w14:paraId="3A592227" w14:textId="2C1D33A4" w:rsidR="00DC5EC6" w:rsidRDefault="003245A4">
      <w:pPr>
        <w:pStyle w:val="P68B1DB1-Normal4"/>
        <w:spacing w:before="40" w:after="0" w:line="259" w:lineRule="auto"/>
        <w:jc w:val="both"/>
        <w:rPr>
          <w:rFonts w:cs="Times New Roman"/>
          <w:noProof/>
        </w:rPr>
      </w:pPr>
      <w:r>
        <w:rPr>
          <w:noProof/>
        </w:rPr>
        <w:t>E beruházás célja, hogy az elektronikus jelzőrendszerek cseréje révén a Nemzeti Vasúti Hálózat északi vonalát kompatibilissé tegye az új nagysebességű vasútvonallal (LAV). Ez várhatóan javítani fogja a RFN és az egységes európai vasúti térség közötti interoperabilitást.</w:t>
      </w:r>
    </w:p>
    <w:p w14:paraId="0880068A" w14:textId="3E3F8752" w:rsidR="00DC5EC6" w:rsidRDefault="003245A4">
      <w:pPr>
        <w:pStyle w:val="P68B1DB1-Normal4"/>
        <w:spacing w:before="40" w:after="0" w:line="259" w:lineRule="auto"/>
        <w:jc w:val="both"/>
        <w:rPr>
          <w:rFonts w:cs="Times New Roman"/>
          <w:noProof/>
        </w:rPr>
      </w:pPr>
      <w:r>
        <w:rPr>
          <w:noProof/>
        </w:rPr>
        <w:t>Ez a beruházás a Campolide-Cintura, Oriente, Alverca és Azambuja állomások elektronikus jelzőrendszereinek cseréjéből áll, amelyek 20 km hosszú vasútvonalat fednek le a lisszaboni nagyvárosi területen.</w:t>
      </w:r>
    </w:p>
    <w:p w14:paraId="3287A3D7" w14:textId="77777777"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39B0B8B1"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62B6A681" w14:textId="65744CBC"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82"/>
          <w:headerReference w:type="default" r:id="rId283"/>
          <w:footerReference w:type="even" r:id="rId284"/>
          <w:footerReference w:type="default" r:id="rId285"/>
          <w:headerReference w:type="first" r:id="rId286"/>
          <w:footerReference w:type="first" r:id="rId287"/>
          <w:pgSz w:w="11907" w:h="16839"/>
          <w:pgMar w:top="1134" w:right="1134" w:bottom="1134" w:left="1134" w:header="567" w:footer="567" w:gutter="0"/>
          <w:cols w:space="720"/>
          <w:docGrid w:linePitch="360"/>
        </w:sectPr>
      </w:pPr>
    </w:p>
    <w:p w14:paraId="141E7B95"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O.2. </w:t>
      </w:r>
      <w:r>
        <w:rPr>
          <w:noProof/>
        </w:rPr>
        <w:tab/>
        <w:t>Vissza nem térítendő pénzügyi támogatás – a végrehajtáshoz és a nyomon követéshez kapcsolódó mérföldkövek, célok, mutatók és ütemterv</w:t>
      </w:r>
    </w:p>
    <w:p w14:paraId="7077B900"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DC5EC6" w14:paraId="7CC6D94E"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C0125D8"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315983A"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E7DAADC" w14:textId="22191D45"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6107FD4"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204D3E9"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3E428110"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5E208D"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E137D9D"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8581FC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8B8D7A"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F832C"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180096" w14:textId="61D5DCDC" w:rsidR="00DC5EC6" w:rsidRDefault="00DC5EC6">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DB268C" w14:textId="77777777" w:rsidR="00DC5EC6" w:rsidRDefault="00DC5EC6">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2E62C192" w14:textId="77777777" w:rsidR="00DC5EC6" w:rsidRDefault="00DC5EC6">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DA8C97F"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F46BD3D"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7D6BE88"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4581423" w14:textId="5F9B8832" w:rsidR="00DC5EC6" w:rsidRDefault="00C009B1">
            <w:pPr>
              <w:pStyle w:val="P68B1DB1-Normal6"/>
              <w:spacing w:after="0" w:line="240" w:lineRule="auto"/>
              <w:jc w:val="center"/>
              <w:rPr>
                <w:rFonts w:eastAsia="Times New Roman" w:cs="Times New Roman"/>
                <w:noProof/>
              </w:rPr>
            </w:pPr>
            <w:r>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2096D69" w14:textId="77777777" w:rsidR="00DC5EC6" w:rsidRDefault="003245A4">
            <w:pPr>
              <w:pStyle w:val="P68B1DB1-Normal6"/>
              <w:spacing w:after="0" w:line="240" w:lineRule="auto"/>
              <w:jc w:val="center"/>
              <w:rPr>
                <w:rFonts w:eastAsia="Times New Roman" w:cs="Times New Roman"/>
                <w:noProof/>
              </w:rPr>
            </w:pPr>
            <w:r>
              <w:rPr>
                <w:noProof/>
              </w:rPr>
              <w:t>Éve</w:t>
            </w:r>
          </w:p>
        </w:tc>
        <w:tc>
          <w:tcPr>
            <w:tcW w:w="4395" w:type="dxa"/>
            <w:vMerge/>
            <w:tcBorders>
              <w:top w:val="single" w:sz="4" w:space="0" w:color="auto"/>
              <w:bottom w:val="single" w:sz="4" w:space="0" w:color="auto"/>
              <w:right w:val="single" w:sz="4" w:space="0" w:color="auto"/>
            </w:tcBorders>
            <w:vAlign w:val="center"/>
            <w:hideMark/>
          </w:tcPr>
          <w:p w14:paraId="4EB74829" w14:textId="77777777" w:rsidR="00DC5EC6" w:rsidRDefault="00DC5EC6">
            <w:pPr>
              <w:spacing w:after="0" w:line="240" w:lineRule="auto"/>
              <w:rPr>
                <w:rFonts w:ascii="Times New Roman" w:eastAsia="Times New Roman" w:hAnsi="Times New Roman" w:cs="Times New Roman"/>
                <w:b/>
                <w:noProof/>
                <w:sz w:val="18"/>
              </w:rPr>
            </w:pPr>
          </w:p>
        </w:tc>
      </w:tr>
      <w:tr w:rsidR="003A6168" w14:paraId="50AD3AE2"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7C77800" w14:textId="5F17094A" w:rsidR="003A6168" w:rsidRDefault="003A6168" w:rsidP="003A6168">
            <w:pPr>
              <w:pStyle w:val="P68B1DB1-Normal7"/>
              <w:spacing w:after="0" w:line="240" w:lineRule="auto"/>
              <w:jc w:val="center"/>
              <w:rPr>
                <w:rFonts w:eastAsia="Times New Roman" w:cs="Calibri"/>
                <w:noProof/>
              </w:rPr>
            </w:pPr>
            <w:r>
              <w:rPr>
                <w:noProof/>
              </w:rPr>
              <w:t>15.1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534AA6" w14:textId="77777777" w:rsidR="003A6168" w:rsidRDefault="003A6168" w:rsidP="003A6168">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863BA6A"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4F354DE" w14:textId="77777777" w:rsidR="003A6168" w:rsidRDefault="003A6168" w:rsidP="003A6168">
            <w:pPr>
              <w:pStyle w:val="P68B1DB1-Normal8"/>
              <w:spacing w:after="0" w:line="240" w:lineRule="auto"/>
              <w:jc w:val="center"/>
              <w:rPr>
                <w:rFonts w:eastAsia="Times New Roman" w:cs="Calibri"/>
                <w:noProof/>
              </w:rPr>
            </w:pPr>
            <w:r>
              <w:rPr>
                <w:noProof/>
              </w:rPr>
              <w:t>A lisszaboni metróhálózat bővítésére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0B92C0" w14:textId="77777777" w:rsidR="003A6168" w:rsidRDefault="003A6168" w:rsidP="003A6168">
            <w:pPr>
              <w:pStyle w:val="P68B1DB1-Normal8"/>
              <w:spacing w:after="0" w:line="240" w:lineRule="auto"/>
              <w:jc w:val="center"/>
              <w:rPr>
                <w:rFonts w:eastAsia="Times New Roman" w:cs="Calibri"/>
                <w:noProof/>
              </w:rPr>
            </w:pPr>
            <w:r>
              <w:rPr>
                <w:noProof/>
              </w:rPr>
              <w:t>A lisszaboni metróhálózat bővítésére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09C23E" w14:textId="77777777" w:rsidR="003A6168" w:rsidRDefault="003A6168" w:rsidP="003A6168">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6D8CFA" w14:textId="77777777" w:rsidR="003A6168" w:rsidRDefault="003A6168" w:rsidP="003A6168">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FC64576" w14:textId="77777777" w:rsidR="003A6168" w:rsidRDefault="003A6168" w:rsidP="003A6168">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4639643" w14:textId="63A1B748"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B884C5F" w14:textId="48A8EC3E"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6E6D604" w14:textId="77777777" w:rsidR="003A6168" w:rsidRDefault="003A6168" w:rsidP="003A6168">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 lisszaboni metróhálózat (Red Line to Alcântara) bővítése. </w:t>
            </w:r>
          </w:p>
        </w:tc>
      </w:tr>
      <w:tr w:rsidR="00DC5EC6" w14:paraId="40BA7885"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0B8CB5E" w14:textId="0618E02F" w:rsidR="00DC5EC6" w:rsidRDefault="003245A4">
            <w:pPr>
              <w:pStyle w:val="P68B1DB1-Normal7"/>
              <w:spacing w:after="0" w:line="240" w:lineRule="auto"/>
              <w:jc w:val="center"/>
              <w:rPr>
                <w:rFonts w:eastAsia="Times New Roman" w:cs="Calibri"/>
                <w:noProof/>
              </w:rPr>
            </w:pPr>
            <w:r>
              <w:rPr>
                <w:noProof/>
              </w:rPr>
              <w:t>15.2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5E91C3" w14:textId="77777777" w:rsidR="00DC5EC6" w:rsidRDefault="003245A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30AE406"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3DA6929" w14:textId="77777777" w:rsidR="00DC5EC6" w:rsidRDefault="003245A4">
            <w:pPr>
              <w:pStyle w:val="P68B1DB1-Normal8"/>
              <w:spacing w:after="0" w:line="240" w:lineRule="auto"/>
              <w:jc w:val="center"/>
              <w:rPr>
                <w:rFonts w:eastAsia="Times New Roman" w:cs="Calibri"/>
                <w:noProof/>
              </w:rPr>
            </w:pPr>
            <w:r>
              <w:rPr>
                <w:noProof/>
              </w:rPr>
              <w:t xml:space="preserve">Jelentés a lisszaboni metróhálózat bővítéséről </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D011F76" w14:textId="70D73D4F" w:rsidR="00DC5EC6" w:rsidRDefault="003245A4">
            <w:pPr>
              <w:pStyle w:val="P68B1DB1-Normal8"/>
              <w:spacing w:after="0" w:line="240" w:lineRule="auto"/>
              <w:jc w:val="center"/>
              <w:rPr>
                <w:rFonts w:eastAsia="Times New Roman" w:cs="Calibri"/>
                <w:noProof/>
              </w:rPr>
            </w:pPr>
            <w:r>
              <w:rPr>
                <w:noProof/>
              </w:rPr>
              <w:t>Előrehaladási jelentés arról, hogy a munkálatok az ütemterv szerint haladnak</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F20F358"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E244C04"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84EF25"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D75967" w14:textId="1CBB668D"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78D7ABE" w14:textId="1166CC74" w:rsidR="00DC5EC6" w:rsidRDefault="003245A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AA98F4" w14:textId="30667D2A" w:rsidR="00DC5EC6" w:rsidRDefault="003245A4">
            <w:pPr>
              <w:pStyle w:val="P68B1DB1-Normal8"/>
              <w:spacing w:after="0" w:line="240" w:lineRule="auto"/>
              <w:jc w:val="both"/>
              <w:rPr>
                <w:rFonts w:eastAsia="Times New Roman" w:cs="Calibri"/>
                <w:noProof/>
              </w:rPr>
            </w:pPr>
            <w:r>
              <w:rPr>
                <w:noProof/>
              </w:rPr>
              <w:t>A lisszaboni metróhálózat bővítésével kapcsolatos munkálatok alakulását és a megvalósításuk ütemtervének való megfelelést a munkálatok végrehajtása során elért haladásról szóló rendszeres jelentésekkel kell mérni. Magában foglalja a munka tervezett ütemterv szerinti alakulásának értékelését, beleértve a már befejezett tevékenységek azonosítását, az elvégzendő tevékenységek meghatározását, valamint a javasolt végrehajtási határidők kockázatelemzését, szükség esetén kockázatcsökkentési és vészhelyzeti tervvel együtt annak biztosítása érdekében, hogy a szerződést a javasolt határidőkön belül teljesítsék. A mérföldkő akkor teljesül, ha az előrehaladási jelentés megállapítja, hogy a mérföldkövek idején a munkálatok az ütemterv szerint haladnak.</w:t>
            </w:r>
          </w:p>
        </w:tc>
      </w:tr>
      <w:tr w:rsidR="00DC5EC6" w14:paraId="21365F71"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AE62C7" w14:textId="77777777" w:rsidR="00DC5EC6" w:rsidRDefault="003245A4">
            <w:pPr>
              <w:pStyle w:val="P68B1DB1-Normal7"/>
              <w:spacing w:after="0" w:line="240" w:lineRule="auto"/>
              <w:jc w:val="center"/>
              <w:rPr>
                <w:rFonts w:eastAsia="Times New Roman" w:cs="Calibri"/>
                <w:noProof/>
              </w:rPr>
            </w:pPr>
            <w:r>
              <w:rPr>
                <w:noProof/>
              </w:rPr>
              <w:t>15.3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104BAD" w14:textId="77777777" w:rsidR="00DC5EC6" w:rsidRDefault="003245A4">
            <w:pPr>
              <w:pStyle w:val="P68B1DB1-Normal8"/>
              <w:spacing w:after="0" w:line="240" w:lineRule="auto"/>
              <w:jc w:val="center"/>
              <w:rPr>
                <w:rFonts w:eastAsia="Times New Roman" w:cs="Calibri"/>
                <w:noProof/>
              </w:rPr>
            </w:pPr>
            <w:r>
              <w:rPr>
                <w:noProof/>
              </w:rPr>
              <w:t>TC-C15-i01</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1340E7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51B537B" w14:textId="77777777" w:rsidR="00DC5EC6" w:rsidRDefault="003245A4">
            <w:pPr>
              <w:pStyle w:val="P68B1DB1-Normal8"/>
              <w:spacing w:after="0" w:line="240" w:lineRule="auto"/>
              <w:jc w:val="center"/>
              <w:rPr>
                <w:rFonts w:eastAsia="Times New Roman" w:cs="Calibri"/>
                <w:noProof/>
              </w:rPr>
            </w:pPr>
            <w:r>
              <w:rPr>
                <w:noProof/>
              </w:rPr>
              <w:t>A lisszaboni metróhálózat bővítése befejeződött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45E5945" w14:textId="77777777" w:rsidR="00DC5EC6" w:rsidRDefault="00DC5EC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2937FC3"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99318E"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0CFF" w14:textId="77777777" w:rsidR="00DC5EC6" w:rsidRDefault="003245A4">
            <w:pPr>
              <w:pStyle w:val="P68B1DB1-Normal8"/>
              <w:spacing w:after="0" w:line="240" w:lineRule="auto"/>
              <w:jc w:val="center"/>
              <w:rPr>
                <w:rFonts w:eastAsia="Times New Roman" w:cs="Calibri"/>
                <w:noProof/>
              </w:rPr>
            </w:pPr>
            <w:r>
              <w:rPr>
                <w:noProof/>
              </w:rPr>
              <w:t>3,7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726894" w14:textId="34FEDDD1" w:rsidR="00DC5EC6" w:rsidRDefault="003A6168">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722DCB8" w14:textId="2F31A42F" w:rsidR="00DC5EC6" w:rsidRDefault="003245A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7A4859" w14:textId="77777777" w:rsidR="00DC5EC6" w:rsidRDefault="003245A4">
            <w:pPr>
              <w:pStyle w:val="P68B1DB1-Normal8"/>
              <w:spacing w:after="0" w:line="240" w:lineRule="auto"/>
              <w:jc w:val="both"/>
              <w:rPr>
                <w:rFonts w:eastAsia="Times New Roman" w:cs="Calibri"/>
                <w:noProof/>
              </w:rPr>
            </w:pPr>
            <w:r>
              <w:rPr>
                <w:noProof/>
              </w:rPr>
              <w:t>A lisszaboni metróhálózat bővítésére irányuló építési munkálatok hossza (3,3 km alagútban és 0,4 km viaduktában) a Vörös vonal Alcântara felé történő kiterjesztésével. A meghosszabbított metróvonal készen áll a tervezett szállítási szolgáltatások azonnali üzemeltetésére.</w:t>
            </w:r>
          </w:p>
        </w:tc>
      </w:tr>
      <w:tr w:rsidR="003A6168" w14:paraId="0A9DA7D4" w14:textId="77777777">
        <w:trPr>
          <w:trHeight w:val="85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DF8351D" w14:textId="77777777" w:rsidR="003A6168" w:rsidRDefault="003A6168" w:rsidP="003A6168">
            <w:pPr>
              <w:pStyle w:val="P68B1DB1-Normal7"/>
              <w:spacing w:after="0" w:line="240" w:lineRule="auto"/>
              <w:jc w:val="center"/>
              <w:rPr>
                <w:rFonts w:eastAsia="Times New Roman" w:cs="Calibri"/>
                <w:noProof/>
              </w:rPr>
            </w:pPr>
            <w:r>
              <w:rPr>
                <w:noProof/>
              </w:rPr>
              <w:t>15.4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61A62D0" w14:textId="77777777" w:rsidR="003A6168" w:rsidRDefault="003A6168" w:rsidP="003A6168">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D4DB820"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99D997C" w14:textId="77777777" w:rsidR="003A6168" w:rsidRDefault="003A6168" w:rsidP="003A6168">
            <w:pPr>
              <w:pStyle w:val="P68B1DB1-Normal8"/>
              <w:spacing w:after="0" w:line="240" w:lineRule="auto"/>
              <w:jc w:val="center"/>
              <w:rPr>
                <w:rFonts w:eastAsia="Times New Roman" w:cs="Calibri"/>
                <w:noProof/>
              </w:rPr>
            </w:pPr>
            <w:r>
              <w:rPr>
                <w:noProof/>
              </w:rPr>
              <w:t>A Porto metróhálózat bővítésére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161F9D" w14:textId="77777777" w:rsidR="003A6168" w:rsidRDefault="003A6168" w:rsidP="003A6168">
            <w:pPr>
              <w:pStyle w:val="P68B1DB1-Normal8"/>
              <w:spacing w:after="0" w:line="240" w:lineRule="auto"/>
              <w:jc w:val="center"/>
              <w:rPr>
                <w:rFonts w:eastAsia="Times New Roman" w:cs="Calibri"/>
                <w:noProof/>
              </w:rPr>
            </w:pPr>
            <w:r>
              <w:rPr>
                <w:noProof/>
              </w:rPr>
              <w:t>A Porto metróhálózat bővítésére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C77D4A" w14:textId="77777777" w:rsidR="003A6168" w:rsidRDefault="003A6168" w:rsidP="003A6168">
            <w:pPr>
              <w:pStyle w:val="P68B1DB1-Normal8"/>
              <w:spacing w:after="0" w:line="240" w:lineRule="auto"/>
              <w:jc w:val="center"/>
              <w:rPr>
                <w:rFonts w:eastAsia="Times New Roman" w:cs="Calibri"/>
                <w:noProof/>
              </w:rPr>
            </w:pPr>
            <w:r>
              <w:rPr>
                <w:noProof/>
              </w:rPr>
              <w:t>–</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1E3CA6" w14:textId="77777777" w:rsidR="003A6168" w:rsidRDefault="003A6168" w:rsidP="003A6168">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C09920F" w14:textId="77777777" w:rsidR="003A6168" w:rsidRDefault="003A6168" w:rsidP="003A6168">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6352D8E" w14:textId="2DC14D75"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216DD7"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8EFE" w14:textId="77777777" w:rsidR="003A6168" w:rsidRDefault="003A6168" w:rsidP="003A6168">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 portói metróhálózat (Casa da Música-Santo Ovídio) bővítése. </w:t>
            </w:r>
          </w:p>
        </w:tc>
      </w:tr>
      <w:tr w:rsidR="003A6168" w14:paraId="46A67267" w14:textId="77777777">
        <w:trPr>
          <w:trHeight w:val="148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D3C3147" w14:textId="45F98DA8" w:rsidR="003A6168" w:rsidRDefault="003A6168" w:rsidP="003A6168">
            <w:pPr>
              <w:pStyle w:val="P68B1DB1-Normal7"/>
              <w:spacing w:after="0" w:line="240" w:lineRule="auto"/>
              <w:jc w:val="center"/>
              <w:rPr>
                <w:rFonts w:eastAsia="Times New Roman" w:cs="Calibri"/>
                <w:noProof/>
              </w:rPr>
            </w:pPr>
            <w:r>
              <w:rPr>
                <w:noProof/>
              </w:rPr>
              <w:t>15.5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93B52A6" w14:textId="77777777" w:rsidR="003A6168" w:rsidRDefault="003A6168" w:rsidP="003A6168">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3DE8CB0" w14:textId="77777777" w:rsidR="003A6168" w:rsidRDefault="003A6168" w:rsidP="003A6168">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C8025F" w14:textId="77777777" w:rsidR="003A6168" w:rsidRDefault="003A6168" w:rsidP="003A6168">
            <w:pPr>
              <w:pStyle w:val="P68B1DB1-Normal8"/>
              <w:spacing w:after="0" w:line="240" w:lineRule="auto"/>
              <w:jc w:val="center"/>
              <w:rPr>
                <w:rFonts w:eastAsia="Times New Roman" w:cs="Calibri"/>
                <w:noProof/>
              </w:rPr>
            </w:pPr>
            <w:r>
              <w:rPr>
                <w:noProof/>
              </w:rPr>
              <w:t>Jelentés a portói metróhálózat bővítéséről</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0FC676" w14:textId="56A25A06" w:rsidR="003A6168" w:rsidRDefault="003A6168" w:rsidP="003A6168">
            <w:pPr>
              <w:pStyle w:val="P68B1DB1-Normal8"/>
              <w:spacing w:after="0" w:line="240" w:lineRule="auto"/>
              <w:jc w:val="center"/>
              <w:rPr>
                <w:rFonts w:eastAsia="Times New Roman" w:cs="Calibri"/>
                <w:noProof/>
              </w:rPr>
            </w:pPr>
            <w:r>
              <w:rPr>
                <w:noProof/>
              </w:rPr>
              <w:t>Előrehaladási jelentés arról, hogy a munkálatok az ütemterv szerint haladnak</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3D6F6F" w14:textId="77777777" w:rsidR="003A6168" w:rsidRDefault="003A6168" w:rsidP="003A6168">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E8FBF8" w14:textId="77777777" w:rsidR="003A6168" w:rsidRDefault="003A6168" w:rsidP="003A6168">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1742AA" w14:textId="77777777" w:rsidR="003A6168" w:rsidRDefault="003A6168" w:rsidP="003A6168">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A657169" w14:textId="794E3EB3"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0BCBA83" w14:textId="77777777" w:rsidR="003A6168" w:rsidRDefault="003A6168" w:rsidP="003A6168">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C069C" w14:textId="2D1BCCAB" w:rsidR="003A6168" w:rsidRDefault="003A6168" w:rsidP="003A6168">
            <w:pPr>
              <w:pStyle w:val="P68B1DB1-Normal8"/>
              <w:spacing w:after="0" w:line="240" w:lineRule="auto"/>
              <w:jc w:val="both"/>
              <w:rPr>
                <w:rFonts w:eastAsia="Times New Roman" w:cs="Calibri"/>
                <w:noProof/>
              </w:rPr>
            </w:pPr>
            <w:r>
              <w:rPr>
                <w:noProof/>
              </w:rPr>
              <w:t>A portói metróhálózat bővítésével kapcsolatos munkálatok alakulását és a kivitelezésük ütemtervének való megfelelést a munkálatok végrehajtása során elért haladásról szóló rendszeres jelentésekkel kell mérni. Magában foglalja a munka tervezett ütemterv szerinti alakulásának értékelését, beleértve a már befejezett tevékenységek azonosítását, az elvégzendő tevékenységek meghatározását, valamint a javasolt végrehajtási határidők kockázatelemzését, szükség esetén kockázatcsökkentési és vészhelyzeti tervvel együtt annak biztosítása érdekében, hogy a szerződést a javasolt határidőkön belül teljesítsék. A mérföldkő akkor teljesül, ha az előrehaladási jelentés megállapítja, hogy a mérföldkövek idején a munkálatok az ütemterv szerint haladnak.</w:t>
            </w:r>
          </w:p>
        </w:tc>
      </w:tr>
      <w:tr w:rsidR="00DC5EC6" w14:paraId="69619D3F"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A7FAA43" w14:textId="77777777" w:rsidR="00DC5EC6" w:rsidRDefault="003245A4">
            <w:pPr>
              <w:pStyle w:val="P68B1DB1-Normal7"/>
              <w:spacing w:after="0" w:line="240" w:lineRule="auto"/>
              <w:jc w:val="center"/>
              <w:rPr>
                <w:rFonts w:eastAsia="Times New Roman" w:cs="Calibri"/>
                <w:noProof/>
              </w:rPr>
            </w:pPr>
            <w:r>
              <w:rPr>
                <w:noProof/>
              </w:rPr>
              <w:t>15.6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B3CC2C" w14:textId="77777777" w:rsidR="00DC5EC6" w:rsidRDefault="003245A4">
            <w:pPr>
              <w:pStyle w:val="P68B1DB1-Normal8"/>
              <w:spacing w:after="0" w:line="240" w:lineRule="auto"/>
              <w:jc w:val="center"/>
              <w:rPr>
                <w:rFonts w:eastAsia="Times New Roman" w:cs="Calibri"/>
                <w:noProof/>
              </w:rPr>
            </w:pPr>
            <w:r>
              <w:rPr>
                <w:noProof/>
              </w:rPr>
              <w:t>TC-C15-i02</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AC62F7"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A5D734C" w14:textId="77777777" w:rsidR="00DC5EC6" w:rsidRDefault="003245A4">
            <w:pPr>
              <w:pStyle w:val="P68B1DB1-Normal8"/>
              <w:spacing w:after="0" w:line="240" w:lineRule="auto"/>
              <w:jc w:val="center"/>
              <w:rPr>
                <w:rFonts w:eastAsia="Times New Roman" w:cs="Calibri"/>
                <w:noProof/>
              </w:rPr>
            </w:pPr>
            <w:r>
              <w:rPr>
                <w:noProof/>
              </w:rPr>
              <w:t>A portói metróhálózat bővítése befejeződött</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1D1514" w14:textId="77777777" w:rsidR="00DC5EC6" w:rsidRDefault="00DC5EC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BEA4BD"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C2C5E4"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32EB6DC" w14:textId="77777777" w:rsidR="00DC5EC6" w:rsidRDefault="003245A4">
            <w:pPr>
              <w:pStyle w:val="P68B1DB1-Normal8"/>
              <w:spacing w:after="0" w:line="240" w:lineRule="auto"/>
              <w:jc w:val="center"/>
              <w:rPr>
                <w:rFonts w:eastAsia="Times New Roman" w:cs="Calibri"/>
                <w:noProof/>
              </w:rPr>
            </w:pPr>
            <w:r>
              <w:rPr>
                <w:noProof/>
              </w:rPr>
              <w:t>6,7</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229F9A8" w14:textId="00D521CA" w:rsidR="00DC5EC6" w:rsidRDefault="003A6168">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F5B4C70" w14:textId="54A1DD92" w:rsidR="00DC5EC6" w:rsidRDefault="003245A4">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C905D8D" w14:textId="77777777" w:rsidR="00DC5EC6" w:rsidRDefault="003245A4">
            <w:pPr>
              <w:pStyle w:val="P68B1DB1-Normal8"/>
              <w:spacing w:after="0" w:line="240" w:lineRule="auto"/>
              <w:jc w:val="both"/>
              <w:rPr>
                <w:rFonts w:eastAsia="Times New Roman" w:cs="Calibri"/>
                <w:noProof/>
              </w:rPr>
            </w:pPr>
            <w:r>
              <w:rPr>
                <w:noProof/>
              </w:rPr>
              <w:t xml:space="preserve">A Porto metróhálózat bővítéséhez a Casa da Música (Porto) és a Santo Ovídio (Vila Nova de Gaia) közötti új vonal megépítésével megvalósított építési munkálatok hossza. Az új metróvonal készen áll a tervezett szállítási szolgáltatások azonnali üzemeltetésére. </w:t>
            </w:r>
          </w:p>
        </w:tc>
      </w:tr>
      <w:tr w:rsidR="00DC5EC6" w14:paraId="79B5E05D" w14:textId="77777777">
        <w:trPr>
          <w:trHeight w:val="2398"/>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92A7FBF" w14:textId="77777777" w:rsidR="00DC5EC6" w:rsidRDefault="003245A4">
            <w:pPr>
              <w:pStyle w:val="P68B1DB1-Normal7"/>
              <w:spacing w:after="0" w:line="240" w:lineRule="auto"/>
              <w:jc w:val="center"/>
              <w:rPr>
                <w:rFonts w:eastAsia="Times New Roman" w:cs="Calibri"/>
                <w:noProof/>
              </w:rPr>
            </w:pPr>
            <w:r>
              <w:rPr>
                <w:noProof/>
              </w:rPr>
              <w:t>15.10</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E7379D6" w14:textId="77777777" w:rsidR="00DC5EC6" w:rsidRDefault="003245A4">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F15CA19"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1F72C9A" w14:textId="77777777" w:rsidR="00DC5EC6" w:rsidRDefault="003245A4">
            <w:pPr>
              <w:pStyle w:val="P68B1DB1-Normal8"/>
              <w:spacing w:after="0" w:line="240" w:lineRule="auto"/>
              <w:jc w:val="center"/>
              <w:rPr>
                <w:rFonts w:eastAsia="Times New Roman" w:cs="Calibri"/>
                <w:noProof/>
              </w:rPr>
            </w:pPr>
            <w:r>
              <w:rPr>
                <w:noProof/>
              </w:rPr>
              <w:t>A Portóban található Praça do Império és Praça Albuquerque Mouzinho közötti gyorsforgalmi út megépítésére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276CBD1" w14:textId="77777777" w:rsidR="00DC5EC6" w:rsidRDefault="003245A4">
            <w:pPr>
              <w:pStyle w:val="P68B1DB1-Normal8"/>
              <w:spacing w:after="0" w:line="240" w:lineRule="auto"/>
              <w:jc w:val="center"/>
              <w:rPr>
                <w:rFonts w:eastAsia="Times New Roman" w:cs="Calibri"/>
                <w:noProof/>
              </w:rPr>
            </w:pPr>
            <w:r>
              <w:rPr>
                <w:noProof/>
              </w:rPr>
              <w:t>A portói Praça do Império és Praça Albuquerque Mouzinho közötti gyorsforgalmi út megépítésére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275C96D"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BBD236D"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04CDB6"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D549309" w14:textId="79901321"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099AAE5" w14:textId="77777777" w:rsidR="00DC5EC6" w:rsidRDefault="003245A4">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DD8DF" w14:textId="77777777" w:rsidR="00DC5EC6" w:rsidRDefault="003245A4">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 Portóban található Praça do Império és Praça Albuquerque Mouzinho közötti gyorsforgalmi út megépítése. </w:t>
            </w:r>
          </w:p>
        </w:tc>
      </w:tr>
      <w:tr w:rsidR="00DC5EC6" w14:paraId="7ADF5EB7" w14:textId="77777777">
        <w:trPr>
          <w:trHeight w:val="64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16D4B91" w14:textId="77777777" w:rsidR="00DC5EC6" w:rsidRDefault="003245A4">
            <w:pPr>
              <w:pStyle w:val="P68B1DB1-Normal7"/>
              <w:spacing w:after="0" w:line="240" w:lineRule="auto"/>
              <w:jc w:val="center"/>
              <w:rPr>
                <w:rFonts w:eastAsia="Times New Roman" w:cs="Calibri"/>
                <w:noProof/>
              </w:rPr>
            </w:pPr>
            <w:r>
              <w:rPr>
                <w:noProof/>
              </w:rPr>
              <w:t>15.11</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8F8D636" w14:textId="77777777" w:rsidR="00DC5EC6" w:rsidRDefault="003245A4">
            <w:pPr>
              <w:pStyle w:val="P68B1DB1-Normal8"/>
              <w:spacing w:after="0" w:line="240" w:lineRule="auto"/>
              <w:jc w:val="center"/>
              <w:rPr>
                <w:rFonts w:eastAsia="Times New Roman" w:cs="Calibri"/>
                <w:noProof/>
              </w:rPr>
            </w:pPr>
            <w:r>
              <w:rPr>
                <w:noProof/>
              </w:rPr>
              <w:t>TC-C15–i04</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3EBBF9"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ABDF794" w14:textId="77777777" w:rsidR="00DC5EC6" w:rsidRDefault="003245A4">
            <w:pPr>
              <w:pStyle w:val="P68B1DB1-Normal8"/>
              <w:spacing w:after="0" w:line="240" w:lineRule="auto"/>
              <w:jc w:val="center"/>
              <w:rPr>
                <w:rFonts w:eastAsia="Times New Roman" w:cs="Calibri"/>
                <w:noProof/>
              </w:rPr>
            </w:pPr>
            <w:r>
              <w:rPr>
                <w:noProof/>
              </w:rPr>
              <w:t>Praça do Império és Praça Albuquerque Mouzinho közötti gyorsforgalmi út megépítése befejezve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4CFC47A" w14:textId="77777777" w:rsidR="00DC5EC6" w:rsidRDefault="00DC5EC6">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1B162BF" w14:textId="77777777" w:rsidR="00DC5EC6" w:rsidRDefault="003245A4">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D261ED7" w14:textId="77777777" w:rsidR="00DC5EC6" w:rsidRDefault="003245A4">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79F5D8" w14:textId="77777777" w:rsidR="00DC5EC6" w:rsidRDefault="003245A4">
            <w:pPr>
              <w:pStyle w:val="P68B1DB1-Normal8"/>
              <w:spacing w:after="0" w:line="240" w:lineRule="auto"/>
              <w:jc w:val="center"/>
              <w:rPr>
                <w:rFonts w:eastAsia="Times New Roman" w:cs="Calibri"/>
                <w:noProof/>
              </w:rPr>
            </w:pPr>
            <w:r>
              <w:rPr>
                <w:noProof/>
              </w:rPr>
              <w:t>3,8</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D95435" w14:textId="635AD2F9"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3804F18" w14:textId="2A33460B" w:rsidR="00DC5EC6" w:rsidRDefault="003245A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C671D64" w14:textId="77777777" w:rsidR="00DC5EC6" w:rsidRDefault="003245A4">
            <w:pPr>
              <w:pStyle w:val="P68B1DB1-Normal8"/>
              <w:spacing w:after="0" w:line="240" w:lineRule="auto"/>
              <w:jc w:val="both"/>
              <w:rPr>
                <w:rFonts w:eastAsia="Times New Roman" w:cs="Calibri"/>
                <w:noProof/>
              </w:rPr>
            </w:pPr>
            <w:r>
              <w:rPr>
                <w:noProof/>
              </w:rPr>
              <w:t xml:space="preserve">A portói Praça do Império és Praça Albuquerque Mouzinho közötti gyorstranzitvonal építési munkálatainak hossza. Az új gyorsforgalmi buszvonal készen áll a tervezett szállítási szolgáltatások azonnali működtetésére. </w:t>
            </w:r>
          </w:p>
        </w:tc>
      </w:tr>
      <w:tr w:rsidR="00DC5EC6" w14:paraId="167AB6D9" w14:textId="77777777">
        <w:trPr>
          <w:trHeight w:val="1871"/>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6418711" w14:textId="77777777" w:rsidR="00DC5EC6" w:rsidRDefault="003245A4">
            <w:pPr>
              <w:pStyle w:val="P68B1DB1-Normal7"/>
              <w:spacing w:after="0" w:line="240" w:lineRule="auto"/>
              <w:jc w:val="center"/>
              <w:rPr>
                <w:rFonts w:eastAsia="Times New Roman" w:cs="Calibri"/>
                <w:noProof/>
              </w:rPr>
            </w:pPr>
            <w:r>
              <w:rPr>
                <w:noProof/>
              </w:rPr>
              <w:t>15.12</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AE7894A" w14:textId="77777777" w:rsidR="00DC5EC6" w:rsidRDefault="003245A4">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F8ACE3A"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B1641BE" w14:textId="77777777" w:rsidR="00DC5EC6" w:rsidRDefault="003245A4">
            <w:pPr>
              <w:pStyle w:val="P68B1DB1-Normal8"/>
              <w:spacing w:after="0" w:line="240" w:lineRule="auto"/>
              <w:jc w:val="center"/>
              <w:rPr>
                <w:rFonts w:eastAsia="Times New Roman" w:cs="Calibri"/>
                <w:noProof/>
              </w:rPr>
            </w:pPr>
            <w:r>
              <w:rPr>
                <w:noProof/>
              </w:rPr>
              <w:t>Szerződés tiszta buszok beszerzésére a tömegközlekedés szén-dioxid-mentesítési programja keretében</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FE4D21F" w14:textId="77777777" w:rsidR="00DC5EC6" w:rsidRDefault="003245A4">
            <w:pPr>
              <w:pStyle w:val="P68B1DB1-Normal8"/>
              <w:spacing w:after="0" w:line="240" w:lineRule="auto"/>
              <w:jc w:val="center"/>
              <w:rPr>
                <w:rFonts w:eastAsia="Times New Roman" w:cs="Calibri"/>
                <w:noProof/>
              </w:rPr>
            </w:pPr>
            <w:r>
              <w:rPr>
                <w:noProof/>
              </w:rPr>
              <w:t>Szerződés 145 tiszta busz megvásárlására a tömegközlekedés szén-dioxid-mentesítési programja keretében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85D964C"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95BD3CE"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2D9326A"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700FA3" w14:textId="6D5C08B8" w:rsidR="00DC5EC6" w:rsidRDefault="003A6168">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3148EE6" w14:textId="77777777" w:rsidR="00DC5EC6" w:rsidRDefault="003245A4">
            <w:pPr>
              <w:pStyle w:val="P68B1DB1-Normal8"/>
              <w:spacing w:after="0" w:line="240" w:lineRule="auto"/>
              <w:jc w:val="center"/>
              <w:rPr>
                <w:rFonts w:eastAsia="Times New Roman" w:cs="Calibri"/>
                <w:noProof/>
              </w:rPr>
            </w:pPr>
            <w:r>
              <w:rPr>
                <w:noProof/>
              </w:rPr>
              <w:t>2022</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16BAC741" w14:textId="0C12CBAC" w:rsidR="00DC5EC6" w:rsidRDefault="003245A4">
            <w:pPr>
              <w:pStyle w:val="P68B1DB1-Normal8"/>
              <w:spacing w:after="0" w:line="240" w:lineRule="auto"/>
              <w:jc w:val="both"/>
              <w:rPr>
                <w:rFonts w:eastAsia="Times New Roman" w:cs="Calibri"/>
                <w:noProof/>
              </w:rPr>
            </w:pPr>
            <w:r>
              <w:rPr>
                <w:noProof/>
              </w:rPr>
              <w:t>A kedvezményezettek és az irányító szerv közötti, versenytárgyalási eljáráson alapuló szerződés aláírása, amely kötelezettséget vállal az új kibocsátásmentes (elektromos vagy hidrogénüzemű) buszok megvásárlására.</w:t>
            </w:r>
          </w:p>
        </w:tc>
      </w:tr>
      <w:tr w:rsidR="003A6168" w14:paraId="48039201" w14:textId="77777777">
        <w:trPr>
          <w:trHeight w:val="51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CC55914" w14:textId="77777777" w:rsidR="003A6168" w:rsidRDefault="003A6168" w:rsidP="003A6168">
            <w:pPr>
              <w:pStyle w:val="P68B1DB1-Normal7"/>
              <w:spacing w:after="0" w:line="240" w:lineRule="auto"/>
              <w:jc w:val="center"/>
              <w:rPr>
                <w:rFonts w:eastAsia="Times New Roman" w:cs="Calibri"/>
                <w:noProof/>
              </w:rPr>
            </w:pPr>
            <w:r>
              <w:rPr>
                <w:noProof/>
              </w:rPr>
              <w:t>15.13</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9F74196" w14:textId="77777777" w:rsidR="003A6168" w:rsidRDefault="003A6168" w:rsidP="003A6168">
            <w:pPr>
              <w:pStyle w:val="P68B1DB1-Normal8"/>
              <w:spacing w:after="0" w:line="240" w:lineRule="auto"/>
              <w:jc w:val="center"/>
              <w:rPr>
                <w:rFonts w:eastAsia="Times New Roman" w:cs="Calibri"/>
                <w:noProof/>
              </w:rPr>
            </w:pPr>
            <w:r>
              <w:rPr>
                <w:noProof/>
              </w:rPr>
              <w:t>TC-C15-i05</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D9BF1EE"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29D1A84" w14:textId="77777777" w:rsidR="003A6168" w:rsidRDefault="003A6168" w:rsidP="003A6168">
            <w:pPr>
              <w:pStyle w:val="P68B1DB1-Normal8"/>
              <w:spacing w:after="0" w:line="240" w:lineRule="auto"/>
              <w:jc w:val="center"/>
              <w:rPr>
                <w:rFonts w:eastAsia="Times New Roman" w:cs="Calibri"/>
                <w:noProof/>
              </w:rPr>
            </w:pPr>
            <w:r>
              <w:rPr>
                <w:noProof/>
              </w:rPr>
              <w:t>A tömegközlekedésben használt új kibocsátásmentes (elektromos vagy hidrogénüzemű) buszok beszerzése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00F18BD" w14:textId="77777777" w:rsidR="003A6168" w:rsidRDefault="003A6168" w:rsidP="003A6168">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E34DBE1"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4CE4430B"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6BECE405" w14:textId="77777777" w:rsidR="003A6168" w:rsidRDefault="003A6168" w:rsidP="003A6168">
            <w:pPr>
              <w:pStyle w:val="P68B1DB1-Normal8"/>
              <w:spacing w:after="0" w:line="240" w:lineRule="auto"/>
              <w:jc w:val="center"/>
              <w:rPr>
                <w:rFonts w:eastAsia="Times New Roman" w:cs="Calibri"/>
                <w:noProof/>
              </w:rPr>
            </w:pPr>
            <w:r>
              <w:rPr>
                <w:noProof/>
              </w:rPr>
              <w:t>145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9F48AA6" w14:textId="674B8355"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57805CE"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8838148" w14:textId="77777777" w:rsidR="003A6168" w:rsidRDefault="003A6168" w:rsidP="003A6168">
            <w:pPr>
              <w:pStyle w:val="P68B1DB1-Normal9"/>
              <w:spacing w:after="0" w:line="240" w:lineRule="auto"/>
              <w:jc w:val="both"/>
              <w:rPr>
                <w:rFonts w:eastAsia="Times New Roman" w:cs="Calibri"/>
                <w:noProof/>
                <w:sz w:val="16"/>
              </w:rPr>
            </w:pPr>
            <w:r>
              <w:rPr>
                <w:noProof/>
                <w:sz w:val="16"/>
              </w:rPr>
              <w:t>A Lisszabonban és Porto nagyvárosi területeken személyszállítási közszolgáltatás nyújtása céljából vásárolt és üzembe helyezett új kibocsátásmentes (elektromos vagy hidrogénüzemű) buszokszáma.</w:t>
            </w:r>
          </w:p>
        </w:tc>
      </w:tr>
      <w:tr w:rsidR="003A6168" w14:paraId="14807BD7"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050AF4" w14:textId="77777777" w:rsidR="003A6168" w:rsidRDefault="003A6168" w:rsidP="003A6168">
            <w:pPr>
              <w:pStyle w:val="P68B1DB1-Normal7"/>
              <w:spacing w:after="0" w:line="240" w:lineRule="auto"/>
              <w:jc w:val="center"/>
              <w:rPr>
                <w:rFonts w:eastAsia="Times New Roman" w:cs="Calibri"/>
                <w:noProof/>
              </w:rPr>
            </w:pPr>
            <w:r>
              <w:rPr>
                <w:noProof/>
              </w:rPr>
              <w:t>15.14</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7881FD44" w14:textId="77777777" w:rsidR="003A6168" w:rsidRDefault="003A6168" w:rsidP="003A6168">
            <w:pPr>
              <w:pStyle w:val="P68B1DB1-Normal8"/>
              <w:spacing w:after="0" w:line="240" w:lineRule="auto"/>
              <w:jc w:val="center"/>
              <w:rPr>
                <w:rFonts w:eastAsia="Times New Roman" w:cs="Calibri"/>
                <w:noProof/>
              </w:rPr>
            </w:pPr>
            <w:r>
              <w:rPr>
                <w:noProof/>
              </w:rPr>
              <w:t>TC-C15-r30</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2DDE169C" w14:textId="77777777" w:rsidR="003A6168" w:rsidRDefault="003A6168" w:rsidP="003A6168">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C1630B8" w14:textId="77777777" w:rsidR="003A6168" w:rsidRDefault="003A6168" w:rsidP="003A6168">
            <w:pPr>
              <w:pStyle w:val="P68B1DB1-Normal8"/>
              <w:spacing w:after="0" w:line="240" w:lineRule="auto"/>
              <w:jc w:val="center"/>
              <w:rPr>
                <w:rFonts w:eastAsia="Times New Roman" w:cs="Calibri"/>
                <w:noProof/>
              </w:rPr>
            </w:pPr>
            <w:r>
              <w:rPr>
                <w:noProof/>
              </w:rPr>
              <w:t>Személyszállítási közszolgáltatási szerződések nagyvárosi területeken és településközi közösségekben</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A57D8B6" w14:textId="77777777" w:rsidR="003A6168" w:rsidRDefault="003A6168" w:rsidP="003A6168">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219E19" w14:textId="77777777" w:rsidR="003A6168" w:rsidRDefault="003A6168" w:rsidP="003A6168">
            <w:pPr>
              <w:pStyle w:val="P68B1DB1-Normal8"/>
              <w:spacing w:after="0" w:line="240" w:lineRule="auto"/>
              <w:jc w:val="center"/>
              <w:rPr>
                <w:rFonts w:eastAsia="Times New Roman" w:cs="Calibri"/>
                <w:noProof/>
              </w:rPr>
            </w:pPr>
            <w:r>
              <w:rPr>
                <w:noProof/>
              </w:rPr>
              <w:t>Szám</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3FBB1912" w14:textId="77777777" w:rsidR="003A6168" w:rsidRDefault="003A6168" w:rsidP="003A6168">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07BDA846" w14:textId="77777777" w:rsidR="003A6168" w:rsidRDefault="003A6168" w:rsidP="003A6168">
            <w:pPr>
              <w:pStyle w:val="P68B1DB1-Normal8"/>
              <w:spacing w:after="0" w:line="240" w:lineRule="auto"/>
              <w:jc w:val="center"/>
              <w:rPr>
                <w:rFonts w:eastAsia="Times New Roman" w:cs="Calibri"/>
                <w:noProof/>
              </w:rPr>
            </w:pPr>
            <w:r>
              <w:rPr>
                <w:noProof/>
              </w:rPr>
              <w:t>23</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11ED4C04" w14:textId="4AC26831" w:rsidR="003A6168" w:rsidRDefault="003A6168" w:rsidP="003A6168">
            <w:pPr>
              <w:pStyle w:val="P68B1DB1-Normal8"/>
              <w:spacing w:after="0" w:line="240" w:lineRule="auto"/>
              <w:jc w:val="center"/>
              <w:rPr>
                <w:rFonts w:eastAsia="Times New Roman" w:cs="Calibr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hideMark/>
          </w:tcPr>
          <w:p w14:paraId="5789ECF9" w14:textId="77777777" w:rsidR="003A6168" w:rsidRDefault="003A6168" w:rsidP="003A6168">
            <w:pPr>
              <w:pStyle w:val="P68B1DB1-Normal8"/>
              <w:spacing w:after="0" w:line="240" w:lineRule="auto"/>
              <w:jc w:val="center"/>
              <w:rPr>
                <w:rFonts w:eastAsia="Times New Roman" w:cs="Calibri"/>
                <w:noProof/>
              </w:rPr>
            </w:pPr>
            <w:r>
              <w:rPr>
                <w:noProof/>
              </w:rPr>
              <w:t>2023</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154FD26" w14:textId="77777777" w:rsidR="003A6168" w:rsidRDefault="003A6168" w:rsidP="003A6168">
            <w:pPr>
              <w:pStyle w:val="P68B1DB1-Normal8"/>
              <w:spacing w:after="0" w:line="240" w:lineRule="auto"/>
              <w:jc w:val="both"/>
              <w:rPr>
                <w:rFonts w:eastAsia="Times New Roman" w:cs="Calibri"/>
                <w:noProof/>
              </w:rPr>
            </w:pPr>
            <w:r>
              <w:rPr>
                <w:noProof/>
              </w:rPr>
              <w:t xml:space="preserve">Az 1370/2007/EK rendelettel összhangban valamennyi vasúti, közúti és belvízi személyszállítási közszolgáltatásra vonatkozóan aláírt szerződésekkel rendelkező közlekedésirányító hatóságok száma. </w:t>
            </w:r>
          </w:p>
        </w:tc>
      </w:tr>
      <w:tr w:rsidR="003A6168" w14:paraId="47CBDF40"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09369F6D" w14:textId="4F312845" w:rsidR="003A6168" w:rsidRDefault="003A6168" w:rsidP="003A6168">
            <w:pPr>
              <w:pStyle w:val="P68B1DB1-Normal11"/>
              <w:spacing w:after="0" w:line="240" w:lineRule="auto"/>
              <w:jc w:val="center"/>
              <w:rPr>
                <w:rFonts w:eastAsia="Times New Roman"/>
                <w:noProof/>
              </w:rPr>
            </w:pPr>
            <w:r>
              <w:rPr>
                <w:noProof/>
              </w:rPr>
              <w:t>15.15</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F8ECE66" w14:textId="2BE2CDE3" w:rsidR="003A6168" w:rsidRDefault="003A6168" w:rsidP="003A6168">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490E290" w14:textId="4326EEA4" w:rsidR="003A6168" w:rsidRDefault="003A6168" w:rsidP="003A6168">
            <w:pPr>
              <w:pStyle w:val="P68B1DB1-Normal12"/>
              <w:spacing w:after="0" w:line="240" w:lineRule="auto"/>
              <w:jc w:val="center"/>
              <w:rPr>
                <w:rFonts w:eastAsia="Times New Roman" w:cstheme="minorHAns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550A166" w14:textId="34BFD0E8" w:rsidR="003A6168" w:rsidRDefault="003A6168" w:rsidP="003A6168">
            <w:pPr>
              <w:pStyle w:val="P68B1DB1-Normal12"/>
              <w:spacing w:after="0" w:line="240" w:lineRule="auto"/>
              <w:jc w:val="center"/>
              <w:rPr>
                <w:rFonts w:eastAsia="Times New Roman" w:cstheme="minorHAnsi"/>
                <w:noProof/>
              </w:rPr>
            </w:pPr>
            <w:r>
              <w:rPr>
                <w:noProof/>
              </w:rPr>
              <w:t>Az elektronikus jelzőrendszerekre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14CC642" w14:textId="1FBE12E9" w:rsidR="003A6168" w:rsidRDefault="003A6168" w:rsidP="003A6168">
            <w:pPr>
              <w:pStyle w:val="P68B1DB1-Normal12"/>
              <w:spacing w:after="0" w:line="240" w:lineRule="auto"/>
              <w:jc w:val="center"/>
              <w:rPr>
                <w:rFonts w:eastAsia="Times New Roman" w:cstheme="minorHAnsi"/>
                <w:noProof/>
              </w:rPr>
            </w:pPr>
            <w:r>
              <w:rPr>
                <w:noProof/>
              </w:rPr>
              <w:t>A szerződés aláírása és közzététel az erre a célra létrehozott portálon</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95EA3B9" w14:textId="77777777" w:rsidR="003A6168" w:rsidRDefault="003A6168" w:rsidP="003A6168">
            <w:pPr>
              <w:spacing w:after="0" w:line="240" w:lineRule="auto"/>
              <w:jc w:val="center"/>
              <w:rPr>
                <w:rFonts w:eastAsia="Times New Roman" w:cstheme="minorHAns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EBBD090" w14:textId="77777777" w:rsidR="003A6168" w:rsidRDefault="003A6168" w:rsidP="003A6168">
            <w:pPr>
              <w:spacing w:after="0" w:line="240" w:lineRule="auto"/>
              <w:jc w:val="center"/>
              <w:rPr>
                <w:rFonts w:eastAsia="Times New Roman" w:cstheme="minorHAns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3D14C8" w14:textId="77777777" w:rsidR="003A6168" w:rsidRDefault="003A6168" w:rsidP="003A6168">
            <w:pPr>
              <w:spacing w:after="0" w:line="240" w:lineRule="auto"/>
              <w:jc w:val="center"/>
              <w:rPr>
                <w:rFonts w:eastAsia="Times New Roman" w:cstheme="minorHAns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5308DB" w14:textId="015B4B06" w:rsidR="003A6168" w:rsidRDefault="003A6168" w:rsidP="003A6168">
            <w:pPr>
              <w:pStyle w:val="P68B1DB1-Normal12"/>
              <w:spacing w:after="0" w:line="240" w:lineRule="auto"/>
              <w:jc w:val="center"/>
              <w:rPr>
                <w:rFonts w:eastAsia="Times New Roman" w:cstheme="minorHAnsi"/>
                <w:noProof/>
              </w:rPr>
            </w:pPr>
            <w:r>
              <w:rPr>
                <w:noProof/>
              </w:rPr>
              <w:t>4.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87AF58" w14:textId="3B2C4F41" w:rsidR="003A6168" w:rsidRDefault="003A6168" w:rsidP="003A6168">
            <w:pPr>
              <w:pStyle w:val="P68B1DB1-Normal12"/>
              <w:spacing w:after="0" w:line="240" w:lineRule="auto"/>
              <w:jc w:val="center"/>
              <w:rPr>
                <w:rFonts w:eastAsia="Times New Roman" w:cstheme="minorHAns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2C5EB17D" w14:textId="3D9B1E55" w:rsidR="003A6168" w:rsidRDefault="003A6168" w:rsidP="003A6168">
            <w:pPr>
              <w:pStyle w:val="P68B1DB1-Normal12"/>
              <w:spacing w:after="0" w:line="240" w:lineRule="auto"/>
              <w:rPr>
                <w:rFonts w:eastAsia="Times New Roman" w:cstheme="minorHAnsi"/>
                <w:noProof/>
              </w:rPr>
            </w:pPr>
            <w:r>
              <w:rPr>
                <w:noProof/>
              </w:rPr>
              <w:t xml:space="preserve">A hatóságok és a vállalkozó közötti elektronikus jelzőrendszerek cseréjére vonatkozó projektvégrehajtási szerződés aláírása. </w:t>
            </w:r>
          </w:p>
        </w:tc>
      </w:tr>
      <w:tr w:rsidR="00DC5EC6" w14:paraId="4095FC09" w14:textId="77777777">
        <w:trPr>
          <w:trHeight w:val="430"/>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309B65D6" w14:textId="131135B8" w:rsidR="00DC5EC6" w:rsidRDefault="003245A4">
            <w:pPr>
              <w:pStyle w:val="P68B1DB1-Normal11"/>
              <w:spacing w:after="0" w:line="240" w:lineRule="auto"/>
              <w:jc w:val="center"/>
              <w:rPr>
                <w:rFonts w:eastAsia="Times New Roman"/>
                <w:noProof/>
              </w:rPr>
            </w:pPr>
            <w:r>
              <w:rPr>
                <w:noProof/>
              </w:rPr>
              <w:t>15.16</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49E8EF1" w14:textId="16469D34" w:rsidR="00DC5EC6" w:rsidRDefault="003245A4">
            <w:pPr>
              <w:pStyle w:val="P68B1DB1-Normal12"/>
              <w:spacing w:after="0" w:line="240" w:lineRule="auto"/>
              <w:jc w:val="center"/>
              <w:rPr>
                <w:rFonts w:eastAsia="Times New Roman" w:cstheme="minorHAnsi"/>
                <w:noProof/>
              </w:rPr>
            </w:pPr>
            <w:r>
              <w:rPr>
                <w:noProof/>
              </w:rPr>
              <w:t>TC-C15-i06</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1DEA956" w14:textId="4D528CFF" w:rsidR="00DC5EC6" w:rsidRDefault="003245A4">
            <w:pPr>
              <w:pStyle w:val="P68B1DB1-Normal12"/>
              <w:spacing w:after="0" w:line="240" w:lineRule="auto"/>
              <w:jc w:val="center"/>
              <w:rPr>
                <w:rFonts w:eastAsia="Times New Roman" w:cstheme="minorHAns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1336C3" w14:textId="72F7F910" w:rsidR="00DC5EC6" w:rsidRDefault="003245A4">
            <w:pPr>
              <w:pStyle w:val="P68B1DB1-Normal12"/>
              <w:spacing w:after="0" w:line="240" w:lineRule="auto"/>
              <w:jc w:val="center"/>
              <w:rPr>
                <w:rFonts w:eastAsia="Times New Roman" w:cstheme="minorHAnsi"/>
                <w:noProof/>
              </w:rPr>
            </w:pPr>
            <w:r>
              <w:rPr>
                <w:noProof/>
              </w:rPr>
              <w:t>Elektronikus jelzőrendszerrel rendelkező vasútvonalak lecserélve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A28AD9C" w14:textId="77777777" w:rsidR="00DC5EC6" w:rsidRDefault="00DC5EC6">
            <w:pPr>
              <w:spacing w:after="0" w:line="240" w:lineRule="auto"/>
              <w:jc w:val="center"/>
              <w:rPr>
                <w:rFonts w:eastAsia="Times New Roman" w:cstheme="minorHAns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598FA30" w14:textId="2E1AC044" w:rsidR="00DC5EC6" w:rsidRDefault="003245A4">
            <w:pPr>
              <w:pStyle w:val="P68B1DB1-Normal12"/>
              <w:spacing w:after="0" w:line="240" w:lineRule="auto"/>
              <w:jc w:val="center"/>
              <w:rPr>
                <w:rFonts w:eastAsia="Times New Roman" w:cstheme="minorHAns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8C2C5F8" w14:textId="534EC871" w:rsidR="00DC5EC6" w:rsidRDefault="003245A4">
            <w:pPr>
              <w:pStyle w:val="P68B1DB1-Normal12"/>
              <w:spacing w:after="0" w:line="240" w:lineRule="auto"/>
              <w:jc w:val="center"/>
              <w:rPr>
                <w:rFonts w:eastAsia="Times New Roman" w:cstheme="minorHAns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31C6AF" w14:textId="106C8BCB" w:rsidR="00DC5EC6" w:rsidRDefault="003245A4">
            <w:pPr>
              <w:pStyle w:val="P68B1DB1-Normal12"/>
              <w:spacing w:after="0" w:line="240" w:lineRule="auto"/>
              <w:jc w:val="center"/>
              <w:rPr>
                <w:rFonts w:eastAsia="Times New Roman" w:cstheme="minorHAnsi"/>
                <w:noProof/>
              </w:rPr>
            </w:pPr>
            <w:r>
              <w:rPr>
                <w:noProof/>
              </w:rPr>
              <w:t>20</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A010B4" w14:textId="388DEF86" w:rsidR="00DC5EC6" w:rsidRDefault="003A6168">
            <w:pPr>
              <w:pStyle w:val="P68B1DB1-Normal12"/>
              <w:spacing w:after="0" w:line="240" w:lineRule="auto"/>
              <w:jc w:val="center"/>
              <w:rPr>
                <w:rFonts w:eastAsia="Times New Roman" w:cstheme="minorHAns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2AD76CD" w14:textId="1D2C02A4" w:rsidR="00DC5EC6" w:rsidRDefault="003245A4">
            <w:pPr>
              <w:pStyle w:val="P68B1DB1-Normal12"/>
              <w:spacing w:after="0" w:line="240" w:lineRule="auto"/>
              <w:jc w:val="center"/>
              <w:rPr>
                <w:rFonts w:eastAsia="Times New Roman" w:cstheme="minorHAns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3B34CCB" w14:textId="3C6E08D9" w:rsidR="00DC5EC6" w:rsidRDefault="003245A4">
            <w:pPr>
              <w:pStyle w:val="P68B1DB1-Normal12"/>
              <w:spacing w:after="0" w:line="240" w:lineRule="auto"/>
              <w:jc w:val="both"/>
              <w:rPr>
                <w:rFonts w:eastAsia="Times New Roman" w:cstheme="minorHAnsi"/>
                <w:noProof/>
              </w:rPr>
            </w:pPr>
            <w:r>
              <w:rPr>
                <w:noProof/>
              </w:rPr>
              <w:t>A lisszaboni nagyvárosi területen új elektronikus jelzőrendszerekkel felszerelt vasútvonalak hossza.</w:t>
            </w:r>
          </w:p>
        </w:tc>
      </w:tr>
    </w:tbl>
    <w:p w14:paraId="11A8F5DB" w14:textId="6735A646"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288"/>
          <w:headerReference w:type="default" r:id="rId289"/>
          <w:footerReference w:type="even" r:id="rId290"/>
          <w:footerReference w:type="default" r:id="rId291"/>
          <w:headerReference w:type="first" r:id="rId292"/>
          <w:footerReference w:type="first" r:id="rId293"/>
          <w:pgSz w:w="16839" w:h="11907" w:orient="landscape"/>
          <w:pgMar w:top="1134" w:right="1134" w:bottom="1134" w:left="1134" w:header="567" w:footer="567" w:gutter="0"/>
          <w:cols w:space="720"/>
          <w:docGrid w:linePitch="360"/>
        </w:sectPr>
      </w:pPr>
    </w:p>
    <w:p w14:paraId="510498C1"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F3C01E3" w14:textId="763016D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O.3. A hitelhez kapcsolódó reformok és beruházások ismertetése</w:t>
      </w:r>
    </w:p>
    <w:p w14:paraId="1242CC49"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Beruházás TC-C15–i03: Könnyű vasúti átutazás Odivelas – Loures </w:t>
      </w:r>
    </w:p>
    <w:p w14:paraId="27A3BE80" w14:textId="77777777" w:rsidR="00DC5EC6" w:rsidRDefault="003245A4">
      <w:pPr>
        <w:pStyle w:val="P68B1DB1-Normal4"/>
        <w:keepNext/>
        <w:spacing w:before="40" w:after="0" w:line="259" w:lineRule="auto"/>
        <w:jc w:val="both"/>
        <w:rPr>
          <w:rFonts w:eastAsiaTheme="minorEastAsia" w:cs="Times New Roman"/>
          <w:noProof/>
        </w:rPr>
      </w:pPr>
      <w:r>
        <w:rPr>
          <w:noProof/>
        </w:rPr>
        <w:t>Az intézkedés célja, hogy növelje a tömegközlekedés vonzerejét Lisszabonban, és több felhasználót vonzzon. Loures és Lisszabon között jelenleg a magánjellegű közúti közlekedés a meghatározó, ami jelentős üvegházhatásúgáz- és szennyezőanyag-kibocsátással és forgalmi torlódásokkal jár. Az intézkedés célja az egyéni közúti közlekedésről a tömegközlekedésre való áttérés.</w:t>
      </w:r>
    </w:p>
    <w:p w14:paraId="4FCFEDE5" w14:textId="481C3763" w:rsidR="00DC5EC6" w:rsidRDefault="003245A4">
      <w:pPr>
        <w:pStyle w:val="P68B1DB1-Normal4"/>
        <w:keepNext/>
        <w:spacing w:before="40" w:after="0" w:line="259" w:lineRule="auto"/>
        <w:jc w:val="both"/>
        <w:rPr>
          <w:rFonts w:eastAsiaTheme="minorEastAsia" w:cs="Times New Roman"/>
          <w:noProof/>
        </w:rPr>
      </w:pPr>
      <w:r>
        <w:rPr>
          <w:noProof/>
        </w:rPr>
        <w:t xml:space="preserve">A beruházás egy 11,5 km hosszú, könnyű vasúti tranzitrendszer megépítéséből áll, amely Loures települést összeköti a lisszaboni metróhálózattal. </w:t>
      </w:r>
    </w:p>
    <w:p w14:paraId="5F1D6AF1" w14:textId="7D85A9C0" w:rsidR="00DC5EC6" w:rsidRDefault="003245A4">
      <w:pPr>
        <w:pStyle w:val="P68B1DB1-Normal4"/>
        <w:keepNext/>
        <w:spacing w:before="40" w:after="0" w:line="259" w:lineRule="auto"/>
        <w:ind w:left="130" w:firstLine="720"/>
        <w:jc w:val="both"/>
        <w:outlineLvl w:val="1"/>
        <w:rPr>
          <w:rFonts w:eastAsiaTheme="minorEastAsia" w:cs="Times New Roman"/>
          <w:b/>
          <w:noProof/>
          <w:u w:val="single"/>
        </w:rPr>
      </w:pPr>
      <w:r>
        <w:rPr>
          <w:noProof/>
        </w:rPr>
        <w:t>A beruházás végrehajtását 2026. június 30-ig be kell fejezni.</w:t>
      </w:r>
    </w:p>
    <w:p w14:paraId="575ACA3D"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64CAD46C"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294"/>
          <w:headerReference w:type="default" r:id="rId295"/>
          <w:footerReference w:type="even" r:id="rId296"/>
          <w:footerReference w:type="default" r:id="rId297"/>
          <w:headerReference w:type="first" r:id="rId298"/>
          <w:footerReference w:type="first" r:id="rId299"/>
          <w:pgSz w:w="11907" w:h="16839"/>
          <w:pgMar w:top="1134" w:right="1134" w:bottom="1134" w:left="1134" w:header="567" w:footer="567" w:gutter="0"/>
          <w:cols w:space="720"/>
          <w:docGrid w:linePitch="360"/>
        </w:sectPr>
      </w:pPr>
    </w:p>
    <w:p w14:paraId="03D3A8DE"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302B669C" w14:textId="17BC633A"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O.4. Hitel – a végrehajtáshoz és a nyomon követéshez kapcsolódó mérföldkövek, célok, mutatók és ütemterv</w:t>
      </w:r>
    </w:p>
    <w:p w14:paraId="635759ED"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027" w:type="dxa"/>
        <w:tblInd w:w="-176" w:type="dxa"/>
        <w:tblLayout w:type="fixed"/>
        <w:tblLook w:val="04A0" w:firstRow="1" w:lastRow="0" w:firstColumn="1" w:lastColumn="0" w:noHBand="0" w:noVBand="1"/>
      </w:tblPr>
      <w:tblGrid>
        <w:gridCol w:w="1135"/>
        <w:gridCol w:w="1276"/>
        <w:gridCol w:w="1134"/>
        <w:gridCol w:w="1701"/>
        <w:gridCol w:w="1417"/>
        <w:gridCol w:w="993"/>
        <w:gridCol w:w="992"/>
        <w:gridCol w:w="709"/>
        <w:gridCol w:w="567"/>
        <w:gridCol w:w="708"/>
        <w:gridCol w:w="4395"/>
      </w:tblGrid>
      <w:tr w:rsidR="00DC5EC6" w14:paraId="2F97F8D0" w14:textId="77777777">
        <w:trPr>
          <w:trHeight w:val="91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921D3C2"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1C57A3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FEE676C"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8027319" w14:textId="77777777" w:rsidR="00DC5EC6" w:rsidRDefault="003245A4">
            <w:pPr>
              <w:pStyle w:val="P68B1DB1-Normal6"/>
              <w:spacing w:after="0" w:line="240" w:lineRule="auto"/>
              <w:jc w:val="center"/>
              <w:rPr>
                <w:rFonts w:eastAsia="Times New Roman" w:cs="Times New Roman"/>
                <w:noProof/>
              </w:rPr>
            </w:pPr>
            <w:r>
              <w:rPr>
                <w:noProof/>
              </w:rPr>
              <w:t>Név</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106704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694"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1F0D5637"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B14555"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4BDC769"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A79B943" w14:textId="77777777">
        <w:trPr>
          <w:trHeight w:val="47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4310C2A"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ACA7D6"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AF8AE5"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7037FB" w14:textId="77777777" w:rsidR="00DC5EC6" w:rsidRDefault="00DC5EC6">
            <w:pPr>
              <w:spacing w:after="0" w:line="240" w:lineRule="auto"/>
              <w:rPr>
                <w:rFonts w:ascii="Times New Roman" w:eastAsia="Times New Roman" w:hAnsi="Times New Roman" w:cs="Times New Roman"/>
                <w:b/>
                <w:noProof/>
                <w:sz w:val="18"/>
              </w:rPr>
            </w:pPr>
          </w:p>
        </w:tc>
        <w:tc>
          <w:tcPr>
            <w:tcW w:w="1417" w:type="dxa"/>
            <w:vMerge/>
            <w:tcBorders>
              <w:top w:val="single" w:sz="4" w:space="0" w:color="auto"/>
              <w:left w:val="single" w:sz="4" w:space="0" w:color="auto"/>
            </w:tcBorders>
            <w:vAlign w:val="center"/>
            <w:hideMark/>
          </w:tcPr>
          <w:p w14:paraId="532041EB" w14:textId="77777777" w:rsidR="00DC5EC6" w:rsidRDefault="00DC5EC6">
            <w:pPr>
              <w:spacing w:after="0" w:line="240" w:lineRule="auto"/>
              <w:rPr>
                <w:rFonts w:ascii="Times New Roman" w:eastAsia="Times New Roman" w:hAnsi="Times New Roman" w:cs="Times New Roman"/>
                <w:b/>
                <w:noProof/>
                <w:sz w:val="18"/>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8DB4E2"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60F3C8"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75038A"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15B4B4" w14:textId="05B6DE4A" w:rsidR="00DC5EC6" w:rsidRDefault="00C009B1">
            <w:pPr>
              <w:pStyle w:val="P68B1DB1-Normal6"/>
              <w:spacing w:after="0" w:line="240" w:lineRule="auto"/>
              <w:jc w:val="center"/>
              <w:rPr>
                <w:rFonts w:eastAsia="Times New Roman" w:cs="Times New Roman"/>
                <w:noProof/>
              </w:rPr>
            </w:pPr>
            <w:r>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C222A0" w14:textId="537A7048"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tcBorders>
              <w:top w:val="single" w:sz="4" w:space="0" w:color="auto"/>
              <w:bottom w:val="single" w:sz="4" w:space="0" w:color="auto"/>
              <w:right w:val="single" w:sz="4" w:space="0" w:color="auto"/>
            </w:tcBorders>
            <w:vAlign w:val="center"/>
            <w:hideMark/>
          </w:tcPr>
          <w:p w14:paraId="01B727AD" w14:textId="77777777" w:rsidR="00DC5EC6" w:rsidRDefault="00DC5EC6">
            <w:pPr>
              <w:spacing w:after="0" w:line="240" w:lineRule="auto"/>
              <w:rPr>
                <w:rFonts w:ascii="Times New Roman" w:eastAsia="Times New Roman" w:hAnsi="Times New Roman" w:cs="Times New Roman"/>
                <w:b/>
                <w:noProof/>
                <w:sz w:val="18"/>
              </w:rPr>
            </w:pPr>
          </w:p>
        </w:tc>
      </w:tr>
      <w:tr w:rsidR="00DC5EC6" w14:paraId="4EBA1B8E" w14:textId="77777777">
        <w:trPr>
          <w:trHeight w:val="85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17430DD4" w14:textId="3D8F77CB" w:rsidR="00DC5EC6" w:rsidRDefault="003245A4">
            <w:pPr>
              <w:pStyle w:val="P68B1DB1-Normal7"/>
              <w:spacing w:after="0" w:line="240" w:lineRule="auto"/>
              <w:jc w:val="center"/>
              <w:rPr>
                <w:rFonts w:eastAsia="Times New Roman" w:cs="Calibri"/>
                <w:noProof/>
              </w:rPr>
            </w:pPr>
            <w:r>
              <w:rPr>
                <w:noProof/>
              </w:rPr>
              <w:t>15.7</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2763EAF" w14:textId="43F37C9D" w:rsidR="00DC5EC6" w:rsidRDefault="003245A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4F69B0" w14:textId="6F007304"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A963B90" w14:textId="7F495470" w:rsidR="00DC5EC6" w:rsidRDefault="003245A4">
            <w:pPr>
              <w:pStyle w:val="P68B1DB1-Normal8"/>
              <w:spacing w:after="0" w:line="240" w:lineRule="auto"/>
              <w:jc w:val="center"/>
              <w:rPr>
                <w:rFonts w:eastAsia="Times New Roman" w:cs="Calibri"/>
                <w:noProof/>
              </w:rPr>
            </w:pPr>
            <w:r>
              <w:rPr>
                <w:noProof/>
              </w:rPr>
              <w:t>Az Odivelas és Loures közötti könnyű vasúti tranzitvonal megépítésére vonatkozó szerződés aláírása</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077DDBE" w14:textId="3B3953C9" w:rsidR="00DC5EC6" w:rsidRDefault="003245A4">
            <w:pPr>
              <w:pStyle w:val="P68B1DB1-Normal8"/>
              <w:spacing w:after="0" w:line="240" w:lineRule="auto"/>
              <w:jc w:val="center"/>
              <w:rPr>
                <w:rFonts w:eastAsia="Times New Roman" w:cs="Calibri"/>
                <w:noProof/>
              </w:rPr>
            </w:pPr>
            <w:r>
              <w:rPr>
                <w:noProof/>
              </w:rPr>
              <w:t>Az Odivelas és Loures közötti könnyű vasúti tranzitvonal megépítésére vonatkozó szerződés aláírása</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18295CC"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9B96970"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90E9541"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F8099FF" w14:textId="5C2C3307" w:rsidR="00DC5EC6" w:rsidRDefault="003A6168">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73A09061" w14:textId="0BCE3452" w:rsidR="00DC5EC6" w:rsidRDefault="003245A4">
            <w:pPr>
              <w:pStyle w:val="P68B1DB1-Normal8"/>
              <w:spacing w:after="0" w:line="240" w:lineRule="auto"/>
              <w:jc w:val="center"/>
              <w:rPr>
                <w:rFonts w:eastAsia="Times New Roman" w:cs="Calibri"/>
                <w:noProof/>
              </w:rPr>
            </w:pPr>
            <w:r>
              <w:rPr>
                <w:noProof/>
              </w:rPr>
              <w:t>2024</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1CFDF65" w14:textId="783876D7" w:rsidR="00DC5EC6" w:rsidRDefault="003245A4">
            <w:pPr>
              <w:pStyle w:val="P68B1DB1-Normal8"/>
              <w:spacing w:after="0" w:line="240" w:lineRule="auto"/>
              <w:jc w:val="both"/>
              <w:rPr>
                <w:rFonts w:eastAsia="Times New Roman" w:cs="Calibri"/>
                <w:noProof/>
              </w:rPr>
            </w:pPr>
            <w:r>
              <w:rPr>
                <w:noProof/>
              </w:rPr>
              <w:t xml:space="preserve">A hatóságok és a pályázati eljárás során kiválasztott vállalkozó közötti projektvégrehajtási szerződés aláírása. A szerződés célja az Odivelas és Loures közötti könnyű vasúti tranzitvonal megépítése. </w:t>
            </w:r>
          </w:p>
        </w:tc>
      </w:tr>
      <w:tr w:rsidR="00DC5EC6" w14:paraId="2C0CA749" w14:textId="77777777">
        <w:trPr>
          <w:trHeight w:val="2527"/>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54BFE5C9" w14:textId="29341BA1" w:rsidR="00DC5EC6" w:rsidRDefault="003245A4">
            <w:pPr>
              <w:pStyle w:val="P68B1DB1-Normal7"/>
              <w:spacing w:after="0" w:line="240" w:lineRule="auto"/>
              <w:jc w:val="center"/>
              <w:rPr>
                <w:rFonts w:eastAsia="Times New Roman" w:cs="Calibri"/>
                <w:noProof/>
              </w:rPr>
            </w:pPr>
            <w:r>
              <w:rPr>
                <w:noProof/>
              </w:rPr>
              <w:t>15.8</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0DF29A2" w14:textId="4F14BD57" w:rsidR="00DC5EC6" w:rsidRDefault="003245A4">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C4D0EFB" w14:textId="69B081E1" w:rsidR="00DC5EC6" w:rsidRDefault="003245A4">
            <w:pPr>
              <w:pStyle w:val="P68B1DB1-Normal8"/>
              <w:spacing w:after="0" w:line="240" w:lineRule="auto"/>
              <w:jc w:val="center"/>
              <w:rPr>
                <w:rFonts w:eastAsia="Times New Roman" w:cs="Calibri"/>
                <w:noProof/>
              </w:rPr>
            </w:pPr>
            <w:r>
              <w:rPr>
                <w:noProof/>
              </w:rPr>
              <w:t>M</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34498EF" w14:textId="33737552" w:rsidR="00DC5EC6" w:rsidRDefault="003245A4">
            <w:pPr>
              <w:pStyle w:val="P68B1DB1-Normal8"/>
              <w:spacing w:after="0" w:line="240" w:lineRule="auto"/>
              <w:jc w:val="center"/>
              <w:rPr>
                <w:rFonts w:eastAsia="Times New Roman" w:cs="Calibri"/>
                <w:noProof/>
              </w:rPr>
            </w:pPr>
            <w:r>
              <w:rPr>
                <w:noProof/>
              </w:rPr>
              <w:t>Jelentés az Odivelas és Loures közötti könnyű vasúti tranzitvonal megépítéséről</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9ABFC70" w14:textId="6F68A9CC" w:rsidR="00DC5EC6" w:rsidRDefault="003245A4">
            <w:pPr>
              <w:pStyle w:val="P68B1DB1-Normal8"/>
              <w:spacing w:after="0" w:line="240" w:lineRule="auto"/>
              <w:jc w:val="center"/>
              <w:rPr>
                <w:rFonts w:eastAsia="Times New Roman" w:cs="Calibri"/>
                <w:noProof/>
              </w:rPr>
            </w:pPr>
            <w:r>
              <w:rPr>
                <w:noProof/>
              </w:rPr>
              <w:t>Előrehaladási jelentés arról, hogy a munkálatok az ütemterv szerint haladnak</w:t>
            </w: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60038F1" w14:textId="77777777" w:rsidR="00DC5EC6" w:rsidRDefault="00DC5EC6">
            <w:pPr>
              <w:spacing w:after="0" w:line="240" w:lineRule="auto"/>
              <w:jc w:val="center"/>
              <w:rPr>
                <w:rFonts w:ascii="Calibri" w:eastAsia="Times New Roman" w:hAnsi="Calibri" w:cs="Calibri"/>
                <w:noProof/>
                <w:sz w:val="16"/>
              </w:rPr>
            </w:pP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419550BD" w14:textId="77777777" w:rsidR="00DC5EC6" w:rsidRDefault="00DC5EC6">
            <w:pPr>
              <w:spacing w:after="0" w:line="240" w:lineRule="auto"/>
              <w:jc w:val="center"/>
              <w:rPr>
                <w:rFonts w:ascii="Calibri" w:eastAsia="Times New Roman" w:hAnsi="Calibri" w:cs="Calibri"/>
                <w:noProof/>
                <w:sz w:val="16"/>
              </w:rPr>
            </w:pP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8473EAD" w14:textId="77777777" w:rsidR="00DC5EC6" w:rsidRDefault="00DC5EC6">
            <w:pPr>
              <w:spacing w:after="0" w:line="240" w:lineRule="auto"/>
              <w:jc w:val="center"/>
              <w:rPr>
                <w:rFonts w:ascii="Calibri" w:eastAsia="Times New Roman" w:hAnsi="Calibri" w:cs="Calibri"/>
                <w:noProof/>
                <w:sz w:val="16"/>
              </w:rPr>
            </w:pP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3C286D" w14:textId="0C38F003" w:rsidR="00DC5EC6" w:rsidRDefault="00C009B1">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EE78C35" w14:textId="00B9F427" w:rsidR="00DC5EC6" w:rsidRDefault="003245A4">
            <w:pPr>
              <w:pStyle w:val="P68B1DB1-Normal8"/>
              <w:spacing w:after="0" w:line="240" w:lineRule="auto"/>
              <w:jc w:val="center"/>
              <w:rPr>
                <w:rFonts w:eastAsia="Times New Roman" w:cs="Calibri"/>
                <w:noProof/>
              </w:rPr>
            </w:pPr>
            <w:r>
              <w:rPr>
                <w:noProof/>
              </w:rPr>
              <w:t>2025</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33FA7FFC" w14:textId="633FF37D" w:rsidR="00DC5EC6" w:rsidRDefault="003245A4">
            <w:pPr>
              <w:pStyle w:val="P68B1DB1-Normal8"/>
              <w:spacing w:after="0" w:line="240" w:lineRule="auto"/>
              <w:jc w:val="both"/>
              <w:rPr>
                <w:rFonts w:eastAsia="Times New Roman" w:cs="Calibri"/>
                <w:noProof/>
              </w:rPr>
            </w:pPr>
            <w:r>
              <w:rPr>
                <w:noProof/>
              </w:rPr>
              <w:t>Az Odivelas és Loures közötti könnyű vasúti tranzitvonal építési munkálatainak alakulását és a megvalósításuk ütemtervének való megfelelést rendszeres előrehaladási jelentésekkel kell mérni a munkálatok végrehajtása során. Magában foglalja a munka tervezett ütemterv szerinti alakulásának értékelését, beleértve a már befejezett tevékenységek azonosítását, az elvégzendő tevékenységek meghatározását, valamint a javasolt végrehajtási határidők kockázatelemzését, szükség esetén kockázatcsökkentési és vészhelyzeti tervvel együtt annak biztosítása érdekében, hogy a szerződést a javasolt határidőkön belül teljesítsék. A mérföldkő akkor teljesül, ha az előrehaladási jelentés megállapítja, hogy a mérföldkövek idején a munkálatok az ütemterv szerint haladnak.</w:t>
            </w:r>
          </w:p>
        </w:tc>
      </w:tr>
      <w:tr w:rsidR="00C009B1" w14:paraId="5ACB540A" w14:textId="77777777">
        <w:trPr>
          <w:trHeight w:val="640"/>
          <w:tblHeader/>
        </w:trPr>
        <w:tc>
          <w:tcPr>
            <w:tcW w:w="1135" w:type="dxa"/>
            <w:tcBorders>
              <w:top w:val="single" w:sz="4" w:space="0" w:color="auto"/>
              <w:left w:val="single" w:sz="4" w:space="0" w:color="auto"/>
              <w:bottom w:val="single" w:sz="4" w:space="0" w:color="auto"/>
              <w:right w:val="single" w:sz="4" w:space="0" w:color="auto"/>
            </w:tcBorders>
            <w:shd w:val="clear" w:color="auto" w:fill="C4EFCE"/>
            <w:vAlign w:val="center"/>
          </w:tcPr>
          <w:p w14:paraId="7C7A72F5" w14:textId="276CF2CE" w:rsidR="00C009B1" w:rsidRDefault="00C009B1" w:rsidP="00C009B1">
            <w:pPr>
              <w:pStyle w:val="P68B1DB1-Normal7"/>
              <w:spacing w:after="0" w:line="240" w:lineRule="auto"/>
              <w:jc w:val="center"/>
              <w:rPr>
                <w:rFonts w:eastAsia="Times New Roman" w:cs="Calibri"/>
                <w:noProof/>
              </w:rPr>
            </w:pPr>
            <w:r>
              <w:rPr>
                <w:noProof/>
              </w:rPr>
              <w:t>15.9</w:t>
            </w:r>
          </w:p>
        </w:tc>
        <w:tc>
          <w:tcPr>
            <w:tcW w:w="1276"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099203D" w14:textId="19AB8DFF" w:rsidR="00C009B1" w:rsidRDefault="00C009B1" w:rsidP="00C009B1">
            <w:pPr>
              <w:pStyle w:val="P68B1DB1-Normal8"/>
              <w:spacing w:after="0" w:line="240" w:lineRule="auto"/>
              <w:jc w:val="center"/>
              <w:rPr>
                <w:rFonts w:eastAsia="Times New Roman" w:cs="Calibri"/>
                <w:noProof/>
              </w:rPr>
            </w:pPr>
            <w:r>
              <w:rPr>
                <w:noProof/>
              </w:rPr>
              <w:t>TC-C15-i03</w:t>
            </w:r>
          </w:p>
        </w:tc>
        <w:tc>
          <w:tcPr>
            <w:tcW w:w="1134"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D7661C3" w14:textId="65733C36" w:rsidR="00C009B1" w:rsidRDefault="00C009B1" w:rsidP="00C009B1">
            <w:pPr>
              <w:pStyle w:val="P68B1DB1-Normal8"/>
              <w:spacing w:after="0" w:line="240" w:lineRule="auto"/>
              <w:jc w:val="center"/>
              <w:rPr>
                <w:rFonts w:eastAsia="Times New Roman" w:cs="Calibri"/>
                <w:noProof/>
              </w:rPr>
            </w:pPr>
            <w:r>
              <w:rPr>
                <w:noProof/>
              </w:rPr>
              <w:t>T</w:t>
            </w:r>
          </w:p>
        </w:tc>
        <w:tc>
          <w:tcPr>
            <w:tcW w:w="1701"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11911FA7" w14:textId="10D9D5E3" w:rsidR="00C009B1" w:rsidRDefault="00C009B1" w:rsidP="00C009B1">
            <w:pPr>
              <w:pStyle w:val="P68B1DB1-Normal8"/>
              <w:spacing w:after="0" w:line="240" w:lineRule="auto"/>
              <w:jc w:val="center"/>
              <w:rPr>
                <w:rFonts w:eastAsia="Times New Roman" w:cs="Calibri"/>
                <w:noProof/>
              </w:rPr>
            </w:pPr>
            <w:r>
              <w:rPr>
                <w:noProof/>
              </w:rPr>
              <w:t>Az Odivelas és a Loures közötti könnyű vasúti tranzitvonal építése befejezve</w:t>
            </w:r>
          </w:p>
        </w:tc>
        <w:tc>
          <w:tcPr>
            <w:tcW w:w="141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07781649" w14:textId="77777777" w:rsidR="00C009B1" w:rsidRDefault="00C009B1" w:rsidP="00C009B1">
            <w:pPr>
              <w:spacing w:after="0" w:line="240" w:lineRule="auto"/>
              <w:jc w:val="center"/>
              <w:rPr>
                <w:rFonts w:ascii="Calibri" w:eastAsia="Times New Roman" w:hAnsi="Calibri" w:cs="Calibri"/>
                <w:noProof/>
                <w:sz w:val="16"/>
              </w:rPr>
            </w:pPr>
          </w:p>
        </w:tc>
        <w:tc>
          <w:tcPr>
            <w:tcW w:w="993"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4FBAABA" w14:textId="0FEF1905" w:rsidR="00C009B1" w:rsidRDefault="00C009B1" w:rsidP="00C009B1">
            <w:pPr>
              <w:pStyle w:val="P68B1DB1-Normal8"/>
              <w:spacing w:after="0" w:line="240" w:lineRule="auto"/>
              <w:jc w:val="center"/>
              <w:rPr>
                <w:rFonts w:eastAsia="Times New Roman" w:cs="Calibri"/>
                <w:noProof/>
              </w:rPr>
            </w:pPr>
            <w:r>
              <w:rPr>
                <w:noProof/>
              </w:rPr>
              <w:t>Kilométer</w:t>
            </w:r>
          </w:p>
        </w:tc>
        <w:tc>
          <w:tcPr>
            <w:tcW w:w="992"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65D1663D" w14:textId="629F8717" w:rsidR="00C009B1" w:rsidRDefault="00C009B1" w:rsidP="00C009B1">
            <w:pPr>
              <w:pStyle w:val="P68B1DB1-Normal8"/>
              <w:spacing w:after="0" w:line="240" w:lineRule="auto"/>
              <w:jc w:val="center"/>
              <w:rPr>
                <w:rFonts w:eastAsia="Times New Roman" w:cs="Calibri"/>
                <w:noProof/>
              </w:rPr>
            </w:pPr>
            <w:r>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2D4C315A" w14:textId="78D81EC8" w:rsidR="00C009B1" w:rsidRDefault="00C009B1" w:rsidP="00C009B1">
            <w:pPr>
              <w:pStyle w:val="P68B1DB1-Normal8"/>
              <w:spacing w:after="0" w:line="240" w:lineRule="auto"/>
              <w:jc w:val="center"/>
              <w:rPr>
                <w:rFonts w:eastAsia="Times New Roman" w:cs="Calibri"/>
                <w:noProof/>
              </w:rPr>
            </w:pPr>
            <w:r>
              <w:rPr>
                <w:noProof/>
              </w:rPr>
              <w:t>11.5</w:t>
            </w:r>
          </w:p>
        </w:tc>
        <w:tc>
          <w:tcPr>
            <w:tcW w:w="567"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5F0E1D2A" w14:textId="5CD1644E" w:rsidR="00C009B1" w:rsidRDefault="00C009B1" w:rsidP="00C009B1">
            <w:pPr>
              <w:pStyle w:val="P68B1DB1-Normal8"/>
              <w:spacing w:after="0" w:line="240" w:lineRule="auto"/>
              <w:jc w:val="center"/>
              <w:rPr>
                <w:rFonts w:eastAsia="Times New Roman" w:cs="Calibri"/>
                <w:noProof/>
              </w:rPr>
            </w:pPr>
            <w:r>
              <w:rPr>
                <w:noProof/>
              </w:rPr>
              <w:t>2. NEGYEDÉV</w:t>
            </w:r>
          </w:p>
        </w:tc>
        <w:tc>
          <w:tcPr>
            <w:tcW w:w="708" w:type="dxa"/>
            <w:tcBorders>
              <w:top w:val="single" w:sz="4" w:space="0" w:color="auto"/>
              <w:left w:val="single" w:sz="4" w:space="0" w:color="auto"/>
              <w:bottom w:val="single" w:sz="4" w:space="0" w:color="auto"/>
              <w:right w:val="single" w:sz="4" w:space="0" w:color="auto"/>
            </w:tcBorders>
            <w:shd w:val="clear" w:color="auto" w:fill="C4EFCE"/>
            <w:noWrap/>
            <w:vAlign w:val="center"/>
          </w:tcPr>
          <w:p w14:paraId="3B81BB6F" w14:textId="2BF6C0A4" w:rsidR="00C009B1" w:rsidRDefault="00C009B1" w:rsidP="00C009B1">
            <w:pPr>
              <w:pStyle w:val="P68B1DB1-Normal8"/>
              <w:spacing w:after="0" w:line="240" w:lineRule="auto"/>
              <w:jc w:val="center"/>
              <w:rPr>
                <w:rFonts w:eastAsia="Times New Roman" w:cs="Calibri"/>
                <w:noProof/>
              </w:rPr>
            </w:pPr>
            <w:r>
              <w:rPr>
                <w:noProof/>
              </w:rPr>
              <w:t>2026</w:t>
            </w:r>
          </w:p>
        </w:tc>
        <w:tc>
          <w:tcPr>
            <w:tcW w:w="4395" w:type="dxa"/>
            <w:tcBorders>
              <w:top w:val="single" w:sz="4" w:space="0" w:color="auto"/>
              <w:left w:val="single" w:sz="4" w:space="0" w:color="auto"/>
              <w:bottom w:val="single" w:sz="4" w:space="0" w:color="auto"/>
              <w:right w:val="single" w:sz="4" w:space="0" w:color="auto"/>
            </w:tcBorders>
            <w:shd w:val="clear" w:color="auto" w:fill="C4EFCE"/>
            <w:vAlign w:val="center"/>
          </w:tcPr>
          <w:p w14:paraId="7B006FBB" w14:textId="239AB1DE" w:rsidR="00C009B1" w:rsidRDefault="00C009B1" w:rsidP="00C009B1">
            <w:pPr>
              <w:pStyle w:val="P68B1DB1-Normal8"/>
              <w:spacing w:after="0" w:line="240" w:lineRule="auto"/>
              <w:jc w:val="both"/>
              <w:rPr>
                <w:rFonts w:eastAsia="Times New Roman" w:cs="Calibri"/>
                <w:noProof/>
              </w:rPr>
            </w:pPr>
            <w:r>
              <w:rPr>
                <w:noProof/>
              </w:rPr>
              <w:t xml:space="preserve">A Loures-t az odivelasi lisszaboni metróhálózattal összekötő könnyűvasútvonal építési munkálatainak hossza. Az új könnyűvasúti tranzitvonal készen áll a tervezett szállítási szolgáltatások azonnali üzemeltetésére. </w:t>
            </w:r>
          </w:p>
        </w:tc>
      </w:tr>
    </w:tbl>
    <w:p w14:paraId="0B3D7BA5"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5D80F2C0"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3B5D196"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3311E3">
          <w:headerReference w:type="even" r:id="rId300"/>
          <w:headerReference w:type="default" r:id="rId301"/>
          <w:footerReference w:type="even" r:id="rId302"/>
          <w:footerReference w:type="default" r:id="rId303"/>
          <w:headerReference w:type="first" r:id="rId304"/>
          <w:footerReference w:type="first" r:id="rId305"/>
          <w:pgSz w:w="16839" w:h="11907" w:orient="landscape"/>
          <w:pgMar w:top="1134" w:right="1134" w:bottom="1134" w:left="1134" w:header="567" w:footer="567" w:gutter="0"/>
          <w:cols w:space="720"/>
          <w:docGrid w:linePitch="360"/>
        </w:sectPr>
      </w:pPr>
    </w:p>
    <w:p w14:paraId="19EC9F83" w14:textId="52AB5387" w:rsidR="00DC5EC6" w:rsidRDefault="00342815">
      <w:pPr>
        <w:pStyle w:val="P68B1DB1-Normal3"/>
        <w:keepNext/>
        <w:spacing w:before="40" w:after="0" w:line="259" w:lineRule="auto"/>
        <w:ind w:left="130" w:firstLine="720"/>
        <w:jc w:val="both"/>
        <w:outlineLvl w:val="1"/>
        <w:rPr>
          <w:rFonts w:eastAsiaTheme="minorEastAsia" w:cs="Times New Roman"/>
          <w:noProof/>
        </w:rPr>
      </w:pPr>
      <w:r>
        <w:rPr>
          <w:noProof/>
        </w:rPr>
        <w:t>P.</w:t>
      </w:r>
      <w:r w:rsidR="003A6168">
        <w:rPr>
          <w:noProof/>
        </w:rPr>
        <w:t xml:space="preserve">16. </w:t>
      </w:r>
      <w:r>
        <w:rPr>
          <w:noProof/>
        </w:rPr>
        <w:t>KOMPONENS</w:t>
      </w:r>
      <w:r w:rsidR="003245A4">
        <w:rPr>
          <w:noProof/>
        </w:rPr>
        <w:t>: Vállalkozások 4.0</w:t>
      </w:r>
    </w:p>
    <w:p w14:paraId="25B02CF9" w14:textId="77777777" w:rsidR="00DC5EC6" w:rsidRDefault="003245A4">
      <w:pPr>
        <w:pStyle w:val="P68B1DB1-Normal4"/>
        <w:keepNext/>
        <w:spacing w:before="40" w:after="0" w:line="259" w:lineRule="auto"/>
        <w:jc w:val="both"/>
        <w:rPr>
          <w:rFonts w:eastAsiaTheme="minorEastAsia" w:cs="Times New Roman"/>
          <w:noProof/>
        </w:rPr>
      </w:pPr>
      <w:r>
        <w:rPr>
          <w:noProof/>
        </w:rPr>
        <w:t>A komponens a vállalkozások alacsony szintű digitalizációjával kapcsolatos kihívásokkal foglalkozik. A digitális gazdaság és társadalom fejlettségét mérő mutató (DESI 2020) eredményei szerint Portugália az EU</w:t>
      </w:r>
      <w:r>
        <w:rPr>
          <w:noProof/>
          <w:vertAlign w:val="superscript"/>
        </w:rPr>
        <w:t>-</w:t>
      </w:r>
      <w:r>
        <w:rPr>
          <w:noProof/>
        </w:rPr>
        <w:t xml:space="preserve"> ban a 19. helyen áll, és az uniós átlag alatt van. Portugália esetében a legsérülékenyebb dimenziók az „Emberi tőke” és az „internetes szolgáltatások használata”, valamint az „integráló digitális technológiák” egyes dimenziói, amelyek mindegyike a vállalatok digitális kapacitásának és teljesítményének korlátait tükrözi. </w:t>
      </w:r>
    </w:p>
    <w:p w14:paraId="72BA11C3" w14:textId="673C874D" w:rsidR="00DC5EC6" w:rsidRDefault="003245A4">
      <w:pPr>
        <w:pStyle w:val="P68B1DB1-Normal4"/>
        <w:keepNext/>
        <w:spacing w:before="40" w:after="0" w:line="259" w:lineRule="auto"/>
        <w:jc w:val="both"/>
        <w:rPr>
          <w:rFonts w:eastAsiaTheme="minorEastAsia" w:cs="Times New Roman"/>
          <w:noProof/>
        </w:rPr>
      </w:pPr>
      <w:r>
        <w:rPr>
          <w:noProof/>
        </w:rPr>
        <w:t>A komponens célja, hogy az üzleti szektort, különösen a kkv-kat és alkalmazottaikat célozza meg a digitális átállás felgyorsítására irányuló beruházásokkal, kiegészítve a foglalkoztatott munkaerő digitális készségeinek megerősítésével. A beruházások a következő intézkedéseket irányozzák elő:</w:t>
      </w:r>
    </w:p>
    <w:p w14:paraId="674866B7" w14:textId="34492028"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A munkavállalók és a munkaképes korú népesség digitális készségeinek megerősítése;</w:t>
      </w:r>
    </w:p>
    <w:p w14:paraId="5F996481"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A vállalatok üzleti modelljének és termelési folyamatainak korszerűsítése, beleértve az olyan munkafolyamatok digitalizálását, mint az üzletvezetés, az innovatív termékek és a számlázás;</w:t>
      </w:r>
    </w:p>
    <w:p w14:paraId="1AB18387"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Új digitális értékesítési csatornák létrehozása a termékek és szolgáltatások számára;</w:t>
      </w:r>
    </w:p>
    <w:p w14:paraId="270FA3A4"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Innováció és a fejlett digitális technológiák beépítése a vállalkozások üzleti modelljébe; és</w:t>
      </w:r>
    </w:p>
    <w:p w14:paraId="1E059D00" w14:textId="77777777" w:rsidR="00DC5EC6" w:rsidRDefault="003245A4">
      <w:pPr>
        <w:pStyle w:val="P68B1DB1-Normal4"/>
        <w:keepNext/>
        <w:numPr>
          <w:ilvl w:val="0"/>
          <w:numId w:val="32"/>
        </w:numPr>
        <w:spacing w:before="40" w:after="160" w:line="259" w:lineRule="auto"/>
        <w:contextualSpacing/>
        <w:jc w:val="both"/>
        <w:rPr>
          <w:rFonts w:eastAsiaTheme="minorEastAsia" w:cs="Times New Roman"/>
          <w:noProof/>
        </w:rPr>
      </w:pPr>
      <w:r>
        <w:rPr>
          <w:noProof/>
        </w:rPr>
        <w:t>A digitális alapú vállalkozói szellem előmozdítása.</w:t>
      </w:r>
    </w:p>
    <w:p w14:paraId="5864DB58" w14:textId="77777777" w:rsidR="00DC5EC6" w:rsidRDefault="003245A4">
      <w:pPr>
        <w:pStyle w:val="P68B1DB1-Normal4"/>
        <w:spacing w:after="0" w:line="240" w:lineRule="auto"/>
        <w:ind w:left="60"/>
        <w:jc w:val="both"/>
        <w:textAlignment w:val="baseline"/>
        <w:rPr>
          <w:rFonts w:eastAsiaTheme="minorEastAsia" w:cs="Times New Roman"/>
          <w:noProof/>
        </w:rPr>
      </w:pPr>
      <w:r>
        <w:rPr>
          <w:noProof/>
        </w:rPr>
        <w:t>A komponens támogatja a digitális technológiák használatának támogatásával, a minőségi oktatáshoz és képzéshez való egyenlő hozzáférés biztosításával, a vállalkozások versenyképességének fellendítésével, a foglalkoztatás támogatásával és a munkahelyek megőrzésére irányuló intézkedések rangsorolásával kapcsolatos országspecifikus ajánlások végrehajtását (2020. évi 2. országspecifikus ajánlás). A komponens támogatja továbbá az országspecifikus ajánlások végrehajtását a lakosság készségszintjének – különösen a digitális jártasságnak – a javítása érdekében, többek között azáltal, hogy a felnőttkori tanulást relevánsabbá teszik a munkaerőpiaci igényekhez (2019. évi 2. országspecifikus ajánlás), valamint hogy a beruházásokat a digitális átállásra összpontosítsák (2020. évi 3. országspecifikus ajánlás).</w:t>
      </w:r>
    </w:p>
    <w:p w14:paraId="303FB0B6" w14:textId="77777777" w:rsidR="00DC5EC6" w:rsidRDefault="003245A4">
      <w:pPr>
        <w:pStyle w:val="P68B1DB1-Normal4"/>
        <w:spacing w:before="40" w:after="0" w:line="259" w:lineRule="auto"/>
        <w:ind w:left="130" w:firstLine="720"/>
        <w:jc w:val="both"/>
        <w:outlineLvl w:val="1"/>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166B059E" w14:textId="77777777" w:rsidR="00DC5EC6" w:rsidRDefault="00DC5EC6">
      <w:pPr>
        <w:spacing w:before="40" w:after="0" w:line="259" w:lineRule="auto"/>
        <w:ind w:left="130" w:firstLine="720"/>
        <w:jc w:val="both"/>
        <w:outlineLvl w:val="1"/>
        <w:rPr>
          <w:rFonts w:ascii="Times New Roman" w:eastAsiaTheme="minorEastAsia" w:hAnsi="Times New Roman" w:cs="Times New Roman"/>
          <w:noProof/>
          <w:sz w:val="24"/>
        </w:rPr>
      </w:pPr>
    </w:p>
    <w:p w14:paraId="22C34D86"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P.1. Vissza nem térítendő pénzügyi támogatás – a reformok és beruházások ismertetése</w:t>
      </w:r>
    </w:p>
    <w:p w14:paraId="3981E054"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TD-r31 reform: Az üzleti környezet digitális átállása</w:t>
      </w:r>
    </w:p>
    <w:p w14:paraId="4687B767"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az üzleti környezet növekedésének fokozása, ezáltal digitálisan versenyképesebbé és ellenállóbbá téve azt a jelenlegi globális gazdasági és társadalmi környezetben. Ez a reform a Portugália által 2020 áprilisában elfogadott szélesebb körű digitális átállási cselekvési terv (PATD) részét képezi. </w:t>
      </w:r>
    </w:p>
    <w:p w14:paraId="5F93CFCB" w14:textId="77777777" w:rsidR="00DC5EC6" w:rsidRDefault="003245A4">
      <w:pPr>
        <w:pStyle w:val="P68B1DB1-Normal4"/>
        <w:spacing w:before="40" w:after="0" w:line="259" w:lineRule="auto"/>
        <w:jc w:val="both"/>
        <w:rPr>
          <w:rFonts w:eastAsiaTheme="minorEastAsia" w:cs="Times New Roman"/>
          <w:noProof/>
        </w:rPr>
      </w:pPr>
      <w:r>
        <w:rPr>
          <w:noProof/>
        </w:rPr>
        <w:t>A reform a következő elemekből áll:</w:t>
      </w:r>
    </w:p>
    <w:p w14:paraId="449795BB" w14:textId="77777777" w:rsidR="00DC5EC6" w:rsidRDefault="003245A4">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A nemzeti képesítési katalógusban szereplő formatív tartalom felülvizsgálata, különös tekintettel a szakmai környezetben használt digitális készségekre. Ez a megújítás összhangban van a legújabb technológiai fejlődéssel és a különböző gazdasági ágazatok vállalatainak legsürgetőbb szükségleteivel. E célból 2021-től új képzési pályákat és rövid időtartamú képzéseket lehet elérhetővé tenni.</w:t>
      </w:r>
    </w:p>
    <w:p w14:paraId="065811DC" w14:textId="77777777" w:rsidR="00DC5EC6" w:rsidRDefault="003245A4">
      <w:pPr>
        <w:pStyle w:val="P68B1DB1-Normal4"/>
        <w:numPr>
          <w:ilvl w:val="0"/>
          <w:numId w:val="32"/>
        </w:numPr>
        <w:spacing w:before="40" w:after="160" w:line="259" w:lineRule="auto"/>
        <w:ind w:left="714" w:hanging="357"/>
        <w:contextualSpacing/>
        <w:jc w:val="both"/>
        <w:rPr>
          <w:rFonts w:eastAsiaTheme="minorEastAsia" w:cs="Times New Roman"/>
          <w:noProof/>
        </w:rPr>
      </w:pPr>
      <w:r>
        <w:rPr>
          <w:noProof/>
        </w:rPr>
        <w:t>A digitális bélyegzők létrehozásához szükséges jogi és szabályozási keret létrehozása a kiberbiztonság, a magánélet védelme, a fenntarthatóság és a használhatóság területén. Ez a keret és a digitális bizalom előmozdítása előfeltétele a digitális bélyegzőkre irányuló, ebben a komponensben előirányzott beruházás végrehajtásának.</w:t>
      </w:r>
    </w:p>
    <w:p w14:paraId="7BB1E01D" w14:textId="77777777" w:rsidR="00DC5EC6" w:rsidRDefault="003245A4">
      <w:pPr>
        <w:pStyle w:val="P68B1DB1-Normal4"/>
        <w:spacing w:before="40" w:after="0" w:line="259" w:lineRule="auto"/>
        <w:jc w:val="both"/>
        <w:rPr>
          <w:rFonts w:eastAsiaTheme="minorEastAsia" w:cs="Times New Roman"/>
          <w:noProof/>
        </w:rPr>
      </w:pPr>
      <w:r>
        <w:rPr>
          <w:noProof/>
        </w:rPr>
        <w:t xml:space="preserve">A reform végrehajtását 2022. március 31-ig be kell fejezni. </w:t>
      </w:r>
    </w:p>
    <w:p w14:paraId="71EFA567"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TD-C16–i01: A vállalkozások digitális szerepvállalásának növelése</w:t>
      </w:r>
    </w:p>
    <w:p w14:paraId="11A95DC7" w14:textId="74636A6E" w:rsidR="00DC5EC6" w:rsidRDefault="003245A4">
      <w:pPr>
        <w:pStyle w:val="P68B1DB1-Normal4"/>
        <w:spacing w:before="40" w:after="0" w:line="259" w:lineRule="auto"/>
        <w:jc w:val="both"/>
        <w:rPr>
          <w:rFonts w:eastAsiaTheme="minorEastAsia" w:cs="Times New Roman"/>
          <w:noProof/>
        </w:rPr>
      </w:pPr>
      <w:r>
        <w:rPr>
          <w:noProof/>
        </w:rPr>
        <w:t>Az intézkedés célja a munkaképes korú népesség – köztük a munkavállalók és a vezetők – digitális készségeinek fejlesztése, különös tekintettel az ipari, kereskedelmi, szolgáltatási, idegenforgalmi és mezőgazdasági ágazatban működő vállalkozásokra, a digitálisan képzett munkavállalók számának növelése, valamint a vállalkozások versenyképességének és ellenálló képességének javítása érdekében, hozzájárulva ezáltal a munkahelyek fenntartásához és létrehozásához is. Ez a beruházás hozzá fog járulni a szakképzettséget igénylő munkahelyek számának növeléséhez a meglévő vállalatoknál, és elősegíti új vállalkozások létrehozását.</w:t>
      </w:r>
    </w:p>
    <w:p w14:paraId="297F4A6D" w14:textId="77777777" w:rsidR="00DC5EC6" w:rsidRDefault="003245A4">
      <w:pPr>
        <w:pStyle w:val="P68B1DB1-Normal4"/>
        <w:spacing w:before="40" w:after="0" w:line="259" w:lineRule="auto"/>
        <w:jc w:val="both"/>
        <w:rPr>
          <w:rFonts w:eastAsiaTheme="minorEastAsia" w:cs="Times New Roman"/>
          <w:noProof/>
        </w:rPr>
      </w:pPr>
      <w:r>
        <w:rPr>
          <w:noProof/>
        </w:rPr>
        <w:t>A beruházás két egymással összefüggő képzési programból áll, amelyeket a munkavállalók (munkavállalók és vezetők) és a vállalkozások digitális készségei terén fennálló hiányosságok kezelésére kell létrehozni. A beruházás várhatóan hatással lesz az új szakpolitikákra, és hozzájárul az egész életen át tartó szakmai készségek és képzési gyakorlatok fejlesztéséhez. A beruházás várhatóan javítani fogja a vállalatok azon képességét is, hogy szembenézzenek a kihívásokkal, és megragadják a technológia által kínált lehetőségeket. A két intézkedés a következő:</w:t>
      </w:r>
    </w:p>
    <w:p w14:paraId="1356F4BE" w14:textId="24F6FE3D" w:rsidR="00DC5EC6" w:rsidRDefault="003245A4">
      <w:pPr>
        <w:pStyle w:val="P68B1DB1-Normal4"/>
        <w:keepNext/>
        <w:numPr>
          <w:ilvl w:val="0"/>
          <w:numId w:val="48"/>
        </w:numPr>
        <w:spacing w:before="40" w:after="160" w:line="259" w:lineRule="auto"/>
        <w:contextualSpacing/>
        <w:jc w:val="both"/>
        <w:rPr>
          <w:rFonts w:eastAsiaTheme="minorEastAsia" w:cs="Times New Roman"/>
          <w:noProof/>
        </w:rPr>
      </w:pPr>
      <w:r>
        <w:rPr>
          <w:noProof/>
        </w:rPr>
        <w:t>Portugál Akadémia Digitális Akadémia: elérhető a munkaképes korú népesség egésze számára, azzal a céllal, hogy elérje a digitális készségek 500000 diagnosztikáját és 125000 résztvevőjét az online, vegyes és személyes digitális készségekkel kapcsolatos képzéseken. Ez magában foglalja 50 ad hoc MOOC létrehozását is, amelyet elérhetővé kell tenni az online platformon.</w:t>
      </w:r>
    </w:p>
    <w:p w14:paraId="09F7D8E5" w14:textId="328442CD" w:rsidR="00DC5EC6" w:rsidRDefault="003245A4">
      <w:pPr>
        <w:pStyle w:val="P68B1DB1-Normal4"/>
        <w:keepNext/>
        <w:numPr>
          <w:ilvl w:val="0"/>
          <w:numId w:val="48"/>
        </w:numPr>
        <w:spacing w:before="40" w:after="160" w:line="259" w:lineRule="auto"/>
        <w:contextualSpacing/>
        <w:jc w:val="both"/>
        <w:rPr>
          <w:rFonts w:eastAsiaTheme="minorEastAsia" w:cs="Times New Roman"/>
          <w:noProof/>
        </w:rPr>
      </w:pPr>
      <w:r>
        <w:rPr>
          <w:noProof/>
        </w:rPr>
        <w:t>Foglalkoztatás + digitális 2025: azzal a céllal, hogy 200000 résztvevő számára mélyebb online, személyes vagy vegyes digitális készségekre vonatkozó képzést kínáljanak</w:t>
      </w:r>
    </w:p>
    <w:p w14:paraId="044881B1"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szeptember 31-ig be kell fejezni.</w:t>
      </w:r>
    </w:p>
    <w:p w14:paraId="6CA41520"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TD-C16–i02: A vállalkozások digitális átállása</w:t>
      </w:r>
    </w:p>
    <w:p w14:paraId="6DCB64CF" w14:textId="77777777" w:rsidR="00DC5EC6" w:rsidRDefault="003245A4">
      <w:pPr>
        <w:pStyle w:val="P68B1DB1-Normal4"/>
        <w:spacing w:before="40" w:after="0" w:line="259" w:lineRule="auto"/>
        <w:jc w:val="both"/>
        <w:rPr>
          <w:rFonts w:eastAsiaTheme="minorEastAsia" w:cs="Times New Roman"/>
          <w:noProof/>
        </w:rPr>
      </w:pPr>
      <w:r>
        <w:rPr>
          <w:noProof/>
        </w:rPr>
        <w:t xml:space="preserve">Az intézkedés célja, hogy hozzájáruljon a portugál kkv-k üzleti modelljeinek átalakításához és digitalizációjához. Ez különösen fontos, tekintettel arra, hogy a portugál gazdaságot főként a mikrovállalkozások uralják, amelyek digitális szempontból kevésbé aktívak, mint a nagyobb vállalatok. Így a kkv-knak a vállalkozások digitalizációjába való bevonása révén a beruházás célja a portugál gazdaság üzleti modelljének átalakítása, valamint a nagyobb versenyképességhez és ellenálló képességhez való hozzájárulás. </w:t>
      </w:r>
    </w:p>
    <w:p w14:paraId="2EE74087" w14:textId="77777777" w:rsidR="00DC5EC6" w:rsidRDefault="003245A4">
      <w:pPr>
        <w:pStyle w:val="P68B1DB1-Normal4"/>
        <w:spacing w:before="40" w:after="0" w:line="259" w:lineRule="auto"/>
        <w:jc w:val="both"/>
        <w:rPr>
          <w:rFonts w:eastAsiaTheme="minorEastAsia" w:cs="Times New Roman"/>
          <w:noProof/>
        </w:rPr>
      </w:pPr>
      <w:r>
        <w:rPr>
          <w:noProof/>
        </w:rPr>
        <w:t>A beruházás négy intézkedéscsoportból áll:</w:t>
      </w:r>
    </w:p>
    <w:p w14:paraId="78A34119" w14:textId="7D7B529F"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„Nemzeti tesztágyak hálózata”: a nemzeti tesztágyak hálózatának létrehozása, amelynek célja, hogy megteremtse a feltételeket a vállalkozások számára új termékek és szolgáltatások kifejlesztéséhez és teszteléséhez, valamint a digitális transzformáció folyamatának felgyorsításához, akár fizikai berendezések és infrastruktúra-tesztelő berendezések, akár virtuális/digitális szimulátorok révén. A cél 30 próbapadi infrastruktúra létrehozása és legalább 3000 kísérleti termék vagy szolgáltatás tesztelése.</w:t>
      </w:r>
    </w:p>
    <w:p w14:paraId="2A0555EB" w14:textId="2B9E5CCC"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Digitális kereskedelem: a kkv-k digitalizációjára irányuló program, különös tekintettel a kereskedelmi ágazatban működő mikrovállalkozásokra, digitális kereskedelmi csatornáik aktiválása, a technológia üzleti modellekbe való beépítése, valamint az ügyfelekkel és beszállítókkal folytatott folyamatok információs és kommunikációs technológiák használata révén történő dematerializálása. Három projektből áll: „digitális kereskedelem akcelerátorai”: 25 helyi, regionális vagy ágazati akcelerátor létrehozásával (olyan szervezetek, amelyek tanácsadást, mentorálást, finanszírozási támogatást nyújtanak az induló vállalkozásoknak és a kkv-knak növekedésük elősegítése érdekében), valamint a kkv-k üzleti modelljeinek digitalizálására irányuló pénzügyi ösztönzők rendszerének létrehozásával (cél: 25000 kkv); „digitális kereskedelmi szomszédságok”, amelyek támogatják a városi központokban, elővárosokban vagy vidéki térségekben található 75 bevásárlóterület digitalizálását (helyi e-kereskedelmi és kézbesítési platformokkal) e területek fellendítése, valamint a területi kohézió és a helyi gazdaság előmozdítása érdekében; „nemzetközivé válás az e-kereskedelem révén”, amely segíti a vállalkozásokat abban, hogy online értékesítés révén új értékesítési csatornákat fejlesszenek ki külföldön.</w:t>
      </w:r>
    </w:p>
    <w:p w14:paraId="29BDD956"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 xml:space="preserve">Az üzleti modellek digitális átállásának támogatása: Coaching 4.0, a vállalkozásokat a fejlett digitális technológiák bevezetésében támogató program. </w:t>
      </w:r>
    </w:p>
    <w:p w14:paraId="73477E39"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Vállalkozói képesség: olyan intézkedésekkel, mint i. „Voucher for Start-ups – New Green and Digital Products” (Az induló innovatív vállalkozások számára – Új zöld és digitális termékek) utalványprogram, amelynek célja a digitális és zöld üzleti modelleket kifejleszteni kívánó induló vállalkozások támogatása; „a nemzeti vállalkozási struktúra megerősítése – Startup Portugal” az induló vállalkozások környezetének feltérképezésére irányuló beruházásokkal a vállalkozói menetrenddel és a vonatkozó cselekvési tervek végrehajtásával kapcsolatos kihívások és megoldások azonosítása érdekében; és iii. „Inkubátorházak/akcelerátorutalványok” az inkubátorok és akcelerátorok fejlesztésének támogatására, beleértve az új digitális technológia bevezetését, a rendelkezésükre álló erőforrások javítását, valamint tudásuk és képességeik megerősítését annak érdekében, hogy digitális alapú üzleti modellekkel támogassák az induló vállalkozásokat.</w:t>
      </w:r>
    </w:p>
    <w:p w14:paraId="18C24393" w14:textId="77777777" w:rsidR="00DC5EC6" w:rsidRDefault="003245A4">
      <w:pPr>
        <w:pStyle w:val="P68B1DB1-Normal4"/>
        <w:keepNext/>
        <w:spacing w:before="40" w:after="0" w:line="259" w:lineRule="auto"/>
        <w:jc w:val="both"/>
        <w:rPr>
          <w:rFonts w:eastAsiaTheme="minorEastAsia" w:cs="Times New Roman"/>
          <w:noProof/>
        </w:rPr>
      </w:pPr>
      <w:r>
        <w:rPr>
          <w:noProof/>
        </w:rPr>
        <w:t>A pénzügyi eszközök esetében a „Digitális kereskedelem akcelerátorai” intézkedés keretében, amely finanszírozási támogatást és pénzügyi ösztönzőket nyújt, annak biztosítása érdekében, hogy az intézkedés megfeleljen a jelentős károkozás elkerülését célzó elvről szóló technikai iránymutatásnak (2021/C58/01), a portugál hatóságok és a pénzügyi eszközért felelős megbízott szervezet vagy pénzügyi közvetítő közötti jogi megállapodás és a pénzügyi eszköz ezt követő befektetési politikája:</w:t>
      </w:r>
    </w:p>
    <w:p w14:paraId="6FA72369"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előírja az InvestEU Alap fenntarthatósági vizsgálatáról szóló bizottsági technikai iránymutatás alkalmazását; és</w:t>
      </w:r>
    </w:p>
    <w:p w14:paraId="7A065825"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a tevékenységek és eszközök alábbi listájának kizárása a támogathatóságból: a fosszilis tüzelőanyagokhoz kapcsolódó tevékenységek és eszközök, beleértve a downstream felhasználást is</w:t>
      </w:r>
      <w:r>
        <w:rPr>
          <w:noProof/>
        </w:rPr>
        <w:footnoteReference w:id="52"/>
      </w:r>
      <w:r>
        <w:rPr>
          <w:noProof/>
        </w:rPr>
        <w:t>; az uniós kibocsátáskereskedelmi rendszer (ETS) hatálya alá tartozó olyan tevékenységek és eszközök, amelyek a vonatkozó referenciaértékeknél nem alacsonyabb várható üvegházhatásúgáz-kibocsátást érnek el</w:t>
      </w:r>
      <w:r>
        <w:rPr>
          <w:noProof/>
        </w:rPr>
        <w:footnoteReference w:id="53"/>
      </w:r>
      <w:r>
        <w:rPr>
          <w:noProof/>
        </w:rPr>
        <w:t>; hulladéklerakókkal, hulladékégetőkkel és mechanikai-biológiai szennyvíztisztító telepekkel kapcsolatos tevékenységek</w:t>
      </w:r>
      <w:r>
        <w:rPr>
          <w:noProof/>
        </w:rPr>
        <w:footnoteReference w:id="54"/>
      </w:r>
      <w:r>
        <w:rPr>
          <w:noProof/>
        </w:rPr>
        <w:t xml:space="preserve"> és eszközök</w:t>
      </w:r>
      <w:r>
        <w:rPr>
          <w:noProof/>
        </w:rPr>
        <w:footnoteReference w:id="55"/>
      </w:r>
      <w:r>
        <w:rPr>
          <w:noProof/>
        </w:rPr>
        <w:t>; és iv. olyan tevékenységek és eszközök, amelyek esetében a hulladék hosszú távú ártalmatlanítása károsíthatja a környezetet; és</w:t>
      </w:r>
    </w:p>
    <w:p w14:paraId="6BD38B90" w14:textId="77777777" w:rsidR="00DC5EC6" w:rsidRDefault="003245A4">
      <w:pPr>
        <w:pStyle w:val="P68B1DB1-Normal4"/>
        <w:keepNext/>
        <w:numPr>
          <w:ilvl w:val="0"/>
          <w:numId w:val="33"/>
        </w:numPr>
        <w:spacing w:before="40" w:after="160" w:line="259" w:lineRule="auto"/>
        <w:contextualSpacing/>
        <w:jc w:val="both"/>
        <w:rPr>
          <w:rFonts w:eastAsiaTheme="minorEastAsia" w:cs="Times New Roman"/>
          <w:noProof/>
        </w:rPr>
      </w:pPr>
      <w:r>
        <w:rPr>
          <w:noProof/>
        </w:rPr>
        <w:t>előírja a megbízott szervezet/pénzügyi közvetítő számára annak ellenőrzését, hogy a projektek megfelelnek-e a vonatkozó uniós és nemzeti környezetvédelmi jogszabályoknak, minden ügylet tekintetében, beleértve a fenntarthatósági vizsgálat alól mentesített ügyleteket is.</w:t>
      </w:r>
    </w:p>
    <w:p w14:paraId="2D9DFB3D" w14:textId="77777777" w:rsidR="00DC5EC6" w:rsidRDefault="003245A4">
      <w:pPr>
        <w:pStyle w:val="P68B1DB1-Normal4"/>
        <w:keepNext/>
        <w:spacing w:before="40" w:after="0" w:line="259" w:lineRule="auto"/>
        <w:jc w:val="both"/>
        <w:rPr>
          <w:rFonts w:eastAsiaTheme="minorEastAsia" w:cs="Times New Roman"/>
          <w:noProof/>
          <w:highlight w:val="green"/>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56"/>
      </w:r>
      <w:r>
        <w:rPr>
          <w:noProof/>
        </w:rPr>
        <w:t>; az uniós kibocsátáskereskedelmi rendszer (ETS) keretében végzett tevékenységek, amelyek a vonatkozó referenciaértékeknél nem alacsonyabb várható üvegházhatásúgáz-kibocsátást érnek el</w:t>
      </w:r>
      <w:r>
        <w:rPr>
          <w:noProof/>
        </w:rPr>
        <w:footnoteReference w:id="57"/>
      </w:r>
      <w:r>
        <w:rPr>
          <w:noProof/>
        </w:rPr>
        <w:t>; hulladéklerakókkal, hulladékégetőkkel</w:t>
      </w:r>
      <w:r>
        <w:rPr>
          <w:noProof/>
        </w:rPr>
        <w:footnoteReference w:id="58"/>
      </w:r>
      <w:r>
        <w:rPr>
          <w:noProof/>
        </w:rPr>
        <w:t xml:space="preserve"> és mechanikai-biológiai szennyvíztisztító telepekkel kapcsolatos tevékenységek</w:t>
      </w:r>
      <w:r>
        <w:rPr>
          <w:noProof/>
        </w:rPr>
        <w:footnoteReference w:id="59"/>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5BF7FFC2"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szeptember 31-ig be kell fejezni.</w:t>
      </w:r>
    </w:p>
    <w:p w14:paraId="541BAAE3" w14:textId="77777777" w:rsidR="00DC5EC6" w:rsidRDefault="003245A4">
      <w:pPr>
        <w:pStyle w:val="P68B1DB1-Normal5"/>
        <w:spacing w:before="240" w:after="0" w:line="259" w:lineRule="auto"/>
        <w:ind w:left="851"/>
        <w:jc w:val="both"/>
        <w:outlineLvl w:val="2"/>
        <w:rPr>
          <w:rFonts w:eastAsiaTheme="minorEastAsia" w:cs="Times New Roman"/>
          <w:noProof/>
        </w:rPr>
      </w:pPr>
      <w:r>
        <w:rPr>
          <w:noProof/>
        </w:rPr>
        <w:t>Beruházás TD-C16–i03: a vállalkozások digitális átállásának katalizátora</w:t>
      </w:r>
    </w:p>
    <w:p w14:paraId="4477B881" w14:textId="77777777" w:rsidR="00DC5EC6" w:rsidRDefault="003245A4">
      <w:pPr>
        <w:pStyle w:val="P68B1DB1-Normal4"/>
        <w:spacing w:before="40" w:after="0" w:line="259" w:lineRule="auto"/>
        <w:jc w:val="both"/>
        <w:rPr>
          <w:rFonts w:eastAsiaTheme="minorEastAsia" w:cs="Times New Roman"/>
          <w:noProof/>
        </w:rPr>
      </w:pPr>
      <w:r>
        <w:rPr>
          <w:noProof/>
        </w:rPr>
        <w:t>Az intézkedés célja, hogy hozzájáruljon a társadalom és a vállalkozások digitális és környezeti átállásához.</w:t>
      </w:r>
    </w:p>
    <w:p w14:paraId="3FEE183C" w14:textId="77777777" w:rsidR="00DC5EC6" w:rsidRDefault="003245A4">
      <w:pPr>
        <w:pStyle w:val="P68B1DB1-Normal4"/>
        <w:spacing w:before="40" w:after="0" w:line="259" w:lineRule="auto"/>
        <w:jc w:val="both"/>
        <w:rPr>
          <w:rFonts w:eastAsiaTheme="minorEastAsia" w:cs="Times New Roman"/>
          <w:noProof/>
        </w:rPr>
      </w:pPr>
      <w:r>
        <w:rPr>
          <w:noProof/>
        </w:rPr>
        <w:t>A beruházás a következő három intézkedésből áll:</w:t>
      </w:r>
    </w:p>
    <w:p w14:paraId="2C249ACD" w14:textId="77777777" w:rsidR="00DC5EC6" w:rsidRDefault="003245A4">
      <w:pPr>
        <w:pStyle w:val="P68B1DB1-Normal4"/>
        <w:keepNext/>
        <w:numPr>
          <w:ilvl w:val="0"/>
          <w:numId w:val="34"/>
        </w:numPr>
        <w:spacing w:before="40" w:after="160" w:line="259" w:lineRule="auto"/>
        <w:contextualSpacing/>
        <w:jc w:val="both"/>
        <w:rPr>
          <w:rFonts w:eastAsiaTheme="minorEastAsia" w:cs="Times New Roman"/>
          <w:noProof/>
        </w:rPr>
      </w:pPr>
      <w:r>
        <w:rPr>
          <w:noProof/>
        </w:rPr>
        <w:t>„Számlázás dematerializálása”: egy olyan projekttel, amelynek célja a papírhasználat csökkentése egy digitális számlaküldő platformon keresztül;</w:t>
      </w:r>
    </w:p>
    <w:p w14:paraId="13537E9F" w14:textId="77777777" w:rsidR="00DC5EC6" w:rsidRDefault="003245A4">
      <w:pPr>
        <w:pStyle w:val="P68B1DB1-Normal4"/>
        <w:keepNext/>
        <w:numPr>
          <w:ilvl w:val="0"/>
          <w:numId w:val="34"/>
        </w:numPr>
        <w:spacing w:before="40" w:after="160" w:line="259" w:lineRule="auto"/>
        <w:contextualSpacing/>
        <w:jc w:val="both"/>
        <w:rPr>
          <w:rFonts w:eastAsiaTheme="minorEastAsia" w:cs="Times New Roman"/>
          <w:noProof/>
        </w:rPr>
      </w:pPr>
      <w:r>
        <w:rPr>
          <w:noProof/>
        </w:rPr>
        <w:t>„Kiberbiztonsági, adatvédelmi, használhatósági és fenntarthatósági tanúsítási pecsétek” – beruházás a következőkbe: négy új kiberbiztonsági, adatvédelmi, használhatósági és fenntarthatósági tanúsítási pecsét létrehozása; olyan platformok létrehozása, amelyek támogatják a folyamatban részt vevő valamennyi partner és szervezet közötti kommunikációt (valamint a program nyomon követése szempontjából releváns eljárási adatok előállítását); kampány a kezdeményezés terjesztésére és a megfelelőségértékelő testületek vagy a műszaki értékelést végző szervezetek szerepének megerősítésére, amelyek támogatják a tanúsítási bélyegzőket ezeken a területeken; és</w:t>
      </w:r>
    </w:p>
    <w:p w14:paraId="052D4C91" w14:textId="7B1A0935" w:rsidR="00DC5EC6" w:rsidRDefault="003245A4">
      <w:pPr>
        <w:pStyle w:val="P68B1DB1-Normal4"/>
        <w:keepNext/>
        <w:numPr>
          <w:ilvl w:val="0"/>
          <w:numId w:val="34"/>
        </w:numPr>
        <w:spacing w:before="40" w:after="160" w:line="259" w:lineRule="auto"/>
        <w:contextualSpacing/>
        <w:jc w:val="both"/>
        <w:rPr>
          <w:rFonts w:eastAsiaTheme="minorEastAsia" w:cs="Times New Roman"/>
          <w:noProof/>
        </w:rPr>
      </w:pPr>
      <w:r>
        <w:rPr>
          <w:noProof/>
        </w:rPr>
        <w:t>„Digitális innovációs központok”: olyan szolgáltatás, amely támogatja a vállalatokat és a közigazgatási szerveket abban, hogy versenyképesebbé váljanak a digitális szférában annak érdekében, hogy az automatizálás vagy a forradalmi technológiák beépítése révén javítsák termelési folyamataikat. Ennek a beruházásnak meg kell erősítenie és ki kell egészítenie a Digitális Európa program keretében már fejlesztés alatt álló hálózatot, hogy elérje a Portugáliában létrehozott 16 digitális innovációs központot.</w:t>
      </w:r>
    </w:p>
    <w:p w14:paraId="35DF0FFF" w14:textId="77777777" w:rsidR="00DC5EC6" w:rsidRDefault="003245A4">
      <w:pPr>
        <w:pStyle w:val="P68B1DB1-Normal4"/>
        <w:spacing w:before="40" w:after="0" w:line="259" w:lineRule="auto"/>
        <w:jc w:val="both"/>
        <w:rPr>
          <w:rFonts w:eastAsiaTheme="minorEastAsia" w:cs="Times New Roman"/>
          <w:noProof/>
        </w:rPr>
      </w:pPr>
      <w:r>
        <w:rPr>
          <w:noProof/>
        </w:rPr>
        <w:t>A digitális innovációs központok létrehozásával és a digitális innovációs központok által támogatott kedvezményezettek kiválasztásával kapcsolatos pályázatok esetében – annak biztosítása érdekében, hogy az intézkedés megfeleljen a jelentős károkozás elkerülését célzó elvről szóló technikai iránymutatásnak (2021/C58/01) – a soron következő pályázati felhívásokra vonatkozó feladatmeghatározásban foglalt támogathatósági kritériumok nem tartalmazzák a tevékenységek alábbi listáját: a fosszilis tüzelőanyagokhoz kapcsolódó tevékenységek, beleértve a továbbfelhasználást is</w:t>
      </w:r>
      <w:r>
        <w:rPr>
          <w:noProof/>
        </w:rPr>
        <w:footnoteReference w:id="60"/>
      </w:r>
      <w:r>
        <w:rPr>
          <w:noProof/>
        </w:rPr>
        <w:t>; az uniós kibocsátáskereskedelmi rendszer (ETS) keretében végzett tevékenységek, amelyek a vonatkozó referenciaértékeknél nem alacsonyabb várható üvegházhatásúgáz-kibocsátást érnek el</w:t>
      </w:r>
      <w:r>
        <w:rPr>
          <w:noProof/>
        </w:rPr>
        <w:footnoteReference w:id="61"/>
      </w:r>
      <w:r>
        <w:rPr>
          <w:noProof/>
        </w:rPr>
        <w:t>; hulladéklerakókkal, hulladékégetőkkel</w:t>
      </w:r>
      <w:r>
        <w:rPr>
          <w:noProof/>
        </w:rPr>
        <w:footnoteReference w:id="62"/>
      </w:r>
      <w:r>
        <w:rPr>
          <w:noProof/>
        </w:rPr>
        <w:t xml:space="preserve"> és mechanikai-biológiai szennyvíztisztító telepekkel kapcsolatos tevékenységek</w:t>
      </w:r>
      <w:r>
        <w:rPr>
          <w:noProof/>
        </w:rPr>
        <w:footnoteReference w:id="63"/>
      </w:r>
      <w:r>
        <w:rPr>
          <w:noProof/>
        </w:rPr>
        <w:t>; és iv. olyan tevékenységek, amelyek esetében a hulladék hosszú távú ártalmatlanítása károsíthatja a környezetet. A feladatmeghatározás emellett előírja, hogy csak a vonatkozó uniós és nemzeti környezetvédelmi jogszabályoknak megfelelő tevékenységek választhatók ki.</w:t>
      </w:r>
    </w:p>
    <w:p w14:paraId="0B19FF08" w14:textId="77777777" w:rsidR="00DC5EC6" w:rsidRDefault="003245A4">
      <w:pPr>
        <w:pStyle w:val="P68B1DB1-Normal4"/>
        <w:spacing w:before="40" w:after="0" w:line="259" w:lineRule="auto"/>
        <w:jc w:val="both"/>
        <w:rPr>
          <w:rFonts w:eastAsiaTheme="minorEastAsia" w:cs="Times New Roman"/>
          <w:noProof/>
        </w:rPr>
      </w:pPr>
      <w:r>
        <w:rPr>
          <w:noProof/>
        </w:rPr>
        <w:t>A beruházás végrehajtását 2025. december 31-ig be kell fejezni.</w:t>
      </w:r>
    </w:p>
    <w:p w14:paraId="5085FC73" w14:textId="1BD6ADCA" w:rsidR="00DC5EC6" w:rsidRDefault="003245A4">
      <w:pPr>
        <w:pStyle w:val="P68B1DB1-Normal5"/>
        <w:spacing w:before="240" w:after="0" w:line="259" w:lineRule="auto"/>
        <w:ind w:left="851"/>
        <w:jc w:val="both"/>
        <w:outlineLvl w:val="2"/>
        <w:rPr>
          <w:rFonts w:eastAsiaTheme="minorEastAsia" w:cs="Times New Roman"/>
          <w:noProof/>
        </w:rPr>
      </w:pPr>
      <w:r>
        <w:rPr>
          <w:noProof/>
        </w:rPr>
        <w:t xml:space="preserve">Beruházás TD-C16–i04: </w:t>
      </w:r>
      <w:bookmarkStart w:id="29" w:name="_Toc137472467"/>
      <w:r>
        <w:rPr>
          <w:noProof/>
        </w:rPr>
        <w:t>Ipar 4.0</w:t>
      </w:r>
      <w:bookmarkEnd w:id="29"/>
    </w:p>
    <w:p w14:paraId="3F32B16D" w14:textId="77777777" w:rsidR="00DC5EC6" w:rsidRDefault="003245A4">
      <w:pPr>
        <w:pStyle w:val="P68B1DB1-Normal4"/>
        <w:spacing w:after="0"/>
        <w:jc w:val="both"/>
        <w:rPr>
          <w:rFonts w:cs="Times New Roman"/>
          <w:noProof/>
        </w:rPr>
      </w:pPr>
      <w:r>
        <w:rPr>
          <w:noProof/>
        </w:rPr>
        <w:t xml:space="preserve">Az intézkedések célja az ipari kutatás, a kísérleti fejlesztés, a szervezeti és folyamatinnovációs projektek támogatása, a vállalatok digitális átalakulásának előmozdítása és ezáltal környezeti fenntarthatóságuk javítása. </w:t>
      </w:r>
    </w:p>
    <w:p w14:paraId="16CD80C9" w14:textId="77233703" w:rsidR="00DC5EC6" w:rsidRDefault="003245A4">
      <w:pPr>
        <w:pStyle w:val="P68B1DB1-Normal4"/>
        <w:spacing w:after="0"/>
        <w:jc w:val="both"/>
        <w:rPr>
          <w:rFonts w:cs="Times New Roman"/>
          <w:noProof/>
        </w:rPr>
      </w:pPr>
      <w:r>
        <w:rPr>
          <w:noProof/>
        </w:rPr>
        <w:t>Ez az intézkedés 200 olyan beruházási projektet támogat, amelyek az alábbi cselekvési területek legalább egyikébe tartoznak:</w:t>
      </w:r>
    </w:p>
    <w:p w14:paraId="64D25EDB" w14:textId="77777777" w:rsidR="00DC5EC6" w:rsidRDefault="003245A4">
      <w:pPr>
        <w:pStyle w:val="P68B1DB1-Normal4"/>
        <w:spacing w:after="0"/>
        <w:ind w:left="720"/>
        <w:jc w:val="both"/>
        <w:rPr>
          <w:rFonts w:cs="Times New Roman"/>
          <w:noProof/>
        </w:rPr>
      </w:pPr>
      <w:r>
        <w:rPr>
          <w:noProof/>
        </w:rPr>
        <w:t>1.</w:t>
      </w:r>
      <w:r>
        <w:rPr>
          <w:noProof/>
        </w:rPr>
        <w:tab/>
        <w:t>Az operatív folyamatok digitális átállása, beleértve a termelést és a logisztikai irányítást és tervezést.</w:t>
      </w:r>
    </w:p>
    <w:p w14:paraId="758DEE78" w14:textId="77777777" w:rsidR="00DC5EC6" w:rsidRDefault="003245A4">
      <w:pPr>
        <w:pStyle w:val="P68B1DB1-Normal4"/>
        <w:spacing w:after="0"/>
        <w:ind w:left="720"/>
        <w:jc w:val="both"/>
        <w:rPr>
          <w:rFonts w:cs="Times New Roman"/>
          <w:noProof/>
        </w:rPr>
      </w:pPr>
      <w:r>
        <w:rPr>
          <w:noProof/>
        </w:rPr>
        <w:t>2.</w:t>
      </w:r>
      <w:r>
        <w:rPr>
          <w:noProof/>
        </w:rPr>
        <w:tab/>
        <w:t>Fejlett adattárolási, -kezelési és -feldolgozási megoldások.</w:t>
      </w:r>
    </w:p>
    <w:p w14:paraId="6102558C" w14:textId="77777777" w:rsidR="00DC5EC6" w:rsidRDefault="003245A4">
      <w:pPr>
        <w:pStyle w:val="P68B1DB1-Normal4"/>
        <w:spacing w:after="0"/>
        <w:ind w:left="720"/>
        <w:jc w:val="both"/>
        <w:rPr>
          <w:rFonts w:cs="Times New Roman"/>
          <w:noProof/>
        </w:rPr>
      </w:pPr>
      <w:r>
        <w:rPr>
          <w:noProof/>
        </w:rPr>
        <w:t>3.</w:t>
      </w:r>
      <w:r>
        <w:rPr>
          <w:noProof/>
        </w:rPr>
        <w:tab/>
        <w:t>A gyártási folyamatban alkalmazott mesterségesintelligencia-megoldások.</w:t>
      </w:r>
    </w:p>
    <w:p w14:paraId="3198C1B0" w14:textId="729CD56A" w:rsidR="00DC5EC6" w:rsidRDefault="003245A4">
      <w:pPr>
        <w:spacing w:after="0"/>
        <w:ind w:left="72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Digitális ábrázolások és virtuális modellezés (digitális ikermodellek), szimuláció és ipari modellezés.</w:t>
      </w:r>
    </w:p>
    <w:p w14:paraId="4C4B5102" w14:textId="77777777" w:rsidR="00DC5EC6" w:rsidRDefault="003245A4">
      <w:pPr>
        <w:pStyle w:val="P68B1DB1-Normal4"/>
        <w:spacing w:after="0"/>
        <w:ind w:left="720"/>
        <w:jc w:val="both"/>
        <w:rPr>
          <w:rFonts w:cs="Times New Roman"/>
          <w:noProof/>
        </w:rPr>
      </w:pPr>
      <w:r>
        <w:rPr>
          <w:noProof/>
        </w:rPr>
        <w:t>5.</w:t>
      </w:r>
      <w:r>
        <w:rPr>
          <w:noProof/>
        </w:rPr>
        <w:tab/>
        <w:t>Vázlat és additív gyártás.</w:t>
      </w:r>
    </w:p>
    <w:p w14:paraId="006F8BED" w14:textId="77777777" w:rsidR="00DC5EC6" w:rsidRDefault="003245A4">
      <w:pPr>
        <w:pStyle w:val="P68B1DB1-Normal4"/>
        <w:spacing w:after="0"/>
        <w:ind w:left="720"/>
        <w:jc w:val="both"/>
        <w:rPr>
          <w:rFonts w:cs="Times New Roman"/>
          <w:noProof/>
        </w:rPr>
      </w:pPr>
      <w:r>
        <w:rPr>
          <w:noProof/>
        </w:rPr>
        <w:t>6.</w:t>
      </w:r>
      <w:r>
        <w:rPr>
          <w:noProof/>
        </w:rPr>
        <w:tab/>
        <w:t>Kiterjesztett valósággal kapcsolatos projektek, virtuális valóság és a folyamatokban alkalmazott mesterséges jövőkép.</w:t>
      </w:r>
    </w:p>
    <w:p w14:paraId="5257C08A" w14:textId="77777777" w:rsidR="00DC5EC6" w:rsidRDefault="003245A4">
      <w:pPr>
        <w:pStyle w:val="P68B1DB1-Normal4"/>
        <w:spacing w:after="0"/>
        <w:ind w:left="720"/>
        <w:jc w:val="both"/>
        <w:rPr>
          <w:rFonts w:cs="Times New Roman"/>
          <w:noProof/>
        </w:rPr>
      </w:pPr>
      <w:r>
        <w:rPr>
          <w:noProof/>
        </w:rPr>
        <w:t>7.</w:t>
      </w:r>
      <w:r>
        <w:rPr>
          <w:noProof/>
        </w:rPr>
        <w:tab/>
        <w:t>Együttműködésen alapuló és kognitív robotika, ember-gép interfész, kiberfizikai rendszerek.</w:t>
      </w:r>
    </w:p>
    <w:p w14:paraId="0B8245E1" w14:textId="26E5916E" w:rsidR="00DC5EC6" w:rsidRDefault="003245A4">
      <w:pPr>
        <w:spacing w:after="0"/>
        <w:ind w:left="72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Szenzorok és fejlett elektronika, a dolgok internete, felhőalapú és peremmegoldások.</w:t>
      </w:r>
    </w:p>
    <w:p w14:paraId="1FBF7C37" w14:textId="77777777" w:rsidR="00DC5EC6" w:rsidRDefault="003245A4">
      <w:pPr>
        <w:pStyle w:val="P68B1DB1-Normal4"/>
        <w:spacing w:after="0"/>
        <w:ind w:left="720"/>
        <w:jc w:val="both"/>
        <w:rPr>
          <w:rFonts w:cs="Times New Roman"/>
          <w:noProof/>
        </w:rPr>
      </w:pPr>
      <w:r>
        <w:rPr>
          <w:noProof/>
        </w:rPr>
        <w:t>9.</w:t>
      </w:r>
      <w:r>
        <w:rPr>
          <w:noProof/>
        </w:rPr>
        <w:tab/>
        <w:t>Folyamatokhoz kapcsolódó hálózati, kommunikációs és fejlett számítástechnikai infrastruktúrák.</w:t>
      </w:r>
    </w:p>
    <w:p w14:paraId="100D1BA8" w14:textId="77777777" w:rsidR="00DC5EC6" w:rsidRDefault="003245A4">
      <w:pPr>
        <w:pStyle w:val="P68B1DB1-Normal4"/>
        <w:spacing w:after="0"/>
        <w:ind w:left="720"/>
        <w:jc w:val="both"/>
        <w:rPr>
          <w:rFonts w:cs="Times New Roman"/>
          <w:noProof/>
        </w:rPr>
      </w:pPr>
      <w:r>
        <w:rPr>
          <w:noProof/>
        </w:rPr>
        <w:t>10.</w:t>
      </w:r>
      <w:r>
        <w:rPr>
          <w:noProof/>
        </w:rPr>
        <w:tab/>
        <w:t>Innovatív szoftverek, rendszerek interoperabilitása.</w:t>
      </w:r>
    </w:p>
    <w:p w14:paraId="61EAAF0E" w14:textId="09B532F8" w:rsidR="00DC5EC6" w:rsidRDefault="003245A4">
      <w:pPr>
        <w:pStyle w:val="P68B1DB1-Normal4"/>
        <w:spacing w:after="0"/>
        <w:jc w:val="both"/>
        <w:rPr>
          <w:rFonts w:cs="Times New Roman"/>
          <w:noProof/>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64"/>
      </w:r>
      <w:r>
        <w:rPr>
          <w:noProof/>
        </w:rPr>
        <w:t>; az uniós kibocsátáskereskedelmi rendszer (ETS) keretében végzett tevékenységek, amelyek a vonatkozó referenciaértékeknél nem alacsonyabb várható üvegházhatásúgáz-kibocsátást érnek el</w:t>
      </w:r>
      <w:r>
        <w:rPr>
          <w:noProof/>
        </w:rPr>
        <w:footnoteReference w:id="65"/>
      </w:r>
      <w:r>
        <w:rPr>
          <w:noProof/>
        </w:rPr>
        <w:t>; hulladéklerakókkal, hulladékégetőkkel</w:t>
      </w:r>
      <w:r>
        <w:rPr>
          <w:noProof/>
        </w:rPr>
        <w:footnoteReference w:id="66"/>
      </w:r>
      <w:r>
        <w:rPr>
          <w:noProof/>
        </w:rPr>
        <w:t xml:space="preserve"> és mechanikai-biológiai szennyvíztisztító telepekkel kapcsolatos tevékenységek</w:t>
      </w:r>
      <w:r>
        <w:rPr>
          <w:noProof/>
        </w:rPr>
        <w:footnoteReference w:id="67"/>
      </w:r>
      <w:r>
        <w:rPr>
          <w:noProof/>
        </w:rPr>
        <w:t>. A feladatmeghatározás emellett előírja, hogy csak a vonatkozó uniós és nemzeti környezetvédelmi jogszabályoknak megfelelő tevékenységek választhatók ki.</w:t>
      </w:r>
    </w:p>
    <w:p w14:paraId="6102D899" w14:textId="33A71017" w:rsidR="00DC5EC6" w:rsidRDefault="003245A4">
      <w:pPr>
        <w:pStyle w:val="P68B1DB1-Normal4"/>
        <w:jc w:val="both"/>
        <w:rPr>
          <w:rFonts w:cs="Times New Roman"/>
          <w:noProof/>
        </w:rPr>
      </w:pPr>
      <w:r>
        <w:rPr>
          <w:noProof/>
        </w:rPr>
        <w:t>A beruházás végrehajtását 2025. december 31-ig be kell fejezni.</w:t>
      </w:r>
    </w:p>
    <w:p w14:paraId="0DED3033" w14:textId="15D5D742" w:rsidR="00DC5EC6" w:rsidRDefault="003245A4">
      <w:pPr>
        <w:pStyle w:val="P68B1DB1-Heading214"/>
        <w:spacing w:before="240"/>
        <w:rPr>
          <w:noProof/>
        </w:rPr>
      </w:pPr>
      <w:bookmarkStart w:id="30" w:name="_Toc137472468"/>
      <w:r>
        <w:rPr>
          <w:noProof/>
        </w:rPr>
        <w:t>Beruházás TD-C16-i05-RAA: Digitális kapacitás és a vállalkozások átalakítása az Azori-szigeteken</w:t>
      </w:r>
      <w:bookmarkEnd w:id="30"/>
    </w:p>
    <w:p w14:paraId="5F5ED56A" w14:textId="77777777" w:rsidR="00DC5EC6" w:rsidRDefault="003245A4">
      <w:pPr>
        <w:pStyle w:val="P68B1DB1-Normal4"/>
        <w:spacing w:before="40" w:after="0" w:line="22" w:lineRule="atLeast"/>
        <w:jc w:val="both"/>
        <w:rPr>
          <w:rFonts w:cs="Times New Roman"/>
          <w:noProof/>
        </w:rPr>
      </w:pPr>
      <w:r>
        <w:rPr>
          <w:noProof/>
        </w:rPr>
        <w:t>Az intézkedés célja a digitális átállást ösztönző rendszer létrehozásának finanszírozása az Azori-szigeteken működő vállalkozások számára, valamint a számítástechnikai és hálózati berendezések, valamint az Azori-szigetek tudományos és technológiai parkjainak bővítése.</w:t>
      </w:r>
    </w:p>
    <w:p w14:paraId="542E28E3" w14:textId="77777777" w:rsidR="00DC5EC6" w:rsidRDefault="003245A4">
      <w:pPr>
        <w:pStyle w:val="P68B1DB1-Normal4"/>
        <w:spacing w:before="40" w:after="0" w:line="22" w:lineRule="atLeast"/>
        <w:jc w:val="both"/>
        <w:rPr>
          <w:rFonts w:cs="Times New Roman"/>
          <w:noProof/>
        </w:rPr>
      </w:pPr>
      <w:r>
        <w:rPr>
          <w:noProof/>
        </w:rPr>
        <w:t>A vállalkozások digitális átállását ösztönző rendszer célja, hogy támogassa a regionális vállalkozásokat a digitális technológiák adaptálásában és integrálásában, többek között az irányításra, az e-kereskedelemre, az automatizálási eszközökre, a kiberbiztonság megerősítésére, a mesterséges intelligenciára és a dolgok internetére összpontosító intézkedésekkel.</w:t>
      </w:r>
    </w:p>
    <w:p w14:paraId="09E35D17" w14:textId="77777777" w:rsidR="00DC5EC6" w:rsidRDefault="003245A4">
      <w:pPr>
        <w:pStyle w:val="P68B1DB1-Normal4"/>
        <w:spacing w:before="40" w:after="0" w:line="22" w:lineRule="atLeast"/>
        <w:jc w:val="both"/>
        <w:rPr>
          <w:rFonts w:cs="Times New Roman"/>
          <w:noProof/>
        </w:rPr>
      </w:pPr>
      <w:r>
        <w:rPr>
          <w:noProof/>
        </w:rPr>
        <w:t>Az Azori-szigetek tudományos és technológiai parkjaiba (Nonagon és Terinov) történő beruházás célja a régió vállalkozói ökoszisztémájának logisztikai és technológiai feltételeinek támogatása. E beruházás célja, hogy hozzájáruljon a technológiaalapú gazdaság fejlesztéséhez a stratégiai ágazatokban, lehetővé téve a know-how-t, valamint javítva az e parkok által nyújtott szolgáltatások minőségét és megbízhatóságát.</w:t>
      </w:r>
    </w:p>
    <w:p w14:paraId="5A449590" w14:textId="77777777" w:rsidR="00DC5EC6" w:rsidRDefault="003245A4">
      <w:pPr>
        <w:pStyle w:val="P68B1DB1-Normal4"/>
        <w:spacing w:before="40" w:after="0" w:line="22" w:lineRule="atLeast"/>
        <w:jc w:val="both"/>
        <w:rPr>
          <w:rFonts w:cs="Times New Roman"/>
          <w:noProof/>
        </w:rPr>
      </w:pPr>
      <w:r>
        <w:rPr>
          <w:noProof/>
        </w:rPr>
        <w:t>A vállalkozások digitális átállását ösztönző rendszer három cselekvési irányvonal köré szerveződik, és a támogatható projekteknek legalább az egyikhez hozzá kell járulniuk:</w:t>
      </w:r>
    </w:p>
    <w:p w14:paraId="142AA256" w14:textId="77777777" w:rsidR="00DC5EC6" w:rsidRDefault="003245A4">
      <w:pPr>
        <w:pStyle w:val="ListParagraph"/>
        <w:keepNext w:val="0"/>
        <w:numPr>
          <w:ilvl w:val="0"/>
          <w:numId w:val="74"/>
        </w:numPr>
        <w:spacing w:before="40" w:after="0" w:line="22" w:lineRule="atLeast"/>
        <w:rPr>
          <w:noProof/>
        </w:rPr>
      </w:pPr>
      <w:r>
        <w:rPr>
          <w:noProof/>
        </w:rPr>
        <w:t>Cselekvési irányvonal – a regionális vállalkozások támogatása az olyan digitális technológiák adaptálásában és integrálásában, amelyek növelik a versenyképességet, javítják a termelékenységet, fellendítik az innovációt és csökkentik az üzleti folyamatok költségeit.</w:t>
      </w:r>
    </w:p>
    <w:p w14:paraId="42A27BBC" w14:textId="77777777" w:rsidR="00DC5EC6" w:rsidRDefault="003245A4">
      <w:pPr>
        <w:pStyle w:val="ListParagraph"/>
        <w:keepNext w:val="0"/>
        <w:numPr>
          <w:ilvl w:val="0"/>
          <w:numId w:val="74"/>
        </w:numPr>
        <w:spacing w:before="40" w:after="0" w:line="22" w:lineRule="atLeast"/>
        <w:rPr>
          <w:noProof/>
        </w:rPr>
      </w:pPr>
      <w:r>
        <w:rPr>
          <w:noProof/>
        </w:rPr>
        <w:t>Cselekvési irányvonal – az azori-szigeteki vállalatok számára annak lehetővé tétele, hogy szaktanácsadási szolgáltatásokat vegyenek igénybe az üzleti folyamatok felgyorsításának és a kiberbiztonsági módszereknek a végrehajtásához.</w:t>
      </w:r>
    </w:p>
    <w:p w14:paraId="6E71A181" w14:textId="77777777" w:rsidR="00DC5EC6" w:rsidRDefault="003245A4">
      <w:pPr>
        <w:pStyle w:val="ListParagraph"/>
        <w:keepNext w:val="0"/>
        <w:numPr>
          <w:ilvl w:val="0"/>
          <w:numId w:val="74"/>
        </w:numPr>
        <w:spacing w:before="40" w:after="0" w:line="22" w:lineRule="atLeast"/>
        <w:rPr>
          <w:noProof/>
        </w:rPr>
      </w:pPr>
      <w:r>
        <w:rPr>
          <w:noProof/>
        </w:rPr>
        <w:t>Cselekvési irányvonal – az azori-szigeteki vállalatok közötti szinergiák előmozdítása érdekében az állami vagy magánszervezetek által szervezett tematikus rendezvények támogatása a technológiai megoldások, eszközök, módszerek és bevált gyakorlatok megosztása révén.</w:t>
      </w:r>
    </w:p>
    <w:p w14:paraId="184DB346" w14:textId="77777777" w:rsidR="00DC5EC6" w:rsidRDefault="003245A4">
      <w:pPr>
        <w:pStyle w:val="P68B1DB1-Normal4"/>
        <w:spacing w:before="40" w:after="0" w:line="22" w:lineRule="atLeast"/>
        <w:jc w:val="both"/>
        <w:rPr>
          <w:rFonts w:cs="Times New Roman"/>
          <w:noProof/>
        </w:rPr>
      </w:pPr>
      <w:r>
        <w:rPr>
          <w:noProof/>
        </w:rPr>
        <w:t>A tudományos és technológiai parkokba történő beruházás új hálózati és számítástechnikai infrastrukturális eszközöket (hardvereket) biztosít a Nonangon Tudományos és Technológiai Parkban, valamint új energiahatékony épület építését a Terinov Tudományos és Technológiai Parkban.</w:t>
      </w:r>
    </w:p>
    <w:p w14:paraId="63A80828" w14:textId="089A50CF" w:rsidR="00DC5EC6" w:rsidRDefault="003245A4">
      <w:pPr>
        <w:pStyle w:val="P68B1DB1-Normal4"/>
        <w:spacing w:before="40" w:after="0" w:line="22" w:lineRule="atLeast"/>
        <w:jc w:val="both"/>
        <w:rPr>
          <w:rFonts w:cs="Times New Roman"/>
          <w:noProof/>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68"/>
      </w:r>
      <w:r>
        <w:rPr>
          <w:noProof/>
        </w:rPr>
        <w:t>; az uniós kibocsátáskereskedelmi rendszer (ETS) keretében végzett tevékenységek, amelyek a vonatkozó referenciaértékeknél nem alacsonyabb várható üvegházhatásúgáz-kibocsátást érnek el</w:t>
      </w:r>
      <w:r>
        <w:rPr>
          <w:noProof/>
        </w:rPr>
        <w:footnoteReference w:id="69"/>
      </w:r>
      <w:r>
        <w:rPr>
          <w:noProof/>
        </w:rPr>
        <w:t>; hulladéklerakókkal, hulladékégetőkkel</w:t>
      </w:r>
      <w:r>
        <w:rPr>
          <w:noProof/>
        </w:rPr>
        <w:footnoteReference w:id="70"/>
      </w:r>
      <w:r>
        <w:rPr>
          <w:noProof/>
        </w:rPr>
        <w:t xml:space="preserve"> és mechanikai-biológiai szennyvíztisztító telepekkel kapcsolatos tevékenységek</w:t>
      </w:r>
      <w:r>
        <w:rPr>
          <w:noProof/>
        </w:rPr>
        <w:footnoteReference w:id="71"/>
      </w:r>
      <w:r>
        <w:rPr>
          <w:noProof/>
        </w:rPr>
        <w:t>. A feladatmeghatározás emellett előírja, hogy csak a vonatkozó uniós és nemzeti környezetvédelmi jogszabályoknak megfelelő tevékenységek választhatók ki.</w:t>
      </w:r>
    </w:p>
    <w:p w14:paraId="05CDA0AA" w14:textId="77777777" w:rsidR="00DC5EC6" w:rsidRDefault="003245A4">
      <w:pPr>
        <w:pStyle w:val="P68B1DB1-Normal4"/>
        <w:spacing w:before="40" w:after="0" w:line="22" w:lineRule="atLeast"/>
        <w:jc w:val="both"/>
        <w:rPr>
          <w:rFonts w:cs="Times New Roman"/>
          <w:noProof/>
          <w:highlight w:val="green"/>
        </w:rPr>
      </w:pPr>
      <w:r>
        <w:rPr>
          <w:noProof/>
        </w:rPr>
        <w:t>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p w14:paraId="61377CD4" w14:textId="77777777" w:rsidR="00DC5EC6" w:rsidRDefault="003245A4">
      <w:pPr>
        <w:pStyle w:val="P68B1DB1-Normal4"/>
        <w:spacing w:before="40" w:after="0" w:line="22" w:lineRule="atLeast"/>
        <w:jc w:val="both"/>
        <w:rPr>
          <w:rFonts w:cs="Times New Roman"/>
          <w:noProof/>
        </w:rPr>
      </w:pPr>
      <w:r>
        <w:rPr>
          <w:noProof/>
        </w:rPr>
        <w:t>A beruházás végrehajtását 2026. augusztus 31-ig be kell fejezni.</w:t>
      </w:r>
    </w:p>
    <w:p w14:paraId="28BCB725" w14:textId="47AFAD48" w:rsidR="00DC5EC6" w:rsidRDefault="003245A4">
      <w:pPr>
        <w:pStyle w:val="P68B1DB1-Heading214"/>
        <w:spacing w:before="240"/>
        <w:rPr>
          <w:noProof/>
        </w:rPr>
      </w:pPr>
      <w:bookmarkStart w:id="31" w:name="_Toc137472469"/>
      <w:r>
        <w:rPr>
          <w:noProof/>
        </w:rPr>
        <w:t>Beruházás TD-C16-i06-RAM: Vállalkozás 4.0</w:t>
      </w:r>
      <w:bookmarkEnd w:id="31"/>
    </w:p>
    <w:p w14:paraId="6ACAD005" w14:textId="77777777" w:rsidR="00DC5EC6" w:rsidRDefault="003245A4">
      <w:pPr>
        <w:pStyle w:val="P68B1DB1-Normal4"/>
        <w:spacing w:before="40" w:after="0" w:line="22" w:lineRule="atLeast"/>
        <w:jc w:val="both"/>
        <w:rPr>
          <w:rFonts w:cs="Times New Roman"/>
          <w:noProof/>
        </w:rPr>
      </w:pPr>
      <w:r>
        <w:rPr>
          <w:noProof/>
        </w:rPr>
        <w:t xml:space="preserve">Az intézkedés célja, hogy hozzájáruljon Madeira autonóm régió kkv-i üzleti modelljeinek átalakításához azzal a céllal, hogy digitálisabbá, versenyképesebbé és reziliensebbé váljon. </w:t>
      </w:r>
    </w:p>
    <w:p w14:paraId="019B37E5" w14:textId="77777777" w:rsidR="00DC5EC6" w:rsidRDefault="003245A4">
      <w:pPr>
        <w:pStyle w:val="P68B1DB1-Normal4"/>
        <w:spacing w:before="40" w:after="0" w:line="22" w:lineRule="atLeast"/>
        <w:jc w:val="both"/>
        <w:rPr>
          <w:rFonts w:cs="Times New Roman"/>
          <w:noProof/>
        </w:rPr>
      </w:pPr>
      <w:r>
        <w:rPr>
          <w:noProof/>
        </w:rPr>
        <w:t>Az intézkedés a következő két területen támogatja a beruházásokat:</w:t>
      </w:r>
    </w:p>
    <w:p w14:paraId="3ABC0B35" w14:textId="77777777" w:rsidR="00DC5EC6" w:rsidRDefault="003245A4">
      <w:pPr>
        <w:pStyle w:val="ListParagraph"/>
        <w:keepNext w:val="0"/>
        <w:numPr>
          <w:ilvl w:val="0"/>
          <w:numId w:val="74"/>
        </w:numPr>
        <w:spacing w:before="40" w:after="0" w:line="22" w:lineRule="atLeast"/>
        <w:rPr>
          <w:noProof/>
        </w:rPr>
      </w:pPr>
      <w:r>
        <w:rPr>
          <w:noProof/>
        </w:rPr>
        <w:t>Tárgyi eszközök, beleértve a digitális átállásba való beruházáshoz közvetlenül kapcsolódó gépek és berendezések beszerzését, valamint a projekt fejlesztéséhez közvetlenül kapcsolódó informatikai berendezések – többek között a működéséhez szükséges szoftverek – beszerzését.</w:t>
      </w:r>
    </w:p>
    <w:p w14:paraId="5B06C0E0" w14:textId="77777777" w:rsidR="00DC5EC6" w:rsidRDefault="003245A4">
      <w:pPr>
        <w:pStyle w:val="ListParagraph"/>
        <w:keepNext w:val="0"/>
        <w:numPr>
          <w:ilvl w:val="0"/>
          <w:numId w:val="74"/>
        </w:numPr>
        <w:spacing w:before="40" w:after="0" w:line="22" w:lineRule="atLeast"/>
        <w:rPr>
          <w:noProof/>
        </w:rPr>
      </w:pPr>
      <w:r>
        <w:rPr>
          <w:noProof/>
        </w:rPr>
        <w:t>Immateriális javak, beleértve a szabadalmi jogok és a szabványosított vagy speciálisan kifejlesztett szoftverek megszerzésén keresztül történő technológiaátadást.</w:t>
      </w:r>
    </w:p>
    <w:p w14:paraId="1727DD62" w14:textId="0C896F62" w:rsidR="00DC5EC6" w:rsidRDefault="003245A4">
      <w:pPr>
        <w:pStyle w:val="P68B1DB1-Normal4"/>
        <w:spacing w:before="40" w:after="0" w:line="22" w:lineRule="atLeast"/>
        <w:jc w:val="both"/>
        <w:rPr>
          <w:rFonts w:cs="Times New Roman"/>
          <w:noProof/>
        </w:rPr>
      </w:pPr>
      <w:r>
        <w:rPr>
          <w:noProof/>
        </w:rPr>
        <w:t>Az ajánlatok esetében annak biztosítása érdekében, hogy az intézkedés megfeleljen a jelentős károkozás elkerülését célzó elvről szóló technikai iránymutatásnak (2021/C58/01) a soron következő pályázati felhívásokra vonatkozó feladatmeghatározásban foglalt támogathatósági kritériumokból ki kell zárni a tevékenységek alábbi listáját: a fosszilis tüzelőanyagokhoz kapcsolódó tevékenységek, beleértve a továbbfelhasználást is</w:t>
      </w:r>
      <w:r>
        <w:rPr>
          <w:noProof/>
        </w:rPr>
        <w:footnoteReference w:id="72"/>
      </w:r>
      <w:r>
        <w:rPr>
          <w:noProof/>
        </w:rPr>
        <w:t>; az uniós kibocsátáskereskedelmi rendszer (ETS) keretében végzett tevékenységek, amelyek a vonatkozó referenciaértékeknél nem alacsonyabb várható üvegházhatásúgáz-kibocsátást érnek el</w:t>
      </w:r>
      <w:r>
        <w:rPr>
          <w:noProof/>
        </w:rPr>
        <w:footnoteReference w:id="73"/>
      </w:r>
      <w:r>
        <w:rPr>
          <w:noProof/>
        </w:rPr>
        <w:t>; hulladéklerakókkal, hulladékégetőkkel</w:t>
      </w:r>
      <w:r>
        <w:rPr>
          <w:noProof/>
        </w:rPr>
        <w:footnoteReference w:id="74"/>
      </w:r>
      <w:r>
        <w:rPr>
          <w:noProof/>
        </w:rPr>
        <w:t xml:space="preserve"> és mechanikai-biológiai szennyvíztisztító telepekkel kapcsolatos tevékenységek</w:t>
      </w:r>
      <w:r>
        <w:rPr>
          <w:noProof/>
        </w:rPr>
        <w:footnoteReference w:id="75"/>
      </w:r>
      <w:r>
        <w:rPr>
          <w:noProof/>
        </w:rPr>
        <w:t>. A feladatmeghatározás emellett előírja, hogy csak a vonatkozó uniós és nemzeti környezetvédelmi jogszabályoknak megfelelő tevékenységek választhatók ki.</w:t>
      </w:r>
    </w:p>
    <w:p w14:paraId="048368EF" w14:textId="77777777" w:rsidR="00DC5EC6" w:rsidRDefault="003245A4">
      <w:pPr>
        <w:pStyle w:val="P68B1DB1-Normal4"/>
        <w:spacing w:before="40" w:after="0" w:line="22" w:lineRule="atLeast"/>
        <w:jc w:val="both"/>
        <w:rPr>
          <w:rFonts w:cs="Times New Roman"/>
          <w:noProof/>
        </w:rPr>
      </w:pPr>
      <w:r>
        <w:rPr>
          <w:noProof/>
        </w:rPr>
        <w:t>A beruházás végrehajtását 2025. december 31-ig be kell fejezni.</w:t>
      </w:r>
    </w:p>
    <w:p w14:paraId="164509CF" w14:textId="77777777" w:rsidR="00DC5EC6" w:rsidRDefault="00DC5EC6">
      <w:pPr>
        <w:spacing w:before="40" w:after="0" w:line="259" w:lineRule="auto"/>
        <w:jc w:val="both"/>
        <w:rPr>
          <w:rFonts w:ascii="Times New Roman" w:eastAsiaTheme="minorEastAsia" w:hAnsi="Times New Roman" w:cs="Times New Roman"/>
          <w:noProof/>
          <w:sz w:val="24"/>
        </w:rPr>
      </w:pPr>
    </w:p>
    <w:p w14:paraId="362ADC30" w14:textId="079570EE" w:rsidR="00DC5EC6" w:rsidRDefault="00DC5EC6">
      <w:pPr>
        <w:spacing w:before="40" w:after="0" w:line="259" w:lineRule="auto"/>
        <w:jc w:val="both"/>
        <w:rPr>
          <w:rFonts w:ascii="Times New Roman" w:eastAsiaTheme="minorEastAsia" w:hAnsi="Times New Roman" w:cs="Times New Roman"/>
          <w:noProof/>
          <w:sz w:val="24"/>
        </w:rPr>
        <w:sectPr w:rsidR="00DC5EC6" w:rsidSect="00E00EDD">
          <w:headerReference w:type="even" r:id="rId306"/>
          <w:headerReference w:type="default" r:id="rId307"/>
          <w:footerReference w:type="even" r:id="rId308"/>
          <w:footerReference w:type="default" r:id="rId309"/>
          <w:headerReference w:type="first" r:id="rId310"/>
          <w:footerReference w:type="first" r:id="rId311"/>
          <w:pgSz w:w="11907" w:h="16839"/>
          <w:pgMar w:top="1134" w:right="1134" w:bottom="1134" w:left="1134" w:header="567" w:footer="567" w:gutter="0"/>
          <w:cols w:space="720"/>
          <w:docGrid w:linePitch="360"/>
        </w:sectPr>
      </w:pPr>
    </w:p>
    <w:p w14:paraId="254DFD7F"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P.2. Vissza nem térítendő pénzügyi támogatás – a végrehajtáshoz és a nyomon követéshez kapcsolódó mérföldkövek, célok, mutatók és ütemterv</w:t>
      </w:r>
    </w:p>
    <w:p w14:paraId="3C02C5BB"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850"/>
        <w:gridCol w:w="426"/>
        <w:gridCol w:w="708"/>
        <w:gridCol w:w="3969"/>
      </w:tblGrid>
      <w:tr w:rsidR="00DC5EC6" w14:paraId="7423F777" w14:textId="77777777">
        <w:trPr>
          <w:trHeight w:val="910"/>
          <w:tblHeader/>
        </w:trPr>
        <w:tc>
          <w:tcPr>
            <w:tcW w:w="1135" w:type="dxa"/>
            <w:vMerge w:val="restart"/>
            <w:shd w:val="clear" w:color="auto" w:fill="BDD6EE"/>
            <w:vAlign w:val="center"/>
            <w:hideMark/>
          </w:tcPr>
          <w:p w14:paraId="5168738B"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2F2588D1"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29213AC1" w14:textId="77777777" w:rsidR="00DC5EC6" w:rsidRDefault="003245A4">
            <w:pPr>
              <w:pStyle w:val="P68B1DB1-Normal6"/>
              <w:spacing w:after="0" w:line="240" w:lineRule="auto"/>
              <w:jc w:val="center"/>
              <w:rPr>
                <w:rFonts w:eastAsia="Times New Roman" w:cs="Times New Roman"/>
                <w:noProof/>
              </w:rPr>
            </w:pPr>
            <w:r>
              <w:rPr>
                <w:noProof/>
              </w:rPr>
              <w:t>Mérföldkő/</w:t>
            </w:r>
          </w:p>
          <w:p w14:paraId="4DFE944A" w14:textId="7AD7D494" w:rsidR="00DC5EC6" w:rsidRDefault="003245A4">
            <w:pPr>
              <w:pStyle w:val="P68B1DB1-Normal6"/>
              <w:spacing w:after="0" w:line="240" w:lineRule="auto"/>
              <w:jc w:val="center"/>
              <w:rPr>
                <w:rFonts w:eastAsia="Times New Roman" w:cs="Times New Roman"/>
                <w:noProof/>
              </w:rPr>
            </w:pPr>
            <w:r>
              <w:rPr>
                <w:noProof/>
              </w:rPr>
              <w:t>Cél</w:t>
            </w:r>
          </w:p>
        </w:tc>
        <w:tc>
          <w:tcPr>
            <w:tcW w:w="1701" w:type="dxa"/>
            <w:vMerge w:val="restart"/>
            <w:shd w:val="clear" w:color="auto" w:fill="BDD6EE"/>
            <w:vAlign w:val="center"/>
            <w:hideMark/>
          </w:tcPr>
          <w:p w14:paraId="3A8BB6F8"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1CF72B00"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835" w:type="dxa"/>
            <w:gridSpan w:val="3"/>
            <w:shd w:val="clear" w:color="auto" w:fill="BDD6EE"/>
            <w:vAlign w:val="center"/>
            <w:hideMark/>
          </w:tcPr>
          <w:p w14:paraId="51396FD9"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34" w:type="dxa"/>
            <w:gridSpan w:val="2"/>
            <w:shd w:val="clear" w:color="auto" w:fill="BDD6EE"/>
            <w:vAlign w:val="center"/>
            <w:hideMark/>
          </w:tcPr>
          <w:p w14:paraId="2384B14C"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349285CE"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8352C4C" w14:textId="77777777">
        <w:trPr>
          <w:trHeight w:val="470"/>
          <w:tblHeader/>
        </w:trPr>
        <w:tc>
          <w:tcPr>
            <w:tcW w:w="1135" w:type="dxa"/>
            <w:vMerge/>
            <w:vAlign w:val="center"/>
            <w:hideMark/>
          </w:tcPr>
          <w:p w14:paraId="22D982F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0D815B5A"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shd w:val="clear" w:color="auto" w:fill="BDD6EE"/>
            <w:vAlign w:val="center"/>
            <w:hideMark/>
          </w:tcPr>
          <w:p w14:paraId="369A5294" w14:textId="6750FDB0"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95ECB29"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24A4C41B"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6003FBF9"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13E67A31"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850" w:type="dxa"/>
            <w:shd w:val="clear" w:color="auto" w:fill="BDD6EE"/>
            <w:vAlign w:val="center"/>
            <w:hideMark/>
          </w:tcPr>
          <w:p w14:paraId="0BEA7183" w14:textId="77777777" w:rsidR="00DC5EC6" w:rsidRDefault="003245A4">
            <w:pPr>
              <w:pStyle w:val="P68B1DB1-Normal6"/>
              <w:spacing w:after="0" w:line="240" w:lineRule="auto"/>
              <w:jc w:val="center"/>
              <w:rPr>
                <w:rFonts w:eastAsia="Times New Roman" w:cs="Times New Roman"/>
                <w:noProof/>
              </w:rPr>
            </w:pPr>
            <w:r>
              <w:rPr>
                <w:noProof/>
              </w:rPr>
              <w:t>Cél</w:t>
            </w:r>
          </w:p>
        </w:tc>
        <w:tc>
          <w:tcPr>
            <w:tcW w:w="426" w:type="dxa"/>
            <w:shd w:val="clear" w:color="auto" w:fill="BDD6EE"/>
            <w:vAlign w:val="center"/>
            <w:hideMark/>
          </w:tcPr>
          <w:p w14:paraId="3C115B8C" w14:textId="49A6C204" w:rsidR="00DC5EC6" w:rsidRDefault="00C009B1">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00F1E31A" w14:textId="1D6DE2CE"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5AA21CBC" w14:textId="77777777" w:rsidR="00DC5EC6" w:rsidRDefault="00DC5EC6">
            <w:pPr>
              <w:spacing w:after="0" w:line="240" w:lineRule="auto"/>
              <w:rPr>
                <w:rFonts w:ascii="Times New Roman" w:eastAsia="Times New Roman" w:hAnsi="Times New Roman" w:cs="Times New Roman"/>
                <w:b/>
                <w:noProof/>
                <w:sz w:val="18"/>
              </w:rPr>
            </w:pPr>
          </w:p>
        </w:tc>
      </w:tr>
      <w:tr w:rsidR="00DC5EC6" w14:paraId="7B1ED792" w14:textId="77777777">
        <w:trPr>
          <w:trHeight w:val="1480"/>
        </w:trPr>
        <w:tc>
          <w:tcPr>
            <w:tcW w:w="1135" w:type="dxa"/>
            <w:shd w:val="clear" w:color="auto" w:fill="C5EFCE"/>
            <w:vAlign w:val="center"/>
            <w:hideMark/>
          </w:tcPr>
          <w:p w14:paraId="4AF10FF0" w14:textId="77777777" w:rsidR="00DC5EC6" w:rsidRDefault="003245A4">
            <w:pPr>
              <w:pStyle w:val="P68B1DB1-Normal7"/>
              <w:spacing w:after="0" w:line="240" w:lineRule="auto"/>
              <w:jc w:val="center"/>
              <w:rPr>
                <w:rFonts w:eastAsia="Times New Roman" w:cs="Calibri"/>
                <w:noProof/>
              </w:rPr>
            </w:pPr>
            <w:r>
              <w:rPr>
                <w:noProof/>
              </w:rPr>
              <w:t>16.1</w:t>
            </w:r>
          </w:p>
        </w:tc>
        <w:tc>
          <w:tcPr>
            <w:tcW w:w="1276" w:type="dxa"/>
            <w:shd w:val="clear" w:color="auto" w:fill="C4EFCE"/>
            <w:noWrap/>
            <w:vAlign w:val="center"/>
            <w:hideMark/>
          </w:tcPr>
          <w:p w14:paraId="1CFD4A19" w14:textId="77777777" w:rsidR="00DC5EC6" w:rsidRDefault="003245A4">
            <w:pPr>
              <w:pStyle w:val="P68B1DB1-Normal8"/>
              <w:spacing w:after="0" w:line="240" w:lineRule="auto"/>
              <w:jc w:val="center"/>
              <w:rPr>
                <w:rFonts w:eastAsia="Times New Roman" w:cs="Calibri"/>
                <w:noProof/>
              </w:rPr>
            </w:pPr>
            <w:r>
              <w:rPr>
                <w:noProof/>
              </w:rPr>
              <w:t>TD-C16-r31</w:t>
            </w:r>
          </w:p>
        </w:tc>
        <w:tc>
          <w:tcPr>
            <w:tcW w:w="1134" w:type="dxa"/>
            <w:shd w:val="clear" w:color="auto" w:fill="C4EFCE"/>
            <w:noWrap/>
            <w:vAlign w:val="center"/>
            <w:hideMark/>
          </w:tcPr>
          <w:p w14:paraId="3C1067BD"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5C68A283" w14:textId="77777777" w:rsidR="00DC5EC6" w:rsidRDefault="003245A4">
            <w:pPr>
              <w:pStyle w:val="P68B1DB1-Normal8"/>
              <w:spacing w:after="0" w:line="240" w:lineRule="auto"/>
              <w:jc w:val="center"/>
              <w:rPr>
                <w:rFonts w:eastAsia="Times New Roman" w:cs="Calibri"/>
                <w:noProof/>
              </w:rPr>
            </w:pPr>
            <w:r>
              <w:rPr>
                <w:noProof/>
              </w:rPr>
              <w:t>A digitális készségek területére vonatkozó modulokra, valamint a digitális aláírások és bélyegzők létrehozására vonatkozó jogszabályokra vagy rendeletre vonatkozó nemzeti képesítési katalógusban szereplő képzési tartalom felülvizsgálatának hatálybalépése</w:t>
            </w:r>
          </w:p>
        </w:tc>
        <w:tc>
          <w:tcPr>
            <w:tcW w:w="1275" w:type="dxa"/>
            <w:shd w:val="clear" w:color="auto" w:fill="C4EFCE"/>
            <w:noWrap/>
            <w:vAlign w:val="center"/>
            <w:hideMark/>
          </w:tcPr>
          <w:p w14:paraId="352F6829" w14:textId="77777777" w:rsidR="00DC5EC6" w:rsidRDefault="003245A4">
            <w:pPr>
              <w:pStyle w:val="P68B1DB1-Normal8"/>
              <w:spacing w:after="0" w:line="240" w:lineRule="auto"/>
              <w:jc w:val="center"/>
              <w:rPr>
                <w:rFonts w:eastAsia="Times New Roman" w:cs="Calibri"/>
                <w:noProof/>
              </w:rPr>
            </w:pPr>
            <w:r>
              <w:rPr>
                <w:noProof/>
              </w:rPr>
              <w:t>A digitális készségek területére vonatkozó modulokra, valamint a digitális aláírások és bélyegzők létrehozására vonatkozó jogszabályokra vagy rendeletre vonatkozó nemzeti képesítési katalógusban szereplő képzési tartalom felülvizsgálatának hatálybalépése</w:t>
            </w:r>
          </w:p>
        </w:tc>
        <w:tc>
          <w:tcPr>
            <w:tcW w:w="993" w:type="dxa"/>
            <w:shd w:val="clear" w:color="auto" w:fill="C4EFCE"/>
            <w:noWrap/>
            <w:vAlign w:val="center"/>
            <w:hideMark/>
          </w:tcPr>
          <w:p w14:paraId="76BBCE4C"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DE63EE9"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25082984" w14:textId="77777777" w:rsidR="00DC5EC6" w:rsidRDefault="003245A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452D819F" w14:textId="0039ECD7"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7DD29457"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1291B6CF" w14:textId="77777777" w:rsidR="00DC5EC6" w:rsidRDefault="003245A4">
            <w:pPr>
              <w:pStyle w:val="P68B1DB1-Normal8"/>
              <w:spacing w:after="0" w:line="240" w:lineRule="auto"/>
              <w:jc w:val="both"/>
              <w:rPr>
                <w:rFonts w:eastAsia="Times New Roman" w:cs="Calibri"/>
                <w:noProof/>
              </w:rPr>
            </w:pPr>
            <w:r>
              <w:rPr>
                <w:noProof/>
              </w:rPr>
              <w:t>A következő jogszabályok vagy rendeletek hatálybalépése: A Nemzeti Képesítési Katalógusban szereplő szakképzési és oktatási tartalom felülvizsgálata a digitális készségek területén, nevezetesen a technológiákhoz és eszközökhöz kapcsolódó képzési modulok annak érdekében, hogy a szakmai környezetben leginkább szükséges készségeket a készségek előrejelzésének diagnózisa alapján fejlesszék. A kiberbiztonság, a magánélet védelme, a fenntarthatóság és a használhatóság területén a digitális aláírások és bélyegzők létrehozásához szükséges jogszabályok vagy szabályozás. E jogi keret létrehozása és a digitális bizalom előmozdítása a digitális bélyegzőkre irányuló, ebben a komponensben előirányzott beruházás végrehajtásának feltétele.</w:t>
            </w:r>
          </w:p>
        </w:tc>
      </w:tr>
      <w:tr w:rsidR="00DC5EC6" w14:paraId="6459D986" w14:textId="77777777">
        <w:trPr>
          <w:trHeight w:val="630"/>
        </w:trPr>
        <w:tc>
          <w:tcPr>
            <w:tcW w:w="1135" w:type="dxa"/>
            <w:shd w:val="clear" w:color="auto" w:fill="C5EFCE"/>
            <w:vAlign w:val="center"/>
            <w:hideMark/>
          </w:tcPr>
          <w:p w14:paraId="6940FAF7" w14:textId="77777777" w:rsidR="00DC5EC6" w:rsidRDefault="003245A4">
            <w:pPr>
              <w:pStyle w:val="P68B1DB1-Normal7"/>
              <w:spacing w:after="0" w:line="240" w:lineRule="auto"/>
              <w:jc w:val="center"/>
              <w:rPr>
                <w:rFonts w:eastAsia="Times New Roman" w:cs="Calibri"/>
                <w:noProof/>
              </w:rPr>
            </w:pPr>
            <w:r>
              <w:rPr>
                <w:noProof/>
              </w:rPr>
              <w:t>16.2</w:t>
            </w:r>
          </w:p>
        </w:tc>
        <w:tc>
          <w:tcPr>
            <w:tcW w:w="1276" w:type="dxa"/>
            <w:shd w:val="clear" w:color="auto" w:fill="C4EFCE"/>
            <w:noWrap/>
            <w:vAlign w:val="center"/>
            <w:hideMark/>
          </w:tcPr>
          <w:p w14:paraId="7CE8CA8A" w14:textId="77777777" w:rsidR="00DC5EC6" w:rsidRDefault="003245A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09AF1728" w14:textId="77777777" w:rsidR="00DC5EC6" w:rsidRDefault="003245A4">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1D18194C" w14:textId="77777777" w:rsidR="00DC5EC6" w:rsidRDefault="003245A4">
            <w:pPr>
              <w:pStyle w:val="P68B1DB1-Normal8"/>
              <w:spacing w:after="0" w:line="240" w:lineRule="auto"/>
              <w:jc w:val="center"/>
              <w:rPr>
                <w:rFonts w:eastAsia="Times New Roman" w:cs="Calibri"/>
                <w:noProof/>
              </w:rPr>
            </w:pPr>
            <w:r>
              <w:rPr>
                <w:noProof/>
              </w:rPr>
              <w:t xml:space="preserve">A portugál Digitális Akadémia és foglalkoztatás + digitális programok elindítása </w:t>
            </w:r>
          </w:p>
        </w:tc>
        <w:tc>
          <w:tcPr>
            <w:tcW w:w="1275" w:type="dxa"/>
            <w:shd w:val="clear" w:color="auto" w:fill="C4EFCE"/>
            <w:noWrap/>
            <w:vAlign w:val="center"/>
            <w:hideMark/>
          </w:tcPr>
          <w:p w14:paraId="408F4230" w14:textId="77777777" w:rsidR="00DC5EC6" w:rsidRDefault="003245A4">
            <w:pPr>
              <w:pStyle w:val="P68B1DB1-Normal8"/>
              <w:spacing w:after="0" w:line="240" w:lineRule="auto"/>
              <w:jc w:val="center"/>
              <w:rPr>
                <w:rFonts w:eastAsia="Times New Roman" w:cs="Calibri"/>
                <w:noProof/>
              </w:rPr>
            </w:pPr>
            <w:r>
              <w:rPr>
                <w:noProof/>
              </w:rPr>
              <w:t>A portugál Digitális Akadémia és foglalkoztatás + digitális programok elindítása</w:t>
            </w:r>
          </w:p>
        </w:tc>
        <w:tc>
          <w:tcPr>
            <w:tcW w:w="993" w:type="dxa"/>
            <w:shd w:val="clear" w:color="auto" w:fill="C4EFCE"/>
            <w:noWrap/>
            <w:vAlign w:val="center"/>
            <w:hideMark/>
          </w:tcPr>
          <w:p w14:paraId="52EB1383" w14:textId="77777777" w:rsidR="00DC5EC6" w:rsidRDefault="003245A4">
            <w:pPr>
              <w:pStyle w:val="P68B1DB1-Normal9"/>
              <w:spacing w:after="0" w:line="240" w:lineRule="auto"/>
              <w:rPr>
                <w:rFonts w:eastAsia="Times New Roman" w:cs="Calibri"/>
                <w:noProof/>
              </w:rPr>
            </w:pPr>
            <w:r>
              <w:rPr>
                <w:noProof/>
              </w:rPr>
              <w:t> </w:t>
            </w:r>
          </w:p>
        </w:tc>
        <w:tc>
          <w:tcPr>
            <w:tcW w:w="992" w:type="dxa"/>
            <w:shd w:val="clear" w:color="auto" w:fill="C4EFCE"/>
            <w:noWrap/>
            <w:vAlign w:val="center"/>
            <w:hideMark/>
          </w:tcPr>
          <w:p w14:paraId="1F586DE5" w14:textId="77777777" w:rsidR="00DC5EC6" w:rsidRDefault="003245A4">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1E7CB3D9" w14:textId="77777777" w:rsidR="00DC5EC6" w:rsidRDefault="003245A4">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310C5484" w14:textId="26DC7588"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708" w:type="dxa"/>
            <w:shd w:val="clear" w:color="auto" w:fill="C4EFCE"/>
            <w:noWrap/>
            <w:vAlign w:val="center"/>
            <w:hideMark/>
          </w:tcPr>
          <w:p w14:paraId="411306C6"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498F74B2" w14:textId="77777777" w:rsidR="00DC5EC6" w:rsidRDefault="003245A4">
            <w:pPr>
              <w:pStyle w:val="P68B1DB1-Normal8"/>
              <w:spacing w:after="0" w:line="240" w:lineRule="auto"/>
              <w:jc w:val="both"/>
              <w:rPr>
                <w:rFonts w:eastAsia="Times New Roman" w:cs="Calibri"/>
                <w:noProof/>
              </w:rPr>
            </w:pPr>
            <w:r>
              <w:rPr>
                <w:noProof/>
              </w:rPr>
              <w:t xml:space="preserve">Portugália Digitális Akadémia – (1) Az online platform működőképes és a felhasználók számára hozzáférhető, (2) diagnosztikai eljárásokat határoznak meg a gyakornokoknak szóló digitális készségekre vonatkozó ajánlások értékelésére és a számukra szükséges személyre szabott képzések meghatározására, valamint elindítják az online képzések első csoportját, amelyek a gyakornokok számára hozzáférhetők. </w:t>
            </w:r>
          </w:p>
          <w:p w14:paraId="11F7A3F6" w14:textId="421B983E" w:rsidR="00DC5EC6" w:rsidRDefault="003245A4">
            <w:pPr>
              <w:pStyle w:val="P68B1DB1-Normal8"/>
              <w:spacing w:after="0" w:line="240" w:lineRule="auto"/>
              <w:jc w:val="both"/>
              <w:rPr>
                <w:rFonts w:eastAsia="Times New Roman" w:cs="Calibri"/>
                <w:noProof/>
              </w:rPr>
            </w:pPr>
            <w:r>
              <w:rPr>
                <w:noProof/>
              </w:rPr>
              <w:t>Foglalkoztatás + digitális – (1) meghatározzák a megcélzott gazdasági ágazatokat, és meghatározzák azok főbb digitális kihívásait, amelyekkel a tanfolyamoknak foglalkozniuk kell; 2) a program végrehajtásában részt vevő partnerek és érdekelt felek azonosítása; A képzési program elindul, és megkezdődik az online, személyes vagy vegyes képzés.</w:t>
            </w:r>
          </w:p>
        </w:tc>
      </w:tr>
      <w:tr w:rsidR="00DC5EC6" w14:paraId="641661D3" w14:textId="77777777">
        <w:trPr>
          <w:trHeight w:val="640"/>
        </w:trPr>
        <w:tc>
          <w:tcPr>
            <w:tcW w:w="1135" w:type="dxa"/>
            <w:shd w:val="clear" w:color="auto" w:fill="C5EFCE"/>
            <w:vAlign w:val="center"/>
            <w:hideMark/>
          </w:tcPr>
          <w:p w14:paraId="7B9A6855" w14:textId="77777777" w:rsidR="00DC5EC6" w:rsidRDefault="003245A4">
            <w:pPr>
              <w:pStyle w:val="P68B1DB1-Normal7"/>
              <w:spacing w:after="0" w:line="240" w:lineRule="auto"/>
              <w:jc w:val="center"/>
              <w:rPr>
                <w:rFonts w:eastAsia="Times New Roman" w:cs="Calibri"/>
                <w:noProof/>
              </w:rPr>
            </w:pPr>
            <w:r>
              <w:rPr>
                <w:noProof/>
              </w:rPr>
              <w:t>16.3</w:t>
            </w:r>
          </w:p>
        </w:tc>
        <w:tc>
          <w:tcPr>
            <w:tcW w:w="1276" w:type="dxa"/>
            <w:shd w:val="clear" w:color="auto" w:fill="C4EFCE"/>
            <w:noWrap/>
            <w:vAlign w:val="center"/>
            <w:hideMark/>
          </w:tcPr>
          <w:p w14:paraId="6DA18CB9" w14:textId="77777777" w:rsidR="00DC5EC6" w:rsidRDefault="003245A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69A0921C"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0123495" w14:textId="77777777" w:rsidR="00DC5EC6" w:rsidRDefault="003245A4">
            <w:pPr>
              <w:pStyle w:val="P68B1DB1-Normal8"/>
              <w:spacing w:after="0" w:line="240" w:lineRule="auto"/>
              <w:jc w:val="center"/>
              <w:rPr>
                <w:rFonts w:eastAsia="Times New Roman" w:cs="Calibri"/>
                <w:noProof/>
              </w:rPr>
            </w:pPr>
            <w:r>
              <w:rPr>
                <w:noProof/>
              </w:rPr>
              <w:t>Foglalkoztatás + digitális képzésben résztvevők</w:t>
            </w:r>
          </w:p>
        </w:tc>
        <w:tc>
          <w:tcPr>
            <w:tcW w:w="1275" w:type="dxa"/>
            <w:shd w:val="clear" w:color="auto" w:fill="C4EFCE"/>
            <w:noWrap/>
            <w:vAlign w:val="center"/>
            <w:hideMark/>
          </w:tcPr>
          <w:p w14:paraId="65780DFF"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9BDCF9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1D2D464"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02ABAB2" w14:textId="77777777" w:rsidR="00DC5EC6" w:rsidRDefault="003245A4">
            <w:pPr>
              <w:pStyle w:val="P68B1DB1-Normal8"/>
              <w:spacing w:after="0" w:line="240" w:lineRule="auto"/>
              <w:jc w:val="center"/>
              <w:rPr>
                <w:rFonts w:eastAsia="Times New Roman" w:cs="Calibri"/>
                <w:noProof/>
              </w:rPr>
            </w:pPr>
            <w:r>
              <w:rPr>
                <w:noProof/>
              </w:rPr>
              <w:t>200 000</w:t>
            </w:r>
          </w:p>
        </w:tc>
        <w:tc>
          <w:tcPr>
            <w:tcW w:w="426" w:type="dxa"/>
            <w:shd w:val="clear" w:color="auto" w:fill="C4EFCE"/>
            <w:noWrap/>
            <w:vAlign w:val="center"/>
            <w:hideMark/>
          </w:tcPr>
          <w:p w14:paraId="62492B9C" w14:textId="1939908F"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2C1ADD8F"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DB28148" w14:textId="409C353B" w:rsidR="00DC5EC6" w:rsidRDefault="003245A4">
            <w:pPr>
              <w:pStyle w:val="P68B1DB1-Normal8"/>
              <w:spacing w:after="0" w:line="240" w:lineRule="auto"/>
              <w:jc w:val="both"/>
              <w:rPr>
                <w:rFonts w:eastAsia="Times New Roman" w:cs="Calibri"/>
                <w:noProof/>
              </w:rPr>
            </w:pPr>
            <w:r>
              <w:rPr>
                <w:noProof/>
              </w:rPr>
              <w:t>A képzés azon résztvevőinek száma, akik online, személyes vagy vegyes átképzési és továbbképzési képzési modult hajtottak végre, a foglalkoztatás + digitális program azonosított gazdasági ágazatainak kihívásait kezelő digitális készségekre összpontosítva. A kiválasztott gazdasági ágazatok a 2022 első negyedévi mérföldkőben meghatározott ágazatok.</w:t>
            </w:r>
          </w:p>
        </w:tc>
      </w:tr>
      <w:tr w:rsidR="00DC5EC6" w14:paraId="3B45A3FB" w14:textId="77777777">
        <w:trPr>
          <w:trHeight w:val="430"/>
        </w:trPr>
        <w:tc>
          <w:tcPr>
            <w:tcW w:w="1135" w:type="dxa"/>
            <w:shd w:val="clear" w:color="auto" w:fill="C5EFCE"/>
            <w:vAlign w:val="center"/>
            <w:hideMark/>
          </w:tcPr>
          <w:p w14:paraId="49B3BE1C" w14:textId="77777777" w:rsidR="00DC5EC6" w:rsidRDefault="003245A4">
            <w:pPr>
              <w:pStyle w:val="P68B1DB1-Normal7"/>
              <w:spacing w:after="0" w:line="240" w:lineRule="auto"/>
              <w:jc w:val="center"/>
              <w:rPr>
                <w:rFonts w:eastAsia="Times New Roman" w:cs="Calibri"/>
                <w:noProof/>
              </w:rPr>
            </w:pPr>
            <w:r>
              <w:rPr>
                <w:noProof/>
              </w:rPr>
              <w:t>16.4</w:t>
            </w:r>
          </w:p>
        </w:tc>
        <w:tc>
          <w:tcPr>
            <w:tcW w:w="1276" w:type="dxa"/>
            <w:shd w:val="clear" w:color="auto" w:fill="C4EFCE"/>
            <w:noWrap/>
            <w:vAlign w:val="center"/>
            <w:hideMark/>
          </w:tcPr>
          <w:p w14:paraId="0F910593" w14:textId="77777777" w:rsidR="00DC5EC6" w:rsidRDefault="003245A4">
            <w:pPr>
              <w:pStyle w:val="P68B1DB1-Normal8"/>
              <w:spacing w:after="0" w:line="240" w:lineRule="auto"/>
              <w:jc w:val="center"/>
              <w:rPr>
                <w:rFonts w:eastAsia="Times New Roman" w:cs="Calibri"/>
                <w:noProof/>
              </w:rPr>
            </w:pPr>
            <w:r>
              <w:rPr>
                <w:noProof/>
              </w:rPr>
              <w:t>TD-C16-i01</w:t>
            </w:r>
          </w:p>
        </w:tc>
        <w:tc>
          <w:tcPr>
            <w:tcW w:w="1134" w:type="dxa"/>
            <w:shd w:val="clear" w:color="auto" w:fill="C4EFCE"/>
            <w:noWrap/>
            <w:vAlign w:val="center"/>
            <w:hideMark/>
          </w:tcPr>
          <w:p w14:paraId="498FA43B"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69C3E62" w14:textId="77777777" w:rsidR="00DC5EC6" w:rsidRDefault="003245A4">
            <w:pPr>
              <w:pStyle w:val="P68B1DB1-Normal8"/>
              <w:spacing w:after="0" w:line="240" w:lineRule="auto"/>
              <w:jc w:val="center"/>
              <w:rPr>
                <w:rFonts w:eastAsia="Times New Roman" w:cs="Calibri"/>
                <w:noProof/>
              </w:rPr>
            </w:pPr>
            <w:r>
              <w:rPr>
                <w:noProof/>
              </w:rPr>
              <w:t>Portugália Digitális Akadémia képzésének résztvevői</w:t>
            </w:r>
          </w:p>
        </w:tc>
        <w:tc>
          <w:tcPr>
            <w:tcW w:w="1275" w:type="dxa"/>
            <w:shd w:val="clear" w:color="auto" w:fill="C4EFCE"/>
            <w:noWrap/>
            <w:vAlign w:val="center"/>
            <w:hideMark/>
          </w:tcPr>
          <w:p w14:paraId="5311EC00"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9790E4"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E9E7350"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FBAA0E5" w14:textId="755ABA93" w:rsidR="00DC5EC6" w:rsidRDefault="003245A4">
            <w:pPr>
              <w:pStyle w:val="P68B1DB1-Normal8"/>
              <w:spacing w:after="0" w:line="240" w:lineRule="auto"/>
              <w:jc w:val="center"/>
              <w:rPr>
                <w:rFonts w:eastAsia="Times New Roman" w:cs="Calibri"/>
                <w:noProof/>
              </w:rPr>
            </w:pPr>
            <w:r>
              <w:rPr>
                <w:noProof/>
              </w:rPr>
              <w:t>500 000</w:t>
            </w:r>
          </w:p>
        </w:tc>
        <w:tc>
          <w:tcPr>
            <w:tcW w:w="426" w:type="dxa"/>
            <w:shd w:val="clear" w:color="auto" w:fill="C4EFCE"/>
            <w:noWrap/>
            <w:vAlign w:val="center"/>
            <w:hideMark/>
          </w:tcPr>
          <w:p w14:paraId="35BB736B" w14:textId="1DF4A966"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73479E05"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2B4C4465" w14:textId="72846C38" w:rsidR="00DC5EC6" w:rsidRDefault="003245A4">
            <w:pPr>
              <w:pStyle w:val="P68B1DB1-Normal8"/>
              <w:spacing w:after="0" w:line="240" w:lineRule="auto"/>
              <w:jc w:val="both"/>
              <w:rPr>
                <w:rFonts w:eastAsia="Times New Roman" w:cs="Calibri"/>
                <w:noProof/>
              </w:rPr>
            </w:pPr>
            <w:r>
              <w:rPr>
                <w:noProof/>
              </w:rPr>
              <w:t>A képzés azon résztvevőinek száma, akik digitális készségekkel kapcsolatos diagnosztikában részesültek. A portugál Digitális Akadémia program 125000 résztvevőjének online vegyes vagy személyes modult is ki kell töltenie.</w:t>
            </w:r>
          </w:p>
          <w:p w14:paraId="1D8610F7" w14:textId="5BE4E11C" w:rsidR="00DC5EC6" w:rsidRDefault="003245A4">
            <w:pPr>
              <w:pStyle w:val="P68B1DB1-Normal8"/>
              <w:spacing w:after="0" w:line="240" w:lineRule="auto"/>
              <w:jc w:val="both"/>
              <w:rPr>
                <w:rFonts w:eastAsia="Times New Roman" w:cs="Calibri"/>
                <w:noProof/>
              </w:rPr>
            </w:pPr>
            <w:r>
              <w:rPr>
                <w:noProof/>
              </w:rPr>
              <w:t>Ezenkívül ötven újonnan kifejlesztett MOOC-t kell rendelkezésre bocsátani.</w:t>
            </w:r>
          </w:p>
        </w:tc>
      </w:tr>
      <w:tr w:rsidR="00DC5EC6" w14:paraId="36F65094" w14:textId="77777777">
        <w:trPr>
          <w:trHeight w:val="840"/>
        </w:trPr>
        <w:tc>
          <w:tcPr>
            <w:tcW w:w="1135" w:type="dxa"/>
            <w:shd w:val="clear" w:color="auto" w:fill="C5EFCE"/>
            <w:vAlign w:val="center"/>
            <w:hideMark/>
          </w:tcPr>
          <w:p w14:paraId="79B09C43" w14:textId="77777777" w:rsidR="00DC5EC6" w:rsidRDefault="003245A4">
            <w:pPr>
              <w:pStyle w:val="P68B1DB1-Normal7"/>
              <w:spacing w:after="0" w:line="240" w:lineRule="auto"/>
              <w:jc w:val="center"/>
              <w:rPr>
                <w:rFonts w:eastAsia="Times New Roman" w:cs="Calibri"/>
                <w:noProof/>
              </w:rPr>
            </w:pPr>
            <w:r>
              <w:rPr>
                <w:noProof/>
              </w:rPr>
              <w:t>16.5</w:t>
            </w:r>
          </w:p>
        </w:tc>
        <w:tc>
          <w:tcPr>
            <w:tcW w:w="1276" w:type="dxa"/>
            <w:shd w:val="clear" w:color="auto" w:fill="C4EFCE"/>
            <w:noWrap/>
            <w:vAlign w:val="center"/>
            <w:hideMark/>
          </w:tcPr>
          <w:p w14:paraId="0767AC81"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2F519593"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67E3F188" w14:textId="77777777" w:rsidR="00DC5EC6" w:rsidRDefault="003245A4">
            <w:pPr>
              <w:pStyle w:val="P68B1DB1-Normal8"/>
              <w:spacing w:after="0" w:line="240" w:lineRule="auto"/>
              <w:jc w:val="center"/>
              <w:rPr>
                <w:rFonts w:eastAsia="Times New Roman" w:cs="Calibri"/>
                <w:noProof/>
              </w:rPr>
            </w:pPr>
            <w:r>
              <w:rPr>
                <w:noProof/>
              </w:rPr>
              <w:t xml:space="preserve">A digitális kereskedelem akcelerátorai által támogatott kkv-k </w:t>
            </w:r>
          </w:p>
        </w:tc>
        <w:tc>
          <w:tcPr>
            <w:tcW w:w="1275" w:type="dxa"/>
            <w:shd w:val="clear" w:color="auto" w:fill="C4EFCE"/>
            <w:noWrap/>
            <w:vAlign w:val="center"/>
            <w:hideMark/>
          </w:tcPr>
          <w:p w14:paraId="2EB5D309"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06DD7F0"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101D998"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1F057A08" w14:textId="769CE70E" w:rsidR="00DC5EC6" w:rsidRDefault="003245A4">
            <w:pPr>
              <w:pStyle w:val="P68B1DB1-Normal8"/>
              <w:spacing w:after="0" w:line="240" w:lineRule="auto"/>
              <w:jc w:val="center"/>
              <w:rPr>
                <w:rFonts w:eastAsia="Times New Roman" w:cs="Calibri"/>
                <w:noProof/>
              </w:rPr>
            </w:pPr>
            <w:r>
              <w:rPr>
                <w:noProof/>
              </w:rPr>
              <w:t>12 500</w:t>
            </w:r>
          </w:p>
        </w:tc>
        <w:tc>
          <w:tcPr>
            <w:tcW w:w="426" w:type="dxa"/>
            <w:shd w:val="clear" w:color="auto" w:fill="C4EFCE"/>
            <w:noWrap/>
            <w:vAlign w:val="center"/>
            <w:hideMark/>
          </w:tcPr>
          <w:p w14:paraId="30274845" w14:textId="6865544B"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6E0C3DDB" w14:textId="7C58F5E6" w:rsidR="00DC5EC6" w:rsidRDefault="003245A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317110C0" w14:textId="77777777" w:rsidR="00DC5EC6" w:rsidRDefault="003245A4">
            <w:pPr>
              <w:pStyle w:val="P68B1DB1-Normal8"/>
              <w:spacing w:after="0" w:line="240" w:lineRule="auto"/>
              <w:jc w:val="both"/>
              <w:rPr>
                <w:rFonts w:eastAsia="Times New Roman" w:cs="Calibri"/>
                <w:noProof/>
              </w:rPr>
            </w:pPr>
            <w:r>
              <w:rPr>
                <w:noProof/>
              </w:rPr>
              <w:t xml:space="preserve">25 helyi, regionális vagy ágazati digitális kereskedelmi akcelerátor létrehozása, valamint a kkv-k üzleti modelljeinek digitalizálását célzó pénzügyi ösztönzők rendszere révén támogatott kkv-k száma. A támogatás magában foglalja a kedvezményezett kkv-k digitalizációs szintjének értékelését és diagnosztizálását, valamint célzott szolgáltatások és ösztönzők nyújtását a digitális technológiáknak a kedvezményezettek üzleti modelljében való elterjedésének fokozása érdekében. </w:t>
            </w:r>
          </w:p>
          <w:p w14:paraId="66ADDCA3" w14:textId="10D0B309" w:rsidR="00DC5EC6" w:rsidRDefault="003245A4">
            <w:pPr>
              <w:pStyle w:val="P68B1DB1-Normal8"/>
              <w:spacing w:after="0" w:line="240" w:lineRule="auto"/>
              <w:jc w:val="both"/>
              <w:rPr>
                <w:rFonts w:eastAsia="Times New Roman" w:cs="Calibri"/>
                <w:noProof/>
              </w:rPr>
            </w:pPr>
            <w:r>
              <w:rPr>
                <w:noProof/>
              </w:rPr>
              <w:t>A kiválasztási kritériumoknak fenntarthatósági vizsgálat, kizárási lista használata, valamint a vonatkozó uniós és nemzeti környezetvédelmi jogszabályoknak való megfelelés követelménye révén biztosítaniuk kell az ezen intézkedés keretében támogatott ügyletekre vonatkozó, a jelentős károkozás elkerülését célzó elvről szóló technikai iránymutatásnak (2021/C58/01) való megfelelést.</w:t>
            </w:r>
          </w:p>
        </w:tc>
      </w:tr>
      <w:tr w:rsidR="00C009B1" w14:paraId="5705A32B" w14:textId="77777777">
        <w:trPr>
          <w:trHeight w:val="420"/>
        </w:trPr>
        <w:tc>
          <w:tcPr>
            <w:tcW w:w="1135" w:type="dxa"/>
            <w:shd w:val="clear" w:color="auto" w:fill="C5EFCE"/>
            <w:vAlign w:val="center"/>
            <w:hideMark/>
          </w:tcPr>
          <w:p w14:paraId="000270AE" w14:textId="77777777" w:rsidR="00C009B1" w:rsidRDefault="00C009B1" w:rsidP="00C009B1">
            <w:pPr>
              <w:pStyle w:val="P68B1DB1-Normal7"/>
              <w:spacing w:after="0" w:line="240" w:lineRule="auto"/>
              <w:jc w:val="center"/>
              <w:rPr>
                <w:rFonts w:eastAsia="Times New Roman" w:cs="Calibri"/>
                <w:noProof/>
              </w:rPr>
            </w:pPr>
            <w:r>
              <w:rPr>
                <w:noProof/>
              </w:rPr>
              <w:t>16.6</w:t>
            </w:r>
          </w:p>
        </w:tc>
        <w:tc>
          <w:tcPr>
            <w:tcW w:w="1276" w:type="dxa"/>
            <w:shd w:val="clear" w:color="auto" w:fill="C4EFCE"/>
            <w:noWrap/>
            <w:vAlign w:val="center"/>
            <w:hideMark/>
          </w:tcPr>
          <w:p w14:paraId="78A96FDD" w14:textId="77777777" w:rsidR="00C009B1" w:rsidRDefault="00C009B1" w:rsidP="00C009B1">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7357B62" w14:textId="77777777" w:rsidR="00C009B1" w:rsidRDefault="00C009B1" w:rsidP="00C009B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CB16DF" w14:textId="46C25FDB" w:rsidR="00C009B1" w:rsidRDefault="00C009B1" w:rsidP="00C009B1">
            <w:pPr>
              <w:pStyle w:val="P68B1DB1-Normal8"/>
              <w:spacing w:after="0" w:line="240" w:lineRule="auto"/>
              <w:jc w:val="center"/>
              <w:rPr>
                <w:rFonts w:eastAsia="Times New Roman" w:cs="Calibri"/>
                <w:noProof/>
              </w:rPr>
            </w:pPr>
            <w:r>
              <w:rPr>
                <w:noProof/>
              </w:rPr>
              <w:t>A nemzeti tesztágy-hálózat kísérleti termékei és szolgáltatásai</w:t>
            </w:r>
          </w:p>
        </w:tc>
        <w:tc>
          <w:tcPr>
            <w:tcW w:w="1275" w:type="dxa"/>
            <w:shd w:val="clear" w:color="auto" w:fill="C4EFCE"/>
            <w:noWrap/>
            <w:vAlign w:val="center"/>
            <w:hideMark/>
          </w:tcPr>
          <w:p w14:paraId="7F3952A8"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524FBBA" w14:textId="77777777" w:rsidR="00C009B1" w:rsidRDefault="00C009B1" w:rsidP="00C009B1">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6DA02CA" w14:textId="77777777" w:rsidR="00C009B1" w:rsidRDefault="00C009B1" w:rsidP="00C009B1">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74A9A84A" w14:textId="7BDE7575" w:rsidR="00C009B1" w:rsidRDefault="00C009B1" w:rsidP="00C009B1">
            <w:pPr>
              <w:pStyle w:val="P68B1DB1-Normal8"/>
              <w:spacing w:after="0" w:line="240" w:lineRule="auto"/>
              <w:jc w:val="center"/>
              <w:rPr>
                <w:rFonts w:eastAsia="Times New Roman" w:cs="Calibri"/>
                <w:noProof/>
              </w:rPr>
            </w:pPr>
            <w:r>
              <w:rPr>
                <w:noProof/>
              </w:rPr>
              <w:t>600</w:t>
            </w:r>
          </w:p>
        </w:tc>
        <w:tc>
          <w:tcPr>
            <w:tcW w:w="426" w:type="dxa"/>
            <w:shd w:val="clear" w:color="auto" w:fill="C4EFCE"/>
            <w:noWrap/>
            <w:vAlign w:val="center"/>
            <w:hideMark/>
          </w:tcPr>
          <w:p w14:paraId="2BAA25D5" w14:textId="761D72FC" w:rsidR="00C009B1" w:rsidRDefault="00C009B1" w:rsidP="00C009B1">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397A151A" w14:textId="454F43F3" w:rsidR="00C009B1" w:rsidRDefault="00C009B1" w:rsidP="00C009B1">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6A17EC12" w14:textId="0CEEA83B" w:rsidR="00C009B1" w:rsidRDefault="00C009B1" w:rsidP="00C009B1">
            <w:pPr>
              <w:pStyle w:val="P68B1DB1-Normal8"/>
              <w:spacing w:after="0" w:line="240" w:lineRule="auto"/>
              <w:jc w:val="both"/>
              <w:rPr>
                <w:rFonts w:eastAsia="Times New Roman" w:cs="Calibri"/>
                <w:noProof/>
              </w:rPr>
            </w:pPr>
            <w:r>
              <w:rPr>
                <w:noProof/>
              </w:rPr>
              <w:t xml:space="preserve">A nemzeti tesztágy-hálózatban (legalább az 5. technológiai érettségi szint elérése céljából) kifejlesztett kísérleti termékek vagy szolgáltatások száma. </w:t>
            </w:r>
          </w:p>
          <w:p w14:paraId="1B884D2E" w14:textId="229931CB" w:rsidR="00C009B1" w:rsidRDefault="00C009B1" w:rsidP="00C009B1">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302E1901" w14:textId="77777777">
        <w:trPr>
          <w:trHeight w:val="920"/>
        </w:trPr>
        <w:tc>
          <w:tcPr>
            <w:tcW w:w="1135" w:type="dxa"/>
            <w:shd w:val="clear" w:color="auto" w:fill="C5EFCE"/>
            <w:vAlign w:val="center"/>
            <w:hideMark/>
          </w:tcPr>
          <w:p w14:paraId="04EB0D69" w14:textId="77777777" w:rsidR="00DC5EC6" w:rsidRDefault="003245A4">
            <w:pPr>
              <w:pStyle w:val="P68B1DB1-Normal7"/>
              <w:spacing w:after="0" w:line="240" w:lineRule="auto"/>
              <w:jc w:val="center"/>
              <w:rPr>
                <w:rFonts w:eastAsia="Times New Roman" w:cs="Calibri"/>
                <w:noProof/>
              </w:rPr>
            </w:pPr>
            <w:r>
              <w:rPr>
                <w:noProof/>
              </w:rPr>
              <w:t>16.7</w:t>
            </w:r>
          </w:p>
        </w:tc>
        <w:tc>
          <w:tcPr>
            <w:tcW w:w="1276" w:type="dxa"/>
            <w:shd w:val="clear" w:color="auto" w:fill="C4EFCE"/>
            <w:noWrap/>
            <w:vAlign w:val="center"/>
            <w:hideMark/>
          </w:tcPr>
          <w:p w14:paraId="486E2805"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022E78"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FBD8596" w14:textId="77777777" w:rsidR="00DC5EC6" w:rsidRDefault="003245A4">
            <w:pPr>
              <w:pStyle w:val="P68B1DB1-Normal8"/>
              <w:spacing w:after="0" w:line="240" w:lineRule="auto"/>
              <w:jc w:val="center"/>
              <w:rPr>
                <w:rFonts w:eastAsia="Times New Roman" w:cs="Calibri"/>
                <w:noProof/>
              </w:rPr>
            </w:pPr>
            <w:r>
              <w:rPr>
                <w:noProof/>
              </w:rPr>
              <w:t>A nemzeti tesztágyak hálózatához kiválasztott tesztágyak</w:t>
            </w:r>
          </w:p>
        </w:tc>
        <w:tc>
          <w:tcPr>
            <w:tcW w:w="1275" w:type="dxa"/>
            <w:shd w:val="clear" w:color="auto" w:fill="C4EFCE"/>
            <w:noWrap/>
            <w:vAlign w:val="center"/>
            <w:hideMark/>
          </w:tcPr>
          <w:p w14:paraId="24BABD16" w14:textId="77777777" w:rsidR="00DC5EC6" w:rsidRDefault="003245A4">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2AF4B68E"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90C3CF5" w14:textId="77777777" w:rsidR="00DC5EC6" w:rsidRDefault="003245A4">
            <w:pPr>
              <w:pStyle w:val="P68B1DB1-Normal8"/>
              <w:spacing w:after="0" w:line="240" w:lineRule="auto"/>
              <w:jc w:val="center"/>
              <w:rPr>
                <w:rFonts w:eastAsia="Times New Roman" w:cs="Calibri"/>
                <w:noProof/>
              </w:rPr>
            </w:pPr>
            <w:r>
              <w:rPr>
                <w:noProof/>
              </w:rPr>
              <w:t> 0</w:t>
            </w:r>
          </w:p>
        </w:tc>
        <w:tc>
          <w:tcPr>
            <w:tcW w:w="850" w:type="dxa"/>
            <w:shd w:val="clear" w:color="auto" w:fill="C4EFCE"/>
            <w:noWrap/>
            <w:vAlign w:val="center"/>
            <w:hideMark/>
          </w:tcPr>
          <w:p w14:paraId="358B2E8A" w14:textId="77777777" w:rsidR="00DC5EC6" w:rsidRDefault="003245A4">
            <w:pPr>
              <w:pStyle w:val="P68B1DB1-Normal8"/>
              <w:spacing w:after="0" w:line="240" w:lineRule="auto"/>
              <w:jc w:val="center"/>
              <w:rPr>
                <w:rFonts w:eastAsia="Times New Roman" w:cs="Calibri"/>
                <w:noProof/>
              </w:rPr>
            </w:pPr>
            <w:r>
              <w:rPr>
                <w:noProof/>
              </w:rPr>
              <w:t>30 </w:t>
            </w:r>
          </w:p>
        </w:tc>
        <w:tc>
          <w:tcPr>
            <w:tcW w:w="426" w:type="dxa"/>
            <w:shd w:val="clear" w:color="auto" w:fill="C4EFCE"/>
            <w:noWrap/>
            <w:vAlign w:val="center"/>
            <w:hideMark/>
          </w:tcPr>
          <w:p w14:paraId="37852C11" w14:textId="755F3450"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0AF84A0B" w14:textId="77777777" w:rsidR="00DC5EC6" w:rsidRDefault="003245A4">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3D5DF3F" w14:textId="77777777" w:rsidR="00DC5EC6" w:rsidRDefault="003245A4">
            <w:pPr>
              <w:pStyle w:val="P68B1DB1-Normal9"/>
              <w:spacing w:after="0" w:line="240" w:lineRule="auto"/>
              <w:jc w:val="both"/>
              <w:rPr>
                <w:rFonts w:eastAsia="Times New Roman" w:cs="Calibri"/>
                <w:noProof/>
                <w:sz w:val="16"/>
              </w:rPr>
            </w:pPr>
            <w:r>
              <w:rPr>
                <w:noProof/>
                <w:sz w:val="16"/>
              </w:rPr>
              <w:t>Azoknak a tesztágyaknak a száma, amelyeket a nemzeti tesztágy-hálózat kísérleti termékeinek kifejlesztéséhez és teszteléséhez szükséges berendezésekkel szerelnek fel. Az ipari ágazatok és alágazataik lefedettségének meg kell felelnie a</w:t>
            </w:r>
            <w:r>
              <w:rPr>
                <w:noProof/>
              </w:rPr>
              <w:t xml:space="preserve"> </w:t>
            </w:r>
            <w:r>
              <w:rPr>
                <w:noProof/>
                <w:sz w:val="16"/>
              </w:rPr>
              <w:t xml:space="preserve">digitális innovációs központok (DIH) hálózata számára tervezetteknek, hogy szinergiákat és kiegészítő jelleget teremtsen a digitális innovációs központok hálózatával. </w:t>
            </w:r>
          </w:p>
          <w:p w14:paraId="723D2E82" w14:textId="1C437B17"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642663A6" w14:textId="77777777">
        <w:trPr>
          <w:trHeight w:val="420"/>
        </w:trPr>
        <w:tc>
          <w:tcPr>
            <w:tcW w:w="1135" w:type="dxa"/>
            <w:shd w:val="clear" w:color="auto" w:fill="C5EFCE"/>
            <w:vAlign w:val="center"/>
            <w:hideMark/>
          </w:tcPr>
          <w:p w14:paraId="0C199B10" w14:textId="77777777" w:rsidR="00DC5EC6" w:rsidRDefault="003245A4">
            <w:pPr>
              <w:pStyle w:val="P68B1DB1-Normal7"/>
              <w:spacing w:after="0" w:line="240" w:lineRule="auto"/>
              <w:jc w:val="center"/>
              <w:rPr>
                <w:rFonts w:eastAsia="Times New Roman" w:cs="Calibri"/>
                <w:noProof/>
              </w:rPr>
            </w:pPr>
            <w:r>
              <w:rPr>
                <w:noProof/>
              </w:rPr>
              <w:t>16.8</w:t>
            </w:r>
          </w:p>
        </w:tc>
        <w:tc>
          <w:tcPr>
            <w:tcW w:w="1276" w:type="dxa"/>
            <w:shd w:val="clear" w:color="auto" w:fill="C4EFCE"/>
            <w:noWrap/>
            <w:vAlign w:val="center"/>
            <w:hideMark/>
          </w:tcPr>
          <w:p w14:paraId="4D5E6E95"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3AC525B1"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843CFCB" w14:textId="17138ACC" w:rsidR="00DC5EC6" w:rsidRDefault="003245A4">
            <w:pPr>
              <w:pStyle w:val="P68B1DB1-Normal8"/>
              <w:spacing w:after="0" w:line="240" w:lineRule="auto"/>
              <w:jc w:val="center"/>
              <w:rPr>
                <w:rFonts w:eastAsia="Times New Roman" w:cs="Calibri"/>
                <w:noProof/>
              </w:rPr>
            </w:pPr>
            <w:r>
              <w:rPr>
                <w:noProof/>
              </w:rPr>
              <w:t xml:space="preserve">A nemzeti tesztágy-hálózat kísérleti termékei és szolgáltatásai </w:t>
            </w:r>
          </w:p>
        </w:tc>
        <w:tc>
          <w:tcPr>
            <w:tcW w:w="1275" w:type="dxa"/>
            <w:shd w:val="clear" w:color="auto" w:fill="C4EFCE"/>
            <w:noWrap/>
            <w:vAlign w:val="center"/>
            <w:hideMark/>
          </w:tcPr>
          <w:p w14:paraId="1C876615"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163E41C"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032CDA7" w14:textId="3AB8A8F0" w:rsidR="00DC5EC6" w:rsidRDefault="003245A4">
            <w:pPr>
              <w:pStyle w:val="P68B1DB1-Normal8"/>
              <w:spacing w:after="0" w:line="240" w:lineRule="auto"/>
              <w:jc w:val="center"/>
              <w:rPr>
                <w:rFonts w:eastAsia="Times New Roman" w:cs="Calibri"/>
                <w:noProof/>
              </w:rPr>
            </w:pPr>
            <w:r>
              <w:rPr>
                <w:noProof/>
              </w:rPr>
              <w:t>600</w:t>
            </w:r>
          </w:p>
        </w:tc>
        <w:tc>
          <w:tcPr>
            <w:tcW w:w="850" w:type="dxa"/>
            <w:shd w:val="clear" w:color="auto" w:fill="C4EFCE"/>
            <w:noWrap/>
            <w:vAlign w:val="center"/>
            <w:hideMark/>
          </w:tcPr>
          <w:p w14:paraId="78086472" w14:textId="5935E04B" w:rsidR="00DC5EC6" w:rsidRDefault="003245A4">
            <w:pPr>
              <w:pStyle w:val="P68B1DB1-Normal8"/>
              <w:spacing w:after="0" w:line="240" w:lineRule="auto"/>
              <w:jc w:val="center"/>
              <w:rPr>
                <w:rFonts w:eastAsia="Times New Roman" w:cs="Calibri"/>
                <w:noProof/>
              </w:rPr>
            </w:pPr>
            <w:r>
              <w:rPr>
                <w:noProof/>
              </w:rPr>
              <w:t>3 000</w:t>
            </w:r>
          </w:p>
        </w:tc>
        <w:tc>
          <w:tcPr>
            <w:tcW w:w="426" w:type="dxa"/>
            <w:shd w:val="clear" w:color="auto" w:fill="C4EFCE"/>
            <w:noWrap/>
            <w:vAlign w:val="center"/>
            <w:hideMark/>
          </w:tcPr>
          <w:p w14:paraId="75024F04" w14:textId="43A5ADC0"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749E31FA"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5E28F56" w14:textId="02EA86AD" w:rsidR="00DC5EC6" w:rsidRDefault="003245A4">
            <w:pPr>
              <w:pStyle w:val="P68B1DB1-Normal8"/>
              <w:spacing w:after="0" w:line="240" w:lineRule="auto"/>
              <w:jc w:val="both"/>
              <w:rPr>
                <w:rFonts w:eastAsia="Times New Roman" w:cs="Calibri"/>
                <w:noProof/>
              </w:rPr>
            </w:pPr>
            <w:r>
              <w:rPr>
                <w:noProof/>
              </w:rPr>
              <w:t xml:space="preserve">A nemzeti tesztágy-hálózatban az 5. technológiai érettségi szint elérése céljából kifejlesztett kísérleti termékek vagy szolgáltatások száma. </w:t>
            </w:r>
          </w:p>
          <w:p w14:paraId="73F048D1" w14:textId="0BEE092C"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5FCAF347" w14:textId="77777777">
        <w:trPr>
          <w:trHeight w:val="1050"/>
        </w:trPr>
        <w:tc>
          <w:tcPr>
            <w:tcW w:w="1135" w:type="dxa"/>
            <w:shd w:val="clear" w:color="auto" w:fill="C5EFCE"/>
            <w:vAlign w:val="center"/>
            <w:hideMark/>
          </w:tcPr>
          <w:p w14:paraId="6A609E24" w14:textId="77777777" w:rsidR="00DC5EC6" w:rsidRDefault="003245A4">
            <w:pPr>
              <w:pStyle w:val="P68B1DB1-Normal7"/>
              <w:spacing w:after="0" w:line="240" w:lineRule="auto"/>
              <w:jc w:val="center"/>
              <w:rPr>
                <w:rFonts w:eastAsia="Times New Roman" w:cs="Calibri"/>
                <w:noProof/>
              </w:rPr>
            </w:pPr>
            <w:r>
              <w:rPr>
                <w:noProof/>
              </w:rPr>
              <w:t>16.9</w:t>
            </w:r>
          </w:p>
        </w:tc>
        <w:tc>
          <w:tcPr>
            <w:tcW w:w="1276" w:type="dxa"/>
            <w:shd w:val="clear" w:color="auto" w:fill="C4EFCE"/>
            <w:noWrap/>
            <w:vAlign w:val="center"/>
            <w:hideMark/>
          </w:tcPr>
          <w:p w14:paraId="179FBF25"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6674AFC7"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5884E1F" w14:textId="77777777" w:rsidR="00DC5EC6" w:rsidRDefault="003245A4">
            <w:pPr>
              <w:pStyle w:val="P68B1DB1-Normal8"/>
              <w:spacing w:after="0" w:line="240" w:lineRule="auto"/>
              <w:jc w:val="center"/>
              <w:rPr>
                <w:rFonts w:eastAsia="Times New Roman" w:cs="Calibri"/>
                <w:noProof/>
              </w:rPr>
            </w:pPr>
            <w:r>
              <w:rPr>
                <w:noProof/>
              </w:rPr>
              <w:t xml:space="preserve">Digitális kereskedelmi szomszédság  </w:t>
            </w:r>
          </w:p>
        </w:tc>
        <w:tc>
          <w:tcPr>
            <w:tcW w:w="1275" w:type="dxa"/>
            <w:shd w:val="clear" w:color="auto" w:fill="C4EFCE"/>
            <w:noWrap/>
            <w:vAlign w:val="center"/>
            <w:hideMark/>
          </w:tcPr>
          <w:p w14:paraId="7929B328"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FCAF2B3"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7CDAFE5"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8E1A920" w14:textId="7A3D3DC3" w:rsidR="00DC5EC6" w:rsidRDefault="003245A4">
            <w:pPr>
              <w:pStyle w:val="P68B1DB1-Normal8"/>
              <w:spacing w:after="0" w:line="240" w:lineRule="auto"/>
              <w:jc w:val="center"/>
              <w:rPr>
                <w:rFonts w:eastAsia="Times New Roman" w:cs="Calibri"/>
                <w:noProof/>
              </w:rPr>
            </w:pPr>
            <w:r>
              <w:rPr>
                <w:noProof/>
              </w:rPr>
              <w:t>75</w:t>
            </w:r>
          </w:p>
        </w:tc>
        <w:tc>
          <w:tcPr>
            <w:tcW w:w="426" w:type="dxa"/>
            <w:shd w:val="clear" w:color="auto" w:fill="C4EFCE"/>
            <w:noWrap/>
            <w:vAlign w:val="center"/>
            <w:hideMark/>
          </w:tcPr>
          <w:p w14:paraId="34220EA9" w14:textId="61081A86"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199941AA"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A0B7D8F" w14:textId="77777777" w:rsidR="00DC5EC6" w:rsidRDefault="003245A4">
            <w:pPr>
              <w:pStyle w:val="P68B1DB1-Normal8"/>
              <w:spacing w:after="0" w:line="240" w:lineRule="auto"/>
              <w:jc w:val="both"/>
              <w:rPr>
                <w:rFonts w:eastAsia="Times New Roman" w:cs="Calibri"/>
                <w:noProof/>
              </w:rPr>
            </w:pPr>
            <w:r>
              <w:rPr>
                <w:noProof/>
              </w:rPr>
              <w:t xml:space="preserve">A városközpontokban, elővárosi vagy vidéki területeken található digitális kereskedelmi negyedek száma. Ezeknek a beruházásoknak ki kell terjedniük a hálózati összekapcsoltságra és a helyi digitális infrastruktúrára, különösen a meglévő berendezések telepítésére (vagy korszerűsítésére), valamint a bevásárlóterületeken található ügyfelek wifi internet-hozzáférésének telepítésére. Kiterjed továbbá a csomagkézbesítés kezelésére szolgáló technológiai megoldások integrálására, valamint az elektronikus fizetési eszközök bevezetésére a fogyasztói tapasztalatok és az üzletek üzleti modelljének digitalizálása érdekében. </w:t>
            </w:r>
          </w:p>
          <w:p w14:paraId="2778C930" w14:textId="5EE6DF25"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3DFAB9AF" w14:textId="77777777">
        <w:trPr>
          <w:trHeight w:val="840"/>
        </w:trPr>
        <w:tc>
          <w:tcPr>
            <w:tcW w:w="1135" w:type="dxa"/>
            <w:shd w:val="clear" w:color="auto" w:fill="C5EFCE"/>
            <w:vAlign w:val="center"/>
            <w:hideMark/>
          </w:tcPr>
          <w:p w14:paraId="0F8CC808" w14:textId="77777777" w:rsidR="00DC5EC6" w:rsidRDefault="003245A4">
            <w:pPr>
              <w:pStyle w:val="P68B1DB1-Normal7"/>
              <w:spacing w:after="0" w:line="240" w:lineRule="auto"/>
              <w:jc w:val="center"/>
              <w:rPr>
                <w:rFonts w:eastAsia="Times New Roman" w:cs="Calibri"/>
                <w:noProof/>
              </w:rPr>
            </w:pPr>
            <w:r>
              <w:rPr>
                <w:noProof/>
              </w:rPr>
              <w:t>16.10</w:t>
            </w:r>
          </w:p>
        </w:tc>
        <w:tc>
          <w:tcPr>
            <w:tcW w:w="1276" w:type="dxa"/>
            <w:shd w:val="clear" w:color="auto" w:fill="C4EFCE"/>
            <w:noWrap/>
            <w:vAlign w:val="center"/>
            <w:hideMark/>
          </w:tcPr>
          <w:p w14:paraId="26E29367"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5D3DAE9B"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2260687F" w14:textId="77777777" w:rsidR="00DC5EC6" w:rsidRDefault="003245A4">
            <w:pPr>
              <w:pStyle w:val="P68B1DB1-Normal8"/>
              <w:spacing w:after="0" w:line="240" w:lineRule="auto"/>
              <w:jc w:val="center"/>
              <w:rPr>
                <w:rFonts w:eastAsia="Times New Roman" w:cs="Calibri"/>
                <w:noProof/>
              </w:rPr>
            </w:pPr>
            <w:r>
              <w:rPr>
                <w:noProof/>
              </w:rPr>
              <w:t xml:space="preserve">A digitális kereskedelem akcelerátorai által támogatott kkv-k </w:t>
            </w:r>
          </w:p>
        </w:tc>
        <w:tc>
          <w:tcPr>
            <w:tcW w:w="1275" w:type="dxa"/>
            <w:shd w:val="clear" w:color="auto" w:fill="C4EFCE"/>
            <w:noWrap/>
            <w:vAlign w:val="center"/>
            <w:hideMark/>
          </w:tcPr>
          <w:p w14:paraId="67959119"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FEC586D"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9094076" w14:textId="1A775469" w:rsidR="00DC5EC6" w:rsidRDefault="003245A4">
            <w:pPr>
              <w:pStyle w:val="P68B1DB1-Normal8"/>
              <w:spacing w:after="0" w:line="240" w:lineRule="auto"/>
              <w:jc w:val="center"/>
              <w:rPr>
                <w:rFonts w:eastAsia="Times New Roman" w:cs="Calibri"/>
                <w:noProof/>
              </w:rPr>
            </w:pPr>
            <w:r>
              <w:rPr>
                <w:noProof/>
              </w:rPr>
              <w:t>12 500</w:t>
            </w:r>
          </w:p>
        </w:tc>
        <w:tc>
          <w:tcPr>
            <w:tcW w:w="850" w:type="dxa"/>
            <w:shd w:val="clear" w:color="auto" w:fill="C4EFCE"/>
            <w:noWrap/>
            <w:vAlign w:val="center"/>
            <w:hideMark/>
          </w:tcPr>
          <w:p w14:paraId="52FADA3D" w14:textId="6EEE0035" w:rsidR="00DC5EC6" w:rsidRDefault="003245A4">
            <w:pPr>
              <w:pStyle w:val="P68B1DB1-Normal8"/>
              <w:spacing w:after="0" w:line="240" w:lineRule="auto"/>
              <w:jc w:val="center"/>
              <w:rPr>
                <w:rFonts w:eastAsia="Times New Roman" w:cs="Calibri"/>
                <w:noProof/>
              </w:rPr>
            </w:pPr>
            <w:r>
              <w:rPr>
                <w:noProof/>
              </w:rPr>
              <w:t>25 000</w:t>
            </w:r>
          </w:p>
        </w:tc>
        <w:tc>
          <w:tcPr>
            <w:tcW w:w="426" w:type="dxa"/>
            <w:shd w:val="clear" w:color="auto" w:fill="C4EFCE"/>
            <w:noWrap/>
            <w:vAlign w:val="center"/>
            <w:hideMark/>
          </w:tcPr>
          <w:p w14:paraId="7C933B29" w14:textId="0EE825B9"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37518E67" w14:textId="78F8B329"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3308F67E" w14:textId="77777777" w:rsidR="00DC5EC6" w:rsidRDefault="003245A4">
            <w:pPr>
              <w:pStyle w:val="P68B1DB1-Normal8"/>
              <w:spacing w:after="0" w:line="240" w:lineRule="auto"/>
              <w:jc w:val="both"/>
              <w:rPr>
                <w:rFonts w:eastAsia="Times New Roman" w:cs="Calibri"/>
                <w:noProof/>
              </w:rPr>
            </w:pPr>
            <w:r>
              <w:rPr>
                <w:noProof/>
              </w:rPr>
              <w:t xml:space="preserve">25 helyi, regionális vagy ágazati digitális kereskedelmi akcelerátor létrehozásával, valamint a kkv-k üzleti modelljeinek digitalizálására irányuló pénzügyi ösztönzők rendszerével támogatott kkv-k száma. A támogatás magában foglalja a kedvezményezett kkv-k digitalizációs szintjének értékelését és diagnosztizálását, valamint célzott szolgáltatások és ösztönzők nyújtását a digitális technológiáknak a kedvezményezettek üzleti modelljében való elterjedésének fokozása érdekében. </w:t>
            </w:r>
          </w:p>
          <w:p w14:paraId="4ED0DEA8" w14:textId="4B2A5B9A" w:rsidR="00DC5EC6" w:rsidRDefault="003245A4">
            <w:pPr>
              <w:pStyle w:val="P68B1DB1-Normal8"/>
              <w:spacing w:after="0" w:line="240" w:lineRule="auto"/>
              <w:jc w:val="both"/>
              <w:rPr>
                <w:rFonts w:eastAsia="Times New Roman" w:cs="Calibri"/>
                <w:noProof/>
              </w:rPr>
            </w:pPr>
            <w:r>
              <w:rPr>
                <w:noProof/>
              </w:rPr>
              <w:t>A kiválasztási kritériumoknak fenntarthatósági vizsgálat, kizárási lista használata, valamint a vonatkozó uniós és nemzeti környezetvédelmi jogszabályoknak való megfelelés követelménye révén biztosítaniuk kell az ezen intézkedés keretében támogatott ügyletekre vonatkozó, a jelentős károkozás elkerülését célzó elvről szóló technikai iránymutatásnak (2021/C58/01) való megfelelést.</w:t>
            </w:r>
          </w:p>
        </w:tc>
      </w:tr>
      <w:tr w:rsidR="00DC5EC6" w14:paraId="2F71EA50" w14:textId="77777777">
        <w:trPr>
          <w:trHeight w:val="840"/>
        </w:trPr>
        <w:tc>
          <w:tcPr>
            <w:tcW w:w="1135" w:type="dxa"/>
            <w:shd w:val="clear" w:color="auto" w:fill="C5EFCE"/>
            <w:vAlign w:val="center"/>
            <w:hideMark/>
          </w:tcPr>
          <w:p w14:paraId="3D28E0B0" w14:textId="77777777" w:rsidR="00DC5EC6" w:rsidRDefault="003245A4">
            <w:pPr>
              <w:pStyle w:val="P68B1DB1-Normal7"/>
              <w:spacing w:after="0" w:line="240" w:lineRule="auto"/>
              <w:jc w:val="center"/>
              <w:rPr>
                <w:rFonts w:eastAsia="Times New Roman" w:cs="Calibri"/>
                <w:noProof/>
              </w:rPr>
            </w:pPr>
            <w:r>
              <w:rPr>
                <w:noProof/>
              </w:rPr>
              <w:t>16.11</w:t>
            </w:r>
          </w:p>
        </w:tc>
        <w:tc>
          <w:tcPr>
            <w:tcW w:w="1276" w:type="dxa"/>
            <w:shd w:val="clear" w:color="auto" w:fill="C4EFCE"/>
            <w:noWrap/>
            <w:vAlign w:val="center"/>
            <w:hideMark/>
          </w:tcPr>
          <w:p w14:paraId="644097FA"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1D133C12"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5F447BF" w14:textId="77777777" w:rsidR="00DC5EC6" w:rsidRDefault="003245A4">
            <w:pPr>
              <w:pStyle w:val="P68B1DB1-Normal8"/>
              <w:spacing w:after="0" w:line="240" w:lineRule="auto"/>
              <w:jc w:val="center"/>
              <w:rPr>
                <w:rFonts w:eastAsia="Times New Roman" w:cs="Calibri"/>
                <w:noProof/>
              </w:rPr>
            </w:pPr>
            <w:r>
              <w:rPr>
                <w:noProof/>
              </w:rPr>
              <w:t>A digitalizációs programok által közvetlenül támogatott kkv-k és induló innovatív vállalkozások inkubátorházak</w:t>
            </w:r>
          </w:p>
        </w:tc>
        <w:tc>
          <w:tcPr>
            <w:tcW w:w="1275" w:type="dxa"/>
            <w:shd w:val="clear" w:color="auto" w:fill="C4EFCE"/>
            <w:noWrap/>
            <w:vAlign w:val="center"/>
            <w:hideMark/>
          </w:tcPr>
          <w:p w14:paraId="07712FA0"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C3CBA4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60C4307B"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84B8F8" w14:textId="3B8AD6B5" w:rsidR="00DC5EC6" w:rsidRDefault="003245A4">
            <w:pPr>
              <w:pStyle w:val="P68B1DB1-Normal8"/>
              <w:spacing w:after="0" w:line="240" w:lineRule="auto"/>
              <w:jc w:val="center"/>
              <w:rPr>
                <w:rFonts w:eastAsia="Times New Roman" w:cs="Calibri"/>
                <w:noProof/>
              </w:rPr>
            </w:pPr>
            <w:r>
              <w:rPr>
                <w:noProof/>
              </w:rPr>
              <w:t>8 600</w:t>
            </w:r>
          </w:p>
        </w:tc>
        <w:tc>
          <w:tcPr>
            <w:tcW w:w="426" w:type="dxa"/>
            <w:shd w:val="clear" w:color="auto" w:fill="C4EFCE"/>
            <w:noWrap/>
            <w:vAlign w:val="center"/>
            <w:hideMark/>
          </w:tcPr>
          <w:p w14:paraId="3BB8FD93" w14:textId="7121967F"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42E4D76E"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019B1A1" w14:textId="514E9783" w:rsidR="00DC5EC6" w:rsidRDefault="003245A4">
            <w:pPr>
              <w:pStyle w:val="P68B1DB1-Normal8"/>
              <w:spacing w:after="0" w:line="240" w:lineRule="auto"/>
              <w:jc w:val="both"/>
              <w:rPr>
                <w:rFonts w:eastAsia="Times New Roman" w:cs="Calibri"/>
                <w:noProof/>
              </w:rPr>
            </w:pPr>
            <w:r>
              <w:rPr>
                <w:noProof/>
              </w:rPr>
              <w:t xml:space="preserve">A következő programok egyikével támogatott kkv-k (8500) és induló innovatív vállalkozások (100) száma: Az e-kereskedelem útján történő nemzetköziesítés; A digitális átállás üzleti modelljeit támogató 4.0 intézkedések; Induló vállalkozásoknak szóló utalványok új zöld és digitális termékek kifejlesztéséhez; Indító inkubátorok és gyorsítók technológiai fejlődésük érdekében. </w:t>
            </w:r>
          </w:p>
          <w:p w14:paraId="6029676F" w14:textId="7C82C703"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DC5EC6" w14:paraId="38A52C15" w14:textId="77777777">
        <w:trPr>
          <w:trHeight w:val="1643"/>
        </w:trPr>
        <w:tc>
          <w:tcPr>
            <w:tcW w:w="1135" w:type="dxa"/>
            <w:shd w:val="clear" w:color="auto" w:fill="C5EFCE"/>
            <w:vAlign w:val="center"/>
            <w:hideMark/>
          </w:tcPr>
          <w:p w14:paraId="4CAE8DE6" w14:textId="77777777" w:rsidR="00DC5EC6" w:rsidRDefault="003245A4">
            <w:pPr>
              <w:pStyle w:val="P68B1DB1-Normal7"/>
              <w:spacing w:after="0" w:line="240" w:lineRule="auto"/>
              <w:jc w:val="center"/>
              <w:rPr>
                <w:rFonts w:eastAsia="Times New Roman" w:cs="Calibri"/>
                <w:noProof/>
              </w:rPr>
            </w:pPr>
            <w:r>
              <w:rPr>
                <w:noProof/>
              </w:rPr>
              <w:t>16.12</w:t>
            </w:r>
          </w:p>
        </w:tc>
        <w:tc>
          <w:tcPr>
            <w:tcW w:w="1276" w:type="dxa"/>
            <w:shd w:val="clear" w:color="auto" w:fill="C4EFCE"/>
            <w:noWrap/>
            <w:vAlign w:val="center"/>
            <w:hideMark/>
          </w:tcPr>
          <w:p w14:paraId="5F867C02" w14:textId="77777777" w:rsidR="00DC5EC6" w:rsidRDefault="003245A4">
            <w:pPr>
              <w:pStyle w:val="P68B1DB1-Normal8"/>
              <w:spacing w:after="0" w:line="240" w:lineRule="auto"/>
              <w:jc w:val="center"/>
              <w:rPr>
                <w:rFonts w:eastAsia="Times New Roman" w:cs="Calibri"/>
                <w:noProof/>
              </w:rPr>
            </w:pPr>
            <w:r>
              <w:rPr>
                <w:noProof/>
              </w:rPr>
              <w:t>TD-C16-i02</w:t>
            </w:r>
          </w:p>
        </w:tc>
        <w:tc>
          <w:tcPr>
            <w:tcW w:w="1134" w:type="dxa"/>
            <w:shd w:val="clear" w:color="auto" w:fill="C4EFCE"/>
            <w:noWrap/>
            <w:vAlign w:val="center"/>
            <w:hideMark/>
          </w:tcPr>
          <w:p w14:paraId="45502F32"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02F5C2B" w14:textId="77777777" w:rsidR="00DC5EC6" w:rsidRDefault="003245A4">
            <w:pPr>
              <w:pStyle w:val="P68B1DB1-Normal8"/>
              <w:spacing w:after="0" w:line="240" w:lineRule="auto"/>
              <w:jc w:val="center"/>
              <w:rPr>
                <w:rFonts w:eastAsia="Times New Roman" w:cs="Calibri"/>
                <w:noProof/>
              </w:rPr>
            </w:pPr>
            <w:r>
              <w:rPr>
                <w:noProof/>
              </w:rPr>
              <w:t>Az induló innovatív vállalkozások feltérképezése a Startup Portugal platformján</w:t>
            </w:r>
          </w:p>
        </w:tc>
        <w:tc>
          <w:tcPr>
            <w:tcW w:w="1275" w:type="dxa"/>
            <w:shd w:val="clear" w:color="auto" w:fill="C4EFCE"/>
            <w:noWrap/>
            <w:vAlign w:val="center"/>
            <w:hideMark/>
          </w:tcPr>
          <w:p w14:paraId="23EFB0A5"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D58674F"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0380127A"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3517E74" w14:textId="77777777" w:rsidR="00DC5EC6" w:rsidRDefault="003245A4">
            <w:pPr>
              <w:pStyle w:val="P68B1DB1-Normal8"/>
              <w:spacing w:after="0" w:line="240" w:lineRule="auto"/>
              <w:jc w:val="center"/>
              <w:rPr>
                <w:rFonts w:eastAsia="Times New Roman" w:cs="Calibri"/>
                <w:noProof/>
              </w:rPr>
            </w:pPr>
            <w:r>
              <w:rPr>
                <w:noProof/>
              </w:rPr>
              <w:t>5 000</w:t>
            </w:r>
          </w:p>
        </w:tc>
        <w:tc>
          <w:tcPr>
            <w:tcW w:w="426" w:type="dxa"/>
            <w:shd w:val="clear" w:color="auto" w:fill="C4EFCE"/>
            <w:noWrap/>
            <w:vAlign w:val="center"/>
            <w:hideMark/>
          </w:tcPr>
          <w:p w14:paraId="486D0174" w14:textId="668964D8"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18DDACC3"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B3984B8" w14:textId="77777777" w:rsidR="00DC5EC6" w:rsidRDefault="003245A4">
            <w:pPr>
              <w:pStyle w:val="P68B1DB1-Normal8"/>
              <w:spacing w:after="0" w:line="240" w:lineRule="auto"/>
              <w:jc w:val="both"/>
              <w:rPr>
                <w:rFonts w:eastAsia="Times New Roman" w:cs="Calibri"/>
                <w:noProof/>
              </w:rPr>
            </w:pPr>
            <w:r>
              <w:rPr>
                <w:noProof/>
              </w:rPr>
              <w:t>Az induló innovatív vállalkozások száma, amelyeket fő üzleti jellemzőik azonosításával térképeztek fel az Start-up Portugal platformon. Az új platform nyomon követi az induló innovatív vállalkozások ökoszisztémáját, különösen, de nem kizárólag a digitális alapú üzleti vállalkozásokat. A platformot az egész ökoszisztéma (induló vállalkozások, befektetők, akcelerátorok/inkubátorok, közigazgatási szervek) rendelkezésére kell bocsátani.</w:t>
            </w:r>
          </w:p>
        </w:tc>
      </w:tr>
      <w:tr w:rsidR="00262911" w14:paraId="7350D2DA" w14:textId="77777777">
        <w:trPr>
          <w:trHeight w:val="840"/>
        </w:trPr>
        <w:tc>
          <w:tcPr>
            <w:tcW w:w="1135" w:type="dxa"/>
            <w:shd w:val="clear" w:color="auto" w:fill="C5EFCE"/>
            <w:vAlign w:val="center"/>
            <w:hideMark/>
          </w:tcPr>
          <w:p w14:paraId="33990609" w14:textId="77777777" w:rsidR="00262911" w:rsidRDefault="00262911" w:rsidP="00262911">
            <w:pPr>
              <w:pStyle w:val="P68B1DB1-Normal7"/>
              <w:spacing w:after="0" w:line="240" w:lineRule="auto"/>
              <w:jc w:val="center"/>
              <w:rPr>
                <w:rFonts w:eastAsia="Times New Roman" w:cs="Calibri"/>
                <w:noProof/>
              </w:rPr>
            </w:pPr>
            <w:r>
              <w:rPr>
                <w:noProof/>
              </w:rPr>
              <w:t>16.13</w:t>
            </w:r>
          </w:p>
        </w:tc>
        <w:tc>
          <w:tcPr>
            <w:tcW w:w="1276" w:type="dxa"/>
            <w:shd w:val="clear" w:color="auto" w:fill="C4EFCE"/>
            <w:noWrap/>
            <w:vAlign w:val="center"/>
            <w:hideMark/>
          </w:tcPr>
          <w:p w14:paraId="10894A09" w14:textId="77777777" w:rsidR="00262911" w:rsidRDefault="00262911" w:rsidP="00262911">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7DE9E8AC"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190118A" w14:textId="77777777" w:rsidR="00262911" w:rsidRDefault="00262911" w:rsidP="00262911">
            <w:pPr>
              <w:pStyle w:val="P68B1DB1-Normal8"/>
              <w:spacing w:after="0" w:line="240" w:lineRule="auto"/>
              <w:jc w:val="center"/>
              <w:rPr>
                <w:rFonts w:eastAsia="Times New Roman" w:cs="Calibri"/>
                <w:noProof/>
              </w:rPr>
            </w:pPr>
            <w:r>
              <w:rPr>
                <w:noProof/>
              </w:rPr>
              <w:t xml:space="preserve">Digitális innovációs központok </w:t>
            </w:r>
          </w:p>
        </w:tc>
        <w:tc>
          <w:tcPr>
            <w:tcW w:w="1275" w:type="dxa"/>
            <w:shd w:val="clear" w:color="auto" w:fill="C4EFCE"/>
            <w:noWrap/>
            <w:vAlign w:val="center"/>
            <w:hideMark/>
          </w:tcPr>
          <w:p w14:paraId="5EFD82C5" w14:textId="77777777" w:rsidR="00262911" w:rsidRDefault="00262911" w:rsidP="00262911">
            <w:pPr>
              <w:pStyle w:val="P68B1DB1-Normal9"/>
              <w:spacing w:after="0" w:line="240" w:lineRule="auto"/>
              <w:rPr>
                <w:rFonts w:eastAsia="Times New Roman" w:cs="Calibri"/>
                <w:noProof/>
              </w:rPr>
            </w:pPr>
            <w:r>
              <w:rPr>
                <w:noProof/>
              </w:rPr>
              <w:t> </w:t>
            </w:r>
          </w:p>
        </w:tc>
        <w:tc>
          <w:tcPr>
            <w:tcW w:w="993" w:type="dxa"/>
            <w:shd w:val="clear" w:color="auto" w:fill="C4EFCE"/>
            <w:noWrap/>
            <w:vAlign w:val="center"/>
            <w:hideMark/>
          </w:tcPr>
          <w:p w14:paraId="3E8E9CC7" w14:textId="77777777" w:rsidR="00262911" w:rsidRDefault="00262911" w:rsidP="00262911">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002156A3" w14:textId="77777777" w:rsidR="00262911" w:rsidRDefault="00262911" w:rsidP="00262911">
            <w:pPr>
              <w:pStyle w:val="P68B1DB1-Normal8"/>
              <w:spacing w:after="0" w:line="240" w:lineRule="auto"/>
              <w:jc w:val="center"/>
              <w:rPr>
                <w:rFonts w:eastAsia="Times New Roman" w:cs="Calibri"/>
                <w:noProof/>
              </w:rPr>
            </w:pPr>
            <w:r>
              <w:rPr>
                <w:noProof/>
              </w:rPr>
              <w:t>0 </w:t>
            </w:r>
          </w:p>
        </w:tc>
        <w:tc>
          <w:tcPr>
            <w:tcW w:w="850" w:type="dxa"/>
            <w:shd w:val="clear" w:color="auto" w:fill="C4EFCE"/>
            <w:noWrap/>
            <w:vAlign w:val="center"/>
            <w:hideMark/>
          </w:tcPr>
          <w:p w14:paraId="1A05649D" w14:textId="77777777" w:rsidR="00262911" w:rsidRDefault="00262911" w:rsidP="00262911">
            <w:pPr>
              <w:pStyle w:val="P68B1DB1-Normal8"/>
              <w:spacing w:after="0" w:line="240" w:lineRule="auto"/>
              <w:jc w:val="center"/>
              <w:rPr>
                <w:rFonts w:eastAsia="Times New Roman" w:cs="Calibri"/>
                <w:noProof/>
              </w:rPr>
            </w:pPr>
            <w:r>
              <w:rPr>
                <w:noProof/>
              </w:rPr>
              <w:t>16 </w:t>
            </w:r>
          </w:p>
        </w:tc>
        <w:tc>
          <w:tcPr>
            <w:tcW w:w="426" w:type="dxa"/>
            <w:shd w:val="clear" w:color="auto" w:fill="C4EFCE"/>
            <w:noWrap/>
            <w:vAlign w:val="center"/>
            <w:hideMark/>
          </w:tcPr>
          <w:p w14:paraId="5BF193C2" w14:textId="61B99E15" w:rsidR="00262911" w:rsidRDefault="00262911" w:rsidP="0026291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BE4E93" w14:textId="77777777" w:rsidR="00262911" w:rsidRDefault="00262911" w:rsidP="00262911">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hideMark/>
          </w:tcPr>
          <w:p w14:paraId="4DEDE547" w14:textId="77777777" w:rsidR="00262911" w:rsidRDefault="00262911" w:rsidP="00262911">
            <w:pPr>
              <w:pStyle w:val="P68B1DB1-Normal8"/>
              <w:spacing w:after="0" w:line="240" w:lineRule="auto"/>
              <w:jc w:val="both"/>
              <w:rPr>
                <w:rFonts w:eastAsia="Times New Roman" w:cs="Calibri"/>
                <w:noProof/>
              </w:rPr>
            </w:pPr>
            <w:r>
              <w:rPr>
                <w:noProof/>
              </w:rPr>
              <w:t xml:space="preserve">Az ajánlatok jóváhagyásával kiválasztott DIH-konzorciumok száma. Az egyes digitális innovációs központok létrehozása ezt követően magában foglalja egy inkubátor/gyorsító eszköz létrehozását a központ által lefedett ágazatokhoz kapcsolódó vállalkozói ökoszisztéma előmozdítása érdekében. Ez a beruházás megerősíti és kiegészíti a Digitális Európa program keretében már fejlesztés alatt álló hálózatot. </w:t>
            </w:r>
          </w:p>
          <w:p w14:paraId="68D94C4B" w14:textId="6D8CCEFE" w:rsidR="00262911" w:rsidRDefault="00262911" w:rsidP="00262911">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262911" w14:paraId="79AB1DD3" w14:textId="77777777">
        <w:trPr>
          <w:trHeight w:val="1260"/>
        </w:trPr>
        <w:tc>
          <w:tcPr>
            <w:tcW w:w="1135" w:type="dxa"/>
            <w:shd w:val="clear" w:color="auto" w:fill="C5EFCE"/>
            <w:vAlign w:val="center"/>
            <w:hideMark/>
          </w:tcPr>
          <w:p w14:paraId="5646FF40" w14:textId="77777777" w:rsidR="00262911" w:rsidRDefault="00262911" w:rsidP="00262911">
            <w:pPr>
              <w:pStyle w:val="P68B1DB1-Normal7"/>
              <w:spacing w:after="0" w:line="240" w:lineRule="auto"/>
              <w:jc w:val="center"/>
              <w:rPr>
                <w:rFonts w:eastAsia="Times New Roman" w:cs="Calibri"/>
                <w:noProof/>
              </w:rPr>
            </w:pPr>
            <w:r>
              <w:rPr>
                <w:noProof/>
              </w:rPr>
              <w:t>16.14</w:t>
            </w:r>
          </w:p>
        </w:tc>
        <w:tc>
          <w:tcPr>
            <w:tcW w:w="1276" w:type="dxa"/>
            <w:shd w:val="clear" w:color="auto" w:fill="C4EFCE"/>
            <w:noWrap/>
            <w:vAlign w:val="center"/>
            <w:hideMark/>
          </w:tcPr>
          <w:p w14:paraId="7CBB2F82" w14:textId="77777777" w:rsidR="00262911" w:rsidRDefault="00262911" w:rsidP="00262911">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341A98B2"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B60B1E9" w14:textId="4F175647" w:rsidR="00262911" w:rsidRDefault="00262911" w:rsidP="00262911">
            <w:pPr>
              <w:pStyle w:val="P68B1DB1-Normal8"/>
              <w:spacing w:after="0" w:line="240" w:lineRule="auto"/>
              <w:jc w:val="center"/>
              <w:rPr>
                <w:rFonts w:eastAsia="Times New Roman" w:cs="Calibri"/>
                <w:noProof/>
              </w:rPr>
            </w:pPr>
            <w:r>
              <w:rPr>
                <w:noProof/>
              </w:rPr>
              <w:t>A digitális számlák küldésére és a kiberbiztonságra, a magánélet védelmére, a használhatóságra és a fenntarthatósági tanúsítványokra vonatkozó szolgáltatások létrehozása</w:t>
            </w:r>
          </w:p>
        </w:tc>
        <w:tc>
          <w:tcPr>
            <w:tcW w:w="1275" w:type="dxa"/>
            <w:shd w:val="clear" w:color="auto" w:fill="C4EFCE"/>
            <w:noWrap/>
            <w:vAlign w:val="center"/>
            <w:hideMark/>
          </w:tcPr>
          <w:p w14:paraId="47964243" w14:textId="23D0FDDC" w:rsidR="00262911" w:rsidRDefault="00262911" w:rsidP="00262911">
            <w:pPr>
              <w:pStyle w:val="P68B1DB1-Normal8"/>
              <w:spacing w:after="0" w:line="240" w:lineRule="auto"/>
              <w:jc w:val="center"/>
              <w:rPr>
                <w:rFonts w:eastAsia="Times New Roman" w:cs="Calibri"/>
                <w:noProof/>
              </w:rPr>
            </w:pPr>
            <w:r>
              <w:rPr>
                <w:noProof/>
              </w:rPr>
              <w:t>A digitális számlák küldésére és a kiberbiztonságra, a magánélet védelmére, a használhatóságra és a fenntarthatósági tanúsítványokra vonatkozó szolgáltatások létrehozása</w:t>
            </w:r>
          </w:p>
        </w:tc>
        <w:tc>
          <w:tcPr>
            <w:tcW w:w="993" w:type="dxa"/>
            <w:shd w:val="clear" w:color="auto" w:fill="C4EFCE"/>
            <w:noWrap/>
            <w:vAlign w:val="center"/>
            <w:hideMark/>
          </w:tcPr>
          <w:p w14:paraId="6A78DFA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A29D9CC"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850" w:type="dxa"/>
            <w:shd w:val="clear" w:color="auto" w:fill="C4EFCE"/>
            <w:noWrap/>
            <w:vAlign w:val="center"/>
            <w:hideMark/>
          </w:tcPr>
          <w:p w14:paraId="72953AC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426" w:type="dxa"/>
            <w:shd w:val="clear" w:color="auto" w:fill="C4EFCE"/>
            <w:noWrap/>
            <w:vAlign w:val="center"/>
            <w:hideMark/>
          </w:tcPr>
          <w:p w14:paraId="61FDC68D" w14:textId="7AD8EEA3" w:rsidR="00262911" w:rsidRDefault="00262911" w:rsidP="00262911">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FB707A1" w14:textId="4D55CBE4" w:rsidR="00262911" w:rsidRDefault="00262911" w:rsidP="00262911">
            <w:pPr>
              <w:pStyle w:val="P68B1DB1-Normal8"/>
              <w:spacing w:after="0" w:line="240" w:lineRule="auto"/>
              <w:jc w:val="center"/>
              <w:rPr>
                <w:rFonts w:eastAsia="Times New Roman" w:cs="Calibri"/>
                <w:noProof/>
              </w:rPr>
            </w:pPr>
            <w:r>
              <w:rPr>
                <w:noProof/>
              </w:rPr>
              <w:t>2023</w:t>
            </w:r>
          </w:p>
        </w:tc>
        <w:tc>
          <w:tcPr>
            <w:tcW w:w="3969" w:type="dxa"/>
            <w:shd w:val="clear" w:color="auto" w:fill="C4EFCE"/>
            <w:vAlign w:val="center"/>
            <w:hideMark/>
          </w:tcPr>
          <w:p w14:paraId="47407F89" w14:textId="556CFAD8" w:rsidR="00262911" w:rsidRDefault="00262911" w:rsidP="00262911">
            <w:pPr>
              <w:pStyle w:val="P68B1DB1-Normal8"/>
              <w:spacing w:after="0" w:line="240" w:lineRule="auto"/>
              <w:jc w:val="both"/>
              <w:rPr>
                <w:rFonts w:eastAsia="Times New Roman" w:cs="Calibri"/>
                <w:noProof/>
              </w:rPr>
            </w:pPr>
            <w:r>
              <w:rPr>
                <w:noProof/>
              </w:rPr>
              <w:t xml:space="preserve">Öt új szolgáltatást kell létrehozni a következők számára: 1) digitális számlák küldése; és 2. kiberbiztonsági tanúsítás, 3) adatvédelmi tanúsítás, 4) használhatósági tanúsítás és 5. fenntarthatósági tanúsítás; beleértve a kapcsolódó, valamennyi szolgáltatásra vonatkozó terjesztési kampányokat. A tanúsítási szolgálatok támogatják a tanúsítási kérelmek benyújtását és benyújtását, a folyamatirányítást, a kiadott tanúsítványok és bélyegzők kiadását és központi adattárát. A tanúsítási szolgálatok támogatják továbbá a folyamatokban részt vevő valamennyi partner és szervezet közötti kommunikációt, valamint a program nyomon követése szempontjából releváns eljárási adatok előállítását. </w:t>
            </w:r>
          </w:p>
          <w:p w14:paraId="0BACA7B9" w14:textId="50E00C55" w:rsidR="00262911" w:rsidRDefault="00262911" w:rsidP="00262911">
            <w:pPr>
              <w:pStyle w:val="P68B1DB1-Normal8"/>
              <w:spacing w:after="0" w:line="240" w:lineRule="auto"/>
              <w:jc w:val="both"/>
              <w:rPr>
                <w:rFonts w:eastAsia="Times New Roman" w:cs="Calibri"/>
                <w:noProof/>
              </w:rPr>
            </w:pPr>
            <w:r>
              <w:rPr>
                <w:noProof/>
              </w:rPr>
              <w:t>A szolgáltatásoknak működőképesnek és a célfelhasználók számára hozzáférhetőnek kell lenniük.</w:t>
            </w:r>
          </w:p>
        </w:tc>
      </w:tr>
      <w:tr w:rsidR="00DC5EC6" w14:paraId="6CC3F169" w14:textId="77777777">
        <w:trPr>
          <w:trHeight w:val="420"/>
        </w:trPr>
        <w:tc>
          <w:tcPr>
            <w:tcW w:w="1135" w:type="dxa"/>
            <w:shd w:val="clear" w:color="auto" w:fill="C5EFCE"/>
            <w:vAlign w:val="center"/>
            <w:hideMark/>
          </w:tcPr>
          <w:p w14:paraId="1DB80902" w14:textId="77777777" w:rsidR="00DC5EC6" w:rsidRDefault="003245A4">
            <w:pPr>
              <w:pStyle w:val="P68B1DB1-Normal7"/>
              <w:spacing w:after="0" w:line="240" w:lineRule="auto"/>
              <w:jc w:val="center"/>
              <w:rPr>
                <w:rFonts w:eastAsia="Times New Roman" w:cs="Calibri"/>
                <w:noProof/>
              </w:rPr>
            </w:pPr>
            <w:r>
              <w:rPr>
                <w:noProof/>
              </w:rPr>
              <w:t>16.15</w:t>
            </w:r>
          </w:p>
        </w:tc>
        <w:tc>
          <w:tcPr>
            <w:tcW w:w="1276" w:type="dxa"/>
            <w:shd w:val="clear" w:color="auto" w:fill="C4EFCE"/>
            <w:noWrap/>
            <w:vAlign w:val="center"/>
            <w:hideMark/>
          </w:tcPr>
          <w:p w14:paraId="383E4833" w14:textId="77777777" w:rsidR="00DC5EC6" w:rsidRDefault="003245A4">
            <w:pPr>
              <w:pStyle w:val="P68B1DB1-Normal8"/>
              <w:spacing w:after="0" w:line="240" w:lineRule="auto"/>
              <w:jc w:val="center"/>
              <w:rPr>
                <w:rFonts w:eastAsia="Times New Roman" w:cs="Calibri"/>
                <w:noProof/>
              </w:rPr>
            </w:pPr>
            <w:r>
              <w:rPr>
                <w:noProof/>
              </w:rPr>
              <w:t>TD-C16-i03</w:t>
            </w:r>
          </w:p>
        </w:tc>
        <w:tc>
          <w:tcPr>
            <w:tcW w:w="1134" w:type="dxa"/>
            <w:shd w:val="clear" w:color="auto" w:fill="C4EFCE"/>
            <w:noWrap/>
            <w:vAlign w:val="center"/>
            <w:hideMark/>
          </w:tcPr>
          <w:p w14:paraId="4864A864"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89CD254" w14:textId="77777777" w:rsidR="00DC5EC6" w:rsidRDefault="003245A4">
            <w:pPr>
              <w:pStyle w:val="P68B1DB1-Normal8"/>
              <w:spacing w:after="0" w:line="240" w:lineRule="auto"/>
              <w:jc w:val="center"/>
              <w:rPr>
                <w:rFonts w:eastAsia="Times New Roman" w:cs="Calibri"/>
                <w:noProof/>
              </w:rPr>
            </w:pPr>
            <w:r>
              <w:rPr>
                <w:noProof/>
              </w:rPr>
              <w:t xml:space="preserve">A digitális innovációs központok tanácsadási szolgáltatásainak kedvezményezettjei </w:t>
            </w:r>
          </w:p>
        </w:tc>
        <w:tc>
          <w:tcPr>
            <w:tcW w:w="1275" w:type="dxa"/>
            <w:shd w:val="clear" w:color="auto" w:fill="C4EFCE"/>
            <w:noWrap/>
            <w:vAlign w:val="center"/>
            <w:hideMark/>
          </w:tcPr>
          <w:p w14:paraId="133DBDBB"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A460E9" w14:textId="77777777" w:rsidR="00DC5EC6" w:rsidRDefault="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726AA67" w14:textId="77777777" w:rsidR="00DC5EC6" w:rsidRDefault="003245A4">
            <w:pPr>
              <w:pStyle w:val="P68B1DB1-Normal8"/>
              <w:spacing w:after="0" w:line="240" w:lineRule="auto"/>
              <w:jc w:val="center"/>
              <w:rPr>
                <w:rFonts w:eastAsia="Times New Roman" w:cs="Calibri"/>
                <w:noProof/>
              </w:rPr>
            </w:pPr>
            <w:r>
              <w:rPr>
                <w:noProof/>
              </w:rPr>
              <w:t>0</w:t>
            </w:r>
          </w:p>
        </w:tc>
        <w:tc>
          <w:tcPr>
            <w:tcW w:w="850" w:type="dxa"/>
            <w:shd w:val="clear" w:color="auto" w:fill="C4EFCE"/>
            <w:noWrap/>
            <w:vAlign w:val="center"/>
            <w:hideMark/>
          </w:tcPr>
          <w:p w14:paraId="61641080" w14:textId="77777777" w:rsidR="00DC5EC6" w:rsidRDefault="003245A4">
            <w:pPr>
              <w:pStyle w:val="P68B1DB1-Normal8"/>
              <w:spacing w:after="0" w:line="240" w:lineRule="auto"/>
              <w:jc w:val="center"/>
              <w:rPr>
                <w:rFonts w:eastAsia="Times New Roman" w:cs="Calibri"/>
                <w:noProof/>
              </w:rPr>
            </w:pPr>
            <w:r>
              <w:rPr>
                <w:noProof/>
              </w:rPr>
              <w:t>4 000</w:t>
            </w:r>
          </w:p>
        </w:tc>
        <w:tc>
          <w:tcPr>
            <w:tcW w:w="426" w:type="dxa"/>
            <w:shd w:val="clear" w:color="auto" w:fill="C4EFCE"/>
            <w:noWrap/>
            <w:vAlign w:val="center"/>
            <w:hideMark/>
          </w:tcPr>
          <w:p w14:paraId="56D9EB98" w14:textId="5B2454EE"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hideMark/>
          </w:tcPr>
          <w:p w14:paraId="0130120B"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1636AA94" w14:textId="0B784B8C" w:rsidR="00DC5EC6" w:rsidRDefault="003245A4">
            <w:pPr>
              <w:pStyle w:val="P68B1DB1-Normal8"/>
              <w:spacing w:after="0" w:line="240" w:lineRule="auto"/>
              <w:jc w:val="both"/>
              <w:rPr>
                <w:rFonts w:eastAsia="Times New Roman" w:cs="Calibri"/>
                <w:noProof/>
              </w:rPr>
            </w:pPr>
            <w:r>
              <w:rPr>
                <w:noProof/>
              </w:rPr>
              <w:t xml:space="preserve">Azon vállalatok és közintézmények száma, amelyek tanácsadási szolgáltatásokat kaptak a digitális innovációs központok hálózatától annak érdekében, hogy az automatizálás vagy a forradalmi technológiák beépítése révén javítsák a tudást és a gyártási folyamatokat. </w:t>
            </w:r>
          </w:p>
          <w:p w14:paraId="5AE72FC4" w14:textId="77777777" w:rsidR="00DC5EC6" w:rsidRDefault="00DC5EC6">
            <w:pPr>
              <w:spacing w:after="0" w:line="240" w:lineRule="auto"/>
              <w:jc w:val="both"/>
              <w:rPr>
                <w:rFonts w:ascii="Calibri" w:eastAsia="Times New Roman" w:hAnsi="Calibri" w:cs="Calibri"/>
                <w:noProof/>
                <w:sz w:val="16"/>
              </w:rPr>
            </w:pPr>
          </w:p>
          <w:p w14:paraId="2C30F216" w14:textId="36F5FEA4" w:rsidR="00DC5EC6" w:rsidRDefault="003245A4">
            <w:pPr>
              <w:pStyle w:val="P68B1DB1-Normal8"/>
              <w:spacing w:after="0" w:line="240" w:lineRule="auto"/>
              <w:jc w:val="both"/>
              <w:rPr>
                <w:rFonts w:eastAsia="Times New Roman" w:cs="Calibri"/>
                <w:noProof/>
              </w:rPr>
            </w:pPr>
            <w:r>
              <w:rPr>
                <w:noProof/>
              </w:rPr>
              <w:t>A kiválasztási kritériumoknak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262911" w14:paraId="4304841E" w14:textId="77777777">
        <w:trPr>
          <w:trHeight w:val="420"/>
        </w:trPr>
        <w:tc>
          <w:tcPr>
            <w:tcW w:w="1135" w:type="dxa"/>
            <w:shd w:val="clear" w:color="auto" w:fill="C5EFCE"/>
            <w:vAlign w:val="center"/>
          </w:tcPr>
          <w:p w14:paraId="539E2D22" w14:textId="3A085AAA" w:rsidR="00262911" w:rsidRDefault="00262911" w:rsidP="00262911">
            <w:pPr>
              <w:pStyle w:val="P68B1DB1-Normal11"/>
              <w:spacing w:after="0" w:line="240" w:lineRule="auto"/>
              <w:jc w:val="center"/>
              <w:rPr>
                <w:rFonts w:eastAsia="Times New Roman"/>
                <w:noProof/>
              </w:rPr>
            </w:pPr>
            <w:r>
              <w:rPr>
                <w:noProof/>
              </w:rPr>
              <w:t>16.16</w:t>
            </w:r>
          </w:p>
        </w:tc>
        <w:tc>
          <w:tcPr>
            <w:tcW w:w="1276" w:type="dxa"/>
            <w:shd w:val="clear" w:color="auto" w:fill="C4EFCE"/>
            <w:noWrap/>
            <w:vAlign w:val="center"/>
          </w:tcPr>
          <w:p w14:paraId="763655D4" w14:textId="6D8AFDF4" w:rsidR="00262911" w:rsidRDefault="00262911" w:rsidP="00262911">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1D87961C" w14:textId="083D5D73" w:rsidR="00262911" w:rsidRDefault="00262911" w:rsidP="0026291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75967FD1" w14:textId="3536B628" w:rsidR="00262911" w:rsidRDefault="00262911" w:rsidP="00262911">
            <w:pPr>
              <w:pStyle w:val="P68B1DB1-Normal12"/>
              <w:spacing w:after="0" w:line="240" w:lineRule="auto"/>
              <w:jc w:val="center"/>
              <w:rPr>
                <w:rFonts w:eastAsia="Times New Roman"/>
                <w:noProof/>
              </w:rPr>
            </w:pPr>
            <w:r>
              <w:rPr>
                <w:noProof/>
              </w:rPr>
              <w:t>Az „Ipar 4.0” projektek kiválasztása</w:t>
            </w:r>
          </w:p>
        </w:tc>
        <w:tc>
          <w:tcPr>
            <w:tcW w:w="1275" w:type="dxa"/>
            <w:shd w:val="clear" w:color="auto" w:fill="C4EFCE"/>
            <w:noWrap/>
            <w:vAlign w:val="center"/>
          </w:tcPr>
          <w:p w14:paraId="29B2785A" w14:textId="77777777" w:rsidR="00262911" w:rsidRDefault="00262911" w:rsidP="00262911">
            <w:pPr>
              <w:spacing w:after="0" w:line="240" w:lineRule="auto"/>
              <w:jc w:val="center"/>
              <w:rPr>
                <w:rFonts w:eastAsia="Times New Roman"/>
                <w:noProof/>
                <w:sz w:val="16"/>
              </w:rPr>
            </w:pPr>
          </w:p>
        </w:tc>
        <w:tc>
          <w:tcPr>
            <w:tcW w:w="993" w:type="dxa"/>
            <w:shd w:val="clear" w:color="auto" w:fill="C4EFCE"/>
            <w:noWrap/>
            <w:vAlign w:val="center"/>
          </w:tcPr>
          <w:p w14:paraId="3EBFDF40" w14:textId="0EF6EAE9" w:rsidR="00262911" w:rsidRDefault="00262911" w:rsidP="0026291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61E469D2" w14:textId="319E9FF9" w:rsidR="00262911" w:rsidRDefault="00262911" w:rsidP="0026291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12BC99BF" w14:textId="2D6BD732" w:rsidR="00262911" w:rsidRDefault="00262911" w:rsidP="00262911">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686302E9" w14:textId="0D681C20" w:rsidR="00262911" w:rsidRDefault="00262911" w:rsidP="00262911">
            <w:pPr>
              <w:pStyle w:val="P68B1DB1-Normal12"/>
              <w:spacing w:after="0" w:line="240" w:lineRule="auto"/>
              <w:jc w:val="center"/>
              <w:rPr>
                <w:rFonts w:eastAsia="Times New Roman"/>
                <w:noProof/>
              </w:rPr>
            </w:pPr>
            <w:r>
              <w:rPr>
                <w:noProof/>
              </w:rPr>
              <w:t>4. NEGYEDÉV</w:t>
            </w:r>
          </w:p>
        </w:tc>
        <w:tc>
          <w:tcPr>
            <w:tcW w:w="708" w:type="dxa"/>
            <w:shd w:val="clear" w:color="auto" w:fill="C4EFCE"/>
            <w:noWrap/>
            <w:vAlign w:val="center"/>
          </w:tcPr>
          <w:p w14:paraId="39738C45" w14:textId="2252F3CD" w:rsidR="00262911" w:rsidRDefault="00262911" w:rsidP="00262911">
            <w:pPr>
              <w:pStyle w:val="P68B1DB1-Normal12"/>
              <w:spacing w:after="0" w:line="240" w:lineRule="auto"/>
              <w:jc w:val="center"/>
              <w:rPr>
                <w:rFonts w:eastAsia="Times New Roman"/>
                <w:noProof/>
              </w:rPr>
            </w:pPr>
            <w:r>
              <w:rPr>
                <w:noProof/>
              </w:rPr>
              <w:t>2023</w:t>
            </w:r>
          </w:p>
        </w:tc>
        <w:tc>
          <w:tcPr>
            <w:tcW w:w="3969" w:type="dxa"/>
            <w:shd w:val="clear" w:color="auto" w:fill="C4EFCE"/>
            <w:vAlign w:val="center"/>
          </w:tcPr>
          <w:p w14:paraId="635FD244" w14:textId="3B0DF872" w:rsidR="00262911" w:rsidRDefault="00262911" w:rsidP="00262911">
            <w:pPr>
              <w:pStyle w:val="P68B1DB1-Bodytext1013"/>
              <w:spacing w:after="0" w:line="240" w:lineRule="auto"/>
              <w:rPr>
                <w:rFonts w:cstheme="minorBidi"/>
                <w:noProof/>
              </w:rPr>
            </w:pPr>
            <w:r>
              <w:rPr>
                <w:noProof/>
              </w:rPr>
              <w:t>200 Ipar 4.0 projektet kell kiválasztani. A projekteknek meg kell felelniük az intézkedés leírásában leírt tevékenységtípusoknak.</w:t>
            </w:r>
          </w:p>
          <w:p w14:paraId="20D914ED" w14:textId="5E511421" w:rsidR="00262911" w:rsidRDefault="00262911" w:rsidP="00262911">
            <w:pPr>
              <w:pStyle w:val="P68B1DB1-Normal12"/>
              <w:spacing w:after="0" w:line="240" w:lineRule="auto"/>
              <w:jc w:val="both"/>
              <w:rPr>
                <w:rFonts w:eastAsia="Times New Roman"/>
                <w:noProof/>
              </w:rPr>
            </w:pPr>
            <w:r>
              <w:rPr>
                <w:noProof/>
              </w:rPr>
              <w:t>A kiválasztási kritériumoknak biztosítaniuk kell az ezen intézkedés keretében támogatott ügyletekre vonatkozó, a jelentős károkozás elkerülését célzó elvről szóló technikai iránymutatásnak (2021/C58/01) való megfelelést az intézkedés leírásában meghatározott kizárási lista, valamint a vonatkozó uniós és nemzeti környezetvédelmi jogszabályoknak való megfelelés követelménye révén.</w:t>
            </w:r>
          </w:p>
        </w:tc>
      </w:tr>
      <w:tr w:rsidR="00262911" w14:paraId="46C66D80" w14:textId="77777777">
        <w:trPr>
          <w:trHeight w:val="420"/>
        </w:trPr>
        <w:tc>
          <w:tcPr>
            <w:tcW w:w="1135" w:type="dxa"/>
            <w:shd w:val="clear" w:color="auto" w:fill="C5EFCE"/>
            <w:vAlign w:val="center"/>
          </w:tcPr>
          <w:p w14:paraId="26F66ABE" w14:textId="545B5AF7" w:rsidR="00262911" w:rsidRDefault="00262911" w:rsidP="00262911">
            <w:pPr>
              <w:pStyle w:val="P68B1DB1-Normal11"/>
              <w:spacing w:after="0" w:line="240" w:lineRule="auto"/>
              <w:jc w:val="center"/>
              <w:rPr>
                <w:rFonts w:eastAsia="Times New Roman"/>
                <w:noProof/>
              </w:rPr>
            </w:pPr>
            <w:r>
              <w:rPr>
                <w:noProof/>
              </w:rPr>
              <w:t>16.17</w:t>
            </w:r>
          </w:p>
        </w:tc>
        <w:tc>
          <w:tcPr>
            <w:tcW w:w="1276" w:type="dxa"/>
            <w:shd w:val="clear" w:color="auto" w:fill="C4EFCE"/>
            <w:noWrap/>
            <w:vAlign w:val="center"/>
          </w:tcPr>
          <w:p w14:paraId="5669B910" w14:textId="4FBD872D" w:rsidR="00262911" w:rsidRDefault="00262911" w:rsidP="00262911">
            <w:pPr>
              <w:pStyle w:val="P68B1DB1-Normal12"/>
              <w:spacing w:after="0" w:line="240" w:lineRule="auto"/>
              <w:jc w:val="center"/>
              <w:rPr>
                <w:rFonts w:eastAsia="Times New Roman"/>
                <w:noProof/>
              </w:rPr>
            </w:pPr>
            <w:r>
              <w:rPr>
                <w:noProof/>
              </w:rPr>
              <w:t>TD-C16-i04</w:t>
            </w:r>
          </w:p>
        </w:tc>
        <w:tc>
          <w:tcPr>
            <w:tcW w:w="1134" w:type="dxa"/>
            <w:shd w:val="clear" w:color="auto" w:fill="C4EFCE"/>
            <w:noWrap/>
            <w:vAlign w:val="center"/>
          </w:tcPr>
          <w:p w14:paraId="30ED83F0" w14:textId="34F7B432" w:rsidR="00262911" w:rsidRDefault="00262911" w:rsidP="0026291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EB61F6" w14:textId="1577C572" w:rsidR="00262911" w:rsidRDefault="00262911" w:rsidP="00262911">
            <w:pPr>
              <w:pStyle w:val="P68B1DB1-Bodytext1013"/>
              <w:rPr>
                <w:rFonts w:cstheme="minorBidi"/>
                <w:noProof/>
              </w:rPr>
            </w:pPr>
            <w:r>
              <w:rPr>
                <w:noProof/>
              </w:rPr>
              <w:t>Az „Ipar 4.0” projektek lezárása</w:t>
            </w:r>
          </w:p>
        </w:tc>
        <w:tc>
          <w:tcPr>
            <w:tcW w:w="1275" w:type="dxa"/>
            <w:shd w:val="clear" w:color="auto" w:fill="C4EFCE"/>
            <w:noWrap/>
            <w:vAlign w:val="center"/>
          </w:tcPr>
          <w:p w14:paraId="3B19D0B1" w14:textId="77777777" w:rsidR="00262911" w:rsidRDefault="00262911" w:rsidP="00262911">
            <w:pPr>
              <w:spacing w:after="0" w:line="240" w:lineRule="auto"/>
              <w:jc w:val="center"/>
              <w:rPr>
                <w:rFonts w:eastAsia="Times New Roman"/>
                <w:noProof/>
                <w:sz w:val="16"/>
              </w:rPr>
            </w:pPr>
          </w:p>
        </w:tc>
        <w:tc>
          <w:tcPr>
            <w:tcW w:w="993" w:type="dxa"/>
            <w:shd w:val="clear" w:color="auto" w:fill="C4EFCE"/>
            <w:noWrap/>
            <w:vAlign w:val="center"/>
          </w:tcPr>
          <w:p w14:paraId="6867E439" w14:textId="38FE02BE" w:rsidR="00262911" w:rsidRDefault="00262911" w:rsidP="0026291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74AB5B4F" w14:textId="03BC0992" w:rsidR="00262911" w:rsidRDefault="00262911" w:rsidP="0026291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6CDAE886" w14:textId="5FC7D1A5" w:rsidR="00262911" w:rsidRDefault="00262911" w:rsidP="00262911">
            <w:pPr>
              <w:pStyle w:val="P68B1DB1-Normal12"/>
              <w:spacing w:after="0" w:line="240" w:lineRule="auto"/>
              <w:jc w:val="center"/>
              <w:rPr>
                <w:rFonts w:eastAsia="Times New Roman"/>
                <w:noProof/>
              </w:rPr>
            </w:pPr>
            <w:r>
              <w:rPr>
                <w:noProof/>
              </w:rPr>
              <w:t>200</w:t>
            </w:r>
          </w:p>
        </w:tc>
        <w:tc>
          <w:tcPr>
            <w:tcW w:w="426" w:type="dxa"/>
            <w:shd w:val="clear" w:color="auto" w:fill="C4EFCE"/>
            <w:noWrap/>
            <w:vAlign w:val="center"/>
          </w:tcPr>
          <w:p w14:paraId="25173C37" w14:textId="20969F08" w:rsidR="00262911" w:rsidRDefault="00262911" w:rsidP="00262911">
            <w:pPr>
              <w:pStyle w:val="P68B1DB1-Normal12"/>
              <w:spacing w:after="0" w:line="240" w:lineRule="auto"/>
              <w:jc w:val="center"/>
              <w:rPr>
                <w:rFonts w:eastAsia="Times New Roman"/>
                <w:noProof/>
              </w:rPr>
            </w:pPr>
            <w:r>
              <w:rPr>
                <w:noProof/>
              </w:rPr>
              <w:t>4. NEGYEDÉV</w:t>
            </w:r>
          </w:p>
        </w:tc>
        <w:tc>
          <w:tcPr>
            <w:tcW w:w="708" w:type="dxa"/>
            <w:shd w:val="clear" w:color="auto" w:fill="C4EFCE"/>
            <w:noWrap/>
            <w:vAlign w:val="center"/>
          </w:tcPr>
          <w:p w14:paraId="076DD43D" w14:textId="37EF5AFF" w:rsidR="00262911" w:rsidRDefault="00262911" w:rsidP="00262911">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1B73DBDD" w14:textId="54C9FED3" w:rsidR="00262911" w:rsidRDefault="00262911" w:rsidP="00262911">
            <w:pPr>
              <w:pStyle w:val="P68B1DB1-Bodytext1013"/>
              <w:spacing w:after="0" w:line="240" w:lineRule="auto"/>
              <w:jc w:val="both"/>
              <w:rPr>
                <w:rFonts w:cstheme="minorBidi"/>
                <w:noProof/>
              </w:rPr>
            </w:pPr>
            <w:r>
              <w:rPr>
                <w:noProof/>
              </w:rPr>
              <w:t>200 Ipar 4.0 projektet kell befejezni. A projekteknek meg kell felelniük az intézkedés leírásában leírt tevékenységtípusoknak.</w:t>
            </w:r>
          </w:p>
        </w:tc>
      </w:tr>
      <w:tr w:rsidR="00C009B1" w14:paraId="69BB9BE5" w14:textId="77777777">
        <w:trPr>
          <w:trHeight w:val="420"/>
        </w:trPr>
        <w:tc>
          <w:tcPr>
            <w:tcW w:w="1135" w:type="dxa"/>
            <w:shd w:val="clear" w:color="auto" w:fill="C5EFCE"/>
            <w:vAlign w:val="center"/>
          </w:tcPr>
          <w:p w14:paraId="4E63D694" w14:textId="76E3D32E" w:rsidR="00C009B1" w:rsidRDefault="00C009B1" w:rsidP="00C009B1">
            <w:pPr>
              <w:pStyle w:val="P68B1DB1-Normal11"/>
              <w:spacing w:after="0" w:line="240" w:lineRule="auto"/>
              <w:jc w:val="center"/>
              <w:rPr>
                <w:rFonts w:eastAsia="Times New Roman"/>
                <w:noProof/>
              </w:rPr>
            </w:pPr>
            <w:r>
              <w:rPr>
                <w:noProof/>
              </w:rPr>
              <w:t>16.18</w:t>
            </w:r>
          </w:p>
        </w:tc>
        <w:tc>
          <w:tcPr>
            <w:tcW w:w="1276" w:type="dxa"/>
            <w:shd w:val="clear" w:color="auto" w:fill="C4EFCE"/>
            <w:noWrap/>
            <w:vAlign w:val="center"/>
          </w:tcPr>
          <w:p w14:paraId="672BD7BC" w14:textId="1D2975A9" w:rsidR="00C009B1" w:rsidRDefault="00C009B1" w:rsidP="00C009B1">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8003DB0" w14:textId="5A93A83D" w:rsidR="00C009B1" w:rsidRDefault="00C009B1" w:rsidP="00C009B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5C4B3C1D" w14:textId="1FCEFD83" w:rsidR="00C009B1" w:rsidRDefault="00C009B1" w:rsidP="00C009B1">
            <w:pPr>
              <w:pStyle w:val="P68B1DB1-Normal12"/>
              <w:spacing w:after="0" w:line="240" w:lineRule="auto"/>
              <w:jc w:val="center"/>
              <w:rPr>
                <w:noProof/>
              </w:rPr>
            </w:pPr>
            <w:r>
              <w:rPr>
                <w:noProof/>
              </w:rPr>
              <w:t>A vállalkozások digitális átállását ösztönző rendszer keretében befejezett projektek száma</w:t>
            </w:r>
          </w:p>
        </w:tc>
        <w:tc>
          <w:tcPr>
            <w:tcW w:w="1275" w:type="dxa"/>
            <w:shd w:val="clear" w:color="auto" w:fill="C4EFCE"/>
            <w:noWrap/>
            <w:vAlign w:val="center"/>
          </w:tcPr>
          <w:p w14:paraId="4D4E00B2" w14:textId="77777777" w:rsidR="00C009B1" w:rsidRDefault="00C009B1" w:rsidP="00C009B1">
            <w:pPr>
              <w:spacing w:after="0" w:line="240" w:lineRule="auto"/>
              <w:jc w:val="center"/>
              <w:rPr>
                <w:noProof/>
                <w:sz w:val="16"/>
              </w:rPr>
            </w:pPr>
          </w:p>
        </w:tc>
        <w:tc>
          <w:tcPr>
            <w:tcW w:w="993" w:type="dxa"/>
            <w:shd w:val="clear" w:color="auto" w:fill="C4EFCE"/>
            <w:noWrap/>
            <w:vAlign w:val="center"/>
          </w:tcPr>
          <w:p w14:paraId="447D968A" w14:textId="302D8EBB" w:rsidR="00C009B1" w:rsidRDefault="00C009B1" w:rsidP="00C009B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2104F8DD" w14:textId="5EC972A0" w:rsidR="00C009B1" w:rsidRDefault="00C009B1" w:rsidP="00C009B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56CBE9C3" w14:textId="713F4408" w:rsidR="00C009B1" w:rsidRDefault="00C009B1" w:rsidP="00C009B1">
            <w:pPr>
              <w:pStyle w:val="P68B1DB1-Normal12"/>
              <w:spacing w:after="0" w:line="240" w:lineRule="auto"/>
              <w:jc w:val="center"/>
              <w:rPr>
                <w:rFonts w:eastAsia="Times New Roman"/>
                <w:noProof/>
              </w:rPr>
            </w:pPr>
            <w:r>
              <w:rPr>
                <w:noProof/>
              </w:rPr>
              <w:t>350</w:t>
            </w:r>
          </w:p>
        </w:tc>
        <w:tc>
          <w:tcPr>
            <w:tcW w:w="426" w:type="dxa"/>
            <w:shd w:val="clear" w:color="auto" w:fill="C4EFCE"/>
            <w:noWrap/>
            <w:vAlign w:val="center"/>
          </w:tcPr>
          <w:p w14:paraId="67D3AF82" w14:textId="2F2C98B6" w:rsidR="00C009B1" w:rsidRDefault="00C009B1" w:rsidP="00C009B1">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3F010DFB" w14:textId="14DE7404" w:rsidR="00C009B1" w:rsidRDefault="00C009B1" w:rsidP="00C009B1">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26822469" w14:textId="3E45E6E1" w:rsidR="00C009B1" w:rsidRDefault="00C009B1" w:rsidP="00C009B1">
            <w:pPr>
              <w:pStyle w:val="P68B1DB1-Bodytext1013"/>
              <w:spacing w:after="0" w:line="240" w:lineRule="auto"/>
              <w:jc w:val="both"/>
              <w:rPr>
                <w:rFonts w:cstheme="minorBidi"/>
                <w:noProof/>
              </w:rPr>
            </w:pPr>
            <w:r>
              <w:rPr>
                <w:noProof/>
              </w:rPr>
              <w:t>350 projektet kell befejezni a vállalkozások digitális átállását ösztönző rendszer keretében. A projekteknek meg kell felelniük az intézkedés leírásában az 1., 2. vagy 3. intézkedési sorban leírt tevékenységek tipológiájának.</w:t>
            </w:r>
          </w:p>
        </w:tc>
      </w:tr>
      <w:tr w:rsidR="00C009B1" w14:paraId="2E682C8F" w14:textId="77777777">
        <w:trPr>
          <w:trHeight w:val="420"/>
        </w:trPr>
        <w:tc>
          <w:tcPr>
            <w:tcW w:w="1135" w:type="dxa"/>
            <w:shd w:val="clear" w:color="auto" w:fill="C5EFCE"/>
            <w:vAlign w:val="center"/>
          </w:tcPr>
          <w:p w14:paraId="380A2F8F" w14:textId="66F3324C" w:rsidR="00C009B1" w:rsidRDefault="00C009B1" w:rsidP="00C009B1">
            <w:pPr>
              <w:pStyle w:val="P68B1DB1-Normal11"/>
              <w:spacing w:after="0" w:line="240" w:lineRule="auto"/>
              <w:jc w:val="center"/>
              <w:rPr>
                <w:rFonts w:eastAsia="Times New Roman"/>
                <w:noProof/>
              </w:rPr>
            </w:pPr>
            <w:r>
              <w:rPr>
                <w:noProof/>
              </w:rPr>
              <w:t>16.19</w:t>
            </w:r>
          </w:p>
        </w:tc>
        <w:tc>
          <w:tcPr>
            <w:tcW w:w="1276" w:type="dxa"/>
            <w:shd w:val="clear" w:color="auto" w:fill="C4EFCE"/>
            <w:noWrap/>
            <w:vAlign w:val="center"/>
          </w:tcPr>
          <w:p w14:paraId="79CF44D5" w14:textId="1ADD6940" w:rsidR="00C009B1" w:rsidRDefault="00C009B1" w:rsidP="00C009B1">
            <w:pPr>
              <w:pStyle w:val="P68B1DB1-Normal12"/>
              <w:spacing w:after="0" w:line="240" w:lineRule="auto"/>
              <w:jc w:val="center"/>
              <w:rPr>
                <w:rFonts w:eastAsia="Times New Roman"/>
                <w:noProof/>
              </w:rPr>
            </w:pPr>
            <w:r>
              <w:rPr>
                <w:noProof/>
              </w:rPr>
              <w:t>TD-C16-i05-RAA</w:t>
            </w:r>
          </w:p>
        </w:tc>
        <w:tc>
          <w:tcPr>
            <w:tcW w:w="1134" w:type="dxa"/>
            <w:shd w:val="clear" w:color="auto" w:fill="C4EFCE"/>
            <w:noWrap/>
            <w:vAlign w:val="center"/>
          </w:tcPr>
          <w:p w14:paraId="1F908EF3" w14:textId="2500FFAF" w:rsidR="00C009B1" w:rsidRDefault="00C009B1" w:rsidP="00C009B1">
            <w:pPr>
              <w:pStyle w:val="P68B1DB1-Normal12"/>
              <w:spacing w:after="0" w:line="240" w:lineRule="auto"/>
              <w:jc w:val="center"/>
              <w:rPr>
                <w:rFonts w:eastAsia="Times New Roman"/>
                <w:noProof/>
              </w:rPr>
            </w:pPr>
            <w:r>
              <w:rPr>
                <w:noProof/>
              </w:rPr>
              <w:t>M</w:t>
            </w:r>
          </w:p>
        </w:tc>
        <w:tc>
          <w:tcPr>
            <w:tcW w:w="1701" w:type="dxa"/>
            <w:shd w:val="clear" w:color="auto" w:fill="C4EFCE"/>
            <w:noWrap/>
            <w:vAlign w:val="center"/>
          </w:tcPr>
          <w:p w14:paraId="07C8C597" w14:textId="27719A8B" w:rsidR="00C009B1" w:rsidRDefault="00C009B1" w:rsidP="00C009B1">
            <w:pPr>
              <w:pStyle w:val="P68B1DB1-Normal12"/>
              <w:spacing w:after="0" w:line="240" w:lineRule="auto"/>
              <w:jc w:val="center"/>
              <w:rPr>
                <w:rFonts w:eastAsia="Times New Roman"/>
                <w:noProof/>
              </w:rPr>
            </w:pPr>
            <w:r>
              <w:rPr>
                <w:noProof/>
              </w:rPr>
              <w:t>Kiterjesztett vagy felszerelt tudományos és technológiai parkok</w:t>
            </w:r>
          </w:p>
        </w:tc>
        <w:tc>
          <w:tcPr>
            <w:tcW w:w="1275" w:type="dxa"/>
            <w:shd w:val="clear" w:color="auto" w:fill="C4EFCE"/>
            <w:noWrap/>
            <w:vAlign w:val="center"/>
          </w:tcPr>
          <w:p w14:paraId="3C50E602" w14:textId="4C429DB6" w:rsidR="00C009B1" w:rsidRDefault="00C009B1" w:rsidP="00C009B1">
            <w:pPr>
              <w:pStyle w:val="P68B1DB1-Normal12"/>
              <w:spacing w:after="0" w:line="240" w:lineRule="auto"/>
              <w:jc w:val="center"/>
              <w:rPr>
                <w:rFonts w:eastAsia="Times New Roman"/>
                <w:noProof/>
              </w:rPr>
            </w:pPr>
            <w:r>
              <w:rPr>
                <w:noProof/>
              </w:rPr>
              <w:t>Telepített és épített hálózati és számítástechnikai infrastruktúra</w:t>
            </w:r>
          </w:p>
        </w:tc>
        <w:tc>
          <w:tcPr>
            <w:tcW w:w="993" w:type="dxa"/>
            <w:shd w:val="clear" w:color="auto" w:fill="C4EFCE"/>
            <w:noWrap/>
            <w:vAlign w:val="center"/>
          </w:tcPr>
          <w:p w14:paraId="06949E64" w14:textId="379E29AD" w:rsidR="00C009B1" w:rsidRDefault="00C009B1" w:rsidP="00C009B1">
            <w:pPr>
              <w:spacing w:after="0" w:line="240" w:lineRule="auto"/>
              <w:jc w:val="center"/>
              <w:rPr>
                <w:noProof/>
                <w:sz w:val="16"/>
              </w:rPr>
            </w:pPr>
          </w:p>
        </w:tc>
        <w:tc>
          <w:tcPr>
            <w:tcW w:w="992" w:type="dxa"/>
            <w:shd w:val="clear" w:color="auto" w:fill="C4EFCE"/>
            <w:noWrap/>
            <w:vAlign w:val="center"/>
          </w:tcPr>
          <w:p w14:paraId="0E8D16A2" w14:textId="6A47AB65" w:rsidR="00C009B1" w:rsidRDefault="00C009B1" w:rsidP="00C009B1">
            <w:pPr>
              <w:spacing w:after="0" w:line="240" w:lineRule="auto"/>
              <w:jc w:val="center"/>
              <w:rPr>
                <w:noProof/>
                <w:sz w:val="16"/>
              </w:rPr>
            </w:pPr>
          </w:p>
        </w:tc>
        <w:tc>
          <w:tcPr>
            <w:tcW w:w="850" w:type="dxa"/>
            <w:shd w:val="clear" w:color="auto" w:fill="C4EFCE"/>
            <w:noWrap/>
            <w:vAlign w:val="center"/>
          </w:tcPr>
          <w:p w14:paraId="55A9F016" w14:textId="3D8C3522" w:rsidR="00C009B1" w:rsidRDefault="00C009B1" w:rsidP="00C009B1">
            <w:pPr>
              <w:spacing w:after="0" w:line="240" w:lineRule="auto"/>
              <w:jc w:val="center"/>
              <w:rPr>
                <w:noProof/>
                <w:sz w:val="16"/>
              </w:rPr>
            </w:pPr>
          </w:p>
        </w:tc>
        <w:tc>
          <w:tcPr>
            <w:tcW w:w="426" w:type="dxa"/>
            <w:shd w:val="clear" w:color="auto" w:fill="C4EFCE"/>
            <w:noWrap/>
            <w:vAlign w:val="center"/>
          </w:tcPr>
          <w:p w14:paraId="736C4E69" w14:textId="21E600FE" w:rsidR="00C009B1" w:rsidRDefault="00C009B1" w:rsidP="00C009B1">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1D090ADB" w14:textId="4F4266E5" w:rsidR="00C009B1" w:rsidRDefault="00C009B1" w:rsidP="00C009B1">
            <w:pPr>
              <w:pStyle w:val="P68B1DB1-Normal12"/>
              <w:spacing w:after="0" w:line="240" w:lineRule="auto"/>
              <w:jc w:val="center"/>
              <w:rPr>
                <w:rFonts w:eastAsia="Times New Roman"/>
                <w:noProof/>
              </w:rPr>
            </w:pPr>
            <w:r>
              <w:rPr>
                <w:noProof/>
              </w:rPr>
              <w:t>2026</w:t>
            </w:r>
          </w:p>
        </w:tc>
        <w:tc>
          <w:tcPr>
            <w:tcW w:w="3969" w:type="dxa"/>
            <w:shd w:val="clear" w:color="auto" w:fill="C4EFCE"/>
          </w:tcPr>
          <w:p w14:paraId="7EF23F02" w14:textId="5B5C41B8" w:rsidR="00C009B1" w:rsidRDefault="00C009B1" w:rsidP="00C009B1">
            <w:pPr>
              <w:pStyle w:val="P68B1DB1-Normal12"/>
              <w:spacing w:after="0" w:line="240" w:lineRule="auto"/>
              <w:jc w:val="both"/>
              <w:rPr>
                <w:rFonts w:eastAsia="Times New Roman"/>
                <w:noProof/>
              </w:rPr>
            </w:pPr>
            <w:r>
              <w:rPr>
                <w:noProof/>
              </w:rPr>
              <w:t>A Nonangon Tudományos és Technológiai Parkban új hálózati és számítástechnikai infrastrukturális eszközöket (hardvereket) kell telepíteni, a Terinov Tudományos és Technológiai Parkban pedig 878 négyzetméteres új, energiahatékony épületet kell építeni. Az új épületek primerenergia-szükségletének legalább 20%-kal alacsonyabbnak kell lennie a közel nulla energiaigényű épületekre vonatkozó követelményeknél. Az energiahatékonysági felújításoknak átlagosan legalább az épületek felújításáról szóló (EU) 2019/786 bizottsági ajánlásban meghatározott közepes mélységű felújítást kell megvalósítaniuk.</w:t>
            </w:r>
          </w:p>
        </w:tc>
      </w:tr>
      <w:tr w:rsidR="00262911" w14:paraId="1BB3C3E0" w14:textId="77777777">
        <w:trPr>
          <w:trHeight w:val="420"/>
        </w:trPr>
        <w:tc>
          <w:tcPr>
            <w:tcW w:w="1135" w:type="dxa"/>
            <w:shd w:val="clear" w:color="auto" w:fill="C5EFCE"/>
            <w:vAlign w:val="center"/>
          </w:tcPr>
          <w:p w14:paraId="6422BF72" w14:textId="48224803" w:rsidR="00262911" w:rsidRDefault="00262911" w:rsidP="00262911">
            <w:pPr>
              <w:pStyle w:val="P68B1DB1-Normal11"/>
              <w:spacing w:after="0" w:line="240" w:lineRule="auto"/>
              <w:jc w:val="center"/>
              <w:rPr>
                <w:rFonts w:eastAsia="Times New Roman"/>
                <w:noProof/>
              </w:rPr>
            </w:pPr>
            <w:r>
              <w:rPr>
                <w:noProof/>
              </w:rPr>
              <w:t>16.20</w:t>
            </w:r>
          </w:p>
        </w:tc>
        <w:tc>
          <w:tcPr>
            <w:tcW w:w="1276" w:type="dxa"/>
            <w:shd w:val="clear" w:color="auto" w:fill="C4EFCE"/>
            <w:noWrap/>
            <w:vAlign w:val="center"/>
          </w:tcPr>
          <w:p w14:paraId="241755ED" w14:textId="663183C3" w:rsidR="00262911" w:rsidRDefault="00262911" w:rsidP="00262911">
            <w:pPr>
              <w:pStyle w:val="P68B1DB1-Normal12"/>
              <w:spacing w:after="0" w:line="240" w:lineRule="auto"/>
              <w:jc w:val="center"/>
              <w:rPr>
                <w:rFonts w:eastAsia="Times New Roman"/>
                <w:noProof/>
              </w:rPr>
            </w:pPr>
            <w:r>
              <w:rPr>
                <w:noProof/>
              </w:rPr>
              <w:t>TD-C16-i06-RAM</w:t>
            </w:r>
          </w:p>
        </w:tc>
        <w:tc>
          <w:tcPr>
            <w:tcW w:w="1134" w:type="dxa"/>
            <w:shd w:val="clear" w:color="auto" w:fill="C4EFCE"/>
            <w:noWrap/>
            <w:vAlign w:val="center"/>
          </w:tcPr>
          <w:p w14:paraId="2E4832F3" w14:textId="1498C687" w:rsidR="00262911" w:rsidRDefault="00262911" w:rsidP="00262911">
            <w:pPr>
              <w:pStyle w:val="P68B1DB1-Normal12"/>
              <w:spacing w:after="0" w:line="240" w:lineRule="auto"/>
              <w:jc w:val="center"/>
              <w:rPr>
                <w:rFonts w:eastAsia="Times New Roman"/>
                <w:noProof/>
              </w:rPr>
            </w:pPr>
            <w:r>
              <w:rPr>
                <w:noProof/>
              </w:rPr>
              <w:t>T</w:t>
            </w:r>
          </w:p>
        </w:tc>
        <w:tc>
          <w:tcPr>
            <w:tcW w:w="1701" w:type="dxa"/>
            <w:shd w:val="clear" w:color="auto" w:fill="C4EFCE"/>
            <w:noWrap/>
            <w:vAlign w:val="center"/>
          </w:tcPr>
          <w:p w14:paraId="22D7638E" w14:textId="1AB722F4" w:rsidR="00262911" w:rsidRDefault="00262911" w:rsidP="00262911">
            <w:pPr>
              <w:pStyle w:val="P68B1DB1-Normal12"/>
              <w:spacing w:after="0" w:line="240" w:lineRule="auto"/>
              <w:jc w:val="center"/>
              <w:rPr>
                <w:rFonts w:eastAsia="Times New Roman"/>
                <w:noProof/>
              </w:rPr>
            </w:pPr>
            <w:r>
              <w:rPr>
                <w:noProof/>
              </w:rPr>
              <w:t>Vállalkozás 4.0</w:t>
            </w:r>
          </w:p>
        </w:tc>
        <w:tc>
          <w:tcPr>
            <w:tcW w:w="1275" w:type="dxa"/>
            <w:shd w:val="clear" w:color="auto" w:fill="C4EFCE"/>
            <w:noWrap/>
            <w:vAlign w:val="center"/>
          </w:tcPr>
          <w:p w14:paraId="3C12F8CE" w14:textId="77777777" w:rsidR="00262911" w:rsidRDefault="00262911" w:rsidP="00262911">
            <w:pPr>
              <w:spacing w:after="0" w:line="240" w:lineRule="auto"/>
              <w:jc w:val="center"/>
              <w:rPr>
                <w:rFonts w:eastAsia="Times New Roman"/>
                <w:noProof/>
                <w:sz w:val="16"/>
              </w:rPr>
            </w:pPr>
          </w:p>
        </w:tc>
        <w:tc>
          <w:tcPr>
            <w:tcW w:w="993" w:type="dxa"/>
            <w:shd w:val="clear" w:color="auto" w:fill="C4EFCE"/>
            <w:noWrap/>
            <w:vAlign w:val="center"/>
          </w:tcPr>
          <w:p w14:paraId="3EDFD5D8" w14:textId="0DAE7C66" w:rsidR="00262911" w:rsidRDefault="00262911" w:rsidP="00262911">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2C1BA599" w14:textId="79E71A0F" w:rsidR="00262911" w:rsidRDefault="00262911" w:rsidP="00262911">
            <w:pPr>
              <w:pStyle w:val="P68B1DB1-Normal12"/>
              <w:spacing w:after="0" w:line="240" w:lineRule="auto"/>
              <w:jc w:val="center"/>
              <w:rPr>
                <w:rFonts w:eastAsia="Times New Roman"/>
                <w:noProof/>
              </w:rPr>
            </w:pPr>
            <w:r>
              <w:rPr>
                <w:noProof/>
              </w:rPr>
              <w:t>0</w:t>
            </w:r>
          </w:p>
        </w:tc>
        <w:tc>
          <w:tcPr>
            <w:tcW w:w="850" w:type="dxa"/>
            <w:shd w:val="clear" w:color="auto" w:fill="C4EFCE"/>
            <w:noWrap/>
            <w:vAlign w:val="center"/>
          </w:tcPr>
          <w:p w14:paraId="3BACA82A" w14:textId="31DFBCD1" w:rsidR="00262911" w:rsidRDefault="00262911" w:rsidP="00262911">
            <w:pPr>
              <w:pStyle w:val="P68B1DB1-Normal12"/>
              <w:spacing w:after="0" w:line="240" w:lineRule="auto"/>
              <w:jc w:val="center"/>
              <w:rPr>
                <w:rFonts w:eastAsia="Times New Roman"/>
                <w:noProof/>
              </w:rPr>
            </w:pPr>
            <w:r>
              <w:rPr>
                <w:noProof/>
              </w:rPr>
              <w:t>300</w:t>
            </w:r>
          </w:p>
        </w:tc>
        <w:tc>
          <w:tcPr>
            <w:tcW w:w="426" w:type="dxa"/>
            <w:shd w:val="clear" w:color="auto" w:fill="C4EFCE"/>
            <w:noWrap/>
            <w:vAlign w:val="center"/>
          </w:tcPr>
          <w:p w14:paraId="69BC14F8" w14:textId="7EB9A57A" w:rsidR="00262911" w:rsidRDefault="00262911" w:rsidP="00262911">
            <w:pPr>
              <w:pStyle w:val="P68B1DB1-Normal12"/>
              <w:spacing w:after="0" w:line="240" w:lineRule="auto"/>
              <w:jc w:val="center"/>
              <w:rPr>
                <w:rFonts w:eastAsia="Times New Roman"/>
                <w:noProof/>
              </w:rPr>
            </w:pPr>
            <w:r>
              <w:rPr>
                <w:noProof/>
              </w:rPr>
              <w:t>4. NEGYEDÉV</w:t>
            </w:r>
          </w:p>
        </w:tc>
        <w:tc>
          <w:tcPr>
            <w:tcW w:w="708" w:type="dxa"/>
            <w:shd w:val="clear" w:color="auto" w:fill="C4EFCE"/>
            <w:noWrap/>
            <w:vAlign w:val="center"/>
          </w:tcPr>
          <w:p w14:paraId="6F7D5365" w14:textId="2233F5B5" w:rsidR="00262911" w:rsidRDefault="00262911" w:rsidP="00262911">
            <w:pPr>
              <w:pStyle w:val="P68B1DB1-Normal12"/>
              <w:spacing w:after="0" w:line="240" w:lineRule="auto"/>
              <w:jc w:val="center"/>
              <w:rPr>
                <w:rFonts w:eastAsia="Times New Roman"/>
                <w:noProof/>
              </w:rPr>
            </w:pPr>
            <w:r>
              <w:rPr>
                <w:noProof/>
              </w:rPr>
              <w:t>2025</w:t>
            </w:r>
          </w:p>
        </w:tc>
        <w:tc>
          <w:tcPr>
            <w:tcW w:w="3969" w:type="dxa"/>
            <w:shd w:val="clear" w:color="auto" w:fill="C4EFCE"/>
            <w:vAlign w:val="center"/>
          </w:tcPr>
          <w:p w14:paraId="20DC7735" w14:textId="02E207D5" w:rsidR="00262911" w:rsidRDefault="00262911" w:rsidP="00262911">
            <w:pPr>
              <w:pStyle w:val="P68B1DB1-Bodytext1013"/>
              <w:spacing w:after="0" w:line="240" w:lineRule="auto"/>
              <w:rPr>
                <w:rFonts w:cstheme="minorBidi"/>
                <w:noProof/>
              </w:rPr>
            </w:pPr>
            <w:r>
              <w:rPr>
                <w:noProof/>
              </w:rPr>
              <w:t>300 digitalizációs projektet kell befejezni kkv-k számára. A projektek a digitális átállásba való beruházáshoz közvetlenül kapcsolódó tárgyi eszközök vagy immateriális javak fejlesztését vagy megvásárlását foglalják magukban.</w:t>
            </w:r>
          </w:p>
          <w:p w14:paraId="35F539B6" w14:textId="02E207D5" w:rsidR="00262911" w:rsidRDefault="00262911" w:rsidP="00262911">
            <w:pPr>
              <w:pStyle w:val="P68B1DB1-Normal12"/>
              <w:spacing w:after="0" w:line="240" w:lineRule="auto"/>
              <w:jc w:val="both"/>
              <w:rPr>
                <w:rFonts w:eastAsia="Times New Roman"/>
                <w:noProof/>
              </w:rPr>
            </w:pPr>
            <w:r>
              <w:rPr>
                <w:noProof/>
              </w:rPr>
              <w:t>A kiválasztási kritériumoknak biztosítaniuk kell az ezen intézkedés keretében támogatott ügyletekre vonatkozó, a jelentős károkozás elkerülését célzó elvről szóló technikai iránymutatásnak (2021/C58/01) való megfelelést az intézkedés leírásában meghatározott kizárási lista, valamint a vonatkozó uniós és nemzeti környezetvédelmi jogszabályoknak való megfelelés követelménye révén.</w:t>
            </w:r>
          </w:p>
        </w:tc>
      </w:tr>
    </w:tbl>
    <w:p w14:paraId="4E8D9638" w14:textId="77777777" w:rsidR="00DC5EC6" w:rsidRDefault="00DC5EC6">
      <w:pPr>
        <w:spacing w:before="40" w:after="0" w:line="259" w:lineRule="auto"/>
        <w:jc w:val="both"/>
        <w:rPr>
          <w:rFonts w:ascii="Times New Roman" w:eastAsiaTheme="minorEastAsia" w:hAnsi="Times New Roman" w:cs="Times New Roman"/>
          <w:noProof/>
          <w:sz w:val="24"/>
          <w:u w:val="single"/>
        </w:rPr>
      </w:pPr>
    </w:p>
    <w:p w14:paraId="0AC9B701" w14:textId="77777777" w:rsidR="00DC5EC6" w:rsidRDefault="00DC5EC6">
      <w:pPr>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12"/>
          <w:headerReference w:type="default" r:id="rId313"/>
          <w:footerReference w:type="even" r:id="rId314"/>
          <w:footerReference w:type="default" r:id="rId315"/>
          <w:headerReference w:type="first" r:id="rId316"/>
          <w:footerReference w:type="first" r:id="rId317"/>
          <w:pgSz w:w="16839" w:h="11907" w:orient="landscape"/>
          <w:pgMar w:top="1134" w:right="1134" w:bottom="1134" w:left="1134" w:header="567" w:footer="567" w:gutter="0"/>
          <w:cols w:space="720"/>
          <w:docGrid w:linePitch="360"/>
        </w:sectPr>
      </w:pPr>
    </w:p>
    <w:p w14:paraId="777E4EB1" w14:textId="2FB158DA"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KÉRDÉS:</w:t>
      </w:r>
      <w:r>
        <w:rPr>
          <w:smallCaps/>
          <w:noProof/>
        </w:rPr>
        <w:t xml:space="preserve">1. 7. </w:t>
      </w:r>
      <w:r w:rsidR="00342815">
        <w:rPr>
          <w:noProof/>
        </w:rPr>
        <w:t>KOMPONENS</w:t>
      </w:r>
      <w:r>
        <w:rPr>
          <w:smallCaps/>
          <w:noProof/>
        </w:rPr>
        <w:t xml:space="preserve">: </w:t>
      </w:r>
      <w:r>
        <w:rPr>
          <w:noProof/>
        </w:rPr>
        <w:t>Az államháztartás minősége és fenntarthatósága</w:t>
      </w:r>
    </w:p>
    <w:p w14:paraId="439DD862" w14:textId="77777777" w:rsidR="00DC5EC6" w:rsidRDefault="003245A4">
      <w:pPr>
        <w:pStyle w:val="P68B1DB1-Normal4"/>
        <w:spacing w:before="40" w:after="0" w:line="259" w:lineRule="auto"/>
        <w:jc w:val="both"/>
        <w:rPr>
          <w:rFonts w:eastAsiaTheme="minorEastAsia" w:cs="Times New Roman"/>
          <w:noProof/>
        </w:rPr>
      </w:pPr>
      <w:r>
        <w:rPr>
          <w:noProof/>
        </w:rPr>
        <w:t>A komponens Portugália magas GDP-arányos államadósságával kapcsolatos kihívásokkal foglalkozik, amelyet a Covid19-válság tovább súlyosbított. Portugália GDP-arányos államadóssága korlátozza a rendelkezésre álló költségvetési mozgásteret, és amennyiben a gazdasági feltételek lehetővé teszik, szükségessé teszi a költségvetés középtávú fenntarthatóságának biztosítását. Ezzel összefüggésben a költségvetési politika erősebb keretfeltételei várhatóan hozzájárulnak az erősebb költségvetési fenntarthatóság növekedésbarát pályájához.</w:t>
      </w:r>
    </w:p>
    <w:p w14:paraId="1982F9A7" w14:textId="77777777" w:rsidR="00DC5EC6" w:rsidRDefault="003245A4">
      <w:pPr>
        <w:pStyle w:val="P68B1DB1-Normal4"/>
        <w:spacing w:before="40" w:after="120" w:line="259" w:lineRule="auto"/>
        <w:jc w:val="both"/>
        <w:rPr>
          <w:rFonts w:eastAsiaTheme="minorEastAsia" w:cs="Times New Roman"/>
          <w:noProof/>
        </w:rPr>
      </w:pPr>
      <w:r>
        <w:rPr>
          <w:noProof/>
        </w:rPr>
        <w:t>A komponens célja, hogy javítsa az államháztartási gazdálkodást Portugáliában, és áthidalja a költségvetési-strukturális reformok terén meglévő hiányosságokat. Ezek a célok többek között a következők:</w:t>
      </w:r>
    </w:p>
    <w:p w14:paraId="50B02B2C"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a 2015. évi költségvetési kerettörvény teljes körű és hatékony végrehajtásának, valamint a költségvetési, számviteli és információs rendszerek ehhez kapcsolódó strukturális változásainak megvalósítása; </w:t>
      </w:r>
    </w:p>
    <w:p w14:paraId="117516F8"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 xml:space="preserve">a hatékonysági megtakarítások növelése a központi közbeszerzés és a kiadások felülvizsgálatának szélesebb körű alkalmazása révén, amelyeket a tervek szerint integrálni fognak a rendes költségvetési folyamatba, és amelyeket szisztematikus </w:t>
      </w:r>
      <w:r>
        <w:rPr>
          <w:i/>
          <w:noProof/>
        </w:rPr>
        <w:t>utólagos értékeléseknek vetnek</w:t>
      </w:r>
      <w:r>
        <w:rPr>
          <w:noProof/>
        </w:rPr>
        <w:t xml:space="preserve"> alá;</w:t>
      </w:r>
    </w:p>
    <w:p w14:paraId="53FEF5B8"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az állami tulajdonú vállalatok pénzügyi teljesítményének javítása nagyobb átláthatóság, fokozott nyomon követés és erősebb irányítás révén, a vezetés elszámoltathatóbbá és teljesítményorientáltabbá válásával; valamint,</w:t>
      </w:r>
    </w:p>
    <w:p w14:paraId="77257493" w14:textId="77777777" w:rsidR="00DC5EC6" w:rsidRDefault="003245A4">
      <w:pPr>
        <w:pStyle w:val="P68B1DB1-Normal4"/>
        <w:keepNext/>
        <w:numPr>
          <w:ilvl w:val="0"/>
          <w:numId w:val="61"/>
        </w:numPr>
        <w:spacing w:before="40" w:after="160" w:line="259" w:lineRule="auto"/>
        <w:contextualSpacing/>
        <w:jc w:val="both"/>
        <w:rPr>
          <w:rFonts w:eastAsiaTheme="minorEastAsia" w:cs="Times New Roman"/>
          <w:noProof/>
        </w:rPr>
      </w:pPr>
      <w:r>
        <w:rPr>
          <w:noProof/>
        </w:rPr>
        <w:t>az adóigazgatás hatékonyságának növelése – beleértve mind az adó- és vámhatóságot, mind a társadalombiztosítási szolgálatokat – a nagyobb digitalizáció és a vállalkozásbarátság érdekében rendelkezésre álló lehetőségek kiaknázása révén.</w:t>
      </w:r>
    </w:p>
    <w:p w14:paraId="0D3AD004" w14:textId="7EC49C9D" w:rsidR="00DC5EC6" w:rsidRDefault="003245A4">
      <w:pPr>
        <w:pStyle w:val="P68B1DB1-Normal4"/>
        <w:spacing w:before="40" w:after="120" w:line="259" w:lineRule="auto"/>
        <w:jc w:val="both"/>
        <w:rPr>
          <w:rFonts w:eastAsiaTheme="minorEastAsia" w:cs="Times New Roman"/>
          <w:noProof/>
        </w:rPr>
      </w:pPr>
      <w:r>
        <w:rPr>
          <w:noProof/>
        </w:rPr>
        <w:t>A komponens hozzájárul az államháztartás minőségének javítására irányuló országspecifikus ajánlás, az általános kiadásellenőrzés, a költséghatékonyság és a megfelelő költségvetés-tervezés megerősítése mellett (2019. évi 1. országspecifikus ajánlás), az állami tulajdonú vállalatok pénzügyi fenntarthatóságának javítására irányuló ajánlás (2019. évi 1. országspecifikus ajánlás), az időszerűbb, átláthatóbb és átfogóbb nyomon követést biztosító ajánlás (2019. évi 1. országspecifikus ajánlás), a prudens középtávú költségvetési pozíció elérésére és az adósság fenntarthatóságának biztosítására irányuló költségvetési politikák folytatására vonatkozó ajánlás (2020. évi 1. országspecifikus ajánlás), valamint az adórendszer hatékonyságának javítására irányuló ajánlás (2022. és 2023. évi 1. országspecifikus ajánlás). A komponens hozzájárul továbbá a beruházások digitális átállásra való összpontosításáról szóló országspecifikus ajánlás (2020. évi 3. országspecifikus ajánlás) végrehajtásához is.</w:t>
      </w:r>
    </w:p>
    <w:p w14:paraId="6610EC5D" w14:textId="77777777" w:rsidR="00DC5EC6" w:rsidRDefault="003245A4">
      <w:pPr>
        <w:pStyle w:val="P68B1DB1-Normal4"/>
        <w:spacing w:before="40" w:after="120" w:line="259" w:lineRule="auto"/>
        <w:jc w:val="both"/>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3248AA7D" w14:textId="77777777" w:rsidR="00DC5EC6" w:rsidRDefault="00DC5EC6">
      <w:pPr>
        <w:spacing w:before="40" w:after="120" w:line="259" w:lineRule="auto"/>
        <w:jc w:val="both"/>
        <w:rPr>
          <w:rFonts w:ascii="Times New Roman" w:eastAsiaTheme="minorEastAsia" w:hAnsi="Times New Roman" w:cs="Times New Roman"/>
          <w:noProof/>
          <w:sz w:val="24"/>
        </w:rPr>
      </w:pPr>
    </w:p>
    <w:p w14:paraId="28C15D2C" w14:textId="1160A569" w:rsidR="00DC5EC6" w:rsidRDefault="00262911" w:rsidP="00262911">
      <w:pPr>
        <w:pStyle w:val="P68B1DB1-Normal3"/>
        <w:spacing w:before="40" w:after="0" w:line="259" w:lineRule="auto"/>
        <w:ind w:left="1210"/>
        <w:jc w:val="both"/>
        <w:outlineLvl w:val="1"/>
        <w:rPr>
          <w:rFonts w:eastAsiaTheme="minorEastAsia" w:cs="Times New Roman"/>
          <w:noProof/>
        </w:rPr>
      </w:pPr>
      <w:r>
        <w:rPr>
          <w:noProof/>
        </w:rPr>
        <w:t>1.</w:t>
      </w:r>
      <w:r w:rsidR="003245A4">
        <w:rPr>
          <w:noProof/>
        </w:rPr>
        <w:t>KÉRDÉS: Vissza nem térítendő pénzügyi támogatás – a reformok és beruházások ismertetése</w:t>
      </w:r>
    </w:p>
    <w:p w14:paraId="1D2019B5" w14:textId="329788CF" w:rsidR="00DC5EC6" w:rsidRDefault="003245A4">
      <w:pPr>
        <w:pStyle w:val="P68B1DB1-Normal5"/>
        <w:spacing w:before="240" w:after="0" w:line="259" w:lineRule="auto"/>
        <w:ind w:left="851"/>
        <w:jc w:val="both"/>
        <w:outlineLvl w:val="2"/>
        <w:rPr>
          <w:rFonts w:eastAsia="Times New Roman" w:cs="Times New Roman"/>
          <w:noProof/>
        </w:rPr>
      </w:pPr>
      <w:r>
        <w:rPr>
          <w:noProof/>
        </w:rPr>
        <w:t>TD-r32 reform: Az államháztartási gazdálkodás korszerűsítése és egyszerűsítése</w:t>
      </w:r>
    </w:p>
    <w:p w14:paraId="7386FB7C" w14:textId="77777777" w:rsidR="00DC5EC6" w:rsidRDefault="003245A4">
      <w:pPr>
        <w:pStyle w:val="P68B1DB1-Normal4"/>
        <w:spacing w:before="40" w:after="120" w:line="259" w:lineRule="auto"/>
        <w:jc w:val="both"/>
        <w:rPr>
          <w:rFonts w:eastAsiaTheme="minorEastAsia" w:cs="Times New Roman"/>
          <w:noProof/>
        </w:rPr>
      </w:pPr>
      <w:r>
        <w:rPr>
          <w:noProof/>
        </w:rPr>
        <w:t>A reform átfogó célja az államháztartás minőségének és fenntarthatóságának javítása, és különösen a kiadások ellenőrzésének és a megfelelő költségvetés-tervezésnek a megerősítése. A reform célja továbbá az állami források felhasználásának átláthatóságának és hatékonyságának növelése az igazgatási és pénzügyi folyamatok integráltabb irányítása révén az államháztartás valamennyi egységében.</w:t>
      </w:r>
    </w:p>
    <w:p w14:paraId="1C6AAFDF" w14:textId="77777777" w:rsidR="00DC5EC6" w:rsidRDefault="003245A4">
      <w:pPr>
        <w:pStyle w:val="P68B1DB1-Normal4"/>
        <w:spacing w:before="40" w:after="120" w:line="259" w:lineRule="auto"/>
        <w:jc w:val="both"/>
        <w:rPr>
          <w:rFonts w:eastAsia="Times New Roman" w:cs="Times New Roman"/>
          <w:noProof/>
        </w:rPr>
      </w:pPr>
      <w:r>
        <w:rPr>
          <w:noProof/>
        </w:rPr>
        <w:t xml:space="preserve">A reform átfogó költségvetési-strukturális reform, amely egymást kölcsönösen erősítő kezdeményezésekből áll. </w:t>
      </w:r>
    </w:p>
    <w:p w14:paraId="43E9C02C" w14:textId="57B93928"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Először is, a fokozatos lépéseknek hozzá kell járulniuk a 2015. évi költségvetési kerettörvény teljes körű és hatékony végrehajtásához. Ezek magukban foglalják a programok költségvetés-tervezésének kidolgozását és annak a költségvetési tervezésbe és nyomon követésbe való beépítését, valamint az Állami Számviteli Szervezetre vonatkozó jogszabályok hatályba lépését. Az államháztartási gazdálkodás információs rendszereinek tervezett jelentős korszerűsítése várhatóan megkönnyíti az eredményszemléletű számviteli rendszer betartását is.</w:t>
      </w:r>
    </w:p>
    <w:p w14:paraId="797E40BB" w14:textId="77777777"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Másodszor, a kiadások felülvizsgálata a tervek szerint Portugália költségvetési folyamatának strukturális elemévé válik azáltal, hogy jobban integrálódnak az éves költségvetési ciklusba és utólagosan értékelik a hatékonyságnövelést. </w:t>
      </w:r>
    </w:p>
    <w:p w14:paraId="7B864396" w14:textId="77777777"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 xml:space="preserve">Harmadszor, a hatékonyság növelése érdekében javítani kell a központosított beszerzés hatáskörét. </w:t>
      </w:r>
    </w:p>
    <w:p w14:paraId="68DBC2DB" w14:textId="77777777" w:rsidR="00DC5EC6" w:rsidRDefault="003245A4">
      <w:pPr>
        <w:pStyle w:val="P68B1DB1-Normal4"/>
        <w:keepNext/>
        <w:numPr>
          <w:ilvl w:val="0"/>
          <w:numId w:val="67"/>
        </w:numPr>
        <w:spacing w:before="40" w:after="120" w:line="259" w:lineRule="auto"/>
        <w:contextualSpacing/>
        <w:jc w:val="both"/>
        <w:rPr>
          <w:rFonts w:eastAsiaTheme="minorEastAsia" w:cs="Times New Roman"/>
          <w:noProof/>
        </w:rPr>
      </w:pPr>
      <w:r>
        <w:rPr>
          <w:noProof/>
        </w:rPr>
        <w:t>Negyedszer, az állami tulajdonú vállalatok esetében kétágú megközelítést terveznek, amelynek keretében a pénzügyi adatok közzététele átláthatóságának növelését célzó intézkedéseket az irányítás megerősítésére irányuló lépésekkel kell kiegészíteni, többek között az ösztönzőkön alapuló irányítási gyakorlatok ösztönzésére irányuló megerősített irányítási szerződések révén, valamint olyan költségvetési és tevékenységi tervek aláírásával, amelyek nagyobb autonómiát tesznek lehetővé, valamint erősebb elszámoltathatóságot és nyomon követést tesznek lehetővé.</w:t>
      </w:r>
    </w:p>
    <w:p w14:paraId="51CF4504" w14:textId="77777777" w:rsidR="00DC5EC6" w:rsidRDefault="003245A4">
      <w:pPr>
        <w:pStyle w:val="P68B1DB1-Normal4"/>
        <w:spacing w:before="40" w:after="120" w:line="259" w:lineRule="auto"/>
        <w:jc w:val="both"/>
        <w:rPr>
          <w:rFonts w:eastAsiaTheme="minorEastAsia" w:cs="Times New Roman"/>
          <w:noProof/>
        </w:rPr>
      </w:pPr>
      <w:r>
        <w:rPr>
          <w:noProof/>
        </w:rPr>
        <w:t>A reform végrehajtását 2025. december 31-ig be kell fejezni.</w:t>
      </w:r>
    </w:p>
    <w:p w14:paraId="17979527"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Beruházás TD-C17–i01: Államháztartási irányítási információs rendszerek</w:t>
      </w:r>
    </w:p>
    <w:p w14:paraId="2D41C5D2" w14:textId="77777777" w:rsidR="00DC5EC6" w:rsidRDefault="003245A4">
      <w:pPr>
        <w:pStyle w:val="P68B1DB1-Normal4"/>
        <w:spacing w:before="40" w:after="120" w:line="259" w:lineRule="auto"/>
        <w:jc w:val="both"/>
        <w:rPr>
          <w:rFonts w:eastAsia="Times New Roman" w:cs="Times New Roman"/>
          <w:noProof/>
        </w:rPr>
      </w:pPr>
      <w:r>
        <w:rPr>
          <w:noProof/>
        </w:rPr>
        <w:t>A beruházás célja az államháztartási gazdálkodás kapcsolódó reformjának működőképessé tétele az államháztartás minőségének és fenntarthatóságának javítása érdekében. A beruházás különösen kulcsfontosságú a 2015. évi költségvetési kerettörvény teljes körű és hatékony végrehajtása szempontjából.</w:t>
      </w:r>
    </w:p>
    <w:p w14:paraId="4F4EDC29" w14:textId="77777777" w:rsidR="00DC5EC6" w:rsidRDefault="003245A4">
      <w:pPr>
        <w:pStyle w:val="P68B1DB1-Normal4"/>
        <w:spacing w:before="40" w:after="120" w:line="259" w:lineRule="auto"/>
        <w:jc w:val="both"/>
        <w:rPr>
          <w:rFonts w:eastAsia="Times New Roman" w:cs="Times New Roman"/>
          <w:noProof/>
        </w:rPr>
      </w:pPr>
      <w:r>
        <w:rPr>
          <w:noProof/>
        </w:rPr>
        <w:t>A beruházás kiegészítő részberuházásokból áll, amelyeknek együttesen hozzá kell járulniuk az állami bevételek és kiadások integrált kezeléséhez. Először is, a részberuházásoknak olyan információtechnológiai megoldásokra kell irányulniuk, amelyek lehetővé teszik a kormányzati tranzakciók nyomon követését, a folyamatok digitalizálására, a számvitel automatizálására és a pénzügyminisztérium központi rendszereibe való integrációra építve, ami a költségvetési tervezést, a nyomon követést és az elszámoltathatóságot szolgálja. Ezek magukban foglalják olyan információtechnológiai megoldások kifejlesztését, amelyek lehetővé teszik az államkincstár integrált kezelését az Állami Számviteli Szervezeten keresztül, valamint a programköltségvetés bevezetése és az eredményszemléletű számviteli rendszer betartása révén támogatják az állami költségvetés előkészítését és a középtávú költségvetési tervezést. Másodszor, kiegészítő javításokat irányoznak elő a központosított beszerzések információs rendszerei, valamint a köztulajdonú járművek és az ingatlanok kezelése terén is.</w:t>
      </w:r>
    </w:p>
    <w:p w14:paraId="1F60E6B1" w14:textId="77777777" w:rsidR="00DC5EC6" w:rsidRDefault="003245A4">
      <w:pPr>
        <w:pStyle w:val="P68B1DB1-Normal4"/>
        <w:spacing w:before="40" w:after="0" w:line="259" w:lineRule="auto"/>
        <w:jc w:val="both"/>
        <w:rPr>
          <w:rFonts w:eastAsia="Times New Roman" w:cs="Times New Roman"/>
          <w:noProof/>
        </w:rPr>
      </w:pPr>
      <w:r>
        <w:rPr>
          <w:noProof/>
        </w:rPr>
        <w:t>A beruházás végrehajtását 2026. június 30-ig be kell fejezni.</w:t>
      </w:r>
    </w:p>
    <w:p w14:paraId="637EC6F3" w14:textId="77777777" w:rsidR="00DC5EC6" w:rsidRDefault="003245A4">
      <w:pPr>
        <w:pStyle w:val="P68B1DB1-Normal5"/>
        <w:spacing w:before="240" w:after="0" w:line="259" w:lineRule="auto"/>
        <w:ind w:left="851"/>
        <w:jc w:val="both"/>
        <w:outlineLvl w:val="2"/>
        <w:rPr>
          <w:rFonts w:eastAsia="Times New Roman" w:cs="Times New Roman"/>
          <w:noProof/>
        </w:rPr>
      </w:pPr>
      <w:r>
        <w:rPr>
          <w:noProof/>
        </w:rPr>
        <w:t>Beruházás TD-C17–i02: Az Adó- és Vámhatóság vidéki ingatlanadóztatással kapcsolatos információs rendszereinek korszerűsítése</w:t>
      </w:r>
    </w:p>
    <w:p w14:paraId="11A35064" w14:textId="77777777" w:rsidR="00DC5EC6" w:rsidRDefault="003245A4">
      <w:pPr>
        <w:pStyle w:val="P68B1DB1-Normal4"/>
        <w:spacing w:before="40" w:after="120" w:line="259" w:lineRule="auto"/>
        <w:jc w:val="both"/>
        <w:rPr>
          <w:rFonts w:eastAsia="Times New Roman" w:cs="Times New Roman"/>
          <w:noProof/>
        </w:rPr>
      </w:pPr>
      <w:r>
        <w:rPr>
          <w:noProof/>
        </w:rPr>
        <w:t>A beruházás célja, hogy előmozdítsa a vidéki ingatlanadóztatással kapcsolatos valamennyi folyamat digitalizálását, különös tekintettel a kapcsolódó információkra – a feltérképezésre és a kapcsolódó jellemzőkre (például a terményekre és a gazdasági potenciálra) –, valamint a konkrét deklaratív kötelezettségek előzetes feltöltésének bevezetésére.</w:t>
      </w:r>
    </w:p>
    <w:p w14:paraId="414FC653" w14:textId="1B3EFAB6" w:rsidR="00DC5EC6" w:rsidRDefault="003245A4">
      <w:pPr>
        <w:pStyle w:val="P68B1DB1-Normal4"/>
        <w:keepNext/>
        <w:spacing w:before="40" w:after="120" w:line="259" w:lineRule="auto"/>
        <w:jc w:val="both"/>
        <w:rPr>
          <w:rFonts w:eastAsia="Times New Roman" w:cs="Times New Roman"/>
          <w:noProof/>
        </w:rPr>
      </w:pPr>
      <w:r>
        <w:rPr>
          <w:noProof/>
        </w:rPr>
        <w:t>A beruházás több részberuházásból áll, amelyek a következőkből állnak: az ingatlanmátrixokhoz kapcsolódó támogató információk digitalizálása; a digitalizált ingatlaninformációk megőrzését szolgáló információtechnológiai infrastruktúra megerősítése; az ingatlanmátrixokra vonatkozó konzultációs és megjelenítési mechanizmusok kidolgozása; a vidéki ingatlanok egyszerűsített kataszteri értékelését támogató információs rendszer kialakítása; georeferenciával ellátott információkezelési megoldás kidolgozása; és vi. a deklaratív előzetes feltöltési szolgáltatások fejlesztése (különösen az ingatlanadó és a bélyegilleték-köteles különleges ügyletek esetében).</w:t>
      </w:r>
    </w:p>
    <w:p w14:paraId="2C782842" w14:textId="77777777" w:rsidR="00DC5EC6" w:rsidRDefault="003245A4">
      <w:pPr>
        <w:pStyle w:val="P68B1DB1-Normal4"/>
        <w:spacing w:before="40" w:after="0" w:line="259" w:lineRule="auto"/>
        <w:jc w:val="both"/>
        <w:rPr>
          <w:rFonts w:eastAsia="Times New Roman" w:cs="Times New Roman"/>
          <w:noProof/>
        </w:rPr>
      </w:pPr>
      <w:r>
        <w:rPr>
          <w:noProof/>
        </w:rPr>
        <w:t>A beruházás végrehajtását 2025. december 31-ig be kell fejezni.</w:t>
      </w:r>
    </w:p>
    <w:p w14:paraId="18AD381B" w14:textId="77777777" w:rsidR="00DC5EC6" w:rsidRDefault="003245A4">
      <w:pPr>
        <w:pStyle w:val="P68B1DB1-Normal5"/>
        <w:keepNext/>
        <w:spacing w:before="240" w:after="0" w:line="259" w:lineRule="auto"/>
        <w:ind w:left="851"/>
        <w:jc w:val="both"/>
        <w:outlineLvl w:val="2"/>
        <w:rPr>
          <w:rFonts w:eastAsia="Times New Roman" w:cs="Times New Roman"/>
          <w:noProof/>
        </w:rPr>
      </w:pPr>
      <w:r>
        <w:rPr>
          <w:noProof/>
        </w:rPr>
        <w:t>Beruházás TD-C17–i03: A szociális biztonsági szolgáltatások digitális átállása</w:t>
      </w:r>
    </w:p>
    <w:p w14:paraId="484E2C44" w14:textId="77777777" w:rsidR="00DC5EC6" w:rsidRDefault="003245A4">
      <w:pPr>
        <w:pStyle w:val="P68B1DB1-Normal4"/>
        <w:keepNext/>
        <w:spacing w:before="40" w:after="120" w:line="259" w:lineRule="auto"/>
        <w:jc w:val="both"/>
        <w:rPr>
          <w:rFonts w:eastAsia="Times New Roman" w:cs="Times New Roman"/>
          <w:noProof/>
        </w:rPr>
      </w:pPr>
      <w:r>
        <w:rPr>
          <w:noProof/>
        </w:rPr>
        <w:t>A beruházás célja a társadalombiztosítási szolgáltatások digitalizálásának előmozdítása annak érdekében, hogy azok felhasználóbarátabbá váljanak, előmozdítsák a hatékonyságot, valamint visszaszorítsák a csalást és az adókikerülést.</w:t>
      </w:r>
    </w:p>
    <w:p w14:paraId="7A04F8FA" w14:textId="77777777" w:rsidR="00DC5EC6" w:rsidRDefault="003245A4">
      <w:pPr>
        <w:pStyle w:val="P68B1DB1-Normal4"/>
        <w:keepNext/>
        <w:spacing w:before="40" w:after="120" w:line="259" w:lineRule="auto"/>
        <w:jc w:val="both"/>
        <w:rPr>
          <w:rFonts w:eastAsia="Times New Roman" w:cs="Times New Roman"/>
          <w:noProof/>
        </w:rPr>
      </w:pPr>
      <w:r>
        <w:rPr>
          <w:noProof/>
        </w:rPr>
        <w:t xml:space="preserve">A beruházás a következő lépésekből áll: a szociális ellátások, a társadalombiztosítási járulékok, a csalás megelőzése, az információkezelés és a fizetési csatornák területén az alapul szolgáló információs rendszerek korszerűsítésén alapuló szociális biztonsági szolgáltatások kialakításának és szervezésének javítása; olyan új kapcsolati modell kidolgozása és megvalósítása, amely várhatóan integrálja a polgárok, a vállalkozások és a társadalombiztosítási szolgálatok közötti különböző interakciós csatornákat a teljes csatorna megközelítésén keresztül; a szociális biztonsági szolgálatok munkahelyeinek kiigazítása a rugalmasabb munkafeltételek, például a távmunka lehetővé tétele érdekében; a teljesítmény és az interoperabilitás támogatására alkalmas számításifelhő-megoldásokon alapuló információtechnológiai infrastruktúra kiépítése; valamint v. a belső folyamatok felülvizsgálata és a szociális biztonsági dolgozók képzése a fent említett beruházások és strukturális változások zökkenőmentes végrehajtásának támogatása érdekében. </w:t>
      </w:r>
    </w:p>
    <w:p w14:paraId="1A95DF4E" w14:textId="77777777" w:rsidR="00DC5EC6" w:rsidRDefault="003245A4">
      <w:pPr>
        <w:pStyle w:val="P68B1DB1-Normal4"/>
        <w:spacing w:before="40" w:after="0" w:line="259" w:lineRule="auto"/>
        <w:jc w:val="both"/>
        <w:rPr>
          <w:rFonts w:eastAsia="Times New Roman" w:cs="Times New Roman"/>
          <w:noProof/>
        </w:rPr>
      </w:pPr>
      <w:r>
        <w:rPr>
          <w:noProof/>
        </w:rPr>
        <w:t>A beruházás végrehajtását 2025. december 31-ig be kell fejezni.</w:t>
      </w:r>
    </w:p>
    <w:p w14:paraId="4F1F38D4" w14:textId="399786BD" w:rsidR="00DC5EC6" w:rsidRDefault="003245A4">
      <w:pPr>
        <w:pStyle w:val="P68B1DB1-Normal5"/>
        <w:keepNext/>
        <w:spacing w:before="240" w:after="0" w:line="259" w:lineRule="auto"/>
        <w:ind w:left="851"/>
        <w:jc w:val="both"/>
        <w:outlineLvl w:val="2"/>
        <w:rPr>
          <w:rFonts w:eastAsia="Times New Roman" w:cs="Times New Roman"/>
          <w:noProof/>
        </w:rPr>
      </w:pPr>
      <w:bookmarkStart w:id="32" w:name="_Toc137472472"/>
      <w:r>
        <w:rPr>
          <w:noProof/>
        </w:rPr>
        <w:t xml:space="preserve">TD-C17-r40 reform: Az adórendszer egyszerűsítése </w:t>
      </w:r>
      <w:bookmarkEnd w:id="32"/>
    </w:p>
    <w:p w14:paraId="7BD4017E" w14:textId="77777777" w:rsidR="00DC5EC6" w:rsidRDefault="003245A4">
      <w:pPr>
        <w:spacing w:before="40" w:after="0" w:line="259" w:lineRule="auto"/>
        <w:jc w:val="both"/>
        <w:rPr>
          <w:rFonts w:ascii="Times New Roman" w:hAnsi="Times New Roman" w:cs="Times New Roman"/>
          <w:noProof/>
          <w:sz w:val="24"/>
        </w:rPr>
      </w:pPr>
      <w:r>
        <w:rPr>
          <w:rFonts w:ascii="Times New Roman" w:hAnsi="Times New Roman"/>
          <w:noProof/>
          <w:sz w:val="24"/>
        </w:rPr>
        <w:t>E reform célja a portugál adórendszer hatékonyságának javítása. A reform állandó rendszert vezet be az új és meglévő adókedvezmények következetes nyomon követésére és értékelésére („</w:t>
      </w:r>
      <w:r>
        <w:rPr>
          <w:rFonts w:ascii="Times New Roman" w:hAnsi="Times New Roman"/>
          <w:i/>
          <w:noProof/>
          <w:sz w:val="24"/>
        </w:rPr>
        <w:t>benefícios fiscais</w:t>
      </w:r>
      <w:r>
        <w:rPr>
          <w:rFonts w:ascii="Times New Roman" w:hAnsi="Times New Roman"/>
          <w:noProof/>
          <w:sz w:val="24"/>
        </w:rPr>
        <w:t>”)</w:t>
      </w:r>
      <w:r>
        <w:rPr>
          <w:rStyle w:val="FootnoteReference"/>
          <w:rFonts w:ascii="Times New Roman" w:hAnsi="Times New Roman" w:cs="Times New Roman"/>
          <w:noProof/>
          <w:sz w:val="24"/>
        </w:rPr>
        <w:footnoteReference w:id="76"/>
      </w:r>
      <w:r>
        <w:rPr>
          <w:rFonts w:ascii="Times New Roman" w:hAnsi="Times New Roman"/>
          <w:noProof/>
          <w:sz w:val="24"/>
        </w:rPr>
        <w:t>. Ez a meglévő keret egyszerűsítését eredményezi az adókedvezmények számának csökkentése, a kapcsolódó adókiadások csökkentése (»despesas</w:t>
      </w:r>
      <w:r>
        <w:rPr>
          <w:rFonts w:ascii="Times New Roman" w:hAnsi="Times New Roman"/>
          <w:i/>
          <w:noProof/>
          <w:sz w:val="24"/>
        </w:rPr>
        <w:t>fiscais</w:t>
      </w:r>
      <w:r>
        <w:rPr>
          <w:rFonts w:ascii="Times New Roman" w:hAnsi="Times New Roman"/>
          <w:noProof/>
          <w:sz w:val="24"/>
        </w:rPr>
        <w:t>«), valamint a fennmaradó adókedvezmények költséghatékonyságának megerősítése révén.</w:t>
      </w:r>
    </w:p>
    <w:p w14:paraId="0F4A2EDF" w14:textId="77777777" w:rsidR="00DC5EC6" w:rsidRDefault="003245A4">
      <w:pPr>
        <w:pStyle w:val="P68B1DB1-Normal4"/>
        <w:spacing w:before="40" w:after="0" w:line="259" w:lineRule="auto"/>
        <w:jc w:val="both"/>
        <w:rPr>
          <w:rFonts w:eastAsia="@MS Mincho" w:cs="Times New Roman"/>
          <w:noProof/>
        </w:rPr>
      </w:pPr>
      <w:r>
        <w:rPr>
          <w:noProof/>
        </w:rPr>
        <w:t>A reform egy olyan jogi aktusból áll, amely állandó technikai adópolitikai egységet</w:t>
      </w:r>
      <w:r>
        <w:rPr>
          <w:i/>
          <w:noProof/>
        </w:rPr>
        <w:t>(U-TAX) hoz létre, amelynek feladata az új és meglévő adókedvezmények szisztematikus nyomon követése és értékelése, valamint</w:t>
      </w:r>
      <w:r>
        <w:rPr>
          <w:noProof/>
        </w:rPr>
        <w:t xml:space="preserve"> az adópolitikák kialakításához, végrehajtásához és hatásvizsgálatához való hozzájárulás. Az adópolitikai egység más érintett szervezetekkel, például a </w:t>
      </w:r>
      <w:r>
        <w:rPr>
          <w:i/>
          <w:noProof/>
        </w:rPr>
        <w:t xml:space="preserve">Centro de Estudos Fiscais e Aduaneiros-szal ( </w:t>
      </w:r>
      <w:r>
        <w:rPr>
          <w:noProof/>
        </w:rPr>
        <w:t>CEF) együttműködve hozzájárul az adózás területére vonatkozó jogi aktusok előkészítéséhez is. A jogi aktus meghatározza az U-TAX formális felépítését, beleértve annak szervezeti felépítését, működését és feladatait. Az U-TAX műszakilag független az adó- és vámhatóságtól, és közvetlenül a Pénzügyminisztériumnak válaszol. Az U-TAX állandó, adópolitikai szakértelemmel rendelkező műszaki személyzetből áll. A jogi aktus meghatározza továbbá az U-TAX és más érintett köz- és magánszervezetek – mint kutatási és tudományos intézmények – közötti hivatalos interakciókat, és rendelkezik az U-TAX és az érintett állami szervek, mint az adó- és vámhatóság és a Portugál Statisztikai Intézet (INE) közötti adatmegosztási megállapodások meghatározásáról. A jogi aktusnak biztosítania kell továbbá az U-TAX-nak az elemzési jelentései minősége és átláthatósága, valamint az adatminőségi előírások megőrzése iránti elkötelezettségét. Ez az adópolitikai egység értékelő jelentést tesz közzé, amely költség-haszon elemzést tartalmaz a meglévő adókedvezményekről, valamint a hatékonyság és eredményesség kritériumairól, valamint környezetvédelmi megfontolásokról. Ezen értékelést követően felül kell vizsgálni a jelentős adókedvezményekre vonatkozó jogi keretet.</w:t>
      </w:r>
    </w:p>
    <w:p w14:paraId="6901A2AB" w14:textId="77777777" w:rsidR="00DC5EC6" w:rsidRDefault="003245A4">
      <w:pPr>
        <w:pStyle w:val="P68B1DB1-Normal4"/>
        <w:spacing w:before="40" w:after="0" w:line="259" w:lineRule="auto"/>
        <w:jc w:val="both"/>
        <w:rPr>
          <w:rFonts w:cs="Times New Roman"/>
          <w:noProof/>
        </w:rPr>
      </w:pPr>
      <w:r>
        <w:rPr>
          <w:noProof/>
        </w:rPr>
        <w:t>E reform végrehajtását 2026. március 31-ig be kell fejezni.</w:t>
      </w:r>
    </w:p>
    <w:p w14:paraId="282DA7C3" w14:textId="77777777" w:rsidR="00DC5EC6" w:rsidRDefault="00DC5EC6">
      <w:pPr>
        <w:spacing w:before="40" w:after="0" w:line="259" w:lineRule="auto"/>
        <w:jc w:val="both"/>
        <w:rPr>
          <w:rFonts w:ascii="Times New Roman" w:eastAsia="Times New Roman" w:hAnsi="Times New Roman" w:cs="Times New Roman"/>
          <w:noProof/>
          <w:sz w:val="24"/>
        </w:rPr>
      </w:pPr>
    </w:p>
    <w:p w14:paraId="03613E4E" w14:textId="75A6C9BA" w:rsidR="00DC5EC6" w:rsidRDefault="00DC5EC6">
      <w:pPr>
        <w:spacing w:before="40" w:after="0" w:line="259" w:lineRule="auto"/>
        <w:jc w:val="both"/>
        <w:rPr>
          <w:rFonts w:ascii="Times New Roman" w:eastAsia="Times New Roman" w:hAnsi="Times New Roman" w:cs="Times New Roman"/>
          <w:noProof/>
          <w:sz w:val="24"/>
        </w:rPr>
        <w:sectPr w:rsidR="00DC5EC6" w:rsidSect="00E00EDD">
          <w:headerReference w:type="even" r:id="rId318"/>
          <w:headerReference w:type="default" r:id="rId319"/>
          <w:footerReference w:type="even" r:id="rId320"/>
          <w:footerReference w:type="default" r:id="rId321"/>
          <w:headerReference w:type="first" r:id="rId322"/>
          <w:footerReference w:type="first" r:id="rId323"/>
          <w:pgSz w:w="11907" w:h="16839"/>
          <w:pgMar w:top="1134" w:right="1134" w:bottom="1134" w:left="1134" w:header="567" w:footer="567" w:gutter="0"/>
          <w:cols w:space="720"/>
          <w:docGrid w:linePitch="360"/>
        </w:sectPr>
      </w:pPr>
    </w:p>
    <w:p w14:paraId="449FF56D" w14:textId="4543369B" w:rsidR="00DC5EC6" w:rsidRDefault="00262911">
      <w:pPr>
        <w:pStyle w:val="P68B1DB1-Normal3"/>
        <w:keepNext/>
        <w:spacing w:before="40" w:after="0" w:line="259" w:lineRule="auto"/>
        <w:ind w:left="130" w:firstLine="720"/>
        <w:jc w:val="both"/>
        <w:outlineLvl w:val="1"/>
        <w:rPr>
          <w:rFonts w:eastAsiaTheme="minorEastAsia" w:cs="Times New Roman"/>
          <w:noProof/>
        </w:rPr>
      </w:pPr>
      <w:r>
        <w:rPr>
          <w:noProof/>
        </w:rPr>
        <w:t xml:space="preserve">2. </w:t>
      </w:r>
      <w:r w:rsidR="003245A4">
        <w:rPr>
          <w:noProof/>
        </w:rPr>
        <w:t>KÉRDÉS: Vissza nem térítendő pénzügyi támogatás – a végrehajtáshoz és a nyomon követéshez kapcsolódó mérföldkövek, célok, mutatók és ütemterv</w:t>
      </w:r>
    </w:p>
    <w:p w14:paraId="47972E30"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52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36"/>
        <w:gridCol w:w="1161"/>
        <w:gridCol w:w="1034"/>
        <w:gridCol w:w="1539"/>
        <w:gridCol w:w="1356"/>
        <w:gridCol w:w="909"/>
        <w:gridCol w:w="908"/>
        <w:gridCol w:w="657"/>
        <w:gridCol w:w="530"/>
        <w:gridCol w:w="656"/>
        <w:gridCol w:w="5456"/>
      </w:tblGrid>
      <w:tr w:rsidR="00DC5EC6" w14:paraId="0CC744D9" w14:textId="77777777">
        <w:trPr>
          <w:trHeight w:val="910"/>
          <w:tblHeader/>
        </w:trPr>
        <w:tc>
          <w:tcPr>
            <w:tcW w:w="1043" w:type="dxa"/>
            <w:gridSpan w:val="2"/>
            <w:vMerge w:val="restart"/>
            <w:shd w:val="clear" w:color="auto" w:fill="BDD6EE"/>
            <w:vAlign w:val="center"/>
            <w:hideMark/>
          </w:tcPr>
          <w:p w14:paraId="0DD3CE3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61" w:type="dxa"/>
            <w:vMerge w:val="restart"/>
            <w:shd w:val="clear" w:color="auto" w:fill="BDD6EE"/>
            <w:vAlign w:val="center"/>
            <w:hideMark/>
          </w:tcPr>
          <w:p w14:paraId="119BDC1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034" w:type="dxa"/>
            <w:vMerge w:val="restart"/>
            <w:shd w:val="clear" w:color="auto" w:fill="BDD6EE"/>
            <w:vAlign w:val="center"/>
            <w:hideMark/>
          </w:tcPr>
          <w:p w14:paraId="68B0DBF9" w14:textId="77777777" w:rsidR="00DC5EC6" w:rsidRDefault="003245A4">
            <w:pPr>
              <w:pStyle w:val="P68B1DB1-Normal6"/>
              <w:spacing w:after="0" w:line="240" w:lineRule="auto"/>
              <w:jc w:val="center"/>
              <w:rPr>
                <w:rFonts w:eastAsia="Times New Roman" w:cs="Times New Roman"/>
                <w:noProof/>
              </w:rPr>
            </w:pPr>
            <w:r>
              <w:rPr>
                <w:noProof/>
              </w:rPr>
              <w:t>Mérföldkő/</w:t>
            </w:r>
          </w:p>
          <w:p w14:paraId="235747B5" w14:textId="63F3C043" w:rsidR="00DC5EC6" w:rsidRDefault="003245A4">
            <w:pPr>
              <w:pStyle w:val="P68B1DB1-Normal6"/>
              <w:spacing w:after="0" w:line="240" w:lineRule="auto"/>
              <w:jc w:val="center"/>
              <w:rPr>
                <w:rFonts w:eastAsia="Times New Roman" w:cs="Times New Roman"/>
                <w:noProof/>
              </w:rPr>
            </w:pPr>
            <w:r>
              <w:rPr>
                <w:noProof/>
              </w:rPr>
              <w:t>Cél</w:t>
            </w:r>
          </w:p>
        </w:tc>
        <w:tc>
          <w:tcPr>
            <w:tcW w:w="1539" w:type="dxa"/>
            <w:vMerge w:val="restart"/>
            <w:shd w:val="clear" w:color="auto" w:fill="BDD6EE"/>
            <w:vAlign w:val="center"/>
            <w:hideMark/>
          </w:tcPr>
          <w:p w14:paraId="6666AD10" w14:textId="77777777" w:rsidR="00DC5EC6" w:rsidRDefault="003245A4">
            <w:pPr>
              <w:pStyle w:val="P68B1DB1-Normal6"/>
              <w:spacing w:after="0" w:line="240" w:lineRule="auto"/>
              <w:jc w:val="center"/>
              <w:rPr>
                <w:rFonts w:eastAsia="Times New Roman" w:cs="Times New Roman"/>
                <w:noProof/>
              </w:rPr>
            </w:pPr>
            <w:r>
              <w:rPr>
                <w:noProof/>
              </w:rPr>
              <w:t>Név</w:t>
            </w:r>
          </w:p>
        </w:tc>
        <w:tc>
          <w:tcPr>
            <w:tcW w:w="1356" w:type="dxa"/>
            <w:vMerge w:val="restart"/>
            <w:shd w:val="clear" w:color="auto" w:fill="BDD6EE"/>
            <w:vAlign w:val="center"/>
            <w:hideMark/>
          </w:tcPr>
          <w:p w14:paraId="0C0A3581"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474" w:type="dxa"/>
            <w:gridSpan w:val="3"/>
            <w:shd w:val="clear" w:color="auto" w:fill="BDD6EE"/>
            <w:vAlign w:val="center"/>
            <w:hideMark/>
          </w:tcPr>
          <w:p w14:paraId="7EB33E8C"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86" w:type="dxa"/>
            <w:gridSpan w:val="2"/>
            <w:shd w:val="clear" w:color="auto" w:fill="BDD6EE"/>
            <w:vAlign w:val="center"/>
            <w:hideMark/>
          </w:tcPr>
          <w:p w14:paraId="3D7372E7"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5456" w:type="dxa"/>
            <w:vMerge w:val="restart"/>
            <w:shd w:val="clear" w:color="auto" w:fill="BDD6EE"/>
            <w:noWrap/>
            <w:vAlign w:val="center"/>
            <w:hideMark/>
          </w:tcPr>
          <w:p w14:paraId="110BCD14"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26D58C7B" w14:textId="77777777">
        <w:trPr>
          <w:trHeight w:val="521"/>
          <w:tblHeader/>
        </w:trPr>
        <w:tc>
          <w:tcPr>
            <w:tcW w:w="1043" w:type="dxa"/>
            <w:gridSpan w:val="2"/>
            <w:vMerge/>
            <w:vAlign w:val="center"/>
          </w:tcPr>
          <w:p w14:paraId="0A90FC04" w14:textId="77777777" w:rsidR="00DC5EC6" w:rsidRDefault="00DC5EC6">
            <w:pPr>
              <w:spacing w:after="0" w:line="240" w:lineRule="auto"/>
              <w:jc w:val="center"/>
              <w:rPr>
                <w:rFonts w:ascii="Calibri" w:eastAsia="Times New Roman" w:hAnsi="Calibri" w:cs="Calibri"/>
                <w:b/>
                <w:noProof/>
                <w:sz w:val="16"/>
              </w:rPr>
            </w:pPr>
          </w:p>
        </w:tc>
        <w:tc>
          <w:tcPr>
            <w:tcW w:w="1161" w:type="dxa"/>
            <w:vMerge/>
            <w:noWrap/>
            <w:vAlign w:val="center"/>
          </w:tcPr>
          <w:p w14:paraId="7720E5AA" w14:textId="77777777" w:rsidR="00DC5EC6" w:rsidRDefault="00DC5EC6">
            <w:pPr>
              <w:spacing w:after="0" w:line="240" w:lineRule="auto"/>
              <w:jc w:val="center"/>
              <w:rPr>
                <w:rFonts w:ascii="Calibri" w:eastAsia="Times New Roman" w:hAnsi="Calibri" w:cs="Calibri"/>
                <w:noProof/>
                <w:sz w:val="16"/>
              </w:rPr>
            </w:pPr>
          </w:p>
        </w:tc>
        <w:tc>
          <w:tcPr>
            <w:tcW w:w="1034" w:type="dxa"/>
            <w:vMerge/>
            <w:noWrap/>
            <w:vAlign w:val="center"/>
          </w:tcPr>
          <w:p w14:paraId="44179E26" w14:textId="77777777" w:rsidR="00DC5EC6" w:rsidRDefault="00DC5EC6">
            <w:pPr>
              <w:spacing w:after="0" w:line="240" w:lineRule="auto"/>
              <w:jc w:val="center"/>
              <w:rPr>
                <w:rFonts w:ascii="Calibri" w:eastAsia="Times New Roman" w:hAnsi="Calibri" w:cs="Calibri"/>
                <w:noProof/>
                <w:sz w:val="16"/>
              </w:rPr>
            </w:pPr>
          </w:p>
        </w:tc>
        <w:tc>
          <w:tcPr>
            <w:tcW w:w="1539" w:type="dxa"/>
            <w:vMerge/>
            <w:noWrap/>
            <w:vAlign w:val="center"/>
          </w:tcPr>
          <w:p w14:paraId="591AE727" w14:textId="77777777" w:rsidR="00DC5EC6" w:rsidRDefault="00DC5EC6">
            <w:pPr>
              <w:spacing w:after="0" w:line="240" w:lineRule="auto"/>
              <w:jc w:val="center"/>
              <w:rPr>
                <w:rFonts w:ascii="Calibri" w:eastAsia="Times New Roman" w:hAnsi="Calibri" w:cs="Calibri"/>
                <w:noProof/>
                <w:sz w:val="16"/>
              </w:rPr>
            </w:pPr>
          </w:p>
        </w:tc>
        <w:tc>
          <w:tcPr>
            <w:tcW w:w="1356" w:type="dxa"/>
            <w:vMerge/>
            <w:noWrap/>
            <w:vAlign w:val="center"/>
          </w:tcPr>
          <w:p w14:paraId="7822AAB7" w14:textId="77777777" w:rsidR="00DC5EC6" w:rsidRDefault="00DC5EC6">
            <w:pPr>
              <w:spacing w:after="0" w:line="240" w:lineRule="auto"/>
              <w:jc w:val="center"/>
              <w:rPr>
                <w:rFonts w:ascii="Calibri" w:eastAsia="Times New Roman" w:hAnsi="Calibri" w:cs="Calibri"/>
                <w:noProof/>
                <w:sz w:val="16"/>
              </w:rPr>
            </w:pPr>
          </w:p>
        </w:tc>
        <w:tc>
          <w:tcPr>
            <w:tcW w:w="909" w:type="dxa"/>
            <w:shd w:val="clear" w:color="auto" w:fill="BDD6EE"/>
            <w:noWrap/>
            <w:vAlign w:val="center"/>
          </w:tcPr>
          <w:p w14:paraId="64FC2FBB" w14:textId="4031209A" w:rsidR="00DC5EC6" w:rsidRDefault="003245A4">
            <w:pPr>
              <w:pStyle w:val="P68B1DB1-Normal6"/>
              <w:spacing w:after="0" w:line="240" w:lineRule="auto"/>
              <w:jc w:val="center"/>
              <w:rPr>
                <w:rFonts w:ascii="Calibri" w:eastAsia="Times New Roman" w:hAnsi="Calibri" w:cs="Calibri"/>
                <w:noProof/>
                <w:sz w:val="16"/>
              </w:rPr>
            </w:pPr>
            <w:r>
              <w:rPr>
                <w:noProof/>
              </w:rPr>
              <w:t>Mértékegység</w:t>
            </w:r>
          </w:p>
        </w:tc>
        <w:tc>
          <w:tcPr>
            <w:tcW w:w="908" w:type="dxa"/>
            <w:shd w:val="clear" w:color="auto" w:fill="BDD6EE"/>
            <w:noWrap/>
            <w:vAlign w:val="center"/>
          </w:tcPr>
          <w:p w14:paraId="39BFFF83" w14:textId="07A9DA21" w:rsidR="00DC5EC6" w:rsidRDefault="003245A4">
            <w:pPr>
              <w:pStyle w:val="P68B1DB1-Normal6"/>
              <w:spacing w:after="0" w:line="240" w:lineRule="auto"/>
              <w:jc w:val="center"/>
              <w:rPr>
                <w:rFonts w:ascii="Calibri" w:eastAsia="Times New Roman" w:hAnsi="Calibri" w:cs="Calibri"/>
                <w:noProof/>
                <w:sz w:val="16"/>
              </w:rPr>
            </w:pPr>
            <w:r>
              <w:rPr>
                <w:noProof/>
              </w:rPr>
              <w:t>Kiindulási</w:t>
            </w:r>
          </w:p>
        </w:tc>
        <w:tc>
          <w:tcPr>
            <w:tcW w:w="657" w:type="dxa"/>
            <w:shd w:val="clear" w:color="auto" w:fill="BDD6EE"/>
            <w:noWrap/>
            <w:vAlign w:val="center"/>
          </w:tcPr>
          <w:p w14:paraId="15BA119E" w14:textId="139D46FC" w:rsidR="00DC5EC6" w:rsidRDefault="003245A4">
            <w:pPr>
              <w:pStyle w:val="P68B1DB1-Normal6"/>
              <w:spacing w:after="0" w:line="240" w:lineRule="auto"/>
              <w:jc w:val="center"/>
              <w:rPr>
                <w:rFonts w:ascii="Calibri" w:eastAsia="Times New Roman" w:hAnsi="Calibri" w:cs="Calibri"/>
                <w:noProof/>
                <w:sz w:val="16"/>
              </w:rPr>
            </w:pPr>
            <w:r>
              <w:rPr>
                <w:noProof/>
              </w:rPr>
              <w:t>Cél</w:t>
            </w:r>
          </w:p>
        </w:tc>
        <w:tc>
          <w:tcPr>
            <w:tcW w:w="530" w:type="dxa"/>
            <w:shd w:val="clear" w:color="auto" w:fill="BDD6EE"/>
            <w:noWrap/>
            <w:vAlign w:val="center"/>
          </w:tcPr>
          <w:p w14:paraId="1E42A9C0" w14:textId="3B0ED6EF" w:rsidR="00DC5EC6" w:rsidRDefault="00C009B1">
            <w:pPr>
              <w:pStyle w:val="P68B1DB1-Normal6"/>
              <w:spacing w:after="0" w:line="240" w:lineRule="auto"/>
              <w:jc w:val="center"/>
              <w:rPr>
                <w:rFonts w:ascii="Calibri" w:eastAsia="Times New Roman" w:hAnsi="Calibri" w:cs="Calibri"/>
                <w:noProof/>
                <w:sz w:val="16"/>
              </w:rPr>
            </w:pPr>
            <w:r>
              <w:rPr>
                <w:noProof/>
              </w:rPr>
              <w:t>Negyedév</w:t>
            </w:r>
          </w:p>
        </w:tc>
        <w:tc>
          <w:tcPr>
            <w:tcW w:w="656" w:type="dxa"/>
            <w:shd w:val="clear" w:color="auto" w:fill="BDD6EE"/>
            <w:noWrap/>
            <w:vAlign w:val="center"/>
          </w:tcPr>
          <w:p w14:paraId="7E76EBEF" w14:textId="4358619F" w:rsidR="00DC5EC6" w:rsidRDefault="003245A4">
            <w:pPr>
              <w:pStyle w:val="P68B1DB1-Normal6"/>
              <w:spacing w:after="0" w:line="240" w:lineRule="auto"/>
              <w:jc w:val="center"/>
              <w:rPr>
                <w:rFonts w:ascii="Calibri" w:eastAsia="Times New Roman" w:hAnsi="Calibri" w:cs="Calibri"/>
                <w:noProof/>
                <w:sz w:val="16"/>
              </w:rPr>
            </w:pPr>
            <w:r>
              <w:rPr>
                <w:noProof/>
              </w:rPr>
              <w:t>Év</w:t>
            </w:r>
          </w:p>
        </w:tc>
        <w:tc>
          <w:tcPr>
            <w:tcW w:w="5456" w:type="dxa"/>
            <w:vMerge/>
            <w:noWrap/>
            <w:vAlign w:val="center"/>
          </w:tcPr>
          <w:p w14:paraId="33463114" w14:textId="77777777" w:rsidR="00DC5EC6" w:rsidRDefault="00DC5EC6">
            <w:pPr>
              <w:spacing w:after="0" w:line="240" w:lineRule="auto"/>
              <w:jc w:val="both"/>
              <w:rPr>
                <w:rFonts w:ascii="Calibri" w:eastAsia="Times New Roman" w:hAnsi="Calibri" w:cs="Calibri"/>
                <w:noProof/>
                <w:sz w:val="16"/>
              </w:rPr>
            </w:pPr>
          </w:p>
        </w:tc>
      </w:tr>
      <w:tr w:rsidR="00262911" w14:paraId="7694BA31" w14:textId="77777777">
        <w:trPr>
          <w:trHeight w:val="850"/>
        </w:trPr>
        <w:tc>
          <w:tcPr>
            <w:tcW w:w="1043" w:type="dxa"/>
            <w:gridSpan w:val="2"/>
            <w:shd w:val="clear" w:color="auto" w:fill="C4EFCE"/>
            <w:vAlign w:val="center"/>
            <w:hideMark/>
          </w:tcPr>
          <w:p w14:paraId="3E3FBA2E" w14:textId="77777777" w:rsidR="00262911" w:rsidRDefault="00262911" w:rsidP="00262911">
            <w:pPr>
              <w:pStyle w:val="P68B1DB1-Normal7"/>
              <w:spacing w:after="0" w:line="240" w:lineRule="auto"/>
              <w:jc w:val="center"/>
              <w:rPr>
                <w:rFonts w:eastAsia="Times New Roman" w:cs="Calibri"/>
                <w:noProof/>
              </w:rPr>
            </w:pPr>
            <w:r>
              <w:rPr>
                <w:noProof/>
              </w:rPr>
              <w:t>17.1</w:t>
            </w:r>
          </w:p>
        </w:tc>
        <w:tc>
          <w:tcPr>
            <w:tcW w:w="1161" w:type="dxa"/>
            <w:shd w:val="clear" w:color="auto" w:fill="C4EFCE"/>
            <w:noWrap/>
            <w:vAlign w:val="center"/>
            <w:hideMark/>
          </w:tcPr>
          <w:p w14:paraId="2DD63E92"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F2B21F0"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4C19ED3" w14:textId="77777777" w:rsidR="00262911" w:rsidRDefault="00262911" w:rsidP="00262911">
            <w:pPr>
              <w:pStyle w:val="P68B1DB1-Normal8"/>
              <w:spacing w:after="0" w:line="240" w:lineRule="auto"/>
              <w:jc w:val="center"/>
              <w:rPr>
                <w:rFonts w:eastAsia="Times New Roman" w:cs="Calibri"/>
                <w:noProof/>
              </w:rPr>
            </w:pPr>
            <w:r>
              <w:rPr>
                <w:noProof/>
              </w:rPr>
              <w:t>A nemzeti központi közbeszerzési rendszerre vonatkozó új közbeszerzési modellek tervezésének és végrehajtásának befejezése a megosztott közigazgatási szerv 2020–2023-as időszakra szóló stratégiai tervében foglaltaknak megfelelően</w:t>
            </w:r>
          </w:p>
        </w:tc>
        <w:tc>
          <w:tcPr>
            <w:tcW w:w="1356" w:type="dxa"/>
            <w:shd w:val="clear" w:color="auto" w:fill="C4EFCE"/>
            <w:noWrap/>
            <w:vAlign w:val="center"/>
            <w:hideMark/>
          </w:tcPr>
          <w:p w14:paraId="12F6C5B1"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200AE441"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5CE359FE"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190050F3" w14:textId="77777777" w:rsidR="00262911" w:rsidRDefault="00262911" w:rsidP="00262911">
            <w:pPr>
              <w:pStyle w:val="P68B1DB1-Normal8"/>
              <w:spacing w:after="0" w:line="240" w:lineRule="auto"/>
              <w:jc w:val="center"/>
              <w:rPr>
                <w:rFonts w:eastAsia="Times New Roman" w:cs="Calibri"/>
                <w:noProof/>
              </w:rPr>
            </w:pPr>
            <w:r>
              <w:rPr>
                <w:noProof/>
              </w:rPr>
              <w:t>10</w:t>
            </w:r>
          </w:p>
        </w:tc>
        <w:tc>
          <w:tcPr>
            <w:tcW w:w="530" w:type="dxa"/>
            <w:shd w:val="clear" w:color="auto" w:fill="C4EFCE"/>
            <w:noWrap/>
            <w:vAlign w:val="center"/>
            <w:hideMark/>
          </w:tcPr>
          <w:p w14:paraId="3C2E2E6E" w14:textId="55E79638"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52B7F59F"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7656AF6C" w14:textId="77777777" w:rsidR="00262911" w:rsidRDefault="00262911" w:rsidP="00262911">
            <w:pPr>
              <w:pStyle w:val="P68B1DB1-Normal8"/>
              <w:spacing w:after="0" w:line="240" w:lineRule="auto"/>
              <w:jc w:val="both"/>
              <w:rPr>
                <w:rFonts w:eastAsia="Times New Roman" w:cs="Calibri"/>
                <w:noProof/>
              </w:rPr>
            </w:pPr>
            <w:r>
              <w:rPr>
                <w:noProof/>
              </w:rPr>
              <w:t>A felülvizsgált keretmegállapodások és szerződéskötési modellek száma a következők érdekében: az adminisztráció egyszerűsítésének előmozdítása; a nyomonkövetési és ellenőrzési mechanizmusok megerősítése; előmozdítja a költséghatékonysággal és az ésszerűsítéssel kapcsolatos megfontolásokat; a központosított beszerzés tárgyát képező áruk és szolgáltatások jegyzékének kibővítése; és v. a belső és külső érdekelt felek közötti együttműködés előmozdítása.</w:t>
            </w:r>
          </w:p>
        </w:tc>
      </w:tr>
      <w:tr w:rsidR="00262911" w14:paraId="5D6E4B31" w14:textId="77777777">
        <w:trPr>
          <w:trHeight w:val="640"/>
        </w:trPr>
        <w:tc>
          <w:tcPr>
            <w:tcW w:w="1043" w:type="dxa"/>
            <w:gridSpan w:val="2"/>
            <w:shd w:val="clear" w:color="auto" w:fill="C4EFCE"/>
            <w:vAlign w:val="center"/>
            <w:hideMark/>
          </w:tcPr>
          <w:p w14:paraId="42B7E2A9" w14:textId="77777777" w:rsidR="00262911" w:rsidRDefault="00262911" w:rsidP="00262911">
            <w:pPr>
              <w:pStyle w:val="P68B1DB1-Normal7"/>
              <w:spacing w:after="0" w:line="240" w:lineRule="auto"/>
              <w:jc w:val="center"/>
              <w:rPr>
                <w:rFonts w:eastAsia="Times New Roman" w:cs="Calibri"/>
                <w:noProof/>
              </w:rPr>
            </w:pPr>
            <w:r>
              <w:rPr>
                <w:noProof/>
              </w:rPr>
              <w:t>17.2</w:t>
            </w:r>
          </w:p>
        </w:tc>
        <w:tc>
          <w:tcPr>
            <w:tcW w:w="1161" w:type="dxa"/>
            <w:shd w:val="clear" w:color="auto" w:fill="C4EFCE"/>
            <w:noWrap/>
            <w:vAlign w:val="center"/>
            <w:hideMark/>
          </w:tcPr>
          <w:p w14:paraId="237F46C9"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64CB5B3E"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8784BA3" w14:textId="77777777" w:rsidR="00262911" w:rsidRDefault="00262911" w:rsidP="00262911">
            <w:pPr>
              <w:pStyle w:val="P68B1DB1-Normal8"/>
              <w:spacing w:after="0" w:line="240" w:lineRule="auto"/>
              <w:jc w:val="center"/>
              <w:rPr>
                <w:rFonts w:eastAsia="Times New Roman" w:cs="Calibri"/>
                <w:noProof/>
              </w:rPr>
            </w:pPr>
            <w:r>
              <w:rPr>
                <w:noProof/>
              </w:rPr>
              <w:t>Az Állami Számviteli Szervezet alapjául szolgáló jogszabályok hatálybalépése</w:t>
            </w:r>
          </w:p>
        </w:tc>
        <w:tc>
          <w:tcPr>
            <w:tcW w:w="1356" w:type="dxa"/>
            <w:shd w:val="clear" w:color="auto" w:fill="C4EFCE"/>
            <w:noWrap/>
            <w:vAlign w:val="center"/>
            <w:hideMark/>
          </w:tcPr>
          <w:p w14:paraId="69FA9E8E" w14:textId="77777777" w:rsidR="00262911" w:rsidRDefault="00262911" w:rsidP="00262911">
            <w:pPr>
              <w:pStyle w:val="P68B1DB1-Normal8"/>
              <w:spacing w:after="0" w:line="240" w:lineRule="auto"/>
              <w:jc w:val="center"/>
              <w:rPr>
                <w:rFonts w:eastAsia="Times New Roman" w:cs="Calibri"/>
                <w:noProof/>
              </w:rPr>
            </w:pPr>
            <w:r>
              <w:rPr>
                <w:noProof/>
              </w:rPr>
              <w:t>Az Állami Számviteli Szervezet alapjául szolgáló jogszabályok hatálybalépése</w:t>
            </w:r>
          </w:p>
        </w:tc>
        <w:tc>
          <w:tcPr>
            <w:tcW w:w="909" w:type="dxa"/>
            <w:shd w:val="clear" w:color="auto" w:fill="C4EFCE"/>
            <w:noWrap/>
            <w:vAlign w:val="center"/>
            <w:hideMark/>
          </w:tcPr>
          <w:p w14:paraId="4EA18E78"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26E3661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7CD13C2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1FE7BCB" w14:textId="49A44925"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1ADFCE86"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1702B1DE" w14:textId="77777777" w:rsidR="00262911" w:rsidRDefault="00262911" w:rsidP="00262911">
            <w:pPr>
              <w:pStyle w:val="P68B1DB1-Normal8"/>
              <w:spacing w:after="0" w:line="240" w:lineRule="auto"/>
              <w:jc w:val="both"/>
              <w:rPr>
                <w:rFonts w:eastAsia="Times New Roman" w:cs="Calibri"/>
                <w:noProof/>
              </w:rPr>
            </w:pPr>
            <w:r>
              <w:rPr>
                <w:noProof/>
              </w:rPr>
              <w:t>A 2015. évi költségvetési kerettörvény 49. és 55. cikkével teljes összhangban másodlagos jogszabályok (és/vagy igazgatási iránymutatások) hatálybalépése annak szabályozására, hogy mely konkrét bevételi és kiadási tételek szerepeljenek az Állami Számviteli Szervezet költségvetésében.</w:t>
            </w:r>
          </w:p>
        </w:tc>
      </w:tr>
      <w:tr w:rsidR="00262911" w14:paraId="2670F13A" w14:textId="77777777">
        <w:trPr>
          <w:trHeight w:val="640"/>
        </w:trPr>
        <w:tc>
          <w:tcPr>
            <w:tcW w:w="1043" w:type="dxa"/>
            <w:gridSpan w:val="2"/>
            <w:shd w:val="clear" w:color="auto" w:fill="C4EFCE"/>
            <w:vAlign w:val="center"/>
            <w:hideMark/>
          </w:tcPr>
          <w:p w14:paraId="6B4783D2" w14:textId="77777777" w:rsidR="00262911" w:rsidRDefault="00262911" w:rsidP="00262911">
            <w:pPr>
              <w:pStyle w:val="P68B1DB1-Normal7"/>
              <w:spacing w:after="0" w:line="240" w:lineRule="auto"/>
              <w:jc w:val="center"/>
              <w:rPr>
                <w:rFonts w:eastAsia="Times New Roman" w:cs="Calibri"/>
                <w:noProof/>
              </w:rPr>
            </w:pPr>
            <w:r>
              <w:rPr>
                <w:noProof/>
              </w:rPr>
              <w:t>17.3</w:t>
            </w:r>
          </w:p>
        </w:tc>
        <w:tc>
          <w:tcPr>
            <w:tcW w:w="1161" w:type="dxa"/>
            <w:shd w:val="clear" w:color="auto" w:fill="C4EFCE"/>
            <w:noWrap/>
            <w:vAlign w:val="center"/>
            <w:hideMark/>
          </w:tcPr>
          <w:p w14:paraId="3198F425"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53DAF5CC"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148275" w14:textId="77777777" w:rsidR="00262911" w:rsidRDefault="00262911" w:rsidP="00262911">
            <w:pPr>
              <w:pStyle w:val="P68B1DB1-Normal8"/>
              <w:spacing w:after="0" w:line="240" w:lineRule="auto"/>
              <w:jc w:val="center"/>
              <w:rPr>
                <w:rFonts w:eastAsia="Times New Roman" w:cs="Calibri"/>
                <w:noProof/>
              </w:rPr>
            </w:pPr>
            <w:r>
              <w:rPr>
                <w:noProof/>
              </w:rPr>
              <w:t>Az államháztartás költségvetésének és pénzügyi végrehajtásának nyomon követésére szolgáló minta kitöltése és jóváhagyása</w:t>
            </w:r>
          </w:p>
        </w:tc>
        <w:tc>
          <w:tcPr>
            <w:tcW w:w="1356" w:type="dxa"/>
            <w:shd w:val="clear" w:color="auto" w:fill="C4EFCE"/>
            <w:noWrap/>
            <w:vAlign w:val="center"/>
            <w:hideMark/>
          </w:tcPr>
          <w:p w14:paraId="37DD72D5" w14:textId="77777777" w:rsidR="00262911" w:rsidRDefault="00262911" w:rsidP="00262911">
            <w:pPr>
              <w:pStyle w:val="P68B1DB1-Normal8"/>
              <w:spacing w:after="0" w:line="240" w:lineRule="auto"/>
              <w:jc w:val="center"/>
              <w:rPr>
                <w:rFonts w:eastAsia="Times New Roman" w:cs="Calibri"/>
                <w:noProof/>
              </w:rPr>
            </w:pPr>
            <w:r>
              <w:rPr>
                <w:noProof/>
              </w:rPr>
              <w:t>Az államháztartás költségvetésének és pénzügyi végrehajtásának nyomon követésére szolgáló minta kitöltése és jóváhagyása</w:t>
            </w:r>
          </w:p>
        </w:tc>
        <w:tc>
          <w:tcPr>
            <w:tcW w:w="909" w:type="dxa"/>
            <w:shd w:val="clear" w:color="auto" w:fill="C4EFCE"/>
            <w:noWrap/>
            <w:vAlign w:val="center"/>
            <w:hideMark/>
          </w:tcPr>
          <w:p w14:paraId="458B3549"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881E8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690878FC"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516481F" w14:textId="7E269A18"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42D9884E"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2E4EF746" w14:textId="77777777" w:rsidR="00262911" w:rsidRDefault="00262911" w:rsidP="00262911">
            <w:pPr>
              <w:pStyle w:val="P68B1DB1-Normal8"/>
              <w:spacing w:after="0" w:line="240" w:lineRule="auto"/>
              <w:jc w:val="both"/>
              <w:rPr>
                <w:rFonts w:eastAsia="Times New Roman" w:cs="Calibri"/>
                <w:noProof/>
              </w:rPr>
            </w:pPr>
            <w:r>
              <w:rPr>
                <w:noProof/>
              </w:rPr>
              <w:t xml:space="preserve">A 2015. évi költségvetési kerettörvény rendelkezéseinek és a közigazgatás eredményszemléletű számviteli standardjának teljes körű tiszteletben tartása mellett az államháztartás költségvetési és pénzügyi végrehajtásának ellenőrzésére és nyomon követésére szolgáló modell kiegészítése és a Pénzügyminisztérium általi jóváhagyása. </w:t>
            </w:r>
          </w:p>
        </w:tc>
      </w:tr>
      <w:tr w:rsidR="00262911" w14:paraId="5A197FDC" w14:textId="77777777">
        <w:trPr>
          <w:trHeight w:val="640"/>
        </w:trPr>
        <w:tc>
          <w:tcPr>
            <w:tcW w:w="1043" w:type="dxa"/>
            <w:gridSpan w:val="2"/>
            <w:shd w:val="clear" w:color="auto" w:fill="C4EFCE"/>
            <w:vAlign w:val="center"/>
            <w:hideMark/>
          </w:tcPr>
          <w:p w14:paraId="55E30BC5" w14:textId="77777777" w:rsidR="00262911" w:rsidRDefault="00262911" w:rsidP="00262911">
            <w:pPr>
              <w:pStyle w:val="P68B1DB1-Normal7"/>
              <w:spacing w:after="0" w:line="240" w:lineRule="auto"/>
              <w:jc w:val="center"/>
              <w:rPr>
                <w:rFonts w:eastAsia="Times New Roman" w:cs="Calibri"/>
                <w:noProof/>
              </w:rPr>
            </w:pPr>
            <w:r>
              <w:rPr>
                <w:noProof/>
              </w:rPr>
              <w:t>17.4</w:t>
            </w:r>
          </w:p>
        </w:tc>
        <w:tc>
          <w:tcPr>
            <w:tcW w:w="1161" w:type="dxa"/>
            <w:shd w:val="clear" w:color="auto" w:fill="C4EFCE"/>
            <w:noWrap/>
            <w:vAlign w:val="center"/>
            <w:hideMark/>
          </w:tcPr>
          <w:p w14:paraId="02476C45"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09115588"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90AFA4D" w14:textId="77777777" w:rsidR="00262911" w:rsidRDefault="00262911" w:rsidP="00262911">
            <w:pPr>
              <w:pStyle w:val="P68B1DB1-Normal8"/>
              <w:spacing w:after="0" w:line="240" w:lineRule="auto"/>
              <w:jc w:val="center"/>
              <w:rPr>
                <w:rFonts w:eastAsia="Times New Roman" w:cs="Calibri"/>
                <w:noProof/>
              </w:rPr>
            </w:pPr>
            <w:r>
              <w:rPr>
                <w:noProof/>
              </w:rPr>
              <w:t>A programköltségvetés költségszámítási modelljének elfogadása</w:t>
            </w:r>
          </w:p>
        </w:tc>
        <w:tc>
          <w:tcPr>
            <w:tcW w:w="1356" w:type="dxa"/>
            <w:shd w:val="clear" w:color="auto" w:fill="C4EFCE"/>
            <w:noWrap/>
            <w:vAlign w:val="center"/>
            <w:hideMark/>
          </w:tcPr>
          <w:p w14:paraId="35316023" w14:textId="77777777" w:rsidR="00262911" w:rsidRDefault="00262911" w:rsidP="00262911">
            <w:pPr>
              <w:pStyle w:val="P68B1DB1-Normal8"/>
              <w:spacing w:after="0" w:line="240" w:lineRule="auto"/>
              <w:jc w:val="center"/>
              <w:rPr>
                <w:rFonts w:eastAsia="Times New Roman" w:cs="Calibri"/>
                <w:noProof/>
              </w:rPr>
            </w:pPr>
            <w:r>
              <w:rPr>
                <w:noProof/>
              </w:rPr>
              <w:t>A program költségvetés-tervezés költségszámítási modelljére vonatkozó jogszabályok elfogadása</w:t>
            </w:r>
          </w:p>
        </w:tc>
        <w:tc>
          <w:tcPr>
            <w:tcW w:w="909" w:type="dxa"/>
            <w:shd w:val="clear" w:color="auto" w:fill="C4EFCE"/>
            <w:noWrap/>
            <w:vAlign w:val="center"/>
            <w:hideMark/>
          </w:tcPr>
          <w:p w14:paraId="4241F94E"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805EFF6"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6D3AD47"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51AB287A" w14:textId="0B4ADE69"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2E3CA631"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67C05F6B" w14:textId="31DDD4CA" w:rsidR="00262911" w:rsidRDefault="00262911" w:rsidP="00262911">
            <w:pPr>
              <w:pStyle w:val="P68B1DB1-Normal8"/>
              <w:spacing w:after="0" w:line="240" w:lineRule="auto"/>
              <w:jc w:val="both"/>
              <w:rPr>
                <w:rFonts w:eastAsia="Times New Roman" w:cs="Calibri"/>
                <w:noProof/>
              </w:rPr>
            </w:pPr>
            <w:r>
              <w:rPr>
                <w:noProof/>
              </w:rPr>
              <w:t>Másodlagos jogszabályok (és/vagy igazgatási iránymutatások) elfogadása az egyes költségvetési programok és közpolitikák tekintetében meghatározott teljesítményalapú mutatók költségszámítására és az azoknak való megfelelés nyomon követésére vonatkozó elvek megállapítása céljából, azzal a céllal, hogy azok 2027 I. negyedévéig hatályba lépjenek.</w:t>
            </w:r>
          </w:p>
        </w:tc>
      </w:tr>
      <w:tr w:rsidR="00262911" w14:paraId="38313B89" w14:textId="77777777">
        <w:trPr>
          <w:trHeight w:val="420"/>
        </w:trPr>
        <w:tc>
          <w:tcPr>
            <w:tcW w:w="1043" w:type="dxa"/>
            <w:gridSpan w:val="2"/>
            <w:shd w:val="clear" w:color="auto" w:fill="C4EFCE"/>
            <w:vAlign w:val="center"/>
            <w:hideMark/>
          </w:tcPr>
          <w:p w14:paraId="1F4AFBA8" w14:textId="77777777" w:rsidR="00262911" w:rsidRDefault="00262911" w:rsidP="00262911">
            <w:pPr>
              <w:pStyle w:val="P68B1DB1-Normal7"/>
              <w:spacing w:after="0" w:line="240" w:lineRule="auto"/>
              <w:jc w:val="center"/>
              <w:rPr>
                <w:rFonts w:eastAsia="Times New Roman" w:cs="Calibri"/>
                <w:noProof/>
              </w:rPr>
            </w:pPr>
            <w:r>
              <w:rPr>
                <w:noProof/>
              </w:rPr>
              <w:t>17.5</w:t>
            </w:r>
          </w:p>
        </w:tc>
        <w:tc>
          <w:tcPr>
            <w:tcW w:w="1161" w:type="dxa"/>
            <w:shd w:val="clear" w:color="auto" w:fill="C4EFCE"/>
            <w:noWrap/>
            <w:vAlign w:val="center"/>
            <w:hideMark/>
          </w:tcPr>
          <w:p w14:paraId="1AA5229E"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C2DBEEB"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2022E11" w14:textId="77777777" w:rsidR="00262911" w:rsidRDefault="00262911" w:rsidP="00262911">
            <w:pPr>
              <w:pStyle w:val="P68B1DB1-Normal8"/>
              <w:spacing w:after="0" w:line="240" w:lineRule="auto"/>
              <w:jc w:val="center"/>
              <w:rPr>
                <w:rFonts w:eastAsia="Times New Roman" w:cs="Calibri"/>
                <w:noProof/>
              </w:rPr>
            </w:pPr>
            <w:r>
              <w:rPr>
                <w:noProof/>
              </w:rPr>
              <w:t>A kiadások felülvizsgálatának a rendes költségvetési folyamatba való integrálására szolgáló mechanizmusok végrehajtása, beleértve a hatékonysági megtakarítások utólagos értékelését is</w:t>
            </w:r>
          </w:p>
        </w:tc>
        <w:tc>
          <w:tcPr>
            <w:tcW w:w="1356" w:type="dxa"/>
            <w:shd w:val="clear" w:color="auto" w:fill="C4EFCE"/>
            <w:noWrap/>
            <w:vAlign w:val="center"/>
            <w:hideMark/>
          </w:tcPr>
          <w:p w14:paraId="78ADFCD7" w14:textId="77777777" w:rsidR="00262911" w:rsidRDefault="00262911" w:rsidP="00262911">
            <w:pPr>
              <w:pStyle w:val="P68B1DB1-Normal8"/>
              <w:spacing w:after="0" w:line="240" w:lineRule="auto"/>
              <w:jc w:val="center"/>
              <w:rPr>
                <w:rFonts w:eastAsia="Times New Roman" w:cs="Calibri"/>
                <w:noProof/>
              </w:rPr>
            </w:pPr>
            <w:r>
              <w:rPr>
                <w:noProof/>
              </w:rPr>
              <w:t>Jelentés a kiadások felülvizsgálatának a rendes költségvetési folyamatba való integrálásáról és azok utólagos értékeléséről</w:t>
            </w:r>
          </w:p>
        </w:tc>
        <w:tc>
          <w:tcPr>
            <w:tcW w:w="909" w:type="dxa"/>
            <w:shd w:val="clear" w:color="auto" w:fill="C4EFCE"/>
            <w:noWrap/>
            <w:vAlign w:val="center"/>
            <w:hideMark/>
          </w:tcPr>
          <w:p w14:paraId="45C9CCED" w14:textId="5C00014C" w:rsidR="00262911" w:rsidRDefault="00262911" w:rsidP="00262911">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69C76DA5" w14:textId="073E9F9F" w:rsidR="00262911" w:rsidRDefault="00262911" w:rsidP="00262911">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22C65312" w14:textId="087E5688" w:rsidR="00262911" w:rsidRDefault="00262911" w:rsidP="00262911">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2D6DA43E" w14:textId="1B83913C"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6242BC08" w14:textId="77777777" w:rsidR="00262911" w:rsidRDefault="00262911" w:rsidP="0026291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ADBED7B" w14:textId="14A7F5C0" w:rsidR="00262911" w:rsidRDefault="00262911" w:rsidP="00262911">
            <w:pPr>
              <w:pStyle w:val="P68B1DB1-Normal8"/>
              <w:spacing w:after="0" w:line="240" w:lineRule="auto"/>
              <w:jc w:val="both"/>
              <w:rPr>
                <w:rFonts w:eastAsia="Times New Roman" w:cs="Calibri"/>
                <w:noProof/>
              </w:rPr>
            </w:pPr>
            <w:r>
              <w:rPr>
                <w:noProof/>
              </w:rPr>
              <w:t xml:space="preserve">A kiadások felülvizsgálatához strukturális és intézményi keretet kell kidolgozni annak érdekében, hogy azokat teljes mértékben integrálják az éves költségvetési folyamatba és Portugália középtávú költségvetési keretébe. </w:t>
            </w:r>
          </w:p>
          <w:p w14:paraId="0D6B1F45" w14:textId="62498E10" w:rsidR="00262911" w:rsidRDefault="00262911" w:rsidP="00262911">
            <w:pPr>
              <w:pStyle w:val="P68B1DB1-Normal8"/>
              <w:spacing w:after="0" w:line="240" w:lineRule="auto"/>
              <w:jc w:val="both"/>
              <w:rPr>
                <w:rFonts w:eastAsia="Times New Roman" w:cs="Calibri"/>
                <w:noProof/>
              </w:rPr>
            </w:pPr>
            <w:r>
              <w:rPr>
                <w:noProof/>
              </w:rPr>
              <w:t>A folyamat magában foglalja a diagnózist, a megoldások kialakítását és egy olyan modell meghatározását, amely lehetővé teszi a közszolgáltatások nyújtása terén a hatékonyság növelését, a kiadások felülvizsgálatának az államháztartás további ágazataira való kiterjesztésének előmozdítását, valamint a digitális és zöld átálláshoz szükséges forrásoknak a hatékonyság növelése révén történő felszabadítását.</w:t>
            </w:r>
          </w:p>
          <w:p w14:paraId="3534731F" w14:textId="619B412E" w:rsidR="00262911" w:rsidRDefault="00262911" w:rsidP="00262911">
            <w:pPr>
              <w:pStyle w:val="P68B1DB1-Normal8"/>
              <w:spacing w:after="0" w:line="240" w:lineRule="auto"/>
              <w:jc w:val="both"/>
              <w:rPr>
                <w:rFonts w:eastAsia="Times New Roman" w:cs="Calibri"/>
                <w:noProof/>
              </w:rPr>
            </w:pPr>
            <w:r>
              <w:rPr>
                <w:noProof/>
              </w:rPr>
              <w:t>Amellett, hogy a kiadások felülvizsgálatát beépítik az éves költségvetési folyamatba, hatékony éves utólagos értékeléseknek kell alávetni, hogy megbizonyosodjanak az elért hatékonyságnövekedésről. Ez magában foglalhatja a megosztott szolgáltatások nagyobb mértékű igénybevételét és a technológiai platformok és közös erőforrások használatán alapuló központosított közbeszerzést.</w:t>
            </w:r>
          </w:p>
        </w:tc>
      </w:tr>
      <w:tr w:rsidR="00262911" w14:paraId="621F6AC1" w14:textId="77777777">
        <w:trPr>
          <w:trHeight w:val="640"/>
        </w:trPr>
        <w:tc>
          <w:tcPr>
            <w:tcW w:w="1043" w:type="dxa"/>
            <w:gridSpan w:val="2"/>
            <w:shd w:val="clear" w:color="auto" w:fill="C4EFCE"/>
            <w:vAlign w:val="center"/>
            <w:hideMark/>
          </w:tcPr>
          <w:p w14:paraId="47662CD7" w14:textId="77777777" w:rsidR="00262911" w:rsidRDefault="00262911" w:rsidP="00262911">
            <w:pPr>
              <w:pStyle w:val="P68B1DB1-Normal7"/>
              <w:spacing w:after="0" w:line="240" w:lineRule="auto"/>
              <w:jc w:val="center"/>
              <w:rPr>
                <w:rFonts w:eastAsia="Times New Roman" w:cs="Calibri"/>
                <w:noProof/>
              </w:rPr>
            </w:pPr>
            <w:r>
              <w:rPr>
                <w:noProof/>
              </w:rPr>
              <w:t>17.6</w:t>
            </w:r>
          </w:p>
        </w:tc>
        <w:tc>
          <w:tcPr>
            <w:tcW w:w="1161" w:type="dxa"/>
            <w:shd w:val="clear" w:color="auto" w:fill="C4EFCE"/>
            <w:noWrap/>
            <w:vAlign w:val="center"/>
            <w:hideMark/>
          </w:tcPr>
          <w:p w14:paraId="35D30780"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7BD399B4"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FBC9748" w14:textId="77777777" w:rsidR="00262911" w:rsidRDefault="00262911" w:rsidP="00262911">
            <w:pPr>
              <w:pStyle w:val="P68B1DB1-Normal8"/>
              <w:spacing w:after="0" w:line="240" w:lineRule="auto"/>
              <w:jc w:val="center"/>
              <w:rPr>
                <w:rFonts w:eastAsia="Times New Roman" w:cs="Calibri"/>
                <w:noProof/>
              </w:rPr>
            </w:pPr>
            <w:r>
              <w:rPr>
                <w:noProof/>
              </w:rPr>
              <w:t>Az új üzemeltetési szerződésminta hatálybalépése az állami tulajdonú vállalatok irányítására vonatkozó új ösztönző/szankciós rendszer keretében</w:t>
            </w:r>
          </w:p>
        </w:tc>
        <w:tc>
          <w:tcPr>
            <w:tcW w:w="1356" w:type="dxa"/>
            <w:shd w:val="clear" w:color="auto" w:fill="C4EFCE"/>
            <w:noWrap/>
            <w:vAlign w:val="center"/>
            <w:hideMark/>
          </w:tcPr>
          <w:p w14:paraId="01049FF8" w14:textId="77777777" w:rsidR="00262911" w:rsidRDefault="00262911" w:rsidP="00262911">
            <w:pPr>
              <w:pStyle w:val="P68B1DB1-Normal8"/>
              <w:spacing w:after="0" w:line="240" w:lineRule="auto"/>
              <w:jc w:val="center"/>
              <w:rPr>
                <w:rFonts w:eastAsia="Times New Roman" w:cs="Calibri"/>
                <w:noProof/>
              </w:rPr>
            </w:pPr>
            <w:r>
              <w:rPr>
                <w:noProof/>
              </w:rPr>
              <w:t>Az új üzemeltetési szerződéssablon hatálybalépése</w:t>
            </w:r>
          </w:p>
        </w:tc>
        <w:tc>
          <w:tcPr>
            <w:tcW w:w="909" w:type="dxa"/>
            <w:shd w:val="clear" w:color="auto" w:fill="C4EFCE"/>
            <w:noWrap/>
            <w:vAlign w:val="center"/>
            <w:hideMark/>
          </w:tcPr>
          <w:p w14:paraId="2979957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86865DA"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8183D31"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74F04CA0" w14:textId="2FEE74AF"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41B88F6F" w14:textId="77777777" w:rsidR="00262911" w:rsidRDefault="00262911" w:rsidP="00262911">
            <w:pPr>
              <w:pStyle w:val="P68B1DB1-Normal8"/>
              <w:spacing w:after="0" w:line="240" w:lineRule="auto"/>
              <w:jc w:val="center"/>
              <w:rPr>
                <w:rFonts w:eastAsia="Times New Roman" w:cs="Calibri"/>
                <w:noProof/>
              </w:rPr>
            </w:pPr>
            <w:r>
              <w:rPr>
                <w:noProof/>
              </w:rPr>
              <w:t>2021</w:t>
            </w:r>
          </w:p>
        </w:tc>
        <w:tc>
          <w:tcPr>
            <w:tcW w:w="5456" w:type="dxa"/>
            <w:shd w:val="clear" w:color="auto" w:fill="C4EFCE"/>
            <w:noWrap/>
            <w:vAlign w:val="center"/>
            <w:hideMark/>
          </w:tcPr>
          <w:p w14:paraId="60637229" w14:textId="77777777" w:rsidR="00262911" w:rsidRDefault="00262911" w:rsidP="00262911">
            <w:pPr>
              <w:pStyle w:val="P68B1DB1-Normal8"/>
              <w:spacing w:after="0" w:line="240" w:lineRule="auto"/>
              <w:jc w:val="both"/>
              <w:rPr>
                <w:rFonts w:eastAsia="Times New Roman" w:cs="Calibri"/>
                <w:noProof/>
              </w:rPr>
            </w:pPr>
            <w:r>
              <w:rPr>
                <w:noProof/>
              </w:rPr>
              <w:t>Hatályba lép az állami tulajdonú vállalatok igazgatótanácsába kinevezett állami vezetőkkel kötendő új irányítási szerződésminta annak érdekében, hogy a teljesítményorientált ösztönzők/szankciók új rendszere révén növekedjen a felelősség és az elszámoltathatóság az állami források kezelése terén.</w:t>
            </w:r>
          </w:p>
        </w:tc>
      </w:tr>
      <w:tr w:rsidR="00262911" w14:paraId="05E11610" w14:textId="77777777">
        <w:trPr>
          <w:trHeight w:val="640"/>
        </w:trPr>
        <w:tc>
          <w:tcPr>
            <w:tcW w:w="1043" w:type="dxa"/>
            <w:gridSpan w:val="2"/>
            <w:shd w:val="clear" w:color="auto" w:fill="C4EFCE"/>
            <w:vAlign w:val="center"/>
            <w:hideMark/>
          </w:tcPr>
          <w:p w14:paraId="6A4F627A" w14:textId="77777777" w:rsidR="00262911" w:rsidRDefault="00262911" w:rsidP="00262911">
            <w:pPr>
              <w:pStyle w:val="P68B1DB1-Normal7"/>
              <w:spacing w:after="0" w:line="240" w:lineRule="auto"/>
              <w:jc w:val="center"/>
              <w:rPr>
                <w:rFonts w:eastAsia="Times New Roman" w:cs="Calibri"/>
                <w:noProof/>
              </w:rPr>
            </w:pPr>
            <w:r>
              <w:rPr>
                <w:noProof/>
              </w:rPr>
              <w:t>17.7</w:t>
            </w:r>
          </w:p>
        </w:tc>
        <w:tc>
          <w:tcPr>
            <w:tcW w:w="1161" w:type="dxa"/>
            <w:shd w:val="clear" w:color="auto" w:fill="C4EFCE"/>
            <w:noWrap/>
            <w:vAlign w:val="center"/>
            <w:hideMark/>
          </w:tcPr>
          <w:p w14:paraId="0281BF89"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469D9CBF"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27932B26" w14:textId="77777777" w:rsidR="00262911" w:rsidRDefault="00262911" w:rsidP="00262911">
            <w:pPr>
              <w:pStyle w:val="P68B1DB1-Normal8"/>
              <w:spacing w:after="0" w:line="240" w:lineRule="auto"/>
              <w:jc w:val="center"/>
              <w:rPr>
                <w:rFonts w:eastAsia="Times New Roman" w:cs="Calibri"/>
                <w:noProof/>
              </w:rPr>
            </w:pPr>
            <w:r>
              <w:rPr>
                <w:noProof/>
              </w:rPr>
              <w:t>Az állami tulajdonú vállalatok pénzügyi helyzetének és teljesítményének elemzésére és közzétételére szolgáló új modell hatálybalépése</w:t>
            </w:r>
          </w:p>
        </w:tc>
        <w:tc>
          <w:tcPr>
            <w:tcW w:w="1356" w:type="dxa"/>
            <w:shd w:val="clear" w:color="auto" w:fill="C4EFCE"/>
            <w:noWrap/>
            <w:vAlign w:val="center"/>
            <w:hideMark/>
          </w:tcPr>
          <w:p w14:paraId="53EB2087" w14:textId="77777777" w:rsidR="00262911" w:rsidRDefault="00262911" w:rsidP="00262911">
            <w:pPr>
              <w:pStyle w:val="P68B1DB1-Normal8"/>
              <w:spacing w:after="0" w:line="240" w:lineRule="auto"/>
              <w:jc w:val="center"/>
              <w:rPr>
                <w:rFonts w:eastAsia="Times New Roman" w:cs="Calibri"/>
                <w:noProof/>
              </w:rPr>
            </w:pPr>
            <w:r>
              <w:rPr>
                <w:noProof/>
              </w:rPr>
              <w:t>Az állami tulajdonú vállalatok pénzügyi helyzetét és teljesítményét részletező új jelentés hatálybalépése</w:t>
            </w:r>
          </w:p>
        </w:tc>
        <w:tc>
          <w:tcPr>
            <w:tcW w:w="909" w:type="dxa"/>
            <w:shd w:val="clear" w:color="auto" w:fill="C4EFCE"/>
            <w:noWrap/>
            <w:vAlign w:val="center"/>
            <w:hideMark/>
          </w:tcPr>
          <w:p w14:paraId="7E4BBF12"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3AEE0230"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57D6AD99"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1CEAF54" w14:textId="6BEBCC74"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5129272B" w14:textId="77777777" w:rsidR="00262911" w:rsidRDefault="00262911" w:rsidP="0026291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32D08DEA" w14:textId="77777777" w:rsidR="00262911" w:rsidRDefault="00262911" w:rsidP="00262911">
            <w:pPr>
              <w:pStyle w:val="P68B1DB1-Normal8"/>
              <w:spacing w:after="0" w:line="240" w:lineRule="auto"/>
              <w:jc w:val="both"/>
              <w:rPr>
                <w:rFonts w:eastAsia="Times New Roman" w:cs="Calibri"/>
                <w:noProof/>
              </w:rPr>
            </w:pPr>
            <w:r>
              <w:rPr>
                <w:noProof/>
              </w:rPr>
              <w:t>Az állami tulajdonú vállalatok pénzügyi helyzetét és teljesítményét rendszeresen és időben részletező új jelentés hatálybalépése, amely magában foglalja az állami tulajdonú vállalatok új információs rendszerén keresztül gyűjtött pénzügyi adatokat.</w:t>
            </w:r>
          </w:p>
        </w:tc>
      </w:tr>
      <w:tr w:rsidR="00262911" w14:paraId="67B2B5AF" w14:textId="77777777">
        <w:trPr>
          <w:trHeight w:val="1060"/>
        </w:trPr>
        <w:tc>
          <w:tcPr>
            <w:tcW w:w="1043" w:type="dxa"/>
            <w:gridSpan w:val="2"/>
            <w:shd w:val="clear" w:color="auto" w:fill="C4EFCE"/>
            <w:vAlign w:val="center"/>
            <w:hideMark/>
          </w:tcPr>
          <w:p w14:paraId="2718254D" w14:textId="77777777" w:rsidR="00262911" w:rsidRDefault="00262911" w:rsidP="00262911">
            <w:pPr>
              <w:pStyle w:val="P68B1DB1-Normal7"/>
              <w:spacing w:after="0" w:line="240" w:lineRule="auto"/>
              <w:jc w:val="center"/>
              <w:rPr>
                <w:rFonts w:eastAsia="Times New Roman" w:cs="Calibri"/>
                <w:noProof/>
              </w:rPr>
            </w:pPr>
            <w:r>
              <w:rPr>
                <w:noProof/>
              </w:rPr>
              <w:t>17.8</w:t>
            </w:r>
          </w:p>
        </w:tc>
        <w:tc>
          <w:tcPr>
            <w:tcW w:w="1161" w:type="dxa"/>
            <w:shd w:val="clear" w:color="auto" w:fill="C4EFCE"/>
            <w:noWrap/>
            <w:vAlign w:val="center"/>
            <w:hideMark/>
          </w:tcPr>
          <w:p w14:paraId="645BCB5E" w14:textId="77777777" w:rsidR="00262911" w:rsidRDefault="00262911" w:rsidP="00262911">
            <w:pPr>
              <w:pStyle w:val="P68B1DB1-Normal8"/>
              <w:spacing w:after="0" w:line="240" w:lineRule="auto"/>
              <w:jc w:val="center"/>
              <w:rPr>
                <w:rFonts w:eastAsia="Times New Roman" w:cs="Calibri"/>
                <w:noProof/>
              </w:rPr>
            </w:pPr>
            <w:r>
              <w:rPr>
                <w:noProof/>
              </w:rPr>
              <w:t>TD-C17-r32</w:t>
            </w:r>
          </w:p>
        </w:tc>
        <w:tc>
          <w:tcPr>
            <w:tcW w:w="1034" w:type="dxa"/>
            <w:shd w:val="clear" w:color="auto" w:fill="C4EFCE"/>
            <w:noWrap/>
            <w:vAlign w:val="center"/>
            <w:hideMark/>
          </w:tcPr>
          <w:p w14:paraId="3095D188"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7E9415F6" w14:textId="77777777" w:rsidR="00262911" w:rsidRDefault="00262911" w:rsidP="00262911">
            <w:pPr>
              <w:pStyle w:val="P68B1DB1-Normal8"/>
              <w:spacing w:after="0" w:line="240" w:lineRule="auto"/>
              <w:jc w:val="center"/>
              <w:rPr>
                <w:rFonts w:eastAsia="Times New Roman" w:cs="Calibri"/>
                <w:noProof/>
              </w:rPr>
            </w:pPr>
            <w:r>
              <w:rPr>
                <w:noProof/>
              </w:rPr>
              <w:t>A pénzügyminiszter és az illetékes miniszter(ek) által következetesen jóváhagyott állami tulajdonú vállalatok költségvetési és tevékenységi terveinek száma</w:t>
            </w:r>
          </w:p>
        </w:tc>
        <w:tc>
          <w:tcPr>
            <w:tcW w:w="1356" w:type="dxa"/>
            <w:shd w:val="clear" w:color="auto" w:fill="C4EFCE"/>
            <w:noWrap/>
            <w:vAlign w:val="center"/>
            <w:hideMark/>
          </w:tcPr>
          <w:p w14:paraId="121B6A1E"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40C2BC2B"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09B98B1A" w14:textId="77777777" w:rsidR="00262911" w:rsidRDefault="00262911" w:rsidP="00262911">
            <w:pPr>
              <w:pStyle w:val="P68B1DB1-Normal8"/>
              <w:spacing w:after="0" w:line="240" w:lineRule="auto"/>
              <w:jc w:val="center"/>
              <w:rPr>
                <w:rFonts w:eastAsia="Times New Roman" w:cs="Calibri"/>
                <w:noProof/>
              </w:rPr>
            </w:pPr>
            <w:r>
              <w:rPr>
                <w:noProof/>
              </w:rPr>
              <w:t>74</w:t>
            </w:r>
          </w:p>
        </w:tc>
        <w:tc>
          <w:tcPr>
            <w:tcW w:w="657" w:type="dxa"/>
            <w:shd w:val="clear" w:color="auto" w:fill="C4EFCE"/>
            <w:noWrap/>
            <w:vAlign w:val="center"/>
            <w:hideMark/>
          </w:tcPr>
          <w:p w14:paraId="2E1A10E1" w14:textId="77777777" w:rsidR="00262911" w:rsidRDefault="00262911" w:rsidP="00262911">
            <w:pPr>
              <w:pStyle w:val="P68B1DB1-Normal8"/>
              <w:spacing w:after="0" w:line="240" w:lineRule="auto"/>
              <w:jc w:val="center"/>
              <w:rPr>
                <w:rFonts w:eastAsia="Times New Roman" w:cs="Calibri"/>
                <w:noProof/>
              </w:rPr>
            </w:pPr>
            <w:r>
              <w:rPr>
                <w:noProof/>
              </w:rPr>
              <w:t>136</w:t>
            </w:r>
          </w:p>
        </w:tc>
        <w:tc>
          <w:tcPr>
            <w:tcW w:w="530" w:type="dxa"/>
            <w:shd w:val="clear" w:color="auto" w:fill="C4EFCE"/>
            <w:noWrap/>
            <w:vAlign w:val="center"/>
            <w:hideMark/>
          </w:tcPr>
          <w:p w14:paraId="39065690" w14:textId="1FA3CFB2"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4333AF73"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0DEA027" w14:textId="77777777" w:rsidR="00262911" w:rsidRDefault="00262911" w:rsidP="00262911">
            <w:pPr>
              <w:pStyle w:val="P68B1DB1-Normal8"/>
              <w:spacing w:after="0" w:line="240" w:lineRule="auto"/>
              <w:jc w:val="both"/>
              <w:rPr>
                <w:rFonts w:eastAsia="Times New Roman" w:cs="Calibri"/>
                <w:noProof/>
              </w:rPr>
            </w:pPr>
            <w:r>
              <w:rPr>
                <w:noProof/>
              </w:rPr>
              <w:t>Időben értékelje az állami tulajdonú vállalatok költségvetését és tevékenységi terveit. Ezek olyan hároméves stratégiai irányítási tervek, amelyekben az állami tulajdonú vállalatok meghatározzák a pénzügyminiszterrel és az érintett miniszterrel (miniszterekkel) fő cselekvési irányvonalaikat, szolgáltatási portfóliójukat, emberi erőforrásaikat, beruházási tervüket, támogatási tevékenységi szintjüket és hároméves időszakra szóló gazdasági-pénzügyi kimutatásukat, valamint ismertetik a hatékonyságot és a termelékenységnövekedést, amely közép- és hosszú távon biztosítja pénzügyi fenntarthatóságukat.</w:t>
            </w:r>
          </w:p>
        </w:tc>
      </w:tr>
      <w:tr w:rsidR="00C009B1" w14:paraId="17BCAA4C" w14:textId="77777777">
        <w:trPr>
          <w:trHeight w:val="430"/>
        </w:trPr>
        <w:tc>
          <w:tcPr>
            <w:tcW w:w="1043" w:type="dxa"/>
            <w:gridSpan w:val="2"/>
            <w:shd w:val="clear" w:color="auto" w:fill="C4EFCE"/>
            <w:vAlign w:val="center"/>
            <w:hideMark/>
          </w:tcPr>
          <w:p w14:paraId="4DF0D948" w14:textId="41156502" w:rsidR="00C009B1" w:rsidRDefault="00C009B1" w:rsidP="00C009B1">
            <w:pPr>
              <w:pStyle w:val="P68B1DB1-Normal7"/>
              <w:spacing w:after="0" w:line="240" w:lineRule="auto"/>
              <w:jc w:val="center"/>
              <w:rPr>
                <w:rFonts w:eastAsia="Times New Roman" w:cs="Calibri"/>
                <w:noProof/>
              </w:rPr>
            </w:pPr>
            <w:r>
              <w:rPr>
                <w:noProof/>
              </w:rPr>
              <w:t>17.9</w:t>
            </w:r>
          </w:p>
        </w:tc>
        <w:tc>
          <w:tcPr>
            <w:tcW w:w="1161" w:type="dxa"/>
            <w:shd w:val="clear" w:color="auto" w:fill="C4EFCE"/>
            <w:noWrap/>
            <w:vAlign w:val="center"/>
            <w:hideMark/>
          </w:tcPr>
          <w:p w14:paraId="2BCC8FC6" w14:textId="77777777" w:rsidR="00C009B1" w:rsidRDefault="00C009B1" w:rsidP="00C009B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1B478FE"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63928ED9" w14:textId="77777777" w:rsidR="00C009B1" w:rsidRDefault="00C009B1" w:rsidP="00C009B1">
            <w:pPr>
              <w:pStyle w:val="P68B1DB1-Normal8"/>
              <w:spacing w:after="0" w:line="240" w:lineRule="auto"/>
              <w:jc w:val="center"/>
              <w:rPr>
                <w:rFonts w:eastAsia="Times New Roman" w:cs="Calibri"/>
                <w:noProof/>
              </w:rPr>
            </w:pPr>
            <w:r>
              <w:rPr>
                <w:noProof/>
              </w:rPr>
              <w:t>Az Állami Számviteli Szervezet végrehajtásának befejezése</w:t>
            </w:r>
          </w:p>
        </w:tc>
        <w:tc>
          <w:tcPr>
            <w:tcW w:w="1356" w:type="dxa"/>
            <w:shd w:val="clear" w:color="auto" w:fill="C4EFCE"/>
            <w:noWrap/>
            <w:vAlign w:val="center"/>
            <w:hideMark/>
          </w:tcPr>
          <w:p w14:paraId="087F0E3A" w14:textId="77777777" w:rsidR="00C009B1" w:rsidRDefault="00C009B1" w:rsidP="00C009B1">
            <w:pPr>
              <w:pStyle w:val="P68B1DB1-Normal8"/>
              <w:spacing w:after="0" w:line="240" w:lineRule="auto"/>
              <w:jc w:val="center"/>
              <w:rPr>
                <w:rFonts w:eastAsia="Times New Roman" w:cs="Calibri"/>
                <w:noProof/>
              </w:rPr>
            </w:pPr>
            <w:r>
              <w:rPr>
                <w:noProof/>
              </w:rPr>
              <w:t>Az Állami Számviteli Szervezet végrehajtásának befejezése</w:t>
            </w:r>
          </w:p>
        </w:tc>
        <w:tc>
          <w:tcPr>
            <w:tcW w:w="909" w:type="dxa"/>
            <w:shd w:val="clear" w:color="auto" w:fill="C4EFCE"/>
            <w:noWrap/>
            <w:vAlign w:val="center"/>
            <w:hideMark/>
          </w:tcPr>
          <w:p w14:paraId="0D51700F"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844B0A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E39381A"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42A23F4" w14:textId="3B32D254" w:rsidR="00C009B1" w:rsidRDefault="00C009B1" w:rsidP="00C009B1">
            <w:pPr>
              <w:pStyle w:val="P68B1DB1-Normal8"/>
              <w:spacing w:after="0" w:line="240" w:lineRule="auto"/>
              <w:jc w:val="center"/>
              <w:rPr>
                <w:rFonts w:eastAsia="Times New Roman" w:cs="Calibri"/>
                <w:noProof/>
              </w:rPr>
            </w:pPr>
            <w:r>
              <w:rPr>
                <w:noProof/>
              </w:rPr>
              <w:t>2. NEGYEDÉV</w:t>
            </w:r>
          </w:p>
        </w:tc>
        <w:tc>
          <w:tcPr>
            <w:tcW w:w="656" w:type="dxa"/>
            <w:shd w:val="clear" w:color="auto" w:fill="C4EFCE"/>
            <w:noWrap/>
            <w:vAlign w:val="center"/>
            <w:hideMark/>
          </w:tcPr>
          <w:p w14:paraId="5FB1E755" w14:textId="64553DDF" w:rsidR="00C009B1" w:rsidRDefault="00C009B1" w:rsidP="00C009B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4704A1B6" w14:textId="77777777" w:rsidR="00C009B1" w:rsidRDefault="00C009B1" w:rsidP="00C009B1">
            <w:pPr>
              <w:pStyle w:val="P68B1DB1-Normal8"/>
              <w:spacing w:after="0" w:line="240" w:lineRule="auto"/>
              <w:jc w:val="both"/>
              <w:rPr>
                <w:rFonts w:eastAsia="Times New Roman" w:cs="Calibri"/>
                <w:noProof/>
              </w:rPr>
            </w:pPr>
            <w:r>
              <w:rPr>
                <w:noProof/>
              </w:rPr>
              <w:t>Az állami számviteli szerv végrehajtásának befejezése a 2015. évi költségvetési kerettörvény 49. és 55. cikkével teljes összhangban.</w:t>
            </w:r>
          </w:p>
        </w:tc>
      </w:tr>
      <w:tr w:rsidR="00262911" w14:paraId="162E15E3" w14:textId="77777777">
        <w:trPr>
          <w:trHeight w:val="640"/>
        </w:trPr>
        <w:tc>
          <w:tcPr>
            <w:tcW w:w="1043" w:type="dxa"/>
            <w:gridSpan w:val="2"/>
            <w:shd w:val="clear" w:color="auto" w:fill="C4EFCE"/>
            <w:vAlign w:val="center"/>
            <w:hideMark/>
          </w:tcPr>
          <w:p w14:paraId="3BDDDDA8" w14:textId="77777777" w:rsidR="00262911" w:rsidRDefault="00262911" w:rsidP="00262911">
            <w:pPr>
              <w:pStyle w:val="P68B1DB1-Normal7"/>
              <w:spacing w:after="0" w:line="240" w:lineRule="auto"/>
              <w:jc w:val="center"/>
              <w:rPr>
                <w:rFonts w:eastAsia="Times New Roman" w:cs="Calibri"/>
                <w:noProof/>
              </w:rPr>
            </w:pPr>
            <w:r>
              <w:rPr>
                <w:noProof/>
              </w:rPr>
              <w:t>17.10</w:t>
            </w:r>
          </w:p>
        </w:tc>
        <w:tc>
          <w:tcPr>
            <w:tcW w:w="1161" w:type="dxa"/>
            <w:shd w:val="clear" w:color="auto" w:fill="C4EFCE"/>
            <w:noWrap/>
            <w:vAlign w:val="center"/>
            <w:hideMark/>
          </w:tcPr>
          <w:p w14:paraId="498D4AC6"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4C7A787A"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16CC567" w14:textId="77777777" w:rsidR="00262911" w:rsidRDefault="00262911" w:rsidP="00262911">
            <w:pPr>
              <w:pStyle w:val="P68B1DB1-Normal8"/>
              <w:spacing w:after="0" w:line="240" w:lineRule="auto"/>
              <w:jc w:val="center"/>
              <w:rPr>
                <w:rFonts w:eastAsia="Times New Roman" w:cs="Calibri"/>
                <w:noProof/>
              </w:rPr>
            </w:pPr>
            <w:r>
              <w:rPr>
                <w:noProof/>
              </w:rPr>
              <w:t>A költségvetési folyamat átalakítására és végrehajtására szolgáló információs rendszer működésbe lépése, amely magában foglalja a programok költségvetés-tervezését</w:t>
            </w:r>
          </w:p>
        </w:tc>
        <w:tc>
          <w:tcPr>
            <w:tcW w:w="1356" w:type="dxa"/>
            <w:shd w:val="clear" w:color="auto" w:fill="C4EFCE"/>
            <w:noWrap/>
            <w:vAlign w:val="center"/>
            <w:hideMark/>
          </w:tcPr>
          <w:p w14:paraId="14DDB52C" w14:textId="77777777" w:rsidR="00262911" w:rsidRDefault="00262911" w:rsidP="00262911">
            <w:pPr>
              <w:pStyle w:val="P68B1DB1-Normal8"/>
              <w:spacing w:after="0" w:line="240" w:lineRule="auto"/>
              <w:jc w:val="center"/>
              <w:rPr>
                <w:rFonts w:eastAsia="Times New Roman" w:cs="Calibri"/>
                <w:noProof/>
              </w:rPr>
            </w:pPr>
            <w:r>
              <w:rPr>
                <w:noProof/>
              </w:rPr>
              <w:t>A költségvetési eljárás átalakítására és végrehajtására szolgáló információs rendszer működésbe lépése</w:t>
            </w:r>
          </w:p>
        </w:tc>
        <w:tc>
          <w:tcPr>
            <w:tcW w:w="909" w:type="dxa"/>
            <w:shd w:val="clear" w:color="auto" w:fill="C4EFCE"/>
            <w:noWrap/>
            <w:vAlign w:val="center"/>
            <w:hideMark/>
          </w:tcPr>
          <w:p w14:paraId="187C07A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693EE4D0"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CDCFA85"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34839CEE" w14:textId="2DA9F77E"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38281D6B" w14:textId="77777777" w:rsidR="00262911" w:rsidRDefault="00262911" w:rsidP="0026291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75FD6C3B" w14:textId="77777777" w:rsidR="00262911" w:rsidRDefault="00262911" w:rsidP="00262911">
            <w:pPr>
              <w:pStyle w:val="P68B1DB1-Normal8"/>
              <w:spacing w:after="0" w:line="240" w:lineRule="auto"/>
              <w:jc w:val="both"/>
              <w:rPr>
                <w:rFonts w:eastAsia="Times New Roman" w:cs="Calibri"/>
                <w:noProof/>
              </w:rPr>
            </w:pPr>
            <w:r>
              <w:rPr>
                <w:noProof/>
              </w:rPr>
              <w:t>Az információs rendszer működésének megkezdése annak biztosítása érdekében, hogy a 2015. évi költségvetési kerettörvényben meghatározott új formátumoknak megfelelően az államháztartás valamennyi szerve bemutassa a költségvetési/számviteli információkat, beleértve az új teljesítményalapú költségvetési programokat is.</w:t>
            </w:r>
          </w:p>
        </w:tc>
      </w:tr>
      <w:tr w:rsidR="00262911" w14:paraId="6E9D296B" w14:textId="77777777">
        <w:trPr>
          <w:trHeight w:val="640"/>
        </w:trPr>
        <w:tc>
          <w:tcPr>
            <w:tcW w:w="1043" w:type="dxa"/>
            <w:gridSpan w:val="2"/>
            <w:shd w:val="clear" w:color="auto" w:fill="C4EFCE"/>
            <w:vAlign w:val="center"/>
            <w:hideMark/>
          </w:tcPr>
          <w:p w14:paraId="010A6216" w14:textId="77777777" w:rsidR="00262911" w:rsidRDefault="00262911" w:rsidP="00262911">
            <w:pPr>
              <w:pStyle w:val="P68B1DB1-Normal7"/>
              <w:spacing w:after="0" w:line="240" w:lineRule="auto"/>
              <w:jc w:val="center"/>
              <w:rPr>
                <w:rFonts w:eastAsia="Times New Roman" w:cs="Calibri"/>
                <w:noProof/>
              </w:rPr>
            </w:pPr>
            <w:r>
              <w:rPr>
                <w:noProof/>
              </w:rPr>
              <w:t>17.11</w:t>
            </w:r>
          </w:p>
        </w:tc>
        <w:tc>
          <w:tcPr>
            <w:tcW w:w="1161" w:type="dxa"/>
            <w:shd w:val="clear" w:color="auto" w:fill="C4EFCE"/>
            <w:noWrap/>
            <w:vAlign w:val="center"/>
            <w:hideMark/>
          </w:tcPr>
          <w:p w14:paraId="06619773"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68FBC5C2"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1DDE848B" w14:textId="77777777" w:rsidR="00262911" w:rsidRDefault="00262911" w:rsidP="00262911">
            <w:pPr>
              <w:pStyle w:val="P68B1DB1-Normal8"/>
              <w:spacing w:after="0" w:line="240" w:lineRule="auto"/>
              <w:jc w:val="center"/>
              <w:rPr>
                <w:rFonts w:eastAsia="Times New Roman" w:cs="Calibri"/>
                <w:noProof/>
              </w:rPr>
            </w:pPr>
            <w:r>
              <w:rPr>
                <w:noProof/>
              </w:rPr>
              <w:t>A költségvetési és pénzügyi ellenőrzés új modelljét támogató információs rendszer működésbe lépése</w:t>
            </w:r>
          </w:p>
        </w:tc>
        <w:tc>
          <w:tcPr>
            <w:tcW w:w="1356" w:type="dxa"/>
            <w:shd w:val="clear" w:color="auto" w:fill="C4EFCE"/>
            <w:noWrap/>
            <w:vAlign w:val="center"/>
            <w:hideMark/>
          </w:tcPr>
          <w:p w14:paraId="7C8F93A5" w14:textId="77777777" w:rsidR="00262911" w:rsidRDefault="00262911" w:rsidP="00262911">
            <w:pPr>
              <w:pStyle w:val="P68B1DB1-Normal8"/>
              <w:spacing w:after="0" w:line="240" w:lineRule="auto"/>
              <w:jc w:val="center"/>
              <w:rPr>
                <w:rFonts w:eastAsia="Times New Roman" w:cs="Calibri"/>
                <w:noProof/>
              </w:rPr>
            </w:pPr>
            <w:r>
              <w:rPr>
                <w:noProof/>
              </w:rPr>
              <w:t>Működő információs rendszer</w:t>
            </w:r>
          </w:p>
        </w:tc>
        <w:tc>
          <w:tcPr>
            <w:tcW w:w="909" w:type="dxa"/>
            <w:shd w:val="clear" w:color="auto" w:fill="C4EFCE"/>
            <w:noWrap/>
            <w:vAlign w:val="center"/>
            <w:hideMark/>
          </w:tcPr>
          <w:p w14:paraId="2B202843"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BB56DF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4A48EF47"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B10605D" w14:textId="78B6EF9C"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6E4DCD5D"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39CC531C" w14:textId="77777777" w:rsidR="00262911" w:rsidRDefault="00262911" w:rsidP="00262911">
            <w:pPr>
              <w:pStyle w:val="P68B1DB1-Normal8"/>
              <w:spacing w:after="0" w:line="240" w:lineRule="auto"/>
              <w:jc w:val="both"/>
              <w:rPr>
                <w:rFonts w:eastAsia="Times New Roman" w:cs="Calibri"/>
                <w:noProof/>
              </w:rPr>
            </w:pPr>
            <w:r>
              <w:rPr>
                <w:noProof/>
              </w:rPr>
              <w:t>Támogatási információs rendszer működésbe lépése annak biztosítása érdekében, hogy a 2015. évi költségvetési kerettörvényben meghatározott új formátumoknak megfelelően az államháztartás valamennyi szerve ellenőrizze és nyomon kövesse a költségvetési/számviteli információkat.</w:t>
            </w:r>
          </w:p>
        </w:tc>
      </w:tr>
      <w:tr w:rsidR="00262911" w14:paraId="0407FA88" w14:textId="77777777">
        <w:trPr>
          <w:trHeight w:val="1060"/>
        </w:trPr>
        <w:tc>
          <w:tcPr>
            <w:tcW w:w="1043" w:type="dxa"/>
            <w:gridSpan w:val="2"/>
            <w:shd w:val="clear" w:color="auto" w:fill="C4EFCE"/>
            <w:vAlign w:val="center"/>
            <w:hideMark/>
          </w:tcPr>
          <w:p w14:paraId="1E4ADC51" w14:textId="77777777" w:rsidR="00262911" w:rsidRDefault="00262911" w:rsidP="00262911">
            <w:pPr>
              <w:pStyle w:val="P68B1DB1-Normal7"/>
              <w:spacing w:after="0" w:line="240" w:lineRule="auto"/>
              <w:jc w:val="center"/>
              <w:rPr>
                <w:rFonts w:eastAsia="Times New Roman" w:cs="Calibri"/>
                <w:noProof/>
              </w:rPr>
            </w:pPr>
            <w:r>
              <w:rPr>
                <w:noProof/>
              </w:rPr>
              <w:t>17.12</w:t>
            </w:r>
          </w:p>
        </w:tc>
        <w:tc>
          <w:tcPr>
            <w:tcW w:w="1161" w:type="dxa"/>
            <w:shd w:val="clear" w:color="auto" w:fill="C4EFCE"/>
            <w:noWrap/>
            <w:vAlign w:val="center"/>
            <w:hideMark/>
          </w:tcPr>
          <w:p w14:paraId="38F2DF60"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58703872"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64324DB2" w14:textId="77777777" w:rsidR="00262911" w:rsidRDefault="00262911" w:rsidP="00262911">
            <w:pPr>
              <w:pStyle w:val="P68B1DB1-Normal8"/>
              <w:spacing w:after="0" w:line="240" w:lineRule="auto"/>
              <w:jc w:val="center"/>
              <w:rPr>
                <w:rFonts w:eastAsia="Times New Roman" w:cs="Calibri"/>
                <w:noProof/>
              </w:rPr>
            </w:pPr>
            <w:r>
              <w:rPr>
                <w:noProof/>
              </w:rPr>
              <w:t>A nemzeti központi közbeszerzési rendszer információs rendszereinek korszerűsítése és egyszerűsítése</w:t>
            </w:r>
          </w:p>
        </w:tc>
        <w:tc>
          <w:tcPr>
            <w:tcW w:w="1356" w:type="dxa"/>
            <w:shd w:val="clear" w:color="auto" w:fill="C4EFCE"/>
            <w:noWrap/>
            <w:vAlign w:val="center"/>
            <w:hideMark/>
          </w:tcPr>
          <w:p w14:paraId="78DB8F29" w14:textId="77777777" w:rsidR="00262911" w:rsidRDefault="00262911" w:rsidP="00262911">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1A100E82"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75095961"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02B6DB5F" w14:textId="77777777" w:rsidR="00262911" w:rsidRDefault="00262911" w:rsidP="00262911">
            <w:pPr>
              <w:pStyle w:val="P68B1DB1-Normal8"/>
              <w:spacing w:after="0" w:line="240" w:lineRule="auto"/>
              <w:jc w:val="center"/>
              <w:rPr>
                <w:rFonts w:eastAsia="Times New Roman" w:cs="Calibri"/>
                <w:noProof/>
              </w:rPr>
            </w:pPr>
            <w:r>
              <w:rPr>
                <w:noProof/>
              </w:rPr>
              <w:t>11</w:t>
            </w:r>
          </w:p>
        </w:tc>
        <w:tc>
          <w:tcPr>
            <w:tcW w:w="530" w:type="dxa"/>
            <w:shd w:val="clear" w:color="auto" w:fill="C4EFCE"/>
            <w:noWrap/>
            <w:vAlign w:val="center"/>
            <w:hideMark/>
          </w:tcPr>
          <w:p w14:paraId="3C0A8C2D" w14:textId="0B7286D4"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7BB06AD2" w14:textId="77777777" w:rsidR="00262911" w:rsidRDefault="00262911" w:rsidP="00262911">
            <w:pPr>
              <w:pStyle w:val="P68B1DB1-Normal8"/>
              <w:spacing w:after="0" w:line="240" w:lineRule="auto"/>
              <w:jc w:val="center"/>
              <w:rPr>
                <w:rFonts w:eastAsia="Times New Roman" w:cs="Calibri"/>
                <w:noProof/>
              </w:rPr>
            </w:pPr>
            <w:r>
              <w:rPr>
                <w:noProof/>
              </w:rPr>
              <w:t>2024</w:t>
            </w:r>
          </w:p>
        </w:tc>
        <w:tc>
          <w:tcPr>
            <w:tcW w:w="5456" w:type="dxa"/>
            <w:shd w:val="clear" w:color="auto" w:fill="C4EFCE"/>
            <w:noWrap/>
            <w:vAlign w:val="center"/>
            <w:hideMark/>
          </w:tcPr>
          <w:p w14:paraId="39FEEE47" w14:textId="77777777" w:rsidR="00262911" w:rsidRDefault="00262911" w:rsidP="00262911">
            <w:pPr>
              <w:pStyle w:val="P68B1DB1-Normal8"/>
              <w:spacing w:after="0" w:line="240" w:lineRule="auto"/>
              <w:jc w:val="both"/>
              <w:rPr>
                <w:rFonts w:eastAsia="Times New Roman" w:cs="Calibri"/>
                <w:noProof/>
              </w:rPr>
            </w:pPr>
            <w:r>
              <w:rPr>
                <w:noProof/>
              </w:rPr>
              <w:t>A nemzeti központi közbeszerzési rendszer korszerűsített és egyszerűsített információs rendszereinek száma a következők érdekében: az adminisztráció egyszerűsítésének előmozdítása; a nyomonkövetési és ellenőrzési mechanizmusok megerősítése; előmozdítja a költséghatékonysággal és az ésszerűsítéssel kapcsolatos megfontolásokat; a központosított beszerzés tárgyát képező áruk és szolgáltatások jegyzékének kibővítése; és v. a belső és külső érdekelt felek közötti együttműködés előmozdítása. E cél elérését a működő új információs rendszerek számával kell mérni.</w:t>
            </w:r>
          </w:p>
        </w:tc>
      </w:tr>
      <w:tr w:rsidR="00C009B1" w14:paraId="305B2486" w14:textId="77777777">
        <w:trPr>
          <w:trHeight w:val="300"/>
        </w:trPr>
        <w:tc>
          <w:tcPr>
            <w:tcW w:w="1043" w:type="dxa"/>
            <w:gridSpan w:val="2"/>
            <w:shd w:val="clear" w:color="auto" w:fill="C4EFCE"/>
            <w:vAlign w:val="center"/>
            <w:hideMark/>
          </w:tcPr>
          <w:p w14:paraId="4122D3A0" w14:textId="77777777" w:rsidR="00C009B1" w:rsidRDefault="00C009B1" w:rsidP="00C009B1">
            <w:pPr>
              <w:pStyle w:val="P68B1DB1-Normal7"/>
              <w:spacing w:after="0" w:line="240" w:lineRule="auto"/>
              <w:jc w:val="center"/>
              <w:rPr>
                <w:rFonts w:eastAsia="Times New Roman" w:cs="Calibri"/>
                <w:noProof/>
              </w:rPr>
            </w:pPr>
            <w:r>
              <w:rPr>
                <w:noProof/>
              </w:rPr>
              <w:t>17.13</w:t>
            </w:r>
          </w:p>
        </w:tc>
        <w:tc>
          <w:tcPr>
            <w:tcW w:w="1161" w:type="dxa"/>
            <w:shd w:val="clear" w:color="auto" w:fill="C4EFCE"/>
            <w:noWrap/>
            <w:vAlign w:val="center"/>
            <w:hideMark/>
          </w:tcPr>
          <w:p w14:paraId="701D7F02" w14:textId="77777777" w:rsidR="00C009B1" w:rsidRDefault="00C009B1" w:rsidP="00C009B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369E606B" w14:textId="353377BE" w:rsidR="00C009B1" w:rsidRDefault="00C009B1" w:rsidP="00C009B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4E5C9E6" w14:textId="128584CD" w:rsidR="00C009B1" w:rsidRDefault="00C009B1" w:rsidP="00C009B1">
            <w:pPr>
              <w:pStyle w:val="P68B1DB1-Normal8"/>
              <w:spacing w:after="0" w:line="240" w:lineRule="auto"/>
              <w:jc w:val="center"/>
              <w:rPr>
                <w:rFonts w:eastAsia="Times New Roman" w:cs="Calibri"/>
                <w:noProof/>
              </w:rPr>
            </w:pPr>
            <w:r>
              <w:rPr>
                <w:noProof/>
              </w:rPr>
              <w:t xml:space="preserve">A </w:t>
            </w:r>
            <w:r>
              <w:rPr>
                <w:i/>
                <w:noProof/>
              </w:rPr>
              <w:t>Sistema de Gestão de Património Imobiliário Público</w:t>
            </w:r>
            <w:r>
              <w:rPr>
                <w:noProof/>
              </w:rPr>
              <w:t xml:space="preserve"> (SIGPIP) megvalósításának és az állami tulajdonú járművek információs rendszerei korszerűsítésének befejezése</w:t>
            </w:r>
          </w:p>
        </w:tc>
        <w:tc>
          <w:tcPr>
            <w:tcW w:w="1356" w:type="dxa"/>
            <w:shd w:val="clear" w:color="auto" w:fill="C4EFCE"/>
            <w:noWrap/>
            <w:vAlign w:val="center"/>
            <w:hideMark/>
          </w:tcPr>
          <w:p w14:paraId="2E7F8560" w14:textId="2744589B" w:rsidR="00C009B1" w:rsidRDefault="00C009B1" w:rsidP="00C009B1">
            <w:pPr>
              <w:pStyle w:val="P68B1DB1-Normal8"/>
              <w:spacing w:after="0" w:line="240" w:lineRule="auto"/>
              <w:rPr>
                <w:rFonts w:eastAsia="Times New Roman" w:cs="Calibri"/>
                <w:noProof/>
              </w:rPr>
            </w:pPr>
            <w:r>
              <w:rPr>
                <w:noProof/>
              </w:rPr>
              <w:t>A SIGPIP végrehajtásának befejezése és az állami tulajdonú járművek információs rendszereinek üzembe helyezése</w:t>
            </w:r>
          </w:p>
        </w:tc>
        <w:tc>
          <w:tcPr>
            <w:tcW w:w="909" w:type="dxa"/>
            <w:shd w:val="clear" w:color="auto" w:fill="C4EFCE"/>
            <w:noWrap/>
            <w:vAlign w:val="center"/>
            <w:hideMark/>
          </w:tcPr>
          <w:p w14:paraId="6D2C816C" w14:textId="04080BA1" w:rsidR="00C009B1" w:rsidRDefault="00C009B1" w:rsidP="00C009B1">
            <w:pPr>
              <w:spacing w:after="0" w:line="240" w:lineRule="auto"/>
              <w:jc w:val="center"/>
              <w:rPr>
                <w:rFonts w:ascii="Calibri" w:eastAsia="Times New Roman" w:hAnsi="Calibri" w:cs="Calibri"/>
                <w:noProof/>
                <w:sz w:val="16"/>
              </w:rPr>
            </w:pPr>
          </w:p>
        </w:tc>
        <w:tc>
          <w:tcPr>
            <w:tcW w:w="908" w:type="dxa"/>
            <w:shd w:val="clear" w:color="auto" w:fill="C4EFCE"/>
            <w:noWrap/>
            <w:vAlign w:val="center"/>
            <w:hideMark/>
          </w:tcPr>
          <w:p w14:paraId="5F6E0C5C" w14:textId="43B2C062" w:rsidR="00C009B1" w:rsidRDefault="00C009B1" w:rsidP="00C009B1">
            <w:pPr>
              <w:spacing w:after="0" w:line="240" w:lineRule="auto"/>
              <w:jc w:val="center"/>
              <w:rPr>
                <w:rFonts w:ascii="Calibri" w:eastAsia="Times New Roman" w:hAnsi="Calibri" w:cs="Calibri"/>
                <w:noProof/>
                <w:sz w:val="16"/>
              </w:rPr>
            </w:pPr>
          </w:p>
        </w:tc>
        <w:tc>
          <w:tcPr>
            <w:tcW w:w="657" w:type="dxa"/>
            <w:shd w:val="clear" w:color="auto" w:fill="C4EFCE"/>
            <w:noWrap/>
            <w:vAlign w:val="center"/>
            <w:hideMark/>
          </w:tcPr>
          <w:p w14:paraId="1BDD16A4" w14:textId="3B8B3F7A" w:rsidR="00C009B1" w:rsidRDefault="00C009B1" w:rsidP="00C009B1">
            <w:pPr>
              <w:spacing w:after="0" w:line="240" w:lineRule="auto"/>
              <w:jc w:val="center"/>
              <w:rPr>
                <w:rFonts w:ascii="Calibri" w:eastAsia="Times New Roman" w:hAnsi="Calibri" w:cs="Calibri"/>
                <w:noProof/>
                <w:sz w:val="16"/>
              </w:rPr>
            </w:pPr>
          </w:p>
        </w:tc>
        <w:tc>
          <w:tcPr>
            <w:tcW w:w="530" w:type="dxa"/>
            <w:shd w:val="clear" w:color="auto" w:fill="C4EFCE"/>
            <w:noWrap/>
            <w:vAlign w:val="center"/>
            <w:hideMark/>
          </w:tcPr>
          <w:p w14:paraId="0BBA56AA" w14:textId="210F17F9" w:rsidR="00C009B1" w:rsidRDefault="00C009B1" w:rsidP="00C009B1">
            <w:pPr>
              <w:pStyle w:val="P68B1DB1-Normal8"/>
              <w:spacing w:after="0" w:line="240" w:lineRule="auto"/>
              <w:jc w:val="center"/>
              <w:rPr>
                <w:rFonts w:eastAsia="Times New Roman" w:cs="Calibri"/>
                <w:noProof/>
              </w:rPr>
            </w:pPr>
            <w:r>
              <w:rPr>
                <w:noProof/>
              </w:rPr>
              <w:t>2. NEGYEDÉV</w:t>
            </w:r>
          </w:p>
        </w:tc>
        <w:tc>
          <w:tcPr>
            <w:tcW w:w="656" w:type="dxa"/>
            <w:shd w:val="clear" w:color="auto" w:fill="C4EFCE"/>
            <w:noWrap/>
            <w:vAlign w:val="center"/>
            <w:hideMark/>
          </w:tcPr>
          <w:p w14:paraId="069B7D5F" w14:textId="77777777" w:rsidR="00C009B1" w:rsidRDefault="00C009B1" w:rsidP="00C009B1">
            <w:pPr>
              <w:pStyle w:val="P68B1DB1-Normal8"/>
              <w:spacing w:after="0" w:line="240" w:lineRule="auto"/>
              <w:jc w:val="center"/>
              <w:rPr>
                <w:rFonts w:eastAsia="Times New Roman" w:cs="Calibri"/>
                <w:noProof/>
              </w:rPr>
            </w:pPr>
            <w:r>
              <w:rPr>
                <w:noProof/>
              </w:rPr>
              <w:t>2026</w:t>
            </w:r>
          </w:p>
        </w:tc>
        <w:tc>
          <w:tcPr>
            <w:tcW w:w="5456" w:type="dxa"/>
            <w:shd w:val="clear" w:color="auto" w:fill="C4EFCE"/>
            <w:noWrap/>
            <w:vAlign w:val="center"/>
            <w:hideMark/>
          </w:tcPr>
          <w:p w14:paraId="29151ECC" w14:textId="22FC8058" w:rsidR="00C009B1" w:rsidRDefault="00C009B1" w:rsidP="00C009B1">
            <w:pPr>
              <w:pStyle w:val="P68B1DB1-Normal8"/>
              <w:spacing w:after="0" w:line="240" w:lineRule="auto"/>
              <w:jc w:val="both"/>
              <w:rPr>
                <w:rFonts w:eastAsia="Times New Roman" w:cs="Calibri"/>
                <w:noProof/>
              </w:rPr>
            </w:pPr>
            <w:r>
              <w:rPr>
                <w:noProof/>
              </w:rPr>
              <w:t>Az állami ingatlanokkal kapcsolatos információkat kezelő „</w:t>
            </w:r>
            <w:r>
              <w:rPr>
                <w:i/>
                <w:noProof/>
              </w:rPr>
              <w:t>Sistema de Gestão de Património Imobiliário Público”</w:t>
            </w:r>
            <w:r>
              <w:rPr>
                <w:noProof/>
              </w:rPr>
              <w:t xml:space="preserve"> (SIGPIP) végrehajtásának befejezése. </w:t>
            </w:r>
          </w:p>
          <w:p w14:paraId="16254F2D" w14:textId="680EF6EC" w:rsidR="00C009B1" w:rsidRDefault="00C009B1" w:rsidP="00C009B1">
            <w:pPr>
              <w:pStyle w:val="P68B1DB1-Normal8"/>
              <w:spacing w:after="0" w:line="240" w:lineRule="auto"/>
              <w:jc w:val="both"/>
              <w:rPr>
                <w:rFonts w:eastAsia="Times New Roman" w:cs="Calibri"/>
                <w:noProof/>
              </w:rPr>
            </w:pPr>
            <w:r>
              <w:rPr>
                <w:noProof/>
              </w:rPr>
              <w:t>Két új információs rendszer, amelyek az állami tulajdonú járművek nyilvántartására és nyomon követésére szolgálnak.</w:t>
            </w:r>
          </w:p>
        </w:tc>
      </w:tr>
      <w:tr w:rsidR="00262911" w14:paraId="29D028EC" w14:textId="77777777">
        <w:trPr>
          <w:trHeight w:val="430"/>
        </w:trPr>
        <w:tc>
          <w:tcPr>
            <w:tcW w:w="1043" w:type="dxa"/>
            <w:gridSpan w:val="2"/>
            <w:shd w:val="clear" w:color="auto" w:fill="C4EFCE"/>
            <w:vAlign w:val="center"/>
            <w:hideMark/>
          </w:tcPr>
          <w:p w14:paraId="339504D8" w14:textId="62CAECE8" w:rsidR="00262911" w:rsidRDefault="00262911" w:rsidP="00262911">
            <w:pPr>
              <w:pStyle w:val="P68B1DB1-Normal7"/>
              <w:spacing w:after="0" w:line="240" w:lineRule="auto"/>
              <w:jc w:val="center"/>
              <w:rPr>
                <w:rFonts w:eastAsia="Times New Roman" w:cs="Calibri"/>
                <w:noProof/>
              </w:rPr>
            </w:pPr>
            <w:r>
              <w:rPr>
                <w:noProof/>
              </w:rPr>
              <w:t>17.14</w:t>
            </w:r>
          </w:p>
        </w:tc>
        <w:tc>
          <w:tcPr>
            <w:tcW w:w="1161" w:type="dxa"/>
            <w:shd w:val="clear" w:color="auto" w:fill="C4EFCE"/>
            <w:noWrap/>
            <w:vAlign w:val="center"/>
            <w:hideMark/>
          </w:tcPr>
          <w:p w14:paraId="76E795FA" w14:textId="77777777" w:rsidR="00262911" w:rsidRDefault="00262911" w:rsidP="00262911">
            <w:pPr>
              <w:pStyle w:val="P68B1DB1-Normal8"/>
              <w:spacing w:after="0" w:line="240" w:lineRule="auto"/>
              <w:jc w:val="center"/>
              <w:rPr>
                <w:rFonts w:eastAsia="Times New Roman" w:cs="Calibri"/>
                <w:noProof/>
              </w:rPr>
            </w:pPr>
            <w:r>
              <w:rPr>
                <w:noProof/>
              </w:rPr>
              <w:t>TD-C17-i01</w:t>
            </w:r>
          </w:p>
        </w:tc>
        <w:tc>
          <w:tcPr>
            <w:tcW w:w="1034" w:type="dxa"/>
            <w:shd w:val="clear" w:color="auto" w:fill="C4EFCE"/>
            <w:noWrap/>
            <w:vAlign w:val="center"/>
            <w:hideMark/>
          </w:tcPr>
          <w:p w14:paraId="2D718AE9"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77EAE67B" w14:textId="77777777" w:rsidR="00262911" w:rsidRDefault="00262911" w:rsidP="00262911">
            <w:pPr>
              <w:pStyle w:val="P68B1DB1-Normal8"/>
              <w:spacing w:after="0" w:line="240" w:lineRule="auto"/>
              <w:jc w:val="center"/>
              <w:rPr>
                <w:rFonts w:eastAsia="Times New Roman" w:cs="Calibri"/>
                <w:noProof/>
              </w:rPr>
            </w:pPr>
            <w:r>
              <w:rPr>
                <w:noProof/>
              </w:rPr>
              <w:t>A biztonsági műveleti központ megvalósításának befejezése</w:t>
            </w:r>
          </w:p>
        </w:tc>
        <w:tc>
          <w:tcPr>
            <w:tcW w:w="1356" w:type="dxa"/>
            <w:shd w:val="clear" w:color="auto" w:fill="C4EFCE"/>
            <w:noWrap/>
            <w:vAlign w:val="center"/>
            <w:hideMark/>
          </w:tcPr>
          <w:p w14:paraId="0998F4B9" w14:textId="77777777" w:rsidR="00262911" w:rsidRDefault="00262911" w:rsidP="00262911">
            <w:pPr>
              <w:pStyle w:val="P68B1DB1-Normal8"/>
              <w:spacing w:after="0" w:line="240" w:lineRule="auto"/>
              <w:jc w:val="center"/>
              <w:rPr>
                <w:rFonts w:eastAsia="Times New Roman" w:cs="Calibri"/>
                <w:noProof/>
              </w:rPr>
            </w:pPr>
            <w:r>
              <w:rPr>
                <w:noProof/>
              </w:rPr>
              <w:t>A biztonsági műveleti központ megvalósításának befejezése</w:t>
            </w:r>
          </w:p>
        </w:tc>
        <w:tc>
          <w:tcPr>
            <w:tcW w:w="909" w:type="dxa"/>
            <w:shd w:val="clear" w:color="auto" w:fill="C4EFCE"/>
            <w:noWrap/>
            <w:vAlign w:val="center"/>
            <w:hideMark/>
          </w:tcPr>
          <w:p w14:paraId="4BF11062"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7A0E5BC3"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3E331B7"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0DF70649" w14:textId="0BC0504F"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58B8D8F6"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46684948" w14:textId="77777777" w:rsidR="00262911" w:rsidRDefault="00262911" w:rsidP="00262911">
            <w:pPr>
              <w:pStyle w:val="P68B1DB1-Normal8"/>
              <w:spacing w:after="0" w:line="240" w:lineRule="auto"/>
              <w:jc w:val="both"/>
              <w:rPr>
                <w:rFonts w:eastAsia="Times New Roman" w:cs="Calibri"/>
                <w:noProof/>
              </w:rPr>
            </w:pPr>
            <w:r>
              <w:rPr>
                <w:noProof/>
              </w:rPr>
              <w:t>A biztonsági műveleti központ végrehajtásának befejezése a fokozott információbiztonság és az adatokhoz való hozzáférés lehetővé tétele, valamint a biztonsági politikák és kiberbiztonsági megoldások végrehajtása érdekében.</w:t>
            </w:r>
          </w:p>
        </w:tc>
      </w:tr>
      <w:tr w:rsidR="00C009B1" w14:paraId="5362F69D" w14:textId="77777777">
        <w:trPr>
          <w:trHeight w:val="640"/>
        </w:trPr>
        <w:tc>
          <w:tcPr>
            <w:tcW w:w="1043" w:type="dxa"/>
            <w:gridSpan w:val="2"/>
            <w:shd w:val="clear" w:color="auto" w:fill="C4EFCE"/>
            <w:vAlign w:val="center"/>
            <w:hideMark/>
          </w:tcPr>
          <w:p w14:paraId="31BEB070" w14:textId="6A625FBD" w:rsidR="00C009B1" w:rsidRDefault="00C009B1" w:rsidP="00C009B1">
            <w:pPr>
              <w:pStyle w:val="P68B1DB1-Normal7"/>
              <w:spacing w:after="0" w:line="240" w:lineRule="auto"/>
              <w:jc w:val="center"/>
              <w:rPr>
                <w:rFonts w:eastAsia="Times New Roman" w:cs="Calibri"/>
                <w:noProof/>
              </w:rPr>
            </w:pPr>
            <w:r>
              <w:rPr>
                <w:noProof/>
              </w:rPr>
              <w:t>17.15</w:t>
            </w:r>
          </w:p>
        </w:tc>
        <w:tc>
          <w:tcPr>
            <w:tcW w:w="1161" w:type="dxa"/>
            <w:shd w:val="clear" w:color="auto" w:fill="C4EFCE"/>
            <w:noWrap/>
            <w:vAlign w:val="center"/>
            <w:hideMark/>
          </w:tcPr>
          <w:p w14:paraId="7B839632" w14:textId="77777777" w:rsidR="00C009B1" w:rsidRDefault="00C009B1" w:rsidP="00C009B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0225F062"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4838897" w14:textId="77777777" w:rsidR="00C009B1" w:rsidRDefault="00C009B1" w:rsidP="00C009B1">
            <w:pPr>
              <w:pStyle w:val="P68B1DB1-Normal8"/>
              <w:spacing w:after="0" w:line="240" w:lineRule="auto"/>
              <w:jc w:val="center"/>
              <w:rPr>
                <w:rFonts w:eastAsia="Times New Roman" w:cs="Calibri"/>
                <w:noProof/>
              </w:rPr>
            </w:pPr>
            <w:r>
              <w:rPr>
                <w:noProof/>
              </w:rPr>
              <w:t>Befejezi az önkormányzati ingatlanadó (IMI) 1. mintabevallásának előzetes kitöltését az Adó- és Vámhatóság rendelkezésére álló adatok alapján</w:t>
            </w:r>
          </w:p>
        </w:tc>
        <w:tc>
          <w:tcPr>
            <w:tcW w:w="1356" w:type="dxa"/>
            <w:shd w:val="clear" w:color="auto" w:fill="C4EFCE"/>
            <w:noWrap/>
            <w:vAlign w:val="center"/>
            <w:hideMark/>
          </w:tcPr>
          <w:p w14:paraId="451BCA0C" w14:textId="77777777" w:rsidR="00C009B1" w:rsidRDefault="00C009B1" w:rsidP="00C009B1">
            <w:pPr>
              <w:pStyle w:val="P68B1DB1-Normal8"/>
              <w:spacing w:after="0" w:line="240" w:lineRule="auto"/>
              <w:jc w:val="center"/>
              <w:rPr>
                <w:rFonts w:eastAsia="Times New Roman" w:cs="Calibri"/>
                <w:noProof/>
              </w:rPr>
            </w:pPr>
            <w:r>
              <w:rPr>
                <w:noProof/>
              </w:rPr>
              <w:t>A települési ingatlanadóra vonatkozó 1. mintabevallás (IMI) előzetes kitöltésének befejezése</w:t>
            </w:r>
          </w:p>
        </w:tc>
        <w:tc>
          <w:tcPr>
            <w:tcW w:w="909" w:type="dxa"/>
            <w:shd w:val="clear" w:color="auto" w:fill="C4EFCE"/>
            <w:noWrap/>
            <w:vAlign w:val="center"/>
            <w:hideMark/>
          </w:tcPr>
          <w:p w14:paraId="5622F9E0"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16D8FAE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1D1DC19D"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19997423" w14:textId="5CAA8774" w:rsidR="00C009B1" w:rsidRDefault="00C009B1" w:rsidP="00C009B1">
            <w:pPr>
              <w:pStyle w:val="P68B1DB1-Normal8"/>
              <w:spacing w:after="0" w:line="240" w:lineRule="auto"/>
              <w:jc w:val="center"/>
              <w:rPr>
                <w:rFonts w:eastAsia="Times New Roman" w:cs="Calibri"/>
                <w:noProof/>
              </w:rPr>
            </w:pPr>
            <w:r>
              <w:rPr>
                <w:noProof/>
              </w:rPr>
              <w:t>2. NEGYEDÉV</w:t>
            </w:r>
          </w:p>
        </w:tc>
        <w:tc>
          <w:tcPr>
            <w:tcW w:w="656" w:type="dxa"/>
            <w:shd w:val="clear" w:color="auto" w:fill="C4EFCE"/>
            <w:noWrap/>
            <w:vAlign w:val="center"/>
            <w:hideMark/>
          </w:tcPr>
          <w:p w14:paraId="2F091CDC" w14:textId="77777777" w:rsidR="00C009B1" w:rsidRDefault="00C009B1" w:rsidP="00C009B1">
            <w:pPr>
              <w:pStyle w:val="P68B1DB1-Normal8"/>
              <w:spacing w:after="0" w:line="240" w:lineRule="auto"/>
              <w:jc w:val="center"/>
              <w:rPr>
                <w:rFonts w:eastAsia="Times New Roman" w:cs="Calibri"/>
                <w:noProof/>
              </w:rPr>
            </w:pPr>
            <w:r>
              <w:rPr>
                <w:noProof/>
              </w:rPr>
              <w:t>2022</w:t>
            </w:r>
          </w:p>
        </w:tc>
        <w:tc>
          <w:tcPr>
            <w:tcW w:w="5456" w:type="dxa"/>
            <w:shd w:val="clear" w:color="auto" w:fill="C4EFCE"/>
            <w:noWrap/>
            <w:vAlign w:val="center"/>
            <w:hideMark/>
          </w:tcPr>
          <w:p w14:paraId="0BA4FBF7" w14:textId="77777777" w:rsidR="00C009B1" w:rsidRDefault="00C009B1" w:rsidP="00C009B1">
            <w:pPr>
              <w:pStyle w:val="P68B1DB1-Normal8"/>
              <w:spacing w:after="0" w:line="240" w:lineRule="auto"/>
              <w:jc w:val="both"/>
              <w:rPr>
                <w:rFonts w:eastAsia="Times New Roman" w:cs="Calibri"/>
                <w:noProof/>
              </w:rPr>
            </w:pPr>
            <w:r>
              <w:rPr>
                <w:noProof/>
              </w:rPr>
              <w:t>Adatmegosztás az adó- és vámhatóság és az önkormányzatok között a települési ingatlanadó 1. mintabevallásának előzetes kitöltése céljából („Imóveis</w:t>
            </w:r>
            <w:r>
              <w:rPr>
                <w:i/>
                <w:noProof/>
              </w:rPr>
              <w:t>Imposto Municipal sobre Imóveis”</w:t>
            </w:r>
            <w:r>
              <w:rPr>
                <w:noProof/>
              </w:rPr>
              <w:t>, IMI), kihasználva a vonatkozó információs rendszerekben az ingatlanokra vonatkozó meglévő információkat.</w:t>
            </w:r>
          </w:p>
        </w:tc>
      </w:tr>
      <w:tr w:rsidR="00262911" w14:paraId="0B05BC3F" w14:textId="77777777">
        <w:trPr>
          <w:trHeight w:val="640"/>
        </w:trPr>
        <w:tc>
          <w:tcPr>
            <w:tcW w:w="1043" w:type="dxa"/>
            <w:gridSpan w:val="2"/>
            <w:shd w:val="clear" w:color="auto" w:fill="C4EFCE"/>
            <w:vAlign w:val="center"/>
          </w:tcPr>
          <w:p w14:paraId="62EFB6DD" w14:textId="15BA45D9" w:rsidR="00262911" w:rsidRDefault="00262911" w:rsidP="00262911">
            <w:pPr>
              <w:pStyle w:val="P68B1DB1-Normal11"/>
              <w:spacing w:after="0" w:line="240" w:lineRule="auto"/>
              <w:jc w:val="center"/>
              <w:rPr>
                <w:rFonts w:ascii="Calibri" w:eastAsia="Times New Roman" w:hAnsi="Calibri" w:cs="Calibri"/>
                <w:noProof/>
              </w:rPr>
            </w:pPr>
            <w:r>
              <w:rPr>
                <w:noProof/>
              </w:rPr>
              <w:t>17.21</w:t>
            </w:r>
          </w:p>
        </w:tc>
        <w:tc>
          <w:tcPr>
            <w:tcW w:w="1161" w:type="dxa"/>
            <w:shd w:val="clear" w:color="auto" w:fill="C4EFCE"/>
            <w:noWrap/>
            <w:vAlign w:val="center"/>
          </w:tcPr>
          <w:p w14:paraId="21471993" w14:textId="2900E5A4" w:rsidR="00262911" w:rsidRDefault="00262911" w:rsidP="0026291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tcPr>
          <w:p w14:paraId="3FACD559" w14:textId="22769DF8"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tcPr>
          <w:p w14:paraId="648192F8" w14:textId="3B970152" w:rsidR="00262911" w:rsidRDefault="00262911" w:rsidP="00262911">
            <w:pPr>
              <w:pStyle w:val="P68B1DB1-Normal8"/>
              <w:spacing w:after="0" w:line="240" w:lineRule="auto"/>
              <w:jc w:val="center"/>
              <w:rPr>
                <w:rFonts w:eastAsia="Times New Roman" w:cs="Calibri"/>
                <w:noProof/>
              </w:rPr>
            </w:pPr>
            <w:r>
              <w:rPr>
                <w:noProof/>
              </w:rPr>
              <w:t>A bélyegilleték hatálya alá tartozó konkrét ügylet előzetes kitöltése végrehajtásának befejezése</w:t>
            </w:r>
          </w:p>
        </w:tc>
        <w:tc>
          <w:tcPr>
            <w:tcW w:w="1356" w:type="dxa"/>
            <w:shd w:val="clear" w:color="auto" w:fill="C4EFCE"/>
            <w:noWrap/>
            <w:vAlign w:val="center"/>
          </w:tcPr>
          <w:p w14:paraId="59F0138D" w14:textId="2B1A728B" w:rsidR="00262911" w:rsidRDefault="00262911" w:rsidP="00262911">
            <w:pPr>
              <w:pStyle w:val="P68B1DB1-Normal8"/>
              <w:spacing w:after="0" w:line="240" w:lineRule="auto"/>
              <w:jc w:val="center"/>
              <w:rPr>
                <w:rFonts w:eastAsia="Times New Roman" w:cs="Calibri"/>
                <w:noProof/>
              </w:rPr>
            </w:pPr>
            <w:r>
              <w:rPr>
                <w:noProof/>
              </w:rPr>
              <w:t>A bélyegilleték hatálya alá tartozó konkrét ügylet előzetes kitöltése végrehajtásának befejezése</w:t>
            </w:r>
          </w:p>
        </w:tc>
        <w:tc>
          <w:tcPr>
            <w:tcW w:w="909" w:type="dxa"/>
            <w:shd w:val="clear" w:color="auto" w:fill="C4EFCE"/>
            <w:noWrap/>
            <w:vAlign w:val="center"/>
          </w:tcPr>
          <w:p w14:paraId="6A2AF1CB" w14:textId="77777777" w:rsidR="00262911" w:rsidRDefault="00262911" w:rsidP="00262911">
            <w:pPr>
              <w:spacing w:after="0" w:line="240" w:lineRule="auto"/>
              <w:jc w:val="center"/>
              <w:rPr>
                <w:rFonts w:ascii="Calibri" w:eastAsia="Times New Roman" w:hAnsi="Calibri" w:cs="Calibri"/>
                <w:noProof/>
                <w:sz w:val="16"/>
              </w:rPr>
            </w:pPr>
          </w:p>
        </w:tc>
        <w:tc>
          <w:tcPr>
            <w:tcW w:w="908" w:type="dxa"/>
            <w:shd w:val="clear" w:color="auto" w:fill="C4EFCE"/>
            <w:noWrap/>
            <w:vAlign w:val="center"/>
          </w:tcPr>
          <w:p w14:paraId="0C8AF654" w14:textId="77777777" w:rsidR="00262911" w:rsidRDefault="00262911" w:rsidP="00262911">
            <w:pPr>
              <w:spacing w:after="0" w:line="240" w:lineRule="auto"/>
              <w:jc w:val="center"/>
              <w:rPr>
                <w:rFonts w:ascii="Calibri" w:eastAsia="Times New Roman" w:hAnsi="Calibri" w:cs="Calibri"/>
                <w:noProof/>
                <w:sz w:val="16"/>
              </w:rPr>
            </w:pPr>
          </w:p>
        </w:tc>
        <w:tc>
          <w:tcPr>
            <w:tcW w:w="657" w:type="dxa"/>
            <w:shd w:val="clear" w:color="auto" w:fill="C4EFCE"/>
            <w:noWrap/>
            <w:vAlign w:val="center"/>
          </w:tcPr>
          <w:p w14:paraId="4A18B87A" w14:textId="77777777" w:rsidR="00262911" w:rsidRDefault="00262911" w:rsidP="00262911">
            <w:pPr>
              <w:spacing w:after="0" w:line="240" w:lineRule="auto"/>
              <w:jc w:val="center"/>
              <w:rPr>
                <w:rFonts w:ascii="Calibri" w:eastAsia="Times New Roman" w:hAnsi="Calibri" w:cs="Calibri"/>
                <w:noProof/>
                <w:sz w:val="16"/>
              </w:rPr>
            </w:pPr>
          </w:p>
        </w:tc>
        <w:tc>
          <w:tcPr>
            <w:tcW w:w="530" w:type="dxa"/>
            <w:shd w:val="clear" w:color="auto" w:fill="C4EFCE"/>
            <w:noWrap/>
            <w:vAlign w:val="center"/>
          </w:tcPr>
          <w:p w14:paraId="3169F07F" w14:textId="6132897D"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tcPr>
          <w:p w14:paraId="483BF940" w14:textId="6003A4D6" w:rsidR="00262911" w:rsidRDefault="00262911" w:rsidP="00262911">
            <w:pPr>
              <w:pStyle w:val="P68B1DB1-Normal8"/>
              <w:spacing w:after="0" w:line="240" w:lineRule="auto"/>
              <w:jc w:val="center"/>
              <w:rPr>
                <w:rFonts w:eastAsia="Times New Roman" w:cs="Calibri"/>
                <w:noProof/>
              </w:rPr>
            </w:pPr>
            <w:r>
              <w:rPr>
                <w:noProof/>
              </w:rPr>
              <w:t>2023</w:t>
            </w:r>
          </w:p>
        </w:tc>
        <w:tc>
          <w:tcPr>
            <w:tcW w:w="5456" w:type="dxa"/>
            <w:shd w:val="clear" w:color="auto" w:fill="C4EFCE"/>
            <w:noWrap/>
            <w:vAlign w:val="center"/>
          </w:tcPr>
          <w:p w14:paraId="3FD5E02C" w14:textId="06D7A0A1" w:rsidR="00262911" w:rsidRDefault="00262911" w:rsidP="00262911">
            <w:pPr>
              <w:pStyle w:val="P68B1DB1-Normal8"/>
              <w:spacing w:after="0" w:line="240" w:lineRule="auto"/>
              <w:jc w:val="both"/>
              <w:rPr>
                <w:rFonts w:eastAsia="Times New Roman" w:cs="Calibri"/>
                <w:noProof/>
              </w:rPr>
            </w:pPr>
            <w:r>
              <w:rPr>
                <w:noProof/>
              </w:rPr>
              <w:t>Az adó- és vámhatóság, a Mobilitási és Közlekedési Intézet rendelkezésére álló, ingatlanokkal kapcsolatos meglévő információk felhasználásával a bélyegilleték alá tartozó ingatlan- és járműátruházási ügyletekhez kapcsolódó előtöltési szolgáltatások („</w:t>
            </w:r>
            <w:r>
              <w:rPr>
                <w:i/>
                <w:noProof/>
              </w:rPr>
              <w:t>Imposto de Selo</w:t>
            </w:r>
            <w:r>
              <w:rPr>
                <w:noProof/>
              </w:rPr>
              <w:t>”) teljes körű végrehajtása</w:t>
            </w:r>
            <w:r>
              <w:rPr>
                <w:i/>
                <w:noProof/>
              </w:rPr>
              <w:t xml:space="preserve">. </w:t>
            </w:r>
            <w:r>
              <w:rPr>
                <w:noProof/>
              </w:rPr>
              <w:t>(IMT) és a Nyilvántartási és Közjegyzői Intézet (IRN).</w:t>
            </w:r>
          </w:p>
        </w:tc>
      </w:tr>
      <w:tr w:rsidR="00262911" w14:paraId="5A586D67" w14:textId="77777777">
        <w:trPr>
          <w:trHeight w:val="430"/>
        </w:trPr>
        <w:tc>
          <w:tcPr>
            <w:tcW w:w="1043" w:type="dxa"/>
            <w:gridSpan w:val="2"/>
            <w:shd w:val="clear" w:color="auto" w:fill="C4EFCE"/>
            <w:vAlign w:val="center"/>
            <w:hideMark/>
          </w:tcPr>
          <w:p w14:paraId="169BD49B" w14:textId="22DC1B0C" w:rsidR="00262911" w:rsidRDefault="00262911" w:rsidP="00262911">
            <w:pPr>
              <w:pStyle w:val="P68B1DB1-Normal7"/>
              <w:spacing w:after="0" w:line="240" w:lineRule="auto"/>
              <w:jc w:val="center"/>
              <w:rPr>
                <w:rFonts w:eastAsia="Times New Roman" w:cs="Calibri"/>
                <w:noProof/>
              </w:rPr>
            </w:pPr>
            <w:r>
              <w:rPr>
                <w:noProof/>
              </w:rPr>
              <w:t>17.16</w:t>
            </w:r>
          </w:p>
        </w:tc>
        <w:tc>
          <w:tcPr>
            <w:tcW w:w="1161" w:type="dxa"/>
            <w:shd w:val="clear" w:color="auto" w:fill="C4EFCE"/>
            <w:noWrap/>
            <w:vAlign w:val="center"/>
            <w:hideMark/>
          </w:tcPr>
          <w:p w14:paraId="7338038A" w14:textId="77777777" w:rsidR="00262911" w:rsidRDefault="00262911" w:rsidP="0026291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46ECBF0B"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39" w:type="dxa"/>
            <w:shd w:val="clear" w:color="auto" w:fill="C4EFCE"/>
            <w:noWrap/>
            <w:vAlign w:val="center"/>
            <w:hideMark/>
          </w:tcPr>
          <w:p w14:paraId="0369D0DB" w14:textId="77777777" w:rsidR="00262911" w:rsidRDefault="00262911" w:rsidP="00262911">
            <w:pPr>
              <w:pStyle w:val="P68B1DB1-Normal8"/>
              <w:spacing w:after="0" w:line="240" w:lineRule="auto"/>
              <w:jc w:val="center"/>
              <w:rPr>
                <w:rFonts w:eastAsia="Times New Roman" w:cs="Calibri"/>
                <w:noProof/>
              </w:rPr>
            </w:pPr>
            <w:r>
              <w:rPr>
                <w:noProof/>
              </w:rPr>
              <w:t>A vidéki ingatlanok egyszerűsített értékelését támogató információs rendszer végleges változatának biztosítása és működőképessé tétele</w:t>
            </w:r>
          </w:p>
        </w:tc>
        <w:tc>
          <w:tcPr>
            <w:tcW w:w="1356" w:type="dxa"/>
            <w:shd w:val="clear" w:color="auto" w:fill="C4EFCE"/>
            <w:noWrap/>
            <w:vAlign w:val="center"/>
            <w:hideMark/>
          </w:tcPr>
          <w:p w14:paraId="0D7E1C75" w14:textId="77777777" w:rsidR="00262911" w:rsidRDefault="00262911" w:rsidP="00262911">
            <w:pPr>
              <w:pStyle w:val="P68B1DB1-Normal8"/>
              <w:spacing w:after="0" w:line="240" w:lineRule="auto"/>
              <w:jc w:val="center"/>
              <w:rPr>
                <w:rFonts w:eastAsia="Times New Roman" w:cs="Calibri"/>
                <w:noProof/>
              </w:rPr>
            </w:pPr>
            <w:r>
              <w:rPr>
                <w:noProof/>
              </w:rPr>
              <w:t>A vidéki ingatlanok egyszerűsített értékelését támogató információs rendszer végleges változatának biztosítása és működőképessé tétele</w:t>
            </w:r>
          </w:p>
        </w:tc>
        <w:tc>
          <w:tcPr>
            <w:tcW w:w="909" w:type="dxa"/>
            <w:shd w:val="clear" w:color="auto" w:fill="C4EFCE"/>
            <w:noWrap/>
            <w:vAlign w:val="center"/>
            <w:hideMark/>
          </w:tcPr>
          <w:p w14:paraId="3A165F2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8" w:type="dxa"/>
            <w:shd w:val="clear" w:color="auto" w:fill="C4EFCE"/>
            <w:noWrap/>
            <w:vAlign w:val="center"/>
            <w:hideMark/>
          </w:tcPr>
          <w:p w14:paraId="074CA91F"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657" w:type="dxa"/>
            <w:shd w:val="clear" w:color="auto" w:fill="C4EFCE"/>
            <w:noWrap/>
            <w:vAlign w:val="center"/>
            <w:hideMark/>
          </w:tcPr>
          <w:p w14:paraId="2300B0DA"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0" w:type="dxa"/>
            <w:shd w:val="clear" w:color="auto" w:fill="C4EFCE"/>
            <w:noWrap/>
            <w:vAlign w:val="center"/>
            <w:hideMark/>
          </w:tcPr>
          <w:p w14:paraId="6C8D6393" w14:textId="7945EA99"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0731EA14"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0EDB57E" w14:textId="77777777" w:rsidR="00262911" w:rsidRDefault="00262911" w:rsidP="00262911">
            <w:pPr>
              <w:pStyle w:val="P68B1DB1-Normal8"/>
              <w:spacing w:after="0" w:line="240" w:lineRule="auto"/>
              <w:jc w:val="both"/>
              <w:rPr>
                <w:rFonts w:eastAsia="Times New Roman" w:cs="Calibri"/>
                <w:noProof/>
              </w:rPr>
            </w:pPr>
            <w:r>
              <w:rPr>
                <w:noProof/>
              </w:rPr>
              <w:t>A vidéki ingatlanok egyszerűsített értékelését támogató információs rendszer biztosítása az ilyen típusú ingatlanok általános újraértékelésének kiegészítő intézkedéseként.</w:t>
            </w:r>
          </w:p>
        </w:tc>
      </w:tr>
      <w:tr w:rsidR="00262911" w14:paraId="4384BCD2" w14:textId="77777777">
        <w:trPr>
          <w:trHeight w:val="640"/>
        </w:trPr>
        <w:tc>
          <w:tcPr>
            <w:tcW w:w="1043" w:type="dxa"/>
            <w:gridSpan w:val="2"/>
            <w:shd w:val="clear" w:color="auto" w:fill="C4EFCE"/>
            <w:vAlign w:val="center"/>
            <w:hideMark/>
          </w:tcPr>
          <w:p w14:paraId="0D69DEF7" w14:textId="1C27A11A" w:rsidR="00262911" w:rsidRDefault="00262911" w:rsidP="00262911">
            <w:pPr>
              <w:pStyle w:val="P68B1DB1-Normal7"/>
              <w:spacing w:after="0" w:line="240" w:lineRule="auto"/>
              <w:jc w:val="center"/>
              <w:rPr>
                <w:rFonts w:eastAsia="Times New Roman" w:cs="Calibri"/>
                <w:noProof/>
              </w:rPr>
            </w:pPr>
            <w:r>
              <w:rPr>
                <w:noProof/>
              </w:rPr>
              <w:t>17.17</w:t>
            </w:r>
          </w:p>
        </w:tc>
        <w:tc>
          <w:tcPr>
            <w:tcW w:w="1161" w:type="dxa"/>
            <w:shd w:val="clear" w:color="auto" w:fill="C4EFCE"/>
            <w:noWrap/>
            <w:vAlign w:val="center"/>
            <w:hideMark/>
          </w:tcPr>
          <w:p w14:paraId="319B5557" w14:textId="77777777" w:rsidR="00262911" w:rsidRDefault="00262911" w:rsidP="00262911">
            <w:pPr>
              <w:pStyle w:val="P68B1DB1-Normal8"/>
              <w:spacing w:after="0" w:line="240" w:lineRule="auto"/>
              <w:jc w:val="center"/>
              <w:rPr>
                <w:rFonts w:eastAsia="Times New Roman" w:cs="Calibri"/>
                <w:noProof/>
              </w:rPr>
            </w:pPr>
            <w:r>
              <w:rPr>
                <w:noProof/>
              </w:rPr>
              <w:t>TD-C17-i02</w:t>
            </w:r>
          </w:p>
        </w:tc>
        <w:tc>
          <w:tcPr>
            <w:tcW w:w="1034" w:type="dxa"/>
            <w:shd w:val="clear" w:color="auto" w:fill="C4EFCE"/>
            <w:noWrap/>
            <w:vAlign w:val="center"/>
            <w:hideMark/>
          </w:tcPr>
          <w:p w14:paraId="2F25B982"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554A6DF7" w14:textId="77777777" w:rsidR="00262911" w:rsidRDefault="00262911" w:rsidP="00262911">
            <w:pPr>
              <w:pStyle w:val="P68B1DB1-Normal8"/>
              <w:spacing w:after="0" w:line="240" w:lineRule="auto"/>
              <w:jc w:val="center"/>
              <w:rPr>
                <w:rFonts w:eastAsia="Times New Roman" w:cs="Calibri"/>
                <w:noProof/>
              </w:rPr>
            </w:pPr>
            <w:r>
              <w:rPr>
                <w:noProof/>
              </w:rPr>
              <w:t>A vidéki ingatlanok gazdasági potenciáljának edafo-klimato-morfológiai (talaj- és éghajlat-) jellemzésének és értékelésének befejezése</w:t>
            </w:r>
          </w:p>
        </w:tc>
        <w:tc>
          <w:tcPr>
            <w:tcW w:w="1356" w:type="dxa"/>
            <w:shd w:val="clear" w:color="auto" w:fill="C4EFCE"/>
            <w:noWrap/>
            <w:vAlign w:val="center"/>
            <w:hideMark/>
          </w:tcPr>
          <w:p w14:paraId="23699059" w14:textId="77777777" w:rsidR="00262911" w:rsidRDefault="00262911" w:rsidP="00262911">
            <w:pPr>
              <w:pStyle w:val="P68B1DB1-Normal9"/>
              <w:spacing w:after="0" w:line="240" w:lineRule="auto"/>
              <w:rPr>
                <w:rFonts w:eastAsia="Times New Roman" w:cs="Calibri"/>
                <w:noProof/>
              </w:rPr>
            </w:pPr>
            <w:r>
              <w:rPr>
                <w:noProof/>
              </w:rPr>
              <w:t> </w:t>
            </w:r>
          </w:p>
        </w:tc>
        <w:tc>
          <w:tcPr>
            <w:tcW w:w="909" w:type="dxa"/>
            <w:shd w:val="clear" w:color="auto" w:fill="C4EFCE"/>
            <w:noWrap/>
            <w:vAlign w:val="center"/>
            <w:hideMark/>
          </w:tcPr>
          <w:p w14:paraId="23D3643A" w14:textId="77777777" w:rsidR="00262911" w:rsidRDefault="00262911" w:rsidP="00262911">
            <w:pPr>
              <w:pStyle w:val="P68B1DB1-Normal8"/>
              <w:spacing w:after="0" w:line="240" w:lineRule="auto"/>
              <w:jc w:val="center"/>
              <w:rPr>
                <w:rFonts w:eastAsia="Times New Roman" w:cs="Calibri"/>
                <w:noProof/>
              </w:rPr>
            </w:pPr>
            <w:r>
              <w:rPr>
                <w:noProof/>
              </w:rPr>
              <w:t>%</w:t>
            </w:r>
          </w:p>
        </w:tc>
        <w:tc>
          <w:tcPr>
            <w:tcW w:w="908" w:type="dxa"/>
            <w:shd w:val="clear" w:color="auto" w:fill="C4EFCE"/>
            <w:noWrap/>
            <w:vAlign w:val="center"/>
            <w:hideMark/>
          </w:tcPr>
          <w:p w14:paraId="7FB8B9E4"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6CC06233" w14:textId="77777777" w:rsidR="00262911" w:rsidRDefault="00262911" w:rsidP="00262911">
            <w:pPr>
              <w:pStyle w:val="P68B1DB1-Normal8"/>
              <w:spacing w:after="0" w:line="240" w:lineRule="auto"/>
              <w:jc w:val="center"/>
              <w:rPr>
                <w:rFonts w:eastAsia="Times New Roman" w:cs="Calibri"/>
                <w:noProof/>
              </w:rPr>
            </w:pPr>
            <w:r>
              <w:rPr>
                <w:noProof/>
              </w:rPr>
              <w:t>90</w:t>
            </w:r>
          </w:p>
        </w:tc>
        <w:tc>
          <w:tcPr>
            <w:tcW w:w="530" w:type="dxa"/>
            <w:shd w:val="clear" w:color="auto" w:fill="C4EFCE"/>
            <w:noWrap/>
            <w:vAlign w:val="center"/>
            <w:hideMark/>
          </w:tcPr>
          <w:p w14:paraId="2B8440D4" w14:textId="51F974B0"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0BB7DA10"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7355182" w14:textId="77777777" w:rsidR="00262911" w:rsidRDefault="00262911" w:rsidP="00262911">
            <w:pPr>
              <w:pStyle w:val="P68B1DB1-Normal8"/>
              <w:spacing w:after="0" w:line="240" w:lineRule="auto"/>
              <w:jc w:val="both"/>
              <w:rPr>
                <w:rFonts w:eastAsia="Times New Roman" w:cs="Calibri"/>
                <w:noProof/>
              </w:rPr>
            </w:pPr>
            <w:r>
              <w:rPr>
                <w:noProof/>
              </w:rPr>
              <w:t>Portugália szárazföldi területének százalékos aránya, ahol az edafo-klimato-morfológiai (talaj- és éghajlat-)jellemzést és -értékelést el kell végezni egy georeferencia-információkezelési megoldás kidolgozásával alátámasztva.</w:t>
            </w:r>
          </w:p>
        </w:tc>
      </w:tr>
      <w:tr w:rsidR="00262911" w14:paraId="636011DB" w14:textId="77777777">
        <w:trPr>
          <w:trHeight w:val="1270"/>
        </w:trPr>
        <w:tc>
          <w:tcPr>
            <w:tcW w:w="1043" w:type="dxa"/>
            <w:gridSpan w:val="2"/>
            <w:shd w:val="clear" w:color="auto" w:fill="C4EFCE"/>
            <w:vAlign w:val="center"/>
            <w:hideMark/>
          </w:tcPr>
          <w:p w14:paraId="564CA0E6" w14:textId="3B2D5A91" w:rsidR="00262911" w:rsidRDefault="00262911" w:rsidP="00262911">
            <w:pPr>
              <w:pStyle w:val="P68B1DB1-Normal7"/>
              <w:spacing w:after="0" w:line="240" w:lineRule="auto"/>
              <w:jc w:val="center"/>
              <w:rPr>
                <w:rFonts w:eastAsia="Times New Roman" w:cs="Calibri"/>
                <w:noProof/>
              </w:rPr>
            </w:pPr>
            <w:r>
              <w:rPr>
                <w:noProof/>
              </w:rPr>
              <w:t>17.18</w:t>
            </w:r>
          </w:p>
        </w:tc>
        <w:tc>
          <w:tcPr>
            <w:tcW w:w="1161" w:type="dxa"/>
            <w:shd w:val="clear" w:color="auto" w:fill="C4EFCE"/>
            <w:noWrap/>
            <w:vAlign w:val="center"/>
            <w:hideMark/>
          </w:tcPr>
          <w:p w14:paraId="54C584E0" w14:textId="77777777" w:rsidR="00262911" w:rsidRDefault="00262911" w:rsidP="00262911">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38875FBD"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C70B1BF" w14:textId="77777777" w:rsidR="00262911" w:rsidRDefault="00262911" w:rsidP="00262911">
            <w:pPr>
              <w:pStyle w:val="P68B1DB1-Normal8"/>
              <w:spacing w:after="0" w:line="240" w:lineRule="auto"/>
              <w:jc w:val="center"/>
              <w:rPr>
                <w:rFonts w:eastAsia="Times New Roman" w:cs="Calibri"/>
                <w:noProof/>
              </w:rPr>
            </w:pPr>
            <w:r>
              <w:rPr>
                <w:noProof/>
              </w:rPr>
              <w:t xml:space="preserve">A </w:t>
            </w:r>
            <w:r>
              <w:rPr>
                <w:i/>
                <w:noProof/>
              </w:rPr>
              <w:t>Segurança Social Direta weboldal funkcióinak</w:t>
            </w:r>
            <w:r>
              <w:rPr>
                <w:noProof/>
              </w:rPr>
              <w:t xml:space="preserve"> bővítése öt új online szolgáltatás hozzáadásával</w:t>
            </w:r>
          </w:p>
        </w:tc>
        <w:tc>
          <w:tcPr>
            <w:tcW w:w="1356" w:type="dxa"/>
            <w:shd w:val="clear" w:color="auto" w:fill="C4EFCE"/>
            <w:noWrap/>
            <w:vAlign w:val="center"/>
            <w:hideMark/>
          </w:tcPr>
          <w:p w14:paraId="4A5FCF4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58A04118"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16EE0F30" w14:textId="77777777" w:rsidR="00262911" w:rsidRDefault="00262911" w:rsidP="00262911">
            <w:pPr>
              <w:pStyle w:val="P68B1DB1-Normal8"/>
              <w:spacing w:after="0" w:line="240" w:lineRule="auto"/>
              <w:jc w:val="center"/>
              <w:rPr>
                <w:rFonts w:eastAsia="Times New Roman" w:cs="Calibri"/>
                <w:noProof/>
              </w:rPr>
            </w:pPr>
            <w:r>
              <w:rPr>
                <w:noProof/>
              </w:rPr>
              <w:t>3</w:t>
            </w:r>
          </w:p>
        </w:tc>
        <w:tc>
          <w:tcPr>
            <w:tcW w:w="657" w:type="dxa"/>
            <w:shd w:val="clear" w:color="auto" w:fill="C4EFCE"/>
            <w:noWrap/>
            <w:vAlign w:val="center"/>
            <w:hideMark/>
          </w:tcPr>
          <w:p w14:paraId="45C95345" w14:textId="77777777" w:rsidR="00262911" w:rsidRDefault="00262911" w:rsidP="00262911">
            <w:pPr>
              <w:pStyle w:val="P68B1DB1-Normal8"/>
              <w:spacing w:after="0" w:line="240" w:lineRule="auto"/>
              <w:jc w:val="center"/>
              <w:rPr>
                <w:rFonts w:eastAsia="Times New Roman" w:cs="Calibri"/>
                <w:noProof/>
              </w:rPr>
            </w:pPr>
            <w:r>
              <w:rPr>
                <w:noProof/>
              </w:rPr>
              <w:t>8</w:t>
            </w:r>
          </w:p>
        </w:tc>
        <w:tc>
          <w:tcPr>
            <w:tcW w:w="530" w:type="dxa"/>
            <w:shd w:val="clear" w:color="auto" w:fill="C4EFCE"/>
            <w:noWrap/>
            <w:vAlign w:val="center"/>
            <w:hideMark/>
          </w:tcPr>
          <w:p w14:paraId="578C45B2" w14:textId="19D561CF"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3B5AB061"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212D569A" w14:textId="0C5219B1" w:rsidR="00262911" w:rsidRDefault="00262911" w:rsidP="00262911">
            <w:pPr>
              <w:pStyle w:val="P68B1DB1-Normal8"/>
              <w:spacing w:after="0" w:line="240" w:lineRule="auto"/>
              <w:jc w:val="both"/>
              <w:rPr>
                <w:rFonts w:eastAsia="Times New Roman" w:cs="Calibri"/>
                <w:noProof/>
              </w:rPr>
            </w:pPr>
            <w:r>
              <w:rPr>
                <w:noProof/>
              </w:rPr>
              <w:t xml:space="preserve">A </w:t>
            </w:r>
            <w:r>
              <w:rPr>
                <w:i/>
                <w:noProof/>
              </w:rPr>
              <w:t>Segurança Social Direta honlapjára</w:t>
            </w:r>
            <w:r>
              <w:rPr>
                <w:noProof/>
              </w:rPr>
              <w:t xml:space="preserve"> a funkcióinak bővítése érdekében hozzáadott új online szolgáltatások száma, nevezetesen: információs rendszer a bíróságoknak nyújtott technikai segítségnyújtáshoz – polgári gyámsági eljárás, valamint előléptetési és védelmi folyamat; kiegészítő ellátások – munkanélküli státusz bejelentése; </w:t>
            </w:r>
            <w:r>
              <w:rPr>
                <w:i/>
                <w:noProof/>
              </w:rPr>
              <w:t>családi ellátások – újraértékelés</w:t>
            </w:r>
            <w:r>
              <w:rPr>
                <w:noProof/>
              </w:rPr>
              <w:t xml:space="preserve">; a tevékenység felfüggesztése miatti támogatás; és v. túlélési nyugdíj. A cél a </w:t>
            </w:r>
            <w:r>
              <w:rPr>
                <w:i/>
                <w:noProof/>
              </w:rPr>
              <w:t>Segurança Social Direta relatív súlyának növelése a szociális biztonsággal kapcsolatos</w:t>
            </w:r>
            <w:r>
              <w:rPr>
                <w:noProof/>
              </w:rPr>
              <w:t xml:space="preserve"> valamennyi kommunikációs csatornán, a 360°-os jövőképi terv bevezetésének fényében.</w:t>
            </w:r>
          </w:p>
        </w:tc>
      </w:tr>
      <w:tr w:rsidR="00262911" w14:paraId="67757C18" w14:textId="77777777">
        <w:trPr>
          <w:trHeight w:val="850"/>
        </w:trPr>
        <w:tc>
          <w:tcPr>
            <w:tcW w:w="1043" w:type="dxa"/>
            <w:gridSpan w:val="2"/>
            <w:shd w:val="clear" w:color="auto" w:fill="C4EFCE"/>
            <w:vAlign w:val="center"/>
            <w:hideMark/>
          </w:tcPr>
          <w:p w14:paraId="7799FC6F" w14:textId="77E3C44D" w:rsidR="00262911" w:rsidRDefault="00262911" w:rsidP="00262911">
            <w:pPr>
              <w:pStyle w:val="P68B1DB1-Normal7"/>
              <w:spacing w:after="0" w:line="240" w:lineRule="auto"/>
              <w:jc w:val="center"/>
              <w:rPr>
                <w:rFonts w:eastAsia="Times New Roman" w:cs="Calibri"/>
                <w:noProof/>
              </w:rPr>
            </w:pPr>
            <w:r>
              <w:rPr>
                <w:noProof/>
              </w:rPr>
              <w:t>17.19</w:t>
            </w:r>
          </w:p>
        </w:tc>
        <w:tc>
          <w:tcPr>
            <w:tcW w:w="1161" w:type="dxa"/>
            <w:shd w:val="clear" w:color="auto" w:fill="C4EFCE"/>
            <w:noWrap/>
            <w:vAlign w:val="center"/>
            <w:hideMark/>
          </w:tcPr>
          <w:p w14:paraId="69763485" w14:textId="77777777" w:rsidR="00262911" w:rsidRDefault="00262911" w:rsidP="00262911">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76C9B871"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33B5B6FF" w14:textId="77777777" w:rsidR="00262911" w:rsidRDefault="00262911" w:rsidP="00262911">
            <w:pPr>
              <w:pStyle w:val="P68B1DB1-Normal8"/>
              <w:spacing w:after="0" w:line="240" w:lineRule="auto"/>
              <w:jc w:val="center"/>
              <w:rPr>
                <w:rFonts w:eastAsia="Times New Roman" w:cs="Calibri"/>
                <w:noProof/>
              </w:rPr>
            </w:pPr>
            <w:r>
              <w:rPr>
                <w:noProof/>
              </w:rPr>
              <w:t>A járulékalapú szociális ellátások nyújtásához szükséges napok átlagos számának 80%-os csökkentése azok esetében, akiknek átlagos folyósítási ideje meghaladja a 10 napot</w:t>
            </w:r>
          </w:p>
        </w:tc>
        <w:tc>
          <w:tcPr>
            <w:tcW w:w="1356" w:type="dxa"/>
            <w:shd w:val="clear" w:color="auto" w:fill="C4EFCE"/>
            <w:noWrap/>
            <w:vAlign w:val="center"/>
            <w:hideMark/>
          </w:tcPr>
          <w:p w14:paraId="5D3A167F"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187DF961"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33D4BFA7" w14:textId="77777777" w:rsidR="00262911" w:rsidRDefault="00262911" w:rsidP="00262911">
            <w:pPr>
              <w:pStyle w:val="P68B1DB1-Normal8"/>
              <w:spacing w:after="0" w:line="240" w:lineRule="auto"/>
              <w:jc w:val="center"/>
              <w:rPr>
                <w:rFonts w:eastAsia="Times New Roman" w:cs="Calibri"/>
                <w:noProof/>
              </w:rPr>
            </w:pPr>
            <w:r>
              <w:rPr>
                <w:noProof/>
              </w:rPr>
              <w:t>109</w:t>
            </w:r>
          </w:p>
        </w:tc>
        <w:tc>
          <w:tcPr>
            <w:tcW w:w="657" w:type="dxa"/>
            <w:shd w:val="clear" w:color="auto" w:fill="C4EFCE"/>
            <w:noWrap/>
            <w:vAlign w:val="center"/>
            <w:hideMark/>
          </w:tcPr>
          <w:p w14:paraId="03C9331A" w14:textId="77777777" w:rsidR="00262911" w:rsidRDefault="00262911" w:rsidP="00262911">
            <w:pPr>
              <w:pStyle w:val="P68B1DB1-Normal8"/>
              <w:spacing w:after="0" w:line="240" w:lineRule="auto"/>
              <w:jc w:val="center"/>
              <w:rPr>
                <w:rFonts w:eastAsia="Times New Roman" w:cs="Calibri"/>
                <w:noProof/>
              </w:rPr>
            </w:pPr>
            <w:r>
              <w:rPr>
                <w:noProof/>
              </w:rPr>
              <w:t>22</w:t>
            </w:r>
          </w:p>
        </w:tc>
        <w:tc>
          <w:tcPr>
            <w:tcW w:w="530" w:type="dxa"/>
            <w:shd w:val="clear" w:color="auto" w:fill="C4EFCE"/>
            <w:noWrap/>
            <w:vAlign w:val="center"/>
            <w:hideMark/>
          </w:tcPr>
          <w:p w14:paraId="58BA2038" w14:textId="4CE89143"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7772F1E3"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0FB680BD" w14:textId="77777777" w:rsidR="00262911" w:rsidRDefault="00262911" w:rsidP="00262911">
            <w:pPr>
              <w:pStyle w:val="P68B1DB1-Normal8"/>
              <w:spacing w:after="0" w:line="240" w:lineRule="auto"/>
              <w:jc w:val="both"/>
              <w:rPr>
                <w:rFonts w:eastAsia="Times New Roman" w:cs="Calibri"/>
                <w:noProof/>
              </w:rPr>
            </w:pPr>
            <w:r>
              <w:rPr>
                <w:noProof/>
              </w:rPr>
              <w:t xml:space="preserve">A járulékalapú szociális ellátások nyújtásához szükséges napok átlagos számának 80%-os csökkentése azok esetében, akiknek átlagos folyósítási ideje meghaladja a 10 napot, a </w:t>
            </w:r>
            <w:r>
              <w:rPr>
                <w:i/>
                <w:noProof/>
              </w:rPr>
              <w:t>Segurança Social Direta honlapon</w:t>
            </w:r>
            <w:r>
              <w:rPr>
                <w:noProof/>
              </w:rPr>
              <w:t xml:space="preserve"> végrehajtott fejlesztések eredményeként (a kizárólag Portugáliában járulékfizetésen alapuló karriert folytató nyugdíjasok öregségi nyugdíjával kapcsolatban).</w:t>
            </w:r>
          </w:p>
        </w:tc>
      </w:tr>
      <w:tr w:rsidR="00262911" w14:paraId="4C7418F3" w14:textId="77777777">
        <w:trPr>
          <w:gridBefore w:val="1"/>
          <w:wBefore w:w="7" w:type="dxa"/>
          <w:trHeight w:val="1480"/>
        </w:trPr>
        <w:tc>
          <w:tcPr>
            <w:tcW w:w="1036" w:type="dxa"/>
            <w:shd w:val="clear" w:color="auto" w:fill="C4EFCE"/>
            <w:vAlign w:val="center"/>
            <w:hideMark/>
          </w:tcPr>
          <w:p w14:paraId="21268FB8" w14:textId="1D9AEF2B" w:rsidR="00262911" w:rsidRDefault="00262911" w:rsidP="00262911">
            <w:pPr>
              <w:pStyle w:val="P68B1DB1-Normal7"/>
              <w:spacing w:after="0" w:line="240" w:lineRule="auto"/>
              <w:jc w:val="center"/>
              <w:rPr>
                <w:rFonts w:eastAsia="Times New Roman" w:cs="Calibri"/>
                <w:noProof/>
              </w:rPr>
            </w:pPr>
            <w:r>
              <w:rPr>
                <w:noProof/>
              </w:rPr>
              <w:t>17.20</w:t>
            </w:r>
          </w:p>
        </w:tc>
        <w:tc>
          <w:tcPr>
            <w:tcW w:w="1161" w:type="dxa"/>
            <w:shd w:val="clear" w:color="auto" w:fill="C4EFCE"/>
            <w:noWrap/>
            <w:vAlign w:val="center"/>
            <w:hideMark/>
          </w:tcPr>
          <w:p w14:paraId="5F644801" w14:textId="77777777" w:rsidR="00262911" w:rsidRDefault="00262911" w:rsidP="00262911">
            <w:pPr>
              <w:pStyle w:val="P68B1DB1-Normal8"/>
              <w:spacing w:after="0" w:line="240" w:lineRule="auto"/>
              <w:jc w:val="center"/>
              <w:rPr>
                <w:rFonts w:eastAsia="Times New Roman" w:cs="Calibri"/>
                <w:noProof/>
              </w:rPr>
            </w:pPr>
            <w:r>
              <w:rPr>
                <w:noProof/>
              </w:rPr>
              <w:t>TD-C17-i03</w:t>
            </w:r>
          </w:p>
        </w:tc>
        <w:tc>
          <w:tcPr>
            <w:tcW w:w="1034" w:type="dxa"/>
            <w:shd w:val="clear" w:color="auto" w:fill="C4EFCE"/>
            <w:noWrap/>
            <w:vAlign w:val="center"/>
            <w:hideMark/>
          </w:tcPr>
          <w:p w14:paraId="252B371D" w14:textId="77777777" w:rsidR="00262911" w:rsidRDefault="00262911" w:rsidP="00262911">
            <w:pPr>
              <w:pStyle w:val="P68B1DB1-Normal8"/>
              <w:spacing w:after="0" w:line="240" w:lineRule="auto"/>
              <w:jc w:val="center"/>
              <w:rPr>
                <w:rFonts w:eastAsia="Times New Roman" w:cs="Calibri"/>
                <w:noProof/>
              </w:rPr>
            </w:pPr>
            <w:r>
              <w:rPr>
                <w:noProof/>
              </w:rPr>
              <w:t>T</w:t>
            </w:r>
          </w:p>
        </w:tc>
        <w:tc>
          <w:tcPr>
            <w:tcW w:w="1539" w:type="dxa"/>
            <w:shd w:val="clear" w:color="auto" w:fill="C4EFCE"/>
            <w:noWrap/>
            <w:vAlign w:val="center"/>
            <w:hideMark/>
          </w:tcPr>
          <w:p w14:paraId="05EE2AD5" w14:textId="77777777" w:rsidR="00262911" w:rsidRDefault="00262911" w:rsidP="00262911">
            <w:pPr>
              <w:pStyle w:val="P68B1DB1-Normal8"/>
              <w:spacing w:after="0" w:line="240" w:lineRule="auto"/>
              <w:jc w:val="center"/>
              <w:rPr>
                <w:rFonts w:eastAsia="Times New Roman" w:cs="Calibri"/>
                <w:noProof/>
              </w:rPr>
            </w:pPr>
            <w:r>
              <w:rPr>
                <w:noProof/>
              </w:rPr>
              <w:t>Gépi tanulási folyamatokon alapuló intelligens felügyeleti modellek bevezetése a csalásmegelőzés támogatása érdekében</w:t>
            </w:r>
          </w:p>
        </w:tc>
        <w:tc>
          <w:tcPr>
            <w:tcW w:w="1356" w:type="dxa"/>
            <w:shd w:val="clear" w:color="auto" w:fill="C4EFCE"/>
            <w:noWrap/>
            <w:vAlign w:val="center"/>
            <w:hideMark/>
          </w:tcPr>
          <w:p w14:paraId="1CEDD1F2"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09" w:type="dxa"/>
            <w:shd w:val="clear" w:color="auto" w:fill="C4EFCE"/>
            <w:noWrap/>
            <w:vAlign w:val="center"/>
            <w:hideMark/>
          </w:tcPr>
          <w:p w14:paraId="6A9BFCF7" w14:textId="77777777" w:rsidR="00262911" w:rsidRDefault="00262911" w:rsidP="00262911">
            <w:pPr>
              <w:pStyle w:val="P68B1DB1-Normal8"/>
              <w:spacing w:after="0" w:line="240" w:lineRule="auto"/>
              <w:jc w:val="center"/>
              <w:rPr>
                <w:rFonts w:eastAsia="Times New Roman" w:cs="Calibri"/>
                <w:noProof/>
              </w:rPr>
            </w:pPr>
            <w:r>
              <w:rPr>
                <w:noProof/>
              </w:rPr>
              <w:t>Szám</w:t>
            </w:r>
          </w:p>
        </w:tc>
        <w:tc>
          <w:tcPr>
            <w:tcW w:w="908" w:type="dxa"/>
            <w:shd w:val="clear" w:color="auto" w:fill="C4EFCE"/>
            <w:noWrap/>
            <w:vAlign w:val="center"/>
            <w:hideMark/>
          </w:tcPr>
          <w:p w14:paraId="7D447794" w14:textId="77777777" w:rsidR="00262911" w:rsidRDefault="00262911" w:rsidP="00262911">
            <w:pPr>
              <w:pStyle w:val="P68B1DB1-Normal8"/>
              <w:spacing w:after="0" w:line="240" w:lineRule="auto"/>
              <w:jc w:val="center"/>
              <w:rPr>
                <w:rFonts w:eastAsia="Times New Roman" w:cs="Calibri"/>
                <w:noProof/>
              </w:rPr>
            </w:pPr>
            <w:r>
              <w:rPr>
                <w:noProof/>
              </w:rPr>
              <w:t>0</w:t>
            </w:r>
          </w:p>
        </w:tc>
        <w:tc>
          <w:tcPr>
            <w:tcW w:w="657" w:type="dxa"/>
            <w:shd w:val="clear" w:color="auto" w:fill="C4EFCE"/>
            <w:noWrap/>
            <w:vAlign w:val="center"/>
            <w:hideMark/>
          </w:tcPr>
          <w:p w14:paraId="46AC5F87" w14:textId="77777777" w:rsidR="00262911" w:rsidRDefault="00262911" w:rsidP="00262911">
            <w:pPr>
              <w:pStyle w:val="P68B1DB1-Normal8"/>
              <w:spacing w:after="0" w:line="240" w:lineRule="auto"/>
              <w:jc w:val="center"/>
              <w:rPr>
                <w:rFonts w:eastAsia="Times New Roman" w:cs="Calibri"/>
                <w:noProof/>
              </w:rPr>
            </w:pPr>
            <w:r>
              <w:rPr>
                <w:noProof/>
              </w:rPr>
              <w:t>2</w:t>
            </w:r>
          </w:p>
        </w:tc>
        <w:tc>
          <w:tcPr>
            <w:tcW w:w="530" w:type="dxa"/>
            <w:shd w:val="clear" w:color="auto" w:fill="C4EFCE"/>
            <w:noWrap/>
            <w:vAlign w:val="center"/>
            <w:hideMark/>
          </w:tcPr>
          <w:p w14:paraId="5DD99422" w14:textId="49F4ED8B" w:rsidR="00262911" w:rsidRDefault="00262911" w:rsidP="00262911">
            <w:pPr>
              <w:pStyle w:val="P68B1DB1-Normal8"/>
              <w:spacing w:after="0" w:line="240" w:lineRule="auto"/>
              <w:jc w:val="center"/>
              <w:rPr>
                <w:rFonts w:eastAsia="Times New Roman" w:cs="Calibri"/>
                <w:noProof/>
              </w:rPr>
            </w:pPr>
            <w:r>
              <w:rPr>
                <w:noProof/>
              </w:rPr>
              <w:t>4. NEGYEDÉV</w:t>
            </w:r>
          </w:p>
        </w:tc>
        <w:tc>
          <w:tcPr>
            <w:tcW w:w="656" w:type="dxa"/>
            <w:shd w:val="clear" w:color="auto" w:fill="C4EFCE"/>
            <w:noWrap/>
            <w:vAlign w:val="center"/>
            <w:hideMark/>
          </w:tcPr>
          <w:p w14:paraId="7F14D13C"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5456" w:type="dxa"/>
            <w:shd w:val="clear" w:color="auto" w:fill="C4EFCE"/>
            <w:noWrap/>
            <w:vAlign w:val="center"/>
            <w:hideMark/>
          </w:tcPr>
          <w:p w14:paraId="5CABF8C9" w14:textId="77777777" w:rsidR="00262911" w:rsidRDefault="00262911" w:rsidP="00262911">
            <w:pPr>
              <w:pStyle w:val="P68B1DB1-Normal8"/>
              <w:spacing w:after="0" w:line="240" w:lineRule="auto"/>
              <w:jc w:val="both"/>
              <w:rPr>
                <w:rFonts w:eastAsia="Times New Roman" w:cs="Calibri"/>
                <w:noProof/>
              </w:rPr>
            </w:pPr>
            <w:r>
              <w:rPr>
                <w:noProof/>
              </w:rPr>
              <w:t>Két, gépi tanulási folyamatot alkalmazó intelligens felügyeleti modellt kell megvalósítani és üzembe helyezni. A létrehozandó és végrehajtandó két modell a következő: olyan prediktív modell, amely a tanulási algoritmusok eredményei alapján, a társadalombiztosítási információs rendszer felügyeleti információs alrendszeréből származó múltbeli adatok felhasználásával megjelölheti az ellenőrizendő szervezeteket annak érdekében, hogy célzottabb felügyeleti intézkedéseket hajtson végre, kevesebb operatív erőfeszítéssel és határozottabb eredményekkel, fokozva a felügyeleti rendszer hatékonyságát és eredményességét, és kihasználva más információforrásokat; a szociális juttatások kedvezményezettjeire vonatkozó kockázati indexek modellje.</w:t>
            </w:r>
          </w:p>
        </w:tc>
      </w:tr>
      <w:tr w:rsidR="00C009B1" w14:paraId="69E96EC0" w14:textId="77777777">
        <w:trPr>
          <w:gridBefore w:val="1"/>
          <w:wBefore w:w="7" w:type="dxa"/>
          <w:trHeight w:val="1480"/>
        </w:trPr>
        <w:tc>
          <w:tcPr>
            <w:tcW w:w="1036" w:type="dxa"/>
            <w:shd w:val="clear" w:color="auto" w:fill="C4EFCE"/>
            <w:vAlign w:val="center"/>
          </w:tcPr>
          <w:p w14:paraId="01D7CF90" w14:textId="67468CFC" w:rsidR="00C009B1" w:rsidRDefault="00C009B1" w:rsidP="00C009B1">
            <w:pPr>
              <w:pStyle w:val="P68B1DB1-Normal11"/>
              <w:spacing w:after="0" w:line="240" w:lineRule="auto"/>
              <w:jc w:val="center"/>
              <w:rPr>
                <w:rFonts w:eastAsia="Times New Roman"/>
                <w:noProof/>
              </w:rPr>
            </w:pPr>
            <w:r>
              <w:rPr>
                <w:noProof/>
              </w:rPr>
              <w:t>17.22</w:t>
            </w:r>
          </w:p>
        </w:tc>
        <w:tc>
          <w:tcPr>
            <w:tcW w:w="1161" w:type="dxa"/>
            <w:shd w:val="clear" w:color="auto" w:fill="C4EFCE"/>
            <w:noWrap/>
            <w:vAlign w:val="center"/>
          </w:tcPr>
          <w:p w14:paraId="4F426F40" w14:textId="196A5CF9" w:rsidR="00C009B1" w:rsidRDefault="00C009B1" w:rsidP="00C009B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42B2BCF9" w14:textId="55495B11" w:rsidR="00C009B1" w:rsidRDefault="00C009B1" w:rsidP="00C009B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5E087B51" w14:textId="7A377310" w:rsidR="00C009B1" w:rsidRDefault="00C009B1" w:rsidP="00C009B1">
            <w:pPr>
              <w:pStyle w:val="P68B1DB1-Normal12"/>
              <w:spacing w:after="0" w:line="240" w:lineRule="auto"/>
              <w:jc w:val="center"/>
              <w:rPr>
                <w:rFonts w:eastAsia="Times New Roman" w:cstheme="minorHAnsi"/>
                <w:noProof/>
              </w:rPr>
            </w:pPr>
            <w:r>
              <w:rPr>
                <w:noProof/>
              </w:rPr>
              <w:t>A kiválasztott adókedvezmények jogi keretét módosító jogi aktus hatálybalépése</w:t>
            </w:r>
          </w:p>
        </w:tc>
        <w:tc>
          <w:tcPr>
            <w:tcW w:w="1356" w:type="dxa"/>
            <w:shd w:val="clear" w:color="auto" w:fill="C4EFCE"/>
            <w:noWrap/>
            <w:vAlign w:val="center"/>
          </w:tcPr>
          <w:p w14:paraId="066FAA9F" w14:textId="6052F03F" w:rsidR="00C009B1" w:rsidRDefault="00C009B1" w:rsidP="00C009B1">
            <w:pPr>
              <w:pStyle w:val="P68B1DB1-Normal12"/>
              <w:spacing w:after="0" w:line="240" w:lineRule="auto"/>
              <w:jc w:val="center"/>
              <w:rPr>
                <w:rFonts w:eastAsia="Times New Roman" w:cstheme="minorHAnsi"/>
                <w:noProof/>
              </w:rPr>
            </w:pPr>
            <w:r>
              <w:rPr>
                <w:noProof/>
              </w:rPr>
              <w:t xml:space="preserve">A jogi aktus hatálybalépésére vonatkozó rendelkezés </w:t>
            </w:r>
          </w:p>
        </w:tc>
        <w:tc>
          <w:tcPr>
            <w:tcW w:w="909" w:type="dxa"/>
            <w:shd w:val="clear" w:color="auto" w:fill="C4EFCE"/>
            <w:noWrap/>
            <w:vAlign w:val="center"/>
          </w:tcPr>
          <w:p w14:paraId="04F14139" w14:textId="77777777" w:rsidR="00C009B1" w:rsidRDefault="00C009B1" w:rsidP="00C009B1">
            <w:pPr>
              <w:spacing w:after="0" w:line="240" w:lineRule="auto"/>
              <w:jc w:val="center"/>
              <w:rPr>
                <w:rFonts w:eastAsia="Times New Roman" w:cstheme="minorHAnsi"/>
                <w:noProof/>
                <w:sz w:val="16"/>
              </w:rPr>
            </w:pPr>
          </w:p>
        </w:tc>
        <w:tc>
          <w:tcPr>
            <w:tcW w:w="908" w:type="dxa"/>
            <w:shd w:val="clear" w:color="auto" w:fill="C4EFCE"/>
            <w:noWrap/>
            <w:vAlign w:val="center"/>
          </w:tcPr>
          <w:p w14:paraId="365FE8AC" w14:textId="77777777" w:rsidR="00C009B1" w:rsidRDefault="00C009B1" w:rsidP="00C009B1">
            <w:pPr>
              <w:spacing w:after="0" w:line="240" w:lineRule="auto"/>
              <w:jc w:val="center"/>
              <w:rPr>
                <w:rFonts w:eastAsia="Times New Roman" w:cstheme="minorHAnsi"/>
                <w:noProof/>
                <w:sz w:val="16"/>
              </w:rPr>
            </w:pPr>
          </w:p>
        </w:tc>
        <w:tc>
          <w:tcPr>
            <w:tcW w:w="657" w:type="dxa"/>
            <w:shd w:val="clear" w:color="auto" w:fill="C4EFCE"/>
            <w:noWrap/>
            <w:vAlign w:val="center"/>
          </w:tcPr>
          <w:p w14:paraId="186DD478" w14:textId="77777777" w:rsidR="00C009B1" w:rsidRDefault="00C009B1" w:rsidP="00C009B1">
            <w:pPr>
              <w:spacing w:after="0" w:line="240" w:lineRule="auto"/>
              <w:jc w:val="center"/>
              <w:rPr>
                <w:rFonts w:eastAsia="Times New Roman" w:cstheme="minorHAnsi"/>
                <w:noProof/>
                <w:sz w:val="16"/>
              </w:rPr>
            </w:pPr>
          </w:p>
        </w:tc>
        <w:tc>
          <w:tcPr>
            <w:tcW w:w="530" w:type="dxa"/>
            <w:shd w:val="clear" w:color="auto" w:fill="C4EFCE"/>
            <w:noWrap/>
            <w:vAlign w:val="center"/>
          </w:tcPr>
          <w:p w14:paraId="487CCC18" w14:textId="08B21638" w:rsidR="00C009B1" w:rsidRDefault="00C009B1" w:rsidP="00C009B1">
            <w:pPr>
              <w:pStyle w:val="P68B1DB1-Normal12"/>
              <w:spacing w:after="0" w:line="240" w:lineRule="auto"/>
              <w:jc w:val="center"/>
              <w:rPr>
                <w:rFonts w:eastAsia="Times New Roman"/>
                <w:noProof/>
              </w:rPr>
            </w:pPr>
            <w:r>
              <w:rPr>
                <w:noProof/>
              </w:rPr>
              <w:t>2. NEGYEDÉV</w:t>
            </w:r>
          </w:p>
        </w:tc>
        <w:tc>
          <w:tcPr>
            <w:tcW w:w="656" w:type="dxa"/>
            <w:shd w:val="clear" w:color="auto" w:fill="C4EFCE"/>
            <w:noWrap/>
            <w:vAlign w:val="center"/>
          </w:tcPr>
          <w:p w14:paraId="76AEA003" w14:textId="7985F81C" w:rsidR="00C009B1" w:rsidRDefault="00C009B1" w:rsidP="00C009B1">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243D977D" w14:textId="31C1F2BF" w:rsidR="00C009B1" w:rsidRDefault="00C009B1" w:rsidP="00C009B1">
            <w:pPr>
              <w:pStyle w:val="P68B1DB1-Normal12"/>
              <w:spacing w:after="0" w:line="240" w:lineRule="auto"/>
              <w:jc w:val="both"/>
              <w:rPr>
                <w:rFonts w:eastAsia="Times New Roman" w:cstheme="minorHAnsi"/>
                <w:noProof/>
              </w:rPr>
            </w:pPr>
            <w:r>
              <w:rPr>
                <w:noProof/>
              </w:rPr>
              <w:t xml:space="preserve">Olyan jogi aktus hatálybalépése, amely megszünteti vagy kiterjeszti a célzott adókedvezményeket. A jogi aktusnak tartalmaznia kell azokat az adókedvezményeket, amelyek a hatálybalépését követő évben hatályukat vesztik, és amelyek már nem igazodnak eredeti közpolitikai célkitűzéséhez, vagy kevés kedvezményezettjük van, és amelyek potenciálisan károsak a környezetre. </w:t>
            </w:r>
          </w:p>
        </w:tc>
      </w:tr>
      <w:tr w:rsidR="00262911" w14:paraId="7D159597" w14:textId="77777777">
        <w:trPr>
          <w:gridBefore w:val="1"/>
          <w:wBefore w:w="7" w:type="dxa"/>
          <w:trHeight w:val="1480"/>
        </w:trPr>
        <w:tc>
          <w:tcPr>
            <w:tcW w:w="1036" w:type="dxa"/>
            <w:shd w:val="clear" w:color="auto" w:fill="C4EFCE"/>
            <w:vAlign w:val="center"/>
          </w:tcPr>
          <w:p w14:paraId="4663EF1C" w14:textId="69D49F94" w:rsidR="00262911" w:rsidRDefault="00262911" w:rsidP="00262911">
            <w:pPr>
              <w:pStyle w:val="P68B1DB1-Normal11"/>
              <w:spacing w:after="0" w:line="240" w:lineRule="auto"/>
              <w:jc w:val="center"/>
              <w:rPr>
                <w:rFonts w:eastAsia="Times New Roman"/>
                <w:noProof/>
              </w:rPr>
            </w:pPr>
            <w:r>
              <w:rPr>
                <w:noProof/>
              </w:rPr>
              <w:t>17.23</w:t>
            </w:r>
          </w:p>
        </w:tc>
        <w:tc>
          <w:tcPr>
            <w:tcW w:w="1161" w:type="dxa"/>
            <w:shd w:val="clear" w:color="auto" w:fill="C4EFCE"/>
            <w:noWrap/>
            <w:vAlign w:val="center"/>
          </w:tcPr>
          <w:p w14:paraId="02D8E2E9" w14:textId="15919057" w:rsidR="00262911" w:rsidRDefault="00262911" w:rsidP="0026291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5585C109" w14:textId="6D8FEF48" w:rsidR="00262911" w:rsidRDefault="00262911" w:rsidP="0026291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074B5F8D" w14:textId="45DB9125" w:rsidR="00262911" w:rsidRDefault="00262911" w:rsidP="00262911">
            <w:pPr>
              <w:pStyle w:val="P68B1DB1-Normal12"/>
              <w:spacing w:after="0" w:line="240" w:lineRule="auto"/>
              <w:jc w:val="center"/>
              <w:rPr>
                <w:rFonts w:eastAsia="Times New Roman" w:cstheme="minorHAnsi"/>
                <w:noProof/>
              </w:rPr>
            </w:pPr>
            <w:r>
              <w:rPr>
                <w:noProof/>
              </w:rPr>
              <w:t xml:space="preserve">Az </w:t>
            </w:r>
            <w:r>
              <w:rPr>
                <w:i/>
                <w:noProof/>
              </w:rPr>
              <w:t>Unidade Técnica de Avaliação Tributária e Aduaneira</w:t>
            </w:r>
            <w:r>
              <w:rPr>
                <w:noProof/>
              </w:rPr>
              <w:t xml:space="preserve"> (U-TAX) állandó műszaki adópolitikai egység létrehozásáról szóló jogi aktus hatálybalépése</w:t>
            </w:r>
          </w:p>
        </w:tc>
        <w:tc>
          <w:tcPr>
            <w:tcW w:w="1356" w:type="dxa"/>
            <w:shd w:val="clear" w:color="auto" w:fill="C4EFCE"/>
            <w:noWrap/>
            <w:vAlign w:val="center"/>
          </w:tcPr>
          <w:p w14:paraId="719D5034" w14:textId="1C010633" w:rsidR="00262911" w:rsidRDefault="00262911" w:rsidP="00262911">
            <w:pPr>
              <w:pStyle w:val="P68B1DB1-Normal12"/>
              <w:spacing w:after="0" w:line="240" w:lineRule="auto"/>
              <w:jc w:val="center"/>
              <w:rPr>
                <w:rFonts w:eastAsia="Times New Roman" w:cstheme="minorHAnsi"/>
                <w:noProof/>
              </w:rPr>
            </w:pPr>
            <w:r>
              <w:rPr>
                <w:noProof/>
              </w:rPr>
              <w:t>A jogi aktus hatálybalépésére vonatkozó rendelkezés</w:t>
            </w:r>
          </w:p>
        </w:tc>
        <w:tc>
          <w:tcPr>
            <w:tcW w:w="909" w:type="dxa"/>
            <w:shd w:val="clear" w:color="auto" w:fill="C4EFCE"/>
            <w:noWrap/>
            <w:vAlign w:val="center"/>
          </w:tcPr>
          <w:p w14:paraId="3B1ACCA2" w14:textId="77777777" w:rsidR="00262911" w:rsidRDefault="00262911" w:rsidP="00262911">
            <w:pPr>
              <w:spacing w:after="0" w:line="240" w:lineRule="auto"/>
              <w:jc w:val="center"/>
              <w:rPr>
                <w:rFonts w:eastAsia="Times New Roman" w:cstheme="minorHAnsi"/>
                <w:noProof/>
                <w:sz w:val="16"/>
              </w:rPr>
            </w:pPr>
          </w:p>
        </w:tc>
        <w:tc>
          <w:tcPr>
            <w:tcW w:w="908" w:type="dxa"/>
            <w:shd w:val="clear" w:color="auto" w:fill="C4EFCE"/>
            <w:noWrap/>
            <w:vAlign w:val="center"/>
          </w:tcPr>
          <w:p w14:paraId="0E293281" w14:textId="77777777" w:rsidR="00262911" w:rsidRDefault="00262911" w:rsidP="00262911">
            <w:pPr>
              <w:spacing w:after="0" w:line="240" w:lineRule="auto"/>
              <w:jc w:val="center"/>
              <w:rPr>
                <w:rFonts w:eastAsia="Times New Roman" w:cstheme="minorHAnsi"/>
                <w:noProof/>
                <w:sz w:val="16"/>
              </w:rPr>
            </w:pPr>
          </w:p>
        </w:tc>
        <w:tc>
          <w:tcPr>
            <w:tcW w:w="657" w:type="dxa"/>
            <w:shd w:val="clear" w:color="auto" w:fill="C4EFCE"/>
            <w:noWrap/>
            <w:vAlign w:val="center"/>
          </w:tcPr>
          <w:p w14:paraId="5D83358F" w14:textId="77777777" w:rsidR="00262911" w:rsidRDefault="00262911" w:rsidP="00262911">
            <w:pPr>
              <w:spacing w:after="0" w:line="240" w:lineRule="auto"/>
              <w:jc w:val="center"/>
              <w:rPr>
                <w:rFonts w:eastAsia="Times New Roman" w:cstheme="minorHAnsi"/>
                <w:noProof/>
                <w:sz w:val="16"/>
              </w:rPr>
            </w:pPr>
          </w:p>
        </w:tc>
        <w:tc>
          <w:tcPr>
            <w:tcW w:w="530" w:type="dxa"/>
            <w:shd w:val="clear" w:color="auto" w:fill="C4EFCE"/>
            <w:noWrap/>
            <w:vAlign w:val="center"/>
          </w:tcPr>
          <w:p w14:paraId="0DAA9FB8" w14:textId="354B1908" w:rsidR="00262911" w:rsidRDefault="00262911" w:rsidP="00262911">
            <w:pPr>
              <w:pStyle w:val="P68B1DB1-Normal12"/>
              <w:spacing w:after="0" w:line="240" w:lineRule="auto"/>
              <w:jc w:val="center"/>
              <w:rPr>
                <w:rFonts w:eastAsia="Times New Roman" w:cstheme="minorHAnsi"/>
                <w:noProof/>
              </w:rPr>
            </w:pPr>
            <w:r>
              <w:rPr>
                <w:noProof/>
              </w:rPr>
              <w:t>4. NEGYEDÉV</w:t>
            </w:r>
          </w:p>
        </w:tc>
        <w:tc>
          <w:tcPr>
            <w:tcW w:w="656" w:type="dxa"/>
            <w:shd w:val="clear" w:color="auto" w:fill="C4EFCE"/>
            <w:noWrap/>
            <w:vAlign w:val="center"/>
          </w:tcPr>
          <w:p w14:paraId="65BE177B" w14:textId="2FA41D59" w:rsidR="00262911" w:rsidRDefault="00262911" w:rsidP="00262911">
            <w:pPr>
              <w:pStyle w:val="P68B1DB1-Normal12"/>
              <w:spacing w:after="0" w:line="240" w:lineRule="auto"/>
              <w:jc w:val="center"/>
              <w:rPr>
                <w:rFonts w:eastAsia="Times New Roman" w:cstheme="minorHAnsi"/>
                <w:noProof/>
              </w:rPr>
            </w:pPr>
            <w:r>
              <w:rPr>
                <w:noProof/>
              </w:rPr>
              <w:t>2023</w:t>
            </w:r>
          </w:p>
        </w:tc>
        <w:tc>
          <w:tcPr>
            <w:tcW w:w="5456" w:type="dxa"/>
            <w:shd w:val="clear" w:color="auto" w:fill="C4EFCE"/>
            <w:noWrap/>
            <w:vAlign w:val="center"/>
          </w:tcPr>
          <w:p w14:paraId="4897A805" w14:textId="581A7D2B" w:rsidR="00262911" w:rsidRDefault="00262911" w:rsidP="00262911">
            <w:pPr>
              <w:pStyle w:val="P68B1DB1-Bodytext1013"/>
              <w:rPr>
                <w:rFonts w:cstheme="minorHAnsi"/>
                <w:noProof/>
              </w:rPr>
            </w:pPr>
            <w:r>
              <w:rPr>
                <w:noProof/>
              </w:rPr>
              <w:t>Az U-TAX állandó technikai adópolitikai egységet létrehozó jogi aktus hatálybalépése.</w:t>
            </w:r>
          </w:p>
        </w:tc>
      </w:tr>
      <w:tr w:rsidR="00C009B1" w14:paraId="0837937C" w14:textId="77777777">
        <w:trPr>
          <w:gridBefore w:val="1"/>
          <w:wBefore w:w="7" w:type="dxa"/>
          <w:trHeight w:val="1480"/>
        </w:trPr>
        <w:tc>
          <w:tcPr>
            <w:tcW w:w="1036" w:type="dxa"/>
            <w:shd w:val="clear" w:color="auto" w:fill="C4EFCE"/>
            <w:vAlign w:val="center"/>
          </w:tcPr>
          <w:p w14:paraId="3233421E" w14:textId="76C741D0" w:rsidR="00C009B1" w:rsidRDefault="00C009B1" w:rsidP="00C009B1">
            <w:pPr>
              <w:pStyle w:val="P68B1DB1-Normal11"/>
              <w:spacing w:after="0" w:line="240" w:lineRule="auto"/>
              <w:jc w:val="center"/>
              <w:rPr>
                <w:rFonts w:eastAsia="Times New Roman"/>
                <w:noProof/>
              </w:rPr>
            </w:pPr>
            <w:r>
              <w:rPr>
                <w:noProof/>
              </w:rPr>
              <w:t>17.24</w:t>
            </w:r>
          </w:p>
        </w:tc>
        <w:tc>
          <w:tcPr>
            <w:tcW w:w="1161" w:type="dxa"/>
            <w:shd w:val="clear" w:color="auto" w:fill="C4EFCE"/>
            <w:noWrap/>
            <w:vAlign w:val="center"/>
          </w:tcPr>
          <w:p w14:paraId="737C50B6" w14:textId="0F8480BF" w:rsidR="00C009B1" w:rsidRDefault="00C009B1" w:rsidP="00C009B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033151D4" w14:textId="6185ABFC" w:rsidR="00C009B1" w:rsidRDefault="00C009B1" w:rsidP="00C009B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161CE14C" w14:textId="582AD1B7" w:rsidR="00C009B1" w:rsidRDefault="00C009B1" w:rsidP="00C009B1">
            <w:pPr>
              <w:pStyle w:val="P68B1DB1-Bodytext1013"/>
              <w:rPr>
                <w:rFonts w:cstheme="minorHAnsi"/>
                <w:noProof/>
              </w:rPr>
            </w:pPr>
            <w:r>
              <w:rPr>
                <w:noProof/>
              </w:rPr>
              <w:t>Az U-TAX értékelő jelentésének közzététele a meglévő adókedvezményekről</w:t>
            </w:r>
          </w:p>
        </w:tc>
        <w:tc>
          <w:tcPr>
            <w:tcW w:w="1356" w:type="dxa"/>
            <w:shd w:val="clear" w:color="auto" w:fill="C4EFCE"/>
            <w:noWrap/>
            <w:vAlign w:val="center"/>
          </w:tcPr>
          <w:p w14:paraId="6CFBEBB0" w14:textId="37037DA5" w:rsidR="00C009B1" w:rsidRDefault="00C009B1" w:rsidP="00C009B1">
            <w:pPr>
              <w:pStyle w:val="P68B1DB1-Normal12"/>
              <w:spacing w:after="0" w:line="240" w:lineRule="auto"/>
              <w:jc w:val="center"/>
              <w:rPr>
                <w:rFonts w:eastAsia="Times New Roman" w:cstheme="minorHAnsi"/>
                <w:noProof/>
              </w:rPr>
            </w:pPr>
            <w:r>
              <w:rPr>
                <w:noProof/>
              </w:rPr>
              <w:t>Az U-TAX értékelő jelentésének közzététele</w:t>
            </w:r>
          </w:p>
        </w:tc>
        <w:tc>
          <w:tcPr>
            <w:tcW w:w="909" w:type="dxa"/>
            <w:shd w:val="clear" w:color="auto" w:fill="C4EFCE"/>
            <w:noWrap/>
            <w:vAlign w:val="center"/>
          </w:tcPr>
          <w:p w14:paraId="178DAFEF" w14:textId="77777777" w:rsidR="00C009B1" w:rsidRDefault="00C009B1" w:rsidP="00C009B1">
            <w:pPr>
              <w:spacing w:after="0" w:line="240" w:lineRule="auto"/>
              <w:jc w:val="center"/>
              <w:rPr>
                <w:rFonts w:eastAsia="Times New Roman" w:cstheme="minorHAnsi"/>
                <w:noProof/>
                <w:sz w:val="16"/>
              </w:rPr>
            </w:pPr>
          </w:p>
        </w:tc>
        <w:tc>
          <w:tcPr>
            <w:tcW w:w="908" w:type="dxa"/>
            <w:shd w:val="clear" w:color="auto" w:fill="C4EFCE"/>
            <w:noWrap/>
            <w:vAlign w:val="center"/>
          </w:tcPr>
          <w:p w14:paraId="31A31401" w14:textId="77777777" w:rsidR="00C009B1" w:rsidRDefault="00C009B1" w:rsidP="00C009B1">
            <w:pPr>
              <w:spacing w:after="0" w:line="240" w:lineRule="auto"/>
              <w:jc w:val="center"/>
              <w:rPr>
                <w:rFonts w:eastAsia="Times New Roman" w:cstheme="minorHAnsi"/>
                <w:noProof/>
                <w:sz w:val="16"/>
              </w:rPr>
            </w:pPr>
          </w:p>
        </w:tc>
        <w:tc>
          <w:tcPr>
            <w:tcW w:w="657" w:type="dxa"/>
            <w:shd w:val="clear" w:color="auto" w:fill="C4EFCE"/>
            <w:noWrap/>
            <w:vAlign w:val="center"/>
          </w:tcPr>
          <w:p w14:paraId="58433C55" w14:textId="77777777" w:rsidR="00C009B1" w:rsidRDefault="00C009B1" w:rsidP="00C009B1">
            <w:pPr>
              <w:spacing w:after="0" w:line="240" w:lineRule="auto"/>
              <w:jc w:val="center"/>
              <w:rPr>
                <w:rFonts w:eastAsia="Times New Roman" w:cstheme="minorHAnsi"/>
                <w:noProof/>
                <w:sz w:val="16"/>
              </w:rPr>
            </w:pPr>
          </w:p>
        </w:tc>
        <w:tc>
          <w:tcPr>
            <w:tcW w:w="530" w:type="dxa"/>
            <w:shd w:val="clear" w:color="auto" w:fill="C4EFCE"/>
            <w:noWrap/>
            <w:vAlign w:val="center"/>
          </w:tcPr>
          <w:p w14:paraId="266E7E25" w14:textId="3427A92C" w:rsidR="00C009B1" w:rsidRDefault="00C009B1" w:rsidP="00C009B1">
            <w:pPr>
              <w:pStyle w:val="P68B1DB1-Normal12"/>
              <w:spacing w:after="0" w:line="240" w:lineRule="auto"/>
              <w:jc w:val="center"/>
              <w:rPr>
                <w:rFonts w:eastAsia="Times New Roman" w:cstheme="minorHAnsi"/>
                <w:noProof/>
              </w:rPr>
            </w:pPr>
            <w:r>
              <w:rPr>
                <w:noProof/>
              </w:rPr>
              <w:t>2. NEGYEDÉV</w:t>
            </w:r>
          </w:p>
        </w:tc>
        <w:tc>
          <w:tcPr>
            <w:tcW w:w="656" w:type="dxa"/>
            <w:shd w:val="clear" w:color="auto" w:fill="C4EFCE"/>
            <w:noWrap/>
            <w:vAlign w:val="center"/>
          </w:tcPr>
          <w:p w14:paraId="77EA0F2E" w14:textId="13F6F2D7" w:rsidR="00C009B1" w:rsidRDefault="00C009B1" w:rsidP="00C009B1">
            <w:pPr>
              <w:pStyle w:val="P68B1DB1-Normal12"/>
              <w:spacing w:after="0" w:line="240" w:lineRule="auto"/>
              <w:jc w:val="center"/>
              <w:rPr>
                <w:rFonts w:eastAsia="Times New Roman" w:cstheme="minorHAnsi"/>
                <w:noProof/>
              </w:rPr>
            </w:pPr>
            <w:r>
              <w:rPr>
                <w:noProof/>
              </w:rPr>
              <w:t>2025</w:t>
            </w:r>
          </w:p>
        </w:tc>
        <w:tc>
          <w:tcPr>
            <w:tcW w:w="5456" w:type="dxa"/>
            <w:shd w:val="clear" w:color="auto" w:fill="C4EFCE"/>
            <w:noWrap/>
            <w:vAlign w:val="center"/>
          </w:tcPr>
          <w:p w14:paraId="03CED8F5" w14:textId="2F4499FE" w:rsidR="00C009B1" w:rsidRDefault="00C009B1" w:rsidP="00C009B1">
            <w:pPr>
              <w:pStyle w:val="P68B1DB1-Bodytext1013"/>
              <w:spacing w:after="0"/>
              <w:rPr>
                <w:rFonts w:cstheme="minorHAnsi"/>
                <w:noProof/>
              </w:rPr>
            </w:pPr>
            <w:r>
              <w:rPr>
                <w:noProof/>
              </w:rPr>
              <w:t xml:space="preserve">Az U-TAX értékelő jelentésének közzététele a meglévő adókedvezményekről. A jelentés költség-haszon elemzést tartalmaz az adókedvezmények eredményességére vonatkozó kritériumokkal, figyelembe véve azok eredeti közpolitikai célkitűzését, a keletkezett adókiadások gazdasági hatékonyságát és a környezetvédelmi megfontolásokat. </w:t>
            </w:r>
          </w:p>
          <w:p w14:paraId="32CA742E" w14:textId="77777777" w:rsidR="00C009B1" w:rsidRDefault="00C009B1" w:rsidP="00C009B1">
            <w:pPr>
              <w:pStyle w:val="P68B1DB1-Bodytext1013"/>
              <w:spacing w:after="0"/>
              <w:rPr>
                <w:rFonts w:cstheme="minorHAnsi"/>
                <w:noProof/>
              </w:rPr>
            </w:pPr>
            <w:r>
              <w:rPr>
                <w:noProof/>
              </w:rPr>
              <w:t xml:space="preserve">Az értékelő jelentésnek ki kell terjednie azokra az adókedvezményekre, amelyek a közzétételt követő évben lejárnak, valamint az adókedvezmények jelentős csoportjára, az </w:t>
            </w:r>
            <w:r>
              <w:rPr>
                <w:i/>
                <w:noProof/>
              </w:rPr>
              <w:t>Estatuto dos Benefícios Fiscais</w:t>
            </w:r>
            <w:r>
              <w:rPr>
                <w:noProof/>
              </w:rPr>
              <w:t xml:space="preserve"> -on kívül is. </w:t>
            </w:r>
          </w:p>
          <w:p w14:paraId="3165E0FB" w14:textId="74F6954C" w:rsidR="00C009B1" w:rsidRDefault="00C009B1" w:rsidP="00C009B1">
            <w:pPr>
              <w:pStyle w:val="P68B1DB1-Bodytext1013"/>
              <w:spacing w:after="0"/>
              <w:rPr>
                <w:rFonts w:cstheme="minorHAnsi"/>
                <w:noProof/>
              </w:rPr>
            </w:pPr>
            <w:r>
              <w:rPr>
                <w:noProof/>
              </w:rPr>
              <w:t>Az adókedvezmények jelentős körét a kapcsolódó adókiadások reprezentativitása alapján kell meghatározni, a hozzáadottérték-adóval, a személyi jövedelemadóval és a társasági adóval kapcsolatos kiadásokra összpontosítva.</w:t>
            </w:r>
          </w:p>
          <w:p w14:paraId="27114AA9" w14:textId="1D86CB07" w:rsidR="00C009B1" w:rsidRDefault="00C009B1" w:rsidP="00C009B1">
            <w:pPr>
              <w:pStyle w:val="P68B1DB1-Normal12"/>
              <w:rPr>
                <w:noProof/>
              </w:rPr>
            </w:pPr>
            <w:r>
              <w:rPr>
                <w:noProof/>
              </w:rPr>
              <w:t xml:space="preserve">Az U-TAX kizárhatja elemzéséből azokat a portugál adókedvezményeket, amelyeket konkrét munkacsoportok már a létrehozása előtt értékeltek, valamint a független közintézmények által értékelt portugál adókedvezményeket, feltéve, hogy ez a közzétett elemzés naprakész, és megfelel a költség-haszon elemzés fent meghatározott kritériumainak. </w:t>
            </w:r>
          </w:p>
          <w:p w14:paraId="69554B53" w14:textId="6AC9827B" w:rsidR="00C009B1" w:rsidRDefault="00C009B1" w:rsidP="00C009B1">
            <w:pPr>
              <w:pStyle w:val="P68B1DB1-Normal12"/>
              <w:spacing w:after="0" w:line="240" w:lineRule="auto"/>
              <w:jc w:val="both"/>
              <w:rPr>
                <w:rFonts w:eastAsia="Times New Roman" w:cstheme="minorHAnsi"/>
                <w:noProof/>
              </w:rPr>
            </w:pPr>
            <w:r>
              <w:rPr>
                <w:noProof/>
              </w:rPr>
              <w:t>Az értékelő jelentésnek ajánlásokat kell tartalmaznia arra vonatkozóan, hogy a benne foglalt adókedvezmények közül melyiket kell megszüntetni, meghosszabbítani vagy módosítani.</w:t>
            </w:r>
          </w:p>
        </w:tc>
      </w:tr>
      <w:tr w:rsidR="00262911" w14:paraId="014DEF92" w14:textId="77777777">
        <w:trPr>
          <w:gridBefore w:val="1"/>
          <w:wBefore w:w="7" w:type="dxa"/>
          <w:trHeight w:val="1480"/>
        </w:trPr>
        <w:tc>
          <w:tcPr>
            <w:tcW w:w="1036" w:type="dxa"/>
            <w:shd w:val="clear" w:color="auto" w:fill="C4EFCE"/>
            <w:vAlign w:val="center"/>
          </w:tcPr>
          <w:p w14:paraId="5B5FBA47" w14:textId="374B26BF" w:rsidR="00262911" w:rsidRDefault="00262911" w:rsidP="00262911">
            <w:pPr>
              <w:pStyle w:val="P68B1DB1-Normal11"/>
              <w:spacing w:after="0" w:line="240" w:lineRule="auto"/>
              <w:jc w:val="center"/>
              <w:rPr>
                <w:rFonts w:eastAsia="Times New Roman"/>
                <w:noProof/>
              </w:rPr>
            </w:pPr>
            <w:r>
              <w:rPr>
                <w:noProof/>
              </w:rPr>
              <w:t>17.25</w:t>
            </w:r>
          </w:p>
        </w:tc>
        <w:tc>
          <w:tcPr>
            <w:tcW w:w="1161" w:type="dxa"/>
            <w:shd w:val="clear" w:color="auto" w:fill="C4EFCE"/>
            <w:noWrap/>
            <w:vAlign w:val="center"/>
          </w:tcPr>
          <w:p w14:paraId="027A26B7" w14:textId="7BDDCBF5" w:rsidR="00262911" w:rsidRDefault="00262911" w:rsidP="00262911">
            <w:pPr>
              <w:pStyle w:val="P68B1DB1-Normal12"/>
              <w:spacing w:after="0" w:line="240" w:lineRule="auto"/>
              <w:jc w:val="center"/>
              <w:rPr>
                <w:rFonts w:eastAsia="Times New Roman" w:cstheme="minorHAnsi"/>
                <w:noProof/>
              </w:rPr>
            </w:pPr>
            <w:r>
              <w:rPr>
                <w:noProof/>
              </w:rPr>
              <w:t>TD-C17-r40</w:t>
            </w:r>
          </w:p>
        </w:tc>
        <w:tc>
          <w:tcPr>
            <w:tcW w:w="1034" w:type="dxa"/>
            <w:shd w:val="clear" w:color="auto" w:fill="C4EFCE"/>
            <w:noWrap/>
            <w:vAlign w:val="center"/>
          </w:tcPr>
          <w:p w14:paraId="232BE3B1" w14:textId="451A1F82" w:rsidR="00262911" w:rsidRDefault="00262911" w:rsidP="00262911">
            <w:pPr>
              <w:pStyle w:val="P68B1DB1-Normal12"/>
              <w:spacing w:after="0" w:line="240" w:lineRule="auto"/>
              <w:jc w:val="center"/>
              <w:rPr>
                <w:rFonts w:eastAsia="Times New Roman" w:cstheme="minorHAnsi"/>
                <w:noProof/>
              </w:rPr>
            </w:pPr>
            <w:r>
              <w:rPr>
                <w:noProof/>
              </w:rPr>
              <w:t>M</w:t>
            </w:r>
          </w:p>
        </w:tc>
        <w:tc>
          <w:tcPr>
            <w:tcW w:w="1539" w:type="dxa"/>
            <w:shd w:val="clear" w:color="auto" w:fill="C4EFCE"/>
            <w:noWrap/>
            <w:vAlign w:val="center"/>
          </w:tcPr>
          <w:p w14:paraId="65CAD365" w14:textId="31C85319" w:rsidR="00262911" w:rsidRDefault="00262911" w:rsidP="00262911">
            <w:pPr>
              <w:pStyle w:val="P68B1DB1-Normal12"/>
              <w:spacing w:after="0" w:line="240" w:lineRule="auto"/>
              <w:jc w:val="center"/>
              <w:rPr>
                <w:rFonts w:eastAsia="Times New Roman" w:cstheme="minorHAnsi"/>
                <w:noProof/>
              </w:rPr>
            </w:pPr>
            <w:r>
              <w:rPr>
                <w:noProof/>
              </w:rPr>
              <w:t xml:space="preserve">Az adókedvezményekről szóló jogi aktus hatálybalépése </w:t>
            </w:r>
          </w:p>
        </w:tc>
        <w:tc>
          <w:tcPr>
            <w:tcW w:w="1356" w:type="dxa"/>
            <w:shd w:val="clear" w:color="auto" w:fill="C4EFCE"/>
            <w:noWrap/>
            <w:vAlign w:val="center"/>
          </w:tcPr>
          <w:p w14:paraId="311CAF38" w14:textId="6D28ACD0" w:rsidR="00262911" w:rsidRDefault="00262911" w:rsidP="00262911">
            <w:pPr>
              <w:pStyle w:val="P68B1DB1-Normal12"/>
              <w:spacing w:after="0" w:line="240" w:lineRule="auto"/>
              <w:jc w:val="center"/>
              <w:rPr>
                <w:rFonts w:eastAsia="Times New Roman" w:cstheme="minorHAnsi"/>
                <w:noProof/>
              </w:rPr>
            </w:pPr>
            <w:r>
              <w:rPr>
                <w:noProof/>
              </w:rPr>
              <w:t xml:space="preserve">A jogi aktus hatálybalépésére vonatkozó rendelkezés </w:t>
            </w:r>
          </w:p>
        </w:tc>
        <w:tc>
          <w:tcPr>
            <w:tcW w:w="909" w:type="dxa"/>
            <w:shd w:val="clear" w:color="auto" w:fill="C4EFCE"/>
            <w:noWrap/>
            <w:vAlign w:val="center"/>
          </w:tcPr>
          <w:p w14:paraId="347AD5E7" w14:textId="77777777" w:rsidR="00262911" w:rsidRDefault="00262911" w:rsidP="00262911">
            <w:pPr>
              <w:spacing w:after="0" w:line="240" w:lineRule="auto"/>
              <w:jc w:val="center"/>
              <w:rPr>
                <w:rFonts w:eastAsia="Times New Roman" w:cstheme="minorHAnsi"/>
                <w:noProof/>
                <w:sz w:val="16"/>
              </w:rPr>
            </w:pPr>
          </w:p>
        </w:tc>
        <w:tc>
          <w:tcPr>
            <w:tcW w:w="908" w:type="dxa"/>
            <w:shd w:val="clear" w:color="auto" w:fill="C4EFCE"/>
            <w:noWrap/>
            <w:vAlign w:val="center"/>
          </w:tcPr>
          <w:p w14:paraId="676CE199" w14:textId="77777777" w:rsidR="00262911" w:rsidRDefault="00262911" w:rsidP="00262911">
            <w:pPr>
              <w:spacing w:after="0" w:line="240" w:lineRule="auto"/>
              <w:jc w:val="center"/>
              <w:rPr>
                <w:rFonts w:eastAsia="Times New Roman" w:cstheme="minorHAnsi"/>
                <w:noProof/>
                <w:sz w:val="16"/>
              </w:rPr>
            </w:pPr>
          </w:p>
        </w:tc>
        <w:tc>
          <w:tcPr>
            <w:tcW w:w="657" w:type="dxa"/>
            <w:shd w:val="clear" w:color="auto" w:fill="C4EFCE"/>
            <w:noWrap/>
            <w:vAlign w:val="center"/>
          </w:tcPr>
          <w:p w14:paraId="57178CE3" w14:textId="77777777" w:rsidR="00262911" w:rsidRDefault="00262911" w:rsidP="00262911">
            <w:pPr>
              <w:spacing w:after="0" w:line="240" w:lineRule="auto"/>
              <w:jc w:val="center"/>
              <w:rPr>
                <w:rFonts w:eastAsia="Times New Roman" w:cstheme="minorHAnsi"/>
                <w:noProof/>
                <w:sz w:val="16"/>
              </w:rPr>
            </w:pPr>
          </w:p>
        </w:tc>
        <w:tc>
          <w:tcPr>
            <w:tcW w:w="530" w:type="dxa"/>
            <w:shd w:val="clear" w:color="auto" w:fill="C4EFCE"/>
            <w:noWrap/>
            <w:vAlign w:val="center"/>
          </w:tcPr>
          <w:p w14:paraId="3D84C64B" w14:textId="13FD4B2D" w:rsidR="00262911" w:rsidRDefault="00262911" w:rsidP="00262911">
            <w:pPr>
              <w:pStyle w:val="P68B1DB1-Normal12"/>
              <w:spacing w:after="0" w:line="240" w:lineRule="auto"/>
              <w:jc w:val="center"/>
              <w:rPr>
                <w:rFonts w:eastAsia="Times New Roman" w:cstheme="minorHAnsi"/>
                <w:noProof/>
              </w:rPr>
            </w:pPr>
            <w:r>
              <w:rPr>
                <w:noProof/>
              </w:rPr>
              <w:t>4. NEGYEDÉV</w:t>
            </w:r>
          </w:p>
        </w:tc>
        <w:tc>
          <w:tcPr>
            <w:tcW w:w="656" w:type="dxa"/>
            <w:shd w:val="clear" w:color="auto" w:fill="C4EFCE"/>
            <w:noWrap/>
            <w:vAlign w:val="center"/>
          </w:tcPr>
          <w:p w14:paraId="29B7FF51" w14:textId="261A5E14" w:rsidR="00262911" w:rsidRDefault="00262911" w:rsidP="00262911">
            <w:pPr>
              <w:pStyle w:val="P68B1DB1-Normal12"/>
              <w:spacing w:after="0" w:line="240" w:lineRule="auto"/>
              <w:jc w:val="center"/>
              <w:rPr>
                <w:rFonts w:eastAsia="Times New Roman" w:cstheme="minorHAnsi"/>
                <w:noProof/>
              </w:rPr>
            </w:pPr>
            <w:r>
              <w:rPr>
                <w:noProof/>
              </w:rPr>
              <w:t>2026</w:t>
            </w:r>
          </w:p>
        </w:tc>
        <w:tc>
          <w:tcPr>
            <w:tcW w:w="5456" w:type="dxa"/>
            <w:shd w:val="clear" w:color="auto" w:fill="C4EFCE"/>
            <w:noWrap/>
            <w:vAlign w:val="center"/>
          </w:tcPr>
          <w:p w14:paraId="12CA98A0" w14:textId="0DCA3F2C" w:rsidR="00262911" w:rsidRDefault="00262911" w:rsidP="00262911">
            <w:pPr>
              <w:pStyle w:val="P68B1DB1-Bodytext1013"/>
              <w:spacing w:after="0"/>
              <w:rPr>
                <w:rFonts w:eastAsiaTheme="minorHAnsi" w:cstheme="minorBidi"/>
                <w:noProof/>
              </w:rPr>
            </w:pPr>
            <w:r>
              <w:rPr>
                <w:noProof/>
              </w:rPr>
              <w:t>Az adókedvezmény-rendszert a meglévő adókedvezmények számának csökkentésével egyszerűsítő jogi aktus hatálybalépése, figyelembe véve az U-TAX értékelő jelentésének ajánlásait és a 17.24. mérföldkőben meghatározott egyéb elemzéseket.</w:t>
            </w:r>
          </w:p>
        </w:tc>
      </w:tr>
    </w:tbl>
    <w:p w14:paraId="7340E1CC" w14:textId="77777777" w:rsidR="00DC5EC6" w:rsidRDefault="00DC5EC6">
      <w:pPr>
        <w:keepNext/>
        <w:spacing w:before="40" w:after="0" w:line="259" w:lineRule="auto"/>
        <w:jc w:val="both"/>
        <w:rPr>
          <w:rFonts w:ascii="Times New Roman" w:eastAsiaTheme="minorEastAsia" w:hAnsi="Times New Roman" w:cs="Times New Roman"/>
          <w:noProof/>
          <w:sz w:val="24"/>
          <w:u w:val="single"/>
        </w:rPr>
      </w:pPr>
    </w:p>
    <w:p w14:paraId="1B2345CC" w14:textId="77777777" w:rsidR="00DC5EC6" w:rsidRDefault="00DC5EC6">
      <w:pPr>
        <w:keepNext/>
        <w:spacing w:before="40" w:after="0" w:line="259" w:lineRule="auto"/>
        <w:jc w:val="both"/>
        <w:rPr>
          <w:rFonts w:ascii="Times New Roman" w:eastAsiaTheme="minorEastAsia" w:hAnsi="Times New Roman" w:cs="Times New Roman"/>
          <w:noProof/>
          <w:sz w:val="24"/>
          <w:u w:val="single"/>
        </w:rPr>
      </w:pPr>
    </w:p>
    <w:p w14:paraId="6123A23C"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24"/>
          <w:headerReference w:type="default" r:id="rId325"/>
          <w:footerReference w:type="even" r:id="rId326"/>
          <w:footerReference w:type="default" r:id="rId327"/>
          <w:headerReference w:type="first" r:id="rId328"/>
          <w:footerReference w:type="first" r:id="rId329"/>
          <w:pgSz w:w="16839" w:h="11907" w:orient="landscape"/>
          <w:pgMar w:top="1134" w:right="1134" w:bottom="1134" w:left="1134" w:header="567" w:footer="567" w:gutter="0"/>
          <w:cols w:space="720"/>
          <w:docGrid w:linePitch="360"/>
        </w:sectPr>
      </w:pPr>
    </w:p>
    <w:p w14:paraId="2F13BED3" w14:textId="4412D960"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R. 18. </w:t>
      </w:r>
      <w:r w:rsidR="00342815">
        <w:rPr>
          <w:noProof/>
        </w:rPr>
        <w:t>KOMPONENS</w:t>
      </w:r>
      <w:r>
        <w:rPr>
          <w:noProof/>
        </w:rPr>
        <w:t>: Gazdasági igazságosság és üzleti környezet</w:t>
      </w:r>
    </w:p>
    <w:p w14:paraId="238C7521"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a portugál igazságszolgáltatási rendszer hatékonysági hiányosságaival, valamint az üzleti engedélyek terén még fennálló szűk keresztmetszetekkel foglalkozik. Az elmúlt években javult az adminisztratív és adóügyi eljárások hossza, de továbbra is az egyik legmagasabb az EU-ban, és a folyamatban lévő ügyek (ügyhátralék) száma továbbra is viszonylag magas. Az üzleti környezetet a biztosítékokra és a csődre vonatkozó jogszabályok alacsony hatékonysága, valamint egyes ágazatokban a szigorú engedélyezési eljárások is akadályozzák. </w:t>
      </w:r>
    </w:p>
    <w:p w14:paraId="5E76299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polgárok és a vállalatok, valamint az állam közötti kapcsolatok megerősítése és hatékonyabbá tétele, valamint az üzleti tevékenységet akadályozó és a termelékenységet befolyásoló terhek és összetettség csökkentése. Két régóta fennálló kérdéssel foglalkozik: a működési engedélyek megszerzésének akadályai és az igazságszolgáltatási rendszer hiányosságai, valamint a „definíció szerint digitális” paradigma elfogadása az igazságszolgáltatási rendszerben, valamint annak előmozdítása az engedélyezési eljárásokban mind a bíróságok működése, mind az érdekelt felekkel való kapcsolattartás tekintetében. </w:t>
      </w:r>
    </w:p>
    <w:p w14:paraId="76272F78" w14:textId="77777777" w:rsidR="00DC5EC6" w:rsidRDefault="003245A4">
      <w:pPr>
        <w:pStyle w:val="P68B1DB1-Normal4"/>
        <w:keepNext/>
        <w:spacing w:before="40" w:after="0" w:line="259" w:lineRule="auto"/>
        <w:jc w:val="both"/>
        <w:rPr>
          <w:rFonts w:eastAsiaTheme="minorEastAsia" w:cs="Times New Roman"/>
          <w:noProof/>
        </w:rPr>
      </w:pPr>
      <w:r>
        <w:rPr>
          <w:noProof/>
        </w:rPr>
        <w:t>Ennek a komponensnek a célja az országspecifikus ajánlásokban (2019. és 2020. évi 4. országspecifikus ajánlás) azonosított különböző kihívások kezelése, nevezetesen a fizetésképtelenségi eljárások, valamint a közigazgatási és adóügyi bíróságok területén továbbra is fennálló hatékonysági hiányosságok kezelése, valamint a vállalkozásokra vonatkozó engedélyezési követelmények kérdésének kezelése, miközben érinti a szabályozott szakmákra vonatkozó (ugyanazon országspecifikus ajánlásokban is szereplő) keretet, bár csak a fizetésképtelenségi szakértők szakmájára korlátozódik (a szabályozott szakmákkal kapcsolatos kihívással a 6. elem foglalkozik). A komponens hozzájárul továbbá a beruházások digitális átállásra való összpontosításáról szóló országspecifikus ajánlás (2020. évi 3. országspecifikus ajánlás) végrehajtásához is.</w:t>
      </w:r>
    </w:p>
    <w:p w14:paraId="5854FAB7" w14:textId="77777777" w:rsidR="00DC5EC6" w:rsidRDefault="003245A4">
      <w:pPr>
        <w:pStyle w:val="P68B1DB1-Normal4"/>
        <w:keepNext/>
        <w:spacing w:before="40" w:after="0" w:line="259" w:lineRule="auto"/>
        <w:jc w:val="both"/>
        <w:rPr>
          <w:rFonts w:eastAsiaTheme="minorEastAsia" w:cs="Times New Roman"/>
          <w:noProof/>
        </w:rPr>
      </w:pPr>
      <w:r>
        <w:rPr>
          <w:noProof/>
        </w:rPr>
        <w:t>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w:t>
      </w:r>
    </w:p>
    <w:p w14:paraId="1109CC39"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3FEC5922"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R.1. </w:t>
      </w:r>
      <w:r>
        <w:rPr>
          <w:noProof/>
        </w:rPr>
        <w:tab/>
        <w:t>Vissza nem térítendő pénzügyi támogatás – a reformok és beruházások ismertetése</w:t>
      </w:r>
    </w:p>
    <w:p w14:paraId="6924508E" w14:textId="7198A548"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TD-C18-r33 reform: Gazdasági igazságosság és üzleti környezet</w:t>
      </w:r>
    </w:p>
    <w:p w14:paraId="3133444F" w14:textId="77777777" w:rsidR="00DC5EC6" w:rsidRDefault="003245A4">
      <w:pPr>
        <w:pStyle w:val="P68B1DB1-Normal4"/>
        <w:keepNext/>
        <w:spacing w:before="40" w:after="0" w:line="259" w:lineRule="auto"/>
        <w:jc w:val="both"/>
        <w:rPr>
          <w:rFonts w:eastAsiaTheme="minorEastAsia" w:cs="Times New Roman"/>
          <w:noProof/>
        </w:rPr>
      </w:pPr>
      <w:r>
        <w:rPr>
          <w:noProof/>
        </w:rPr>
        <w:t>A reformnak magában kell foglalnia az engedélyezés területén a beruházások előtt álló akadályok azonosítását az eljárási hiányosságok csökkentése, valamint a digitalizáció és a szolgáltatások közötti interoperabilitás előnyeinek kihasználása érdekében, az üzleti környezet tekintetében a reform központi elemeként alkalmazva a „csak egyszer” elvet. A jogi keretnek az ilyen akadályok felszámolását célzó módosításai a tervek szerint 2025 harmadik negyedévére lépnek hatályba.</w:t>
      </w:r>
    </w:p>
    <w:p w14:paraId="16D053AF" w14:textId="6A0BEF7A" w:rsidR="00DC5EC6" w:rsidRDefault="003245A4">
      <w:pPr>
        <w:pStyle w:val="P68B1DB1-Normal4"/>
        <w:keepNext/>
        <w:spacing w:before="40" w:after="0" w:line="259" w:lineRule="auto"/>
        <w:jc w:val="both"/>
        <w:rPr>
          <w:rFonts w:eastAsiaTheme="minorEastAsia" w:cs="Times New Roman"/>
          <w:noProof/>
        </w:rPr>
      </w:pPr>
      <w:r>
        <w:rPr>
          <w:noProof/>
        </w:rPr>
        <w:t xml:space="preserve">Az igazságszolgáltatás területén a reform célja a közigazgatási és adóügyi bíróságok hatékonyságának növelése egy olyan jogi keret létrehozásával, amely előmozdítja a peren kívüli egyezségeket, valamint a felsőbb szintű bíróságok szakosodott tanácsainak létrehozását, míg a fizetésképtelenségi keretrendszer felülvizsgálata magában foglalja a fizetésképtelenségi szakértők szerepének megerősítését, a hitelező jogait megerősítő jogi keret felülvizsgálatát, valamint bizonyos esetekben a kötelező részleges felosztás bevezetését. </w:t>
      </w:r>
    </w:p>
    <w:p w14:paraId="512710E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tervezett reformnak továbbá jogalapot kell biztosítania a folyamatok és eljárások digitalizálásához az igazságszolgáltatási rendszer egészében, beleértve a kriminalisztikai és bűnügyi nyomozások területét is. </w:t>
      </w:r>
    </w:p>
    <w:p w14:paraId="62C04DD3" w14:textId="233D5065" w:rsidR="00DC5EC6" w:rsidRDefault="003245A4">
      <w:pPr>
        <w:pStyle w:val="P68B1DB1-Normal4"/>
        <w:keepNext/>
        <w:spacing w:before="40" w:after="0" w:line="259" w:lineRule="auto"/>
        <w:jc w:val="both"/>
        <w:rPr>
          <w:rFonts w:eastAsiaTheme="minorEastAsia" w:cs="Times New Roman"/>
          <w:noProof/>
        </w:rPr>
      </w:pPr>
      <w:r>
        <w:rPr>
          <w:noProof/>
        </w:rPr>
        <w:t>A reform végrehajtását 2025. szeptember 30-ig be kell fejezni.</w:t>
      </w:r>
    </w:p>
    <w:p w14:paraId="0242038B"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67684AD" w14:textId="66EF0FAF"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TD-C18–i01: Gazdasági igazságosság és üzleti környezet</w:t>
      </w:r>
    </w:p>
    <w:p w14:paraId="0BCC9F57" w14:textId="77777777" w:rsidR="00DC5EC6" w:rsidRDefault="003245A4">
      <w:pPr>
        <w:pStyle w:val="P68B1DB1-Normal4"/>
        <w:keepNext/>
        <w:spacing w:before="40" w:after="0" w:line="259" w:lineRule="auto"/>
        <w:jc w:val="both"/>
        <w:rPr>
          <w:rFonts w:eastAsiaTheme="minorEastAsia" w:cs="Times New Roman"/>
          <w:noProof/>
        </w:rPr>
      </w:pPr>
      <w:r>
        <w:rPr>
          <w:noProof/>
        </w:rPr>
        <w:t>A beruházás célja a portugál igazságszolgáltatási informatikai rendszerek digitális átállásának és rezilienciájának biztosítása. Célja, hogy a „definíció szerint digitális” paradigmát integrálja az igazságszolgáltatásba és a regisztrátorokba, beleértve a polgárokkal és a vállalkozásokkal való interakciókat is.</w:t>
      </w:r>
    </w:p>
    <w:p w14:paraId="440992D0" w14:textId="77777777" w:rsidR="00DC5EC6" w:rsidRDefault="003245A4">
      <w:pPr>
        <w:pStyle w:val="P68B1DB1-Normal4"/>
        <w:keepNext/>
        <w:spacing w:before="40" w:after="0" w:line="259" w:lineRule="auto"/>
        <w:jc w:val="both"/>
        <w:rPr>
          <w:rFonts w:eastAsiaTheme="minorEastAsia" w:cs="Times New Roman"/>
          <w:noProof/>
        </w:rPr>
      </w:pPr>
      <w:r>
        <w:rPr>
          <w:noProof/>
        </w:rPr>
        <w:t>A digitális átállás e beruházás ugródeszkája, amely az alábbi öt klaszterre tagolódik:</w:t>
      </w:r>
    </w:p>
    <w:p w14:paraId="3E5216F8"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Az igazságszolgáltatási rendszer digitális platformjainak fejlesztése és megvalósítása (valamennyi bíróságot beleértve), amelyek célja valamennyi igazságszolgáltatási folyamat és eljárás digitalizálásának előmozdítása, valamint a meglévő ügyhátralékok kezelése érdekében a hatékonyság ezzel járó növekedésének előnyeinek kiaknázása. Ezenkívül új kapcsolódási pontokat kell kialakítani az érintett érdekelt felekkel való kapcsolattartáshoz;</w:t>
      </w:r>
    </w:p>
    <w:p w14:paraId="6E480707"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Digitális platformok kifejlesztése a polgárok és a vállalkozások számára (beleértve az adatmigrációt is), új szolgáltatások online elérhetővé tétele, valamint egyes szolgáltatások teljes dematerializációjának biztosítása. Ennek a beruházásnak az a célja, hogy integrált szolgáltatási platformokat biztosítson a vállalkozások és a polgárok számára „életciklusuk” során, beleértve az összes különböző regisztrátort (valós ingatlan, járművek, nemzetiség, kereskedelmi és bűnügyi nyilvántartások, valamint szabadalmi nyilvántartásba vétel és ellenőrzés);</w:t>
      </w:r>
    </w:p>
    <w:p w14:paraId="5C4276B3"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A bűnügyi nyomozások és kriminalisztika digitális platformjai, információs rendszerek fejlesztése és korszerűsítése, valamint az európai hálózatokkal való kapcsolat biztosítása, </w:t>
      </w:r>
    </w:p>
    <w:p w14:paraId="7CD0A53D"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Tudásmenedzsment-platformok kifejlesztése és megvalósítása az igazságszolgáltatásban, beleértve a közös szolgáltatási platformot, a dokumentumkezelést, a statisztikák és mutatók összeállítására szolgáló platform kialakítását, valamint a kommunikációban és a digitális szolgáltatásokban a polgárokkal és a vállalkozásokkal folytatott interakciók során használt nyelv egyszerűsítését (beleértve az elektronikus értesítéseket is);</w:t>
      </w:r>
    </w:p>
    <w:p w14:paraId="6B600ACC"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 technológiai infrastruktúra és berendezések fejlesztése, beleértve az adatközpontot, a katasztrófa-/helyreállítási eszközt, a digitális archívumokat, a nyílt adatplatformot, a digitális személyazonosság-kezelést, valamint egy digitális kapcsolattartó központ és egy ügyfélszolgálat létrehozását az igazságügy területén.</w:t>
      </w:r>
    </w:p>
    <w:p w14:paraId="5E8B14D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a 19. elemmel (digitális közigazgatás) fennálló erős szinergiák előnyeit élvezi, megvalósítva a „definíció szerint digitális” paradigmát, és biztosítva a nemzeti kiberbiztonsági stratégiával és a számításifelhő-stratégiával való összhangot. </w:t>
      </w:r>
    </w:p>
    <w:p w14:paraId="4A4D4017" w14:textId="77777777" w:rsidR="00DC5EC6" w:rsidRDefault="003245A4">
      <w:pPr>
        <w:pStyle w:val="P68B1DB1-Normal4"/>
        <w:spacing w:before="40" w:after="0" w:line="259" w:lineRule="auto"/>
        <w:jc w:val="both"/>
        <w:rPr>
          <w:rFonts w:eastAsiaTheme="minorEastAsia" w:cs="Times New Roman"/>
          <w:noProof/>
        </w:rPr>
        <w:sectPr w:rsidR="00DC5EC6" w:rsidSect="00E00EDD">
          <w:headerReference w:type="even" r:id="rId330"/>
          <w:headerReference w:type="default" r:id="rId331"/>
          <w:footerReference w:type="even" r:id="rId332"/>
          <w:footerReference w:type="default" r:id="rId333"/>
          <w:headerReference w:type="first" r:id="rId334"/>
          <w:footerReference w:type="first" r:id="rId335"/>
          <w:pgSz w:w="11907" w:h="16839"/>
          <w:pgMar w:top="1134" w:right="1134" w:bottom="1134" w:left="1134" w:header="567" w:footer="567" w:gutter="0"/>
          <w:cols w:space="720"/>
          <w:docGrid w:linePitch="360"/>
        </w:sectPr>
      </w:pPr>
      <w:r>
        <w:rPr>
          <w:noProof/>
        </w:rPr>
        <w:t>A beruházás végrehajtását 2025. december 31-ig be kell fejezni.</w:t>
      </w:r>
    </w:p>
    <w:p w14:paraId="10A08022" w14:textId="77777777" w:rsidR="00DC5EC6" w:rsidRDefault="003245A4">
      <w:pPr>
        <w:pStyle w:val="P68B1DB1-Normal3"/>
        <w:spacing w:before="40" w:after="0" w:line="259" w:lineRule="auto"/>
        <w:ind w:left="130" w:firstLine="720"/>
        <w:jc w:val="both"/>
        <w:outlineLvl w:val="1"/>
        <w:rPr>
          <w:rFonts w:eastAsiaTheme="minorEastAsia" w:cs="Times New Roman"/>
          <w:noProof/>
        </w:rPr>
      </w:pPr>
      <w:r>
        <w:rPr>
          <w:noProof/>
        </w:rPr>
        <w:t xml:space="preserve">R.2. </w:t>
      </w:r>
      <w:r>
        <w:rPr>
          <w:noProof/>
        </w:rPr>
        <w:tab/>
        <w:t>Vissza nem térítendő pénzügyi támogatás – a végrehajtáshoz és a nyomon követéshez kapcsolódó mérföldkövek, célok, mutatók és ütemterv</w:t>
      </w:r>
    </w:p>
    <w:p w14:paraId="786060A7"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993"/>
        <w:gridCol w:w="1521"/>
        <w:gridCol w:w="6"/>
        <w:gridCol w:w="1633"/>
        <w:gridCol w:w="1659"/>
        <w:gridCol w:w="992"/>
        <w:gridCol w:w="777"/>
        <w:gridCol w:w="533"/>
        <w:gridCol w:w="614"/>
        <w:gridCol w:w="4880"/>
      </w:tblGrid>
      <w:tr w:rsidR="00DC5EC6" w14:paraId="10258B68" w14:textId="77777777">
        <w:trPr>
          <w:trHeight w:val="910"/>
          <w:tblHeader/>
        </w:trPr>
        <w:tc>
          <w:tcPr>
            <w:tcW w:w="1277" w:type="dxa"/>
            <w:vMerge w:val="restart"/>
            <w:shd w:val="clear" w:color="auto" w:fill="BDD6EE"/>
            <w:vAlign w:val="center"/>
          </w:tcPr>
          <w:p w14:paraId="690E97EE"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5" w:type="dxa"/>
            <w:vMerge w:val="restart"/>
            <w:shd w:val="clear" w:color="auto" w:fill="BDD6EE"/>
            <w:vAlign w:val="center"/>
            <w:hideMark/>
          </w:tcPr>
          <w:p w14:paraId="6FE76F1B"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993" w:type="dxa"/>
            <w:vMerge w:val="restart"/>
            <w:shd w:val="clear" w:color="auto" w:fill="BDD6EE"/>
            <w:vAlign w:val="center"/>
            <w:hideMark/>
          </w:tcPr>
          <w:p w14:paraId="1C9E635C" w14:textId="1CAE8360" w:rsidR="00DC5EC6" w:rsidRDefault="003245A4">
            <w:pPr>
              <w:pStyle w:val="P68B1DB1-Normal6"/>
              <w:spacing w:after="0" w:line="240" w:lineRule="auto"/>
              <w:jc w:val="center"/>
              <w:rPr>
                <w:rFonts w:eastAsia="Times New Roman" w:cs="Times New Roman"/>
                <w:noProof/>
              </w:rPr>
            </w:pPr>
            <w:r>
              <w:rPr>
                <w:noProof/>
              </w:rPr>
              <w:t>Mérföldkő/cél</w:t>
            </w:r>
          </w:p>
        </w:tc>
        <w:tc>
          <w:tcPr>
            <w:tcW w:w="1521" w:type="dxa"/>
            <w:vMerge w:val="restart"/>
            <w:shd w:val="clear" w:color="auto" w:fill="BDD6EE"/>
            <w:vAlign w:val="center"/>
            <w:hideMark/>
          </w:tcPr>
          <w:p w14:paraId="03568057" w14:textId="77777777" w:rsidR="00DC5EC6" w:rsidRDefault="003245A4">
            <w:pPr>
              <w:pStyle w:val="P68B1DB1-Normal6"/>
              <w:spacing w:after="0" w:line="240" w:lineRule="auto"/>
              <w:jc w:val="center"/>
              <w:rPr>
                <w:rFonts w:eastAsia="Times New Roman" w:cs="Times New Roman"/>
                <w:noProof/>
              </w:rPr>
            </w:pPr>
            <w:r>
              <w:rPr>
                <w:noProof/>
              </w:rPr>
              <w:t>Név</w:t>
            </w:r>
          </w:p>
        </w:tc>
        <w:tc>
          <w:tcPr>
            <w:tcW w:w="1639" w:type="dxa"/>
            <w:gridSpan w:val="2"/>
            <w:vMerge w:val="restart"/>
            <w:shd w:val="clear" w:color="auto" w:fill="BDD6EE"/>
            <w:vAlign w:val="center"/>
            <w:hideMark/>
          </w:tcPr>
          <w:p w14:paraId="28863AC3"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3428" w:type="dxa"/>
            <w:gridSpan w:val="3"/>
            <w:shd w:val="clear" w:color="auto" w:fill="BDD6EE"/>
            <w:vAlign w:val="center"/>
            <w:hideMark/>
          </w:tcPr>
          <w:p w14:paraId="4089044F"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147" w:type="dxa"/>
            <w:gridSpan w:val="2"/>
            <w:shd w:val="clear" w:color="auto" w:fill="BDD6EE"/>
            <w:vAlign w:val="center"/>
            <w:hideMark/>
          </w:tcPr>
          <w:p w14:paraId="637730C0"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880" w:type="dxa"/>
            <w:vMerge w:val="restart"/>
            <w:shd w:val="clear" w:color="auto" w:fill="BDD6EE"/>
            <w:noWrap/>
            <w:vAlign w:val="center"/>
            <w:hideMark/>
          </w:tcPr>
          <w:p w14:paraId="6E961EB9"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259DC459" w14:textId="77777777">
        <w:trPr>
          <w:trHeight w:val="470"/>
          <w:tblHeader/>
        </w:trPr>
        <w:tc>
          <w:tcPr>
            <w:tcW w:w="1277" w:type="dxa"/>
            <w:vMerge/>
          </w:tcPr>
          <w:p w14:paraId="0B61D35A"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42F5CA82" w14:textId="77777777" w:rsidR="00DC5EC6" w:rsidRDefault="00DC5EC6">
            <w:pPr>
              <w:spacing w:after="0" w:line="240" w:lineRule="auto"/>
              <w:rPr>
                <w:rFonts w:ascii="Times New Roman" w:eastAsia="Times New Roman" w:hAnsi="Times New Roman" w:cs="Times New Roman"/>
                <w:b/>
                <w:noProof/>
                <w:sz w:val="18"/>
              </w:rPr>
            </w:pPr>
          </w:p>
        </w:tc>
        <w:tc>
          <w:tcPr>
            <w:tcW w:w="993" w:type="dxa"/>
            <w:vMerge/>
            <w:vAlign w:val="center"/>
            <w:hideMark/>
          </w:tcPr>
          <w:p w14:paraId="6A66BA83" w14:textId="5098E0F5" w:rsidR="00DC5EC6" w:rsidRDefault="00DC5EC6">
            <w:pPr>
              <w:spacing w:after="0" w:line="240" w:lineRule="auto"/>
              <w:jc w:val="center"/>
              <w:rPr>
                <w:rFonts w:ascii="Times New Roman" w:eastAsia="Times New Roman" w:hAnsi="Times New Roman" w:cs="Times New Roman"/>
                <w:b/>
                <w:noProof/>
                <w:sz w:val="18"/>
              </w:rPr>
            </w:pPr>
          </w:p>
        </w:tc>
        <w:tc>
          <w:tcPr>
            <w:tcW w:w="1521" w:type="dxa"/>
            <w:vMerge/>
            <w:vAlign w:val="center"/>
            <w:hideMark/>
          </w:tcPr>
          <w:p w14:paraId="020E12E7" w14:textId="77777777" w:rsidR="00DC5EC6" w:rsidRDefault="00DC5EC6">
            <w:pPr>
              <w:spacing w:after="0" w:line="240" w:lineRule="auto"/>
              <w:rPr>
                <w:rFonts w:ascii="Times New Roman" w:eastAsia="Times New Roman" w:hAnsi="Times New Roman" w:cs="Times New Roman"/>
                <w:b/>
                <w:noProof/>
                <w:sz w:val="18"/>
              </w:rPr>
            </w:pPr>
          </w:p>
        </w:tc>
        <w:tc>
          <w:tcPr>
            <w:tcW w:w="1639" w:type="dxa"/>
            <w:gridSpan w:val="2"/>
            <w:vMerge/>
            <w:vAlign w:val="center"/>
            <w:hideMark/>
          </w:tcPr>
          <w:p w14:paraId="70F7DD30" w14:textId="77777777" w:rsidR="00DC5EC6" w:rsidRDefault="00DC5EC6">
            <w:pPr>
              <w:spacing w:after="0" w:line="240" w:lineRule="auto"/>
              <w:rPr>
                <w:rFonts w:ascii="Times New Roman" w:eastAsia="Times New Roman" w:hAnsi="Times New Roman" w:cs="Times New Roman"/>
                <w:b/>
                <w:noProof/>
                <w:sz w:val="18"/>
              </w:rPr>
            </w:pPr>
          </w:p>
        </w:tc>
        <w:tc>
          <w:tcPr>
            <w:tcW w:w="1659" w:type="dxa"/>
            <w:shd w:val="clear" w:color="auto" w:fill="BDD6EE"/>
            <w:vAlign w:val="center"/>
            <w:hideMark/>
          </w:tcPr>
          <w:p w14:paraId="6FED8042"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055E64A2"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77" w:type="dxa"/>
            <w:shd w:val="clear" w:color="auto" w:fill="BDD6EE"/>
            <w:vAlign w:val="center"/>
            <w:hideMark/>
          </w:tcPr>
          <w:p w14:paraId="114749AF" w14:textId="77777777" w:rsidR="00DC5EC6" w:rsidRDefault="003245A4">
            <w:pPr>
              <w:pStyle w:val="P68B1DB1-Normal6"/>
              <w:spacing w:after="0" w:line="240" w:lineRule="auto"/>
              <w:jc w:val="center"/>
              <w:rPr>
                <w:rFonts w:eastAsia="Times New Roman" w:cs="Times New Roman"/>
                <w:noProof/>
              </w:rPr>
            </w:pPr>
            <w:r>
              <w:rPr>
                <w:noProof/>
              </w:rPr>
              <w:t>Cél</w:t>
            </w:r>
          </w:p>
        </w:tc>
        <w:tc>
          <w:tcPr>
            <w:tcW w:w="533" w:type="dxa"/>
            <w:shd w:val="clear" w:color="auto" w:fill="BDD6EE"/>
            <w:vAlign w:val="center"/>
            <w:hideMark/>
          </w:tcPr>
          <w:p w14:paraId="76E28634" w14:textId="490FF1A7" w:rsidR="00DC5EC6" w:rsidRDefault="00C009B1">
            <w:pPr>
              <w:pStyle w:val="P68B1DB1-Normal6"/>
              <w:spacing w:after="0" w:line="240" w:lineRule="auto"/>
              <w:jc w:val="center"/>
              <w:rPr>
                <w:rFonts w:eastAsia="Times New Roman" w:cs="Times New Roman"/>
                <w:noProof/>
              </w:rPr>
            </w:pPr>
            <w:r>
              <w:rPr>
                <w:noProof/>
              </w:rPr>
              <w:t>Negyedév</w:t>
            </w:r>
          </w:p>
        </w:tc>
        <w:tc>
          <w:tcPr>
            <w:tcW w:w="614" w:type="dxa"/>
            <w:shd w:val="clear" w:color="auto" w:fill="BDD6EE"/>
            <w:vAlign w:val="center"/>
            <w:hideMark/>
          </w:tcPr>
          <w:p w14:paraId="6B436B9B" w14:textId="03B67C1F" w:rsidR="00DC5EC6" w:rsidRDefault="003245A4">
            <w:pPr>
              <w:pStyle w:val="P68B1DB1-Normal6"/>
              <w:spacing w:after="0" w:line="240" w:lineRule="auto"/>
              <w:jc w:val="center"/>
              <w:rPr>
                <w:rFonts w:eastAsia="Times New Roman" w:cs="Times New Roman"/>
                <w:noProof/>
              </w:rPr>
            </w:pPr>
            <w:r>
              <w:rPr>
                <w:noProof/>
              </w:rPr>
              <w:t>Év</w:t>
            </w:r>
          </w:p>
        </w:tc>
        <w:tc>
          <w:tcPr>
            <w:tcW w:w="4880" w:type="dxa"/>
            <w:vMerge/>
            <w:vAlign w:val="center"/>
            <w:hideMark/>
          </w:tcPr>
          <w:p w14:paraId="1483F6BF" w14:textId="77777777" w:rsidR="00DC5EC6" w:rsidRDefault="00DC5EC6">
            <w:pPr>
              <w:spacing w:after="0" w:line="240" w:lineRule="auto"/>
              <w:rPr>
                <w:rFonts w:ascii="Times New Roman" w:eastAsia="Times New Roman" w:hAnsi="Times New Roman" w:cs="Times New Roman"/>
                <w:b/>
                <w:noProof/>
                <w:sz w:val="18"/>
              </w:rPr>
            </w:pPr>
          </w:p>
        </w:tc>
      </w:tr>
      <w:tr w:rsidR="00DC5EC6" w14:paraId="0704287E" w14:textId="77777777">
        <w:trPr>
          <w:trHeight w:val="1038"/>
        </w:trPr>
        <w:tc>
          <w:tcPr>
            <w:tcW w:w="1277" w:type="dxa"/>
            <w:shd w:val="clear" w:color="auto" w:fill="C4EFCE"/>
            <w:vAlign w:val="center"/>
          </w:tcPr>
          <w:p w14:paraId="30823E55" w14:textId="77777777" w:rsidR="00DC5EC6" w:rsidRDefault="003245A4">
            <w:pPr>
              <w:pStyle w:val="P68B1DB1-Normal7"/>
              <w:spacing w:after="0" w:line="240" w:lineRule="auto"/>
              <w:jc w:val="center"/>
              <w:rPr>
                <w:rFonts w:eastAsia="Times New Roman" w:cs="Calibri"/>
                <w:noProof/>
              </w:rPr>
            </w:pPr>
            <w:r>
              <w:rPr>
                <w:noProof/>
              </w:rPr>
              <w:t>18.1</w:t>
            </w:r>
          </w:p>
        </w:tc>
        <w:tc>
          <w:tcPr>
            <w:tcW w:w="1275" w:type="dxa"/>
            <w:shd w:val="clear" w:color="auto" w:fill="C4EFCE"/>
            <w:noWrap/>
            <w:vAlign w:val="center"/>
            <w:hideMark/>
          </w:tcPr>
          <w:p w14:paraId="0F9E1EF8" w14:textId="77777777" w:rsidR="00DC5EC6" w:rsidRDefault="003245A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016CCA3"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5B55A10" w14:textId="77777777" w:rsidR="00DC5EC6" w:rsidRDefault="003245A4">
            <w:pPr>
              <w:pStyle w:val="P68B1DB1-Normal8"/>
              <w:spacing w:after="0" w:line="240" w:lineRule="auto"/>
              <w:jc w:val="center"/>
              <w:rPr>
                <w:rFonts w:eastAsia="Times New Roman" w:cs="Calibri"/>
                <w:noProof/>
              </w:rPr>
            </w:pPr>
            <w:r>
              <w:rPr>
                <w:noProof/>
              </w:rPr>
              <w:t>Szakosodott tanácsok létrehozása a közigazgatási és adóügyi felsőbb bíróságokon</w:t>
            </w:r>
          </w:p>
        </w:tc>
        <w:tc>
          <w:tcPr>
            <w:tcW w:w="1633" w:type="dxa"/>
            <w:shd w:val="clear" w:color="auto" w:fill="C4EFCE"/>
            <w:noWrap/>
            <w:vAlign w:val="center"/>
            <w:hideMark/>
          </w:tcPr>
          <w:p w14:paraId="594CF147" w14:textId="77777777" w:rsidR="00DC5EC6" w:rsidRDefault="003245A4">
            <w:pPr>
              <w:pStyle w:val="P68B1DB1-Normal8"/>
              <w:spacing w:after="0" w:line="240" w:lineRule="auto"/>
              <w:jc w:val="center"/>
              <w:rPr>
                <w:rFonts w:eastAsia="Times New Roman" w:cs="Calibri"/>
                <w:noProof/>
              </w:rPr>
            </w:pPr>
            <w:r>
              <w:rPr>
                <w:noProof/>
              </w:rPr>
              <w:t>Szakosodott tanácsok létrehozása a közigazgatási és adóügyi felsőbb bíróságokon</w:t>
            </w:r>
          </w:p>
        </w:tc>
        <w:tc>
          <w:tcPr>
            <w:tcW w:w="1659" w:type="dxa"/>
            <w:shd w:val="clear" w:color="auto" w:fill="C4EFCE"/>
            <w:noWrap/>
            <w:vAlign w:val="center"/>
            <w:hideMark/>
          </w:tcPr>
          <w:p w14:paraId="77D105FC"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8DF828B" w14:textId="77777777" w:rsidR="00DC5EC6" w:rsidRDefault="003245A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19FDADA" w14:textId="77777777" w:rsidR="00DC5EC6" w:rsidRDefault="003245A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0C9B9432" w14:textId="7E469D88"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614" w:type="dxa"/>
            <w:shd w:val="clear" w:color="auto" w:fill="C4EFCE"/>
            <w:noWrap/>
            <w:vAlign w:val="center"/>
            <w:hideMark/>
          </w:tcPr>
          <w:p w14:paraId="47910214" w14:textId="77777777" w:rsidR="00DC5EC6" w:rsidRDefault="003245A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210990C9" w14:textId="77777777" w:rsidR="00DC5EC6" w:rsidRDefault="003245A4">
            <w:pPr>
              <w:pStyle w:val="P68B1DB1-Normal8"/>
              <w:spacing w:after="0" w:line="240" w:lineRule="auto"/>
              <w:jc w:val="both"/>
              <w:rPr>
                <w:rFonts w:eastAsia="Times New Roman" w:cs="Calibri"/>
                <w:noProof/>
              </w:rPr>
            </w:pPr>
            <w:r>
              <w:rPr>
                <w:noProof/>
              </w:rPr>
              <w:t>Szakosodott tanácsok létrehozása a közigazgatási és adóügyi felsőbb bíróságokon: rendes közigazgatási ítéletek, szociális közigazgatási ítéletek, közbeszerzési ítéletek, rendes adóügyi ítéletek, adóvégrehajtási és közigazgatási szabálysértési ítéletek</w:t>
            </w:r>
          </w:p>
        </w:tc>
      </w:tr>
      <w:tr w:rsidR="00DC5EC6" w14:paraId="5EA37799" w14:textId="77777777">
        <w:trPr>
          <w:trHeight w:val="2570"/>
        </w:trPr>
        <w:tc>
          <w:tcPr>
            <w:tcW w:w="1277" w:type="dxa"/>
            <w:shd w:val="clear" w:color="auto" w:fill="C4EFCE"/>
            <w:vAlign w:val="center"/>
          </w:tcPr>
          <w:p w14:paraId="45922976" w14:textId="77777777" w:rsidR="00DC5EC6" w:rsidRDefault="003245A4">
            <w:pPr>
              <w:pStyle w:val="P68B1DB1-Normal7"/>
              <w:spacing w:after="0" w:line="240" w:lineRule="auto"/>
              <w:jc w:val="center"/>
              <w:rPr>
                <w:rFonts w:eastAsia="Times New Roman" w:cs="Calibri"/>
                <w:noProof/>
              </w:rPr>
            </w:pPr>
            <w:r>
              <w:rPr>
                <w:noProof/>
              </w:rPr>
              <w:t>18.2</w:t>
            </w:r>
          </w:p>
        </w:tc>
        <w:tc>
          <w:tcPr>
            <w:tcW w:w="1275" w:type="dxa"/>
            <w:shd w:val="clear" w:color="auto" w:fill="C4EFCE"/>
            <w:noWrap/>
            <w:vAlign w:val="center"/>
          </w:tcPr>
          <w:p w14:paraId="134D7CD8" w14:textId="77777777" w:rsidR="00DC5EC6" w:rsidRDefault="003245A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tcPr>
          <w:p w14:paraId="1EBB304E"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tcPr>
          <w:p w14:paraId="0E38DEE8" w14:textId="77777777" w:rsidR="00DC5EC6" w:rsidRDefault="003245A4">
            <w:pPr>
              <w:pStyle w:val="P68B1DB1-Normal8"/>
              <w:spacing w:after="0" w:line="240" w:lineRule="auto"/>
              <w:jc w:val="center"/>
              <w:rPr>
                <w:rFonts w:eastAsia="Times New Roman" w:cs="Calibri"/>
                <w:noProof/>
              </w:rPr>
            </w:pPr>
            <w:r>
              <w:rPr>
                <w:noProof/>
              </w:rPr>
              <w:t>A peren belüli és peren kívüli vitarendezést ösztönző jogi szabályozás hatálybalépése</w:t>
            </w:r>
          </w:p>
          <w:p w14:paraId="36CC1118" w14:textId="77777777" w:rsidR="00DC5EC6" w:rsidRDefault="00DC5EC6">
            <w:pPr>
              <w:spacing w:after="0" w:line="240" w:lineRule="auto"/>
              <w:jc w:val="center"/>
              <w:rPr>
                <w:rFonts w:ascii="Calibri" w:eastAsia="Times New Roman" w:hAnsi="Calibri" w:cs="Calibri"/>
                <w:noProof/>
                <w:sz w:val="16"/>
              </w:rPr>
            </w:pPr>
          </w:p>
        </w:tc>
        <w:tc>
          <w:tcPr>
            <w:tcW w:w="1633" w:type="dxa"/>
            <w:shd w:val="clear" w:color="auto" w:fill="C4EFCE"/>
            <w:noWrap/>
            <w:vAlign w:val="center"/>
          </w:tcPr>
          <w:p w14:paraId="4DB8A301" w14:textId="77777777" w:rsidR="00DC5EC6" w:rsidRDefault="003245A4">
            <w:pPr>
              <w:pStyle w:val="P68B1DB1-Normal8"/>
              <w:spacing w:after="0" w:line="240" w:lineRule="auto"/>
              <w:jc w:val="center"/>
              <w:rPr>
                <w:rFonts w:eastAsia="Times New Roman" w:cs="Calibri"/>
                <w:noProof/>
              </w:rPr>
            </w:pPr>
            <w:r>
              <w:rPr>
                <w:noProof/>
              </w:rPr>
              <w:t>A peren belüli és peren kívüli vitarendezést ösztönző jogi szabályozás hatálybalépése</w:t>
            </w:r>
          </w:p>
        </w:tc>
        <w:tc>
          <w:tcPr>
            <w:tcW w:w="1659" w:type="dxa"/>
            <w:shd w:val="clear" w:color="auto" w:fill="C4EFCE"/>
            <w:noWrap/>
            <w:vAlign w:val="center"/>
          </w:tcPr>
          <w:p w14:paraId="3F523CAC" w14:textId="77777777" w:rsidR="00DC5EC6" w:rsidRDefault="00DC5EC6">
            <w:pPr>
              <w:spacing w:after="0" w:line="240" w:lineRule="auto"/>
              <w:rPr>
                <w:rFonts w:ascii="Calibri" w:eastAsia="Times New Roman" w:hAnsi="Calibri" w:cs="Calibri"/>
                <w:noProof/>
                <w:sz w:val="16"/>
              </w:rPr>
            </w:pPr>
          </w:p>
        </w:tc>
        <w:tc>
          <w:tcPr>
            <w:tcW w:w="992" w:type="dxa"/>
            <w:shd w:val="clear" w:color="auto" w:fill="C4EFCE"/>
            <w:noWrap/>
            <w:vAlign w:val="center"/>
          </w:tcPr>
          <w:p w14:paraId="50EE6E1F" w14:textId="77777777" w:rsidR="00DC5EC6" w:rsidRDefault="00DC5EC6">
            <w:pPr>
              <w:spacing w:after="0" w:line="240" w:lineRule="auto"/>
              <w:jc w:val="center"/>
              <w:rPr>
                <w:rFonts w:ascii="Calibri" w:eastAsia="Times New Roman" w:hAnsi="Calibri" w:cs="Calibri"/>
                <w:noProof/>
                <w:sz w:val="16"/>
              </w:rPr>
            </w:pPr>
          </w:p>
        </w:tc>
        <w:tc>
          <w:tcPr>
            <w:tcW w:w="777" w:type="dxa"/>
            <w:shd w:val="clear" w:color="auto" w:fill="C4EFCE"/>
            <w:noWrap/>
            <w:vAlign w:val="center"/>
          </w:tcPr>
          <w:p w14:paraId="66037AB8" w14:textId="77777777" w:rsidR="00DC5EC6" w:rsidRDefault="00DC5EC6">
            <w:pPr>
              <w:spacing w:after="0" w:line="240" w:lineRule="auto"/>
              <w:jc w:val="center"/>
              <w:rPr>
                <w:rFonts w:ascii="Calibri" w:eastAsia="Times New Roman" w:hAnsi="Calibri" w:cs="Calibri"/>
                <w:noProof/>
                <w:sz w:val="16"/>
              </w:rPr>
            </w:pPr>
          </w:p>
        </w:tc>
        <w:tc>
          <w:tcPr>
            <w:tcW w:w="533" w:type="dxa"/>
            <w:shd w:val="clear" w:color="auto" w:fill="C4EFCE"/>
            <w:noWrap/>
            <w:vAlign w:val="center"/>
          </w:tcPr>
          <w:p w14:paraId="2E87CE6B" w14:textId="558EAE36"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614" w:type="dxa"/>
            <w:shd w:val="clear" w:color="auto" w:fill="C4EFCE"/>
            <w:noWrap/>
            <w:vAlign w:val="center"/>
          </w:tcPr>
          <w:p w14:paraId="2B06B617" w14:textId="77777777" w:rsidR="00DC5EC6" w:rsidRDefault="003245A4">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tcPr>
          <w:p w14:paraId="3B845451" w14:textId="77777777" w:rsidR="00DC5EC6" w:rsidRDefault="003245A4">
            <w:pPr>
              <w:pStyle w:val="P68B1DB1-Normal8"/>
              <w:spacing w:after="0" w:line="240" w:lineRule="auto"/>
              <w:jc w:val="both"/>
              <w:rPr>
                <w:rFonts w:eastAsia="Times New Roman" w:cs="Calibri"/>
                <w:noProof/>
              </w:rPr>
            </w:pPr>
            <w:r>
              <w:rPr>
                <w:noProof/>
              </w:rPr>
              <w:t>Az eljárások peren belüli és peren kívüli egyezség útján történő megszüntetésére vonatkozó törvényi ösztönző rendszert létrehozó jogi szabályozás hatálybalépése</w:t>
            </w:r>
          </w:p>
        </w:tc>
      </w:tr>
      <w:tr w:rsidR="00C009B1" w14:paraId="63E4A25B" w14:textId="77777777">
        <w:trPr>
          <w:cantSplit/>
          <w:trHeight w:val="5929"/>
        </w:trPr>
        <w:tc>
          <w:tcPr>
            <w:tcW w:w="1277" w:type="dxa"/>
            <w:shd w:val="clear" w:color="auto" w:fill="C4EFCE"/>
            <w:vAlign w:val="center"/>
          </w:tcPr>
          <w:p w14:paraId="4030100F" w14:textId="77777777" w:rsidR="00C009B1" w:rsidRDefault="00C009B1" w:rsidP="00C009B1">
            <w:pPr>
              <w:pStyle w:val="P68B1DB1-Normal7"/>
              <w:spacing w:after="0" w:line="240" w:lineRule="auto"/>
              <w:jc w:val="center"/>
              <w:rPr>
                <w:rFonts w:eastAsia="Times New Roman" w:cs="Calibri"/>
                <w:noProof/>
              </w:rPr>
            </w:pPr>
            <w:r>
              <w:rPr>
                <w:noProof/>
              </w:rPr>
              <w:t>18.3</w:t>
            </w:r>
          </w:p>
        </w:tc>
        <w:tc>
          <w:tcPr>
            <w:tcW w:w="1275" w:type="dxa"/>
            <w:shd w:val="clear" w:color="auto" w:fill="C4EFCE"/>
            <w:noWrap/>
            <w:vAlign w:val="center"/>
            <w:hideMark/>
          </w:tcPr>
          <w:p w14:paraId="0EE4E35F" w14:textId="77777777" w:rsidR="00C009B1" w:rsidRDefault="00C009B1" w:rsidP="00C009B1">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7DF377C5"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046AC9E" w14:textId="77777777" w:rsidR="00C009B1" w:rsidRDefault="00C009B1" w:rsidP="00C009B1">
            <w:pPr>
              <w:pStyle w:val="P68B1DB1-Normal8"/>
              <w:spacing w:after="0" w:line="240" w:lineRule="auto"/>
              <w:jc w:val="center"/>
              <w:rPr>
                <w:rFonts w:eastAsia="Times New Roman" w:cs="Calibri"/>
                <w:noProof/>
              </w:rPr>
            </w:pPr>
            <w:r>
              <w:rPr>
                <w:noProof/>
              </w:rPr>
              <w:t>A fizetésképtelenségre és a behajtásra vonatkozó felülvizsgált jogi keret hatálybalépése</w:t>
            </w:r>
          </w:p>
        </w:tc>
        <w:tc>
          <w:tcPr>
            <w:tcW w:w="1633" w:type="dxa"/>
            <w:shd w:val="clear" w:color="auto" w:fill="C4EFCE"/>
            <w:vAlign w:val="center"/>
          </w:tcPr>
          <w:p w14:paraId="3258DA2E" w14:textId="77777777" w:rsidR="00C009B1" w:rsidRDefault="00C009B1" w:rsidP="00C009B1">
            <w:pPr>
              <w:pStyle w:val="P68B1DB1-Normal8"/>
              <w:spacing w:after="0" w:line="240" w:lineRule="auto"/>
              <w:jc w:val="center"/>
              <w:rPr>
                <w:rFonts w:eastAsia="Times New Roman" w:cs="Calibri"/>
                <w:noProof/>
              </w:rPr>
            </w:pPr>
            <w:r>
              <w:rPr>
                <w:noProof/>
              </w:rPr>
              <w:t>A fizetésképtelenségre és a behajtásra vonatkozó felülvizsgált jogi keret hatálybalépése</w:t>
            </w:r>
          </w:p>
        </w:tc>
        <w:tc>
          <w:tcPr>
            <w:tcW w:w="1659" w:type="dxa"/>
            <w:shd w:val="clear" w:color="auto" w:fill="C4EFCE"/>
            <w:noWrap/>
            <w:vAlign w:val="center"/>
            <w:hideMark/>
          </w:tcPr>
          <w:p w14:paraId="15B6D3B5"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21E48313"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56852BD8"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DEFE34C" w14:textId="7EF5B80E" w:rsidR="00C009B1" w:rsidRDefault="00C009B1" w:rsidP="00C009B1">
            <w:pPr>
              <w:pStyle w:val="P68B1DB1-Normal8"/>
              <w:spacing w:after="0" w:line="240" w:lineRule="auto"/>
              <w:jc w:val="center"/>
              <w:rPr>
                <w:rFonts w:eastAsia="Times New Roman" w:cs="Calibri"/>
                <w:noProof/>
              </w:rPr>
            </w:pPr>
            <w:r>
              <w:rPr>
                <w:noProof/>
              </w:rPr>
              <w:t>2. NEGYEDÉV</w:t>
            </w:r>
          </w:p>
        </w:tc>
        <w:tc>
          <w:tcPr>
            <w:tcW w:w="614" w:type="dxa"/>
            <w:shd w:val="clear" w:color="auto" w:fill="C4EFCE"/>
            <w:noWrap/>
            <w:vAlign w:val="center"/>
            <w:hideMark/>
          </w:tcPr>
          <w:p w14:paraId="06EFAEAF" w14:textId="77777777" w:rsidR="00C009B1" w:rsidRDefault="00C009B1" w:rsidP="00C009B1">
            <w:pPr>
              <w:pStyle w:val="P68B1DB1-Normal8"/>
              <w:rPr>
                <w:rFonts w:eastAsia="Times New Roman" w:cs="Calibri"/>
                <w:noProof/>
              </w:rPr>
            </w:pPr>
            <w:r>
              <w:rPr>
                <w:noProof/>
              </w:rPr>
              <w:t>2024</w:t>
            </w:r>
          </w:p>
        </w:tc>
        <w:tc>
          <w:tcPr>
            <w:tcW w:w="4880" w:type="dxa"/>
            <w:shd w:val="clear" w:color="auto" w:fill="C4EFCE"/>
            <w:vAlign w:val="center"/>
            <w:hideMark/>
          </w:tcPr>
          <w:p w14:paraId="340D1B69" w14:textId="77777777" w:rsidR="00C009B1" w:rsidRDefault="00C009B1" w:rsidP="00C009B1">
            <w:pPr>
              <w:spacing w:after="0" w:line="240" w:lineRule="auto"/>
              <w:jc w:val="both"/>
              <w:rPr>
                <w:rFonts w:ascii="Calibri" w:eastAsia="Times New Roman" w:hAnsi="Calibri" w:cs="Calibri"/>
                <w:noProof/>
                <w:sz w:val="16"/>
              </w:rPr>
            </w:pPr>
            <w:r>
              <w:rPr>
                <w:rFonts w:ascii="Calibri" w:hAnsi="Calibri"/>
                <w:noProof/>
                <w:sz w:val="16"/>
              </w:rPr>
              <w:t>A vállalkozások fizetésképtelenségére és megmentésére vonatkozó felülvizsgált jogi keret hatálybalépése ezen eljárások felgyorsítása és az „alapértelmezésben digitális”-hoz való hozzáigazítása érdekében, beleértve a következőket:</w:t>
            </w:r>
            <w:r>
              <w:rPr>
                <w:noProof/>
              </w:rPr>
              <w:br/>
            </w:r>
          </w:p>
          <w:p w14:paraId="75E14895" w14:textId="77777777" w:rsidR="00C009B1" w:rsidRDefault="00C009B1" w:rsidP="00C009B1">
            <w:pPr>
              <w:pStyle w:val="P68B1DB1-Normal8"/>
              <w:spacing w:after="0" w:line="240" w:lineRule="auto"/>
              <w:jc w:val="both"/>
              <w:rPr>
                <w:rFonts w:eastAsia="Times New Roman" w:cs="Calibri"/>
                <w:noProof/>
              </w:rPr>
            </w:pPr>
            <w:r>
              <w:rPr>
                <w:noProof/>
              </w:rPr>
              <w:t>a fizetésképtelenségi kódex felülvizsgálata a fizetésképtelenségi eljárások optimalizálása érdekében, tükrözve az (EU) 2019/1023 irányelv átültetését és a tisztán elektronikus eljárások létrehozását is;</w:t>
            </w:r>
          </w:p>
          <w:p w14:paraId="5EAA7A3B" w14:textId="77777777" w:rsidR="00C009B1" w:rsidRDefault="00C009B1" w:rsidP="00C009B1">
            <w:pPr>
              <w:pStyle w:val="P68B1DB1-Normal8"/>
              <w:spacing w:after="0" w:line="240" w:lineRule="auto"/>
              <w:jc w:val="both"/>
              <w:rPr>
                <w:rFonts w:eastAsia="Times New Roman" w:cs="Calibri"/>
                <w:noProof/>
              </w:rPr>
            </w:pPr>
            <w:r>
              <w:rPr>
                <w:noProof/>
              </w:rPr>
              <w:t>megbízza a fizetésképtelenségi ügyintézőt azzal a feladattal, hogy a fizetésképtelenségi eljárás alá vont vagyont képező vagyontárgyak értékesítésére vonatkozó, határidőhöz kötött célokat tartalmazó felszámolási tervet dolgozzon ki;</w:t>
            </w:r>
          </w:p>
          <w:p w14:paraId="4D201E3F" w14:textId="77777777" w:rsidR="00C009B1" w:rsidRDefault="00C009B1" w:rsidP="00C009B1">
            <w:pPr>
              <w:pStyle w:val="P68B1DB1-Normal8"/>
              <w:spacing w:after="0" w:line="240" w:lineRule="auto"/>
              <w:jc w:val="both"/>
              <w:rPr>
                <w:rFonts w:eastAsia="Times New Roman" w:cs="Calibri"/>
                <w:noProof/>
              </w:rPr>
            </w:pPr>
            <w:r>
              <w:rPr>
                <w:noProof/>
              </w:rPr>
              <w:t>a fizetésképtelenségi eljárásban a kötelezettségek vizsgálatára és a követelések rangsorolására vonatkozó eljárás egyszerűsítése azáltal, hogy a fizetésképtelenségi tisztviselőt bízzák meg azzal a feladattal, hogy az elismert követelések jegyzékével együtt javaslatot nyújtson be a kielégítési sorrendben elfoglalt helyükre vonatkozóan, lehetővé téve a bíró számára, hogy egyetértés esetén és jogorvoslat hiányában mindkét dokumentumot jóváhagyja, ezáltal lehetővé téve a rugalmasabb eljárást;</w:t>
            </w:r>
          </w:p>
          <w:p w14:paraId="6435378B" w14:textId="77777777" w:rsidR="00C009B1" w:rsidRDefault="00C009B1" w:rsidP="00C009B1">
            <w:pPr>
              <w:pStyle w:val="P68B1DB1-Normal8"/>
              <w:spacing w:after="0" w:line="240" w:lineRule="auto"/>
              <w:jc w:val="both"/>
              <w:rPr>
                <w:rFonts w:eastAsia="Times New Roman" w:cs="Calibri"/>
                <w:noProof/>
              </w:rPr>
            </w:pPr>
            <w:r>
              <w:rPr>
                <w:noProof/>
              </w:rPr>
              <w:t>a részleges kötelező felosztás intézménye, amennyiben a fizetésképtelenségi eljárás alá vont vagyon legalább 10 000 EUR értékű vagyon felszámolásából származó bevétel része, amelynek tulajdonjoga nem vitatott, és az eljárás nincs abban a helyzetben, hogy végleges felosztásra kerüljön sor;</w:t>
            </w:r>
          </w:p>
          <w:p w14:paraId="68A0B579" w14:textId="77777777" w:rsidR="00C009B1" w:rsidRDefault="00C009B1" w:rsidP="00C009B1">
            <w:pPr>
              <w:pStyle w:val="P68B1DB1-Normal8"/>
              <w:spacing w:after="0" w:line="240" w:lineRule="auto"/>
              <w:jc w:val="both"/>
              <w:rPr>
                <w:rFonts w:eastAsia="Times New Roman" w:cs="Calibri"/>
                <w:noProof/>
              </w:rPr>
            </w:pPr>
            <w:r>
              <w:rPr>
                <w:noProof/>
              </w:rPr>
              <w:t xml:space="preserve">a jelzálogjog elővásárlási rendszerének felülvizsgálata (Código Civil); </w:t>
            </w:r>
          </w:p>
          <w:p w14:paraId="785EC4F6" w14:textId="77777777" w:rsidR="00C009B1" w:rsidRDefault="00C009B1" w:rsidP="00C009B1">
            <w:pPr>
              <w:pStyle w:val="P68B1DB1-Normal8"/>
              <w:spacing w:after="0" w:line="240" w:lineRule="auto"/>
              <w:jc w:val="both"/>
              <w:rPr>
                <w:rFonts w:eastAsia="Times New Roman" w:cs="Calibri"/>
                <w:noProof/>
              </w:rPr>
            </w:pPr>
            <w:r>
              <w:rPr>
                <w:noProof/>
              </w:rPr>
              <w:t>a fizetésképtelenségi szakértők gyakorlására vonatkozó korlátozások csökkentése.</w:t>
            </w:r>
          </w:p>
          <w:p w14:paraId="66B701AF" w14:textId="77777777" w:rsidR="00C009B1" w:rsidRDefault="00C009B1" w:rsidP="00C009B1">
            <w:pPr>
              <w:pStyle w:val="P68B1DB1-Normal8"/>
              <w:spacing w:after="0" w:line="240" w:lineRule="auto"/>
              <w:jc w:val="both"/>
              <w:rPr>
                <w:rFonts w:eastAsia="Times New Roman" w:cs="Calibri"/>
                <w:noProof/>
              </w:rPr>
            </w:pPr>
            <w:r>
              <w:rPr>
                <w:noProof/>
              </w:rPr>
              <w:t>g) a korlátozásoknak az idézés szakaszában történő megszüntetése főszabályként létrehozza a jogi személyek elektronikus kézbesítését, különösen a fizetésképtelenségi eljárásokban;</w:t>
            </w:r>
          </w:p>
          <w:p w14:paraId="15C87B35" w14:textId="77777777" w:rsidR="00C009B1" w:rsidRDefault="00C009B1" w:rsidP="00C009B1">
            <w:pPr>
              <w:pStyle w:val="P68B1DB1-Normal8"/>
              <w:spacing w:after="0" w:line="240" w:lineRule="auto"/>
              <w:jc w:val="both"/>
              <w:rPr>
                <w:rFonts w:eastAsia="Times New Roman" w:cs="Calibri"/>
                <w:noProof/>
              </w:rPr>
            </w:pPr>
            <w:r>
              <w:rPr>
                <w:noProof/>
              </w:rPr>
              <w:t>kereskedelmi ügyekben a felsőbb bíróságokon szakosodott tanácsok létrehozása és működtetése.</w:t>
            </w:r>
          </w:p>
          <w:p w14:paraId="472B518E" w14:textId="77777777" w:rsidR="00C009B1" w:rsidRDefault="00C009B1" w:rsidP="00C009B1">
            <w:pPr>
              <w:pStyle w:val="P68B1DB1-Normal8"/>
              <w:spacing w:after="0" w:line="240" w:lineRule="auto"/>
              <w:jc w:val="both"/>
              <w:rPr>
                <w:rFonts w:eastAsia="Times New Roman" w:cs="Calibri"/>
                <w:noProof/>
              </w:rPr>
            </w:pPr>
            <w:r>
              <w:rPr>
                <w:noProof/>
              </w:rPr>
              <w:t xml:space="preserve">az ESE-eljárások és azoknak az „alapértelmezésben digitális”-hoz való igazítása, beleértve a következőket: </w:t>
            </w:r>
          </w:p>
        </w:tc>
      </w:tr>
      <w:tr w:rsidR="00DC5EC6" w14:paraId="6AB9F600" w14:textId="77777777">
        <w:trPr>
          <w:trHeight w:val="430"/>
        </w:trPr>
        <w:tc>
          <w:tcPr>
            <w:tcW w:w="1277" w:type="dxa"/>
            <w:shd w:val="clear" w:color="auto" w:fill="C4EFCE"/>
            <w:vAlign w:val="center"/>
          </w:tcPr>
          <w:p w14:paraId="55355ADE" w14:textId="3ECAA7F9" w:rsidR="00DC5EC6" w:rsidRDefault="003245A4">
            <w:pPr>
              <w:pStyle w:val="P68B1DB1-Normal7"/>
              <w:spacing w:after="0" w:line="240" w:lineRule="auto"/>
              <w:jc w:val="center"/>
              <w:rPr>
                <w:rFonts w:eastAsia="Times New Roman" w:cs="Calibri"/>
                <w:noProof/>
              </w:rPr>
            </w:pPr>
            <w:r>
              <w:rPr>
                <w:noProof/>
              </w:rPr>
              <w:t>18.4</w:t>
            </w:r>
          </w:p>
        </w:tc>
        <w:tc>
          <w:tcPr>
            <w:tcW w:w="1275" w:type="dxa"/>
            <w:shd w:val="clear" w:color="auto" w:fill="C4EFCE"/>
            <w:noWrap/>
            <w:vAlign w:val="center"/>
            <w:hideMark/>
          </w:tcPr>
          <w:p w14:paraId="7AEBE05E" w14:textId="77777777" w:rsidR="00DC5EC6" w:rsidRDefault="003245A4">
            <w:pPr>
              <w:pStyle w:val="P68B1DB1-Normal8"/>
              <w:spacing w:after="0" w:line="240" w:lineRule="auto"/>
              <w:jc w:val="center"/>
              <w:rPr>
                <w:rFonts w:eastAsia="Times New Roman" w:cs="Calibri"/>
                <w:noProof/>
              </w:rPr>
            </w:pPr>
            <w:r>
              <w:rPr>
                <w:noProof/>
              </w:rPr>
              <w:t>TD-C18-r33</w:t>
            </w:r>
          </w:p>
        </w:tc>
        <w:tc>
          <w:tcPr>
            <w:tcW w:w="993" w:type="dxa"/>
            <w:shd w:val="clear" w:color="auto" w:fill="C4EFCE"/>
            <w:noWrap/>
            <w:vAlign w:val="center"/>
            <w:hideMark/>
          </w:tcPr>
          <w:p w14:paraId="460B81AA"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27A38FD" w14:textId="433D97C7" w:rsidR="00DC5EC6" w:rsidRDefault="003245A4">
            <w:pPr>
              <w:pStyle w:val="P68B1DB1-Normal8"/>
              <w:spacing w:after="0" w:line="240" w:lineRule="auto"/>
              <w:jc w:val="center"/>
              <w:rPr>
                <w:rFonts w:eastAsia="Times New Roman" w:cs="Calibri"/>
                <w:noProof/>
              </w:rPr>
            </w:pPr>
            <w:r>
              <w:rPr>
                <w:noProof/>
              </w:rPr>
              <w:t>Az engedélyezés akadályainak felszámolásáról szóló jogalkotási csomag hatálybalépése</w:t>
            </w:r>
          </w:p>
        </w:tc>
        <w:tc>
          <w:tcPr>
            <w:tcW w:w="1633" w:type="dxa"/>
            <w:shd w:val="clear" w:color="auto" w:fill="C4EFCE"/>
            <w:noWrap/>
            <w:vAlign w:val="center"/>
            <w:hideMark/>
          </w:tcPr>
          <w:p w14:paraId="65E920C4" w14:textId="39F70BC9" w:rsidR="00DC5EC6" w:rsidRDefault="003245A4">
            <w:pPr>
              <w:pStyle w:val="P68B1DB1-Normal8"/>
              <w:spacing w:after="0" w:line="240" w:lineRule="auto"/>
              <w:jc w:val="center"/>
              <w:rPr>
                <w:rFonts w:eastAsia="Times New Roman" w:cs="Calibri"/>
                <w:noProof/>
              </w:rPr>
            </w:pPr>
            <w:r>
              <w:rPr>
                <w:noProof/>
              </w:rPr>
              <w:t xml:space="preserve"> Az engedélyezés akadályainak felszámolásáról szóló jogalkotási csomag hatálybalépése</w:t>
            </w:r>
          </w:p>
        </w:tc>
        <w:tc>
          <w:tcPr>
            <w:tcW w:w="1659" w:type="dxa"/>
            <w:shd w:val="clear" w:color="auto" w:fill="C4EFCE"/>
            <w:noWrap/>
            <w:vAlign w:val="center"/>
            <w:hideMark/>
          </w:tcPr>
          <w:p w14:paraId="3B9AFDC2"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4405CD4C" w14:textId="77777777" w:rsidR="00DC5EC6" w:rsidRDefault="003245A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2DA1C3F0" w14:textId="77777777" w:rsidR="00DC5EC6" w:rsidRDefault="003245A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31E6942C" w14:textId="7EC137DC" w:rsidR="00DC5EC6" w:rsidRDefault="00262911">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14" w:type="dxa"/>
            <w:shd w:val="clear" w:color="auto" w:fill="C4EFCE"/>
            <w:noWrap/>
            <w:vAlign w:val="center"/>
            <w:hideMark/>
          </w:tcPr>
          <w:p w14:paraId="75CF287C" w14:textId="77777777" w:rsidR="00DC5EC6" w:rsidRDefault="003245A4">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7510859" w14:textId="37E2259C" w:rsidR="00DC5EC6" w:rsidRDefault="003245A4">
            <w:pPr>
              <w:pStyle w:val="P68B1DB1-Normal8"/>
              <w:spacing w:after="0" w:line="240" w:lineRule="auto"/>
              <w:jc w:val="both"/>
              <w:rPr>
                <w:rFonts w:eastAsia="Times New Roman" w:cs="Calibri"/>
                <w:noProof/>
              </w:rPr>
            </w:pPr>
            <w:r>
              <w:rPr>
                <w:noProof/>
              </w:rPr>
              <w:t>Az engedélyezés akadályainak felszámolásáról szóló, az illetékes kormánytagok közös rendeletével létrehozott munkacsoport jelentésében meghatározott jogszabály hatálybalépése</w:t>
            </w:r>
          </w:p>
        </w:tc>
      </w:tr>
      <w:tr w:rsidR="00262911" w14:paraId="50FA20CE" w14:textId="77777777">
        <w:trPr>
          <w:trHeight w:val="640"/>
        </w:trPr>
        <w:tc>
          <w:tcPr>
            <w:tcW w:w="1277" w:type="dxa"/>
            <w:shd w:val="clear" w:color="auto" w:fill="C4EFCE"/>
            <w:vAlign w:val="center"/>
          </w:tcPr>
          <w:p w14:paraId="7B1F5CA0" w14:textId="77777777" w:rsidR="00262911" w:rsidRDefault="00262911" w:rsidP="00262911">
            <w:pPr>
              <w:pStyle w:val="P68B1DB1-Normal7"/>
              <w:spacing w:after="0" w:line="240" w:lineRule="auto"/>
              <w:jc w:val="center"/>
              <w:rPr>
                <w:rFonts w:eastAsia="Times New Roman" w:cs="Calibri"/>
                <w:noProof/>
              </w:rPr>
            </w:pPr>
            <w:r>
              <w:rPr>
                <w:noProof/>
              </w:rPr>
              <w:t>18.5</w:t>
            </w:r>
          </w:p>
        </w:tc>
        <w:tc>
          <w:tcPr>
            <w:tcW w:w="1275" w:type="dxa"/>
            <w:shd w:val="clear" w:color="auto" w:fill="C4EFCE"/>
            <w:noWrap/>
            <w:vAlign w:val="center"/>
            <w:hideMark/>
          </w:tcPr>
          <w:p w14:paraId="7D316546"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6B073812"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EFEFE4E" w14:textId="77777777" w:rsidR="00262911" w:rsidRDefault="00262911" w:rsidP="00262911">
            <w:pPr>
              <w:pStyle w:val="P68B1DB1-Normal8"/>
              <w:spacing w:after="0" w:line="240" w:lineRule="auto"/>
              <w:jc w:val="center"/>
              <w:rPr>
                <w:rFonts w:eastAsia="Times New Roman" w:cs="Calibri"/>
                <w:noProof/>
              </w:rPr>
            </w:pPr>
            <w:r>
              <w:rPr>
                <w:noProof/>
              </w:rPr>
              <w:t>Korszerűsített informatikai rendszer a bűnügyi nyomozáshoz</w:t>
            </w:r>
          </w:p>
        </w:tc>
        <w:tc>
          <w:tcPr>
            <w:tcW w:w="1633" w:type="dxa"/>
            <w:shd w:val="clear" w:color="auto" w:fill="C4EFCE"/>
            <w:noWrap/>
            <w:vAlign w:val="center"/>
            <w:hideMark/>
          </w:tcPr>
          <w:p w14:paraId="676EC23C" w14:textId="77777777" w:rsidR="00262911" w:rsidRDefault="00262911" w:rsidP="00262911">
            <w:pPr>
              <w:pStyle w:val="P68B1DB1-Normal8"/>
              <w:spacing w:after="0" w:line="240" w:lineRule="auto"/>
              <w:jc w:val="center"/>
              <w:rPr>
                <w:rFonts w:eastAsia="Times New Roman" w:cs="Calibri"/>
                <w:noProof/>
              </w:rPr>
            </w:pPr>
            <w:r>
              <w:rPr>
                <w:noProof/>
              </w:rPr>
              <w:t>A bűnügyi nyomozás modernizált informatikai rendszere működik</w:t>
            </w:r>
          </w:p>
        </w:tc>
        <w:tc>
          <w:tcPr>
            <w:tcW w:w="1659" w:type="dxa"/>
            <w:shd w:val="clear" w:color="auto" w:fill="C4EFCE"/>
            <w:noWrap/>
            <w:vAlign w:val="center"/>
            <w:hideMark/>
          </w:tcPr>
          <w:p w14:paraId="1F1E781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EF1498A"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399F2EC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AD1E3F4" w14:textId="7B39B77F"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5122DDCF" w14:textId="77777777" w:rsidR="00262911" w:rsidRDefault="00262911" w:rsidP="00262911">
            <w:pPr>
              <w:pStyle w:val="P68B1DB1-Normal8"/>
              <w:spacing w:after="0" w:line="240" w:lineRule="auto"/>
              <w:jc w:val="center"/>
              <w:rPr>
                <w:rFonts w:eastAsia="Times New Roman" w:cs="Calibri"/>
                <w:noProof/>
              </w:rPr>
            </w:pPr>
            <w:r>
              <w:rPr>
                <w:noProof/>
              </w:rPr>
              <w:t>2023</w:t>
            </w:r>
          </w:p>
        </w:tc>
        <w:tc>
          <w:tcPr>
            <w:tcW w:w="4880" w:type="dxa"/>
            <w:shd w:val="clear" w:color="auto" w:fill="C4EFCE"/>
            <w:vAlign w:val="center"/>
            <w:hideMark/>
          </w:tcPr>
          <w:p w14:paraId="41A423B1" w14:textId="78BE8103" w:rsidR="00262911" w:rsidRDefault="00262911" w:rsidP="00262911">
            <w:pPr>
              <w:pStyle w:val="P68B1DB1-Normal8"/>
              <w:spacing w:after="0" w:line="240" w:lineRule="auto"/>
              <w:jc w:val="both"/>
              <w:rPr>
                <w:rFonts w:eastAsia="Times New Roman" w:cs="Calibri"/>
                <w:noProof/>
              </w:rPr>
            </w:pPr>
            <w:r>
              <w:rPr>
                <w:noProof/>
              </w:rPr>
              <w:t>A bűnügyi nyomozások modernizált informatikai rendszerének üzembe helyezése. A korszerűsítés magában foglalja a kapcsolódási pontok létrehozását és a lehallgatási rendszerek korszerűsítését, valamint az európai és nemzetközi partnerekkel való interoperabilitás biztosítását.</w:t>
            </w:r>
          </w:p>
        </w:tc>
      </w:tr>
      <w:tr w:rsidR="00DC5EC6" w14:paraId="225C6D24" w14:textId="77777777">
        <w:trPr>
          <w:trHeight w:val="430"/>
        </w:trPr>
        <w:tc>
          <w:tcPr>
            <w:tcW w:w="1277" w:type="dxa"/>
            <w:shd w:val="clear" w:color="auto" w:fill="C4EFCE"/>
            <w:vAlign w:val="center"/>
          </w:tcPr>
          <w:p w14:paraId="26C96112" w14:textId="77777777" w:rsidR="00DC5EC6" w:rsidRDefault="003245A4">
            <w:pPr>
              <w:pStyle w:val="P68B1DB1-Normal7"/>
              <w:spacing w:after="0" w:line="240" w:lineRule="auto"/>
              <w:jc w:val="center"/>
              <w:rPr>
                <w:rFonts w:eastAsia="Times New Roman" w:cs="Calibri"/>
                <w:noProof/>
              </w:rPr>
            </w:pPr>
            <w:r>
              <w:rPr>
                <w:noProof/>
              </w:rPr>
              <w:t>18.6</w:t>
            </w:r>
          </w:p>
        </w:tc>
        <w:tc>
          <w:tcPr>
            <w:tcW w:w="1275" w:type="dxa"/>
            <w:shd w:val="clear" w:color="auto" w:fill="C4EFCE"/>
            <w:noWrap/>
            <w:vAlign w:val="center"/>
            <w:hideMark/>
          </w:tcPr>
          <w:p w14:paraId="169DA80A" w14:textId="77777777" w:rsidR="00DC5EC6" w:rsidRDefault="003245A4">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39443976" w14:textId="77777777" w:rsidR="00DC5EC6" w:rsidRDefault="003245A4">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095D35B1" w14:textId="77777777" w:rsidR="00DC5EC6" w:rsidRDefault="003245A4">
            <w:pPr>
              <w:pStyle w:val="P68B1DB1-Normal8"/>
              <w:spacing w:after="0" w:line="240" w:lineRule="auto"/>
              <w:jc w:val="center"/>
              <w:rPr>
                <w:rFonts w:eastAsia="Times New Roman" w:cs="Calibri"/>
                <w:noProof/>
              </w:rPr>
            </w:pPr>
            <w:r>
              <w:rPr>
                <w:noProof/>
              </w:rPr>
              <w:t>„Vállalkozás 2.0” információs rendszer</w:t>
            </w:r>
          </w:p>
        </w:tc>
        <w:tc>
          <w:tcPr>
            <w:tcW w:w="1633" w:type="dxa"/>
            <w:shd w:val="clear" w:color="auto" w:fill="C4EFCE"/>
            <w:noWrap/>
            <w:vAlign w:val="center"/>
            <w:hideMark/>
          </w:tcPr>
          <w:p w14:paraId="57E18843" w14:textId="77777777" w:rsidR="00DC5EC6" w:rsidRDefault="003245A4">
            <w:pPr>
              <w:pStyle w:val="P68B1DB1-Normal8"/>
              <w:spacing w:after="0" w:line="240" w:lineRule="auto"/>
              <w:jc w:val="center"/>
              <w:rPr>
                <w:rFonts w:eastAsia="Times New Roman" w:cs="Calibri"/>
                <w:noProof/>
              </w:rPr>
            </w:pPr>
            <w:r>
              <w:rPr>
                <w:noProof/>
              </w:rPr>
              <w:t>Működő „vállalkozás 2.0” információs rendszer</w:t>
            </w:r>
          </w:p>
        </w:tc>
        <w:tc>
          <w:tcPr>
            <w:tcW w:w="1659" w:type="dxa"/>
            <w:shd w:val="clear" w:color="auto" w:fill="C4EFCE"/>
            <w:noWrap/>
            <w:vAlign w:val="center"/>
            <w:hideMark/>
          </w:tcPr>
          <w:p w14:paraId="02355EB1" w14:textId="77777777" w:rsidR="00DC5EC6" w:rsidRDefault="003245A4">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547E5270" w14:textId="77777777" w:rsidR="00DC5EC6" w:rsidRDefault="003245A4">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0D2D7DFE" w14:textId="77777777" w:rsidR="00DC5EC6" w:rsidRDefault="003245A4">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5472196" w14:textId="65452CD8" w:rsidR="00DC5EC6" w:rsidRDefault="00262911">
            <w:pPr>
              <w:pStyle w:val="P68B1DB1-Normal8"/>
              <w:spacing w:after="0" w:line="240" w:lineRule="auto"/>
              <w:jc w:val="center"/>
              <w:rPr>
                <w:rFonts w:eastAsia="Times New Roman" w:cs="Calibri"/>
                <w:noProof/>
              </w:rPr>
            </w:pPr>
            <w:r>
              <w:rPr>
                <w:noProof/>
              </w:rPr>
              <w:t>1.</w:t>
            </w:r>
            <w:r w:rsidR="003245A4">
              <w:rPr>
                <w:noProof/>
              </w:rPr>
              <w:t>NEGYEDÉV</w:t>
            </w:r>
          </w:p>
        </w:tc>
        <w:tc>
          <w:tcPr>
            <w:tcW w:w="614" w:type="dxa"/>
            <w:shd w:val="clear" w:color="auto" w:fill="C4EFCE"/>
            <w:noWrap/>
            <w:vAlign w:val="center"/>
            <w:hideMark/>
          </w:tcPr>
          <w:p w14:paraId="34E046B1" w14:textId="77777777" w:rsidR="00DC5EC6" w:rsidRDefault="003245A4">
            <w:pPr>
              <w:pStyle w:val="P68B1DB1-Normal8"/>
              <w:spacing w:after="0" w:line="240" w:lineRule="auto"/>
              <w:jc w:val="center"/>
              <w:rPr>
                <w:rFonts w:eastAsia="Times New Roman" w:cs="Calibri"/>
                <w:noProof/>
              </w:rPr>
            </w:pPr>
            <w:r>
              <w:rPr>
                <w:noProof/>
              </w:rPr>
              <w:t>2024</w:t>
            </w:r>
          </w:p>
        </w:tc>
        <w:tc>
          <w:tcPr>
            <w:tcW w:w="4880" w:type="dxa"/>
            <w:shd w:val="clear" w:color="auto" w:fill="C4EFCE"/>
            <w:vAlign w:val="center"/>
            <w:hideMark/>
          </w:tcPr>
          <w:p w14:paraId="1B04CDEB" w14:textId="77777777" w:rsidR="00DC5EC6" w:rsidRDefault="003245A4">
            <w:pPr>
              <w:pStyle w:val="P68B1DB1-Normal8"/>
              <w:spacing w:after="0" w:line="240" w:lineRule="auto"/>
              <w:jc w:val="both"/>
              <w:rPr>
                <w:rFonts w:eastAsia="Times New Roman" w:cs="Calibri"/>
                <w:noProof/>
              </w:rPr>
            </w:pPr>
            <w:r>
              <w:rPr>
                <w:noProof/>
              </w:rPr>
              <w:t>A „Vállalkozás 2.0” információs rendszer működésbe lépése, amely egy új platform, amely a vállalkozások életciklusára (alapítás, irányítás és megszüntetés) vonatkozó vállalati információkat tartalmaz.</w:t>
            </w:r>
          </w:p>
        </w:tc>
      </w:tr>
      <w:tr w:rsidR="00262911" w14:paraId="0A059693" w14:textId="77777777">
        <w:trPr>
          <w:trHeight w:val="1549"/>
        </w:trPr>
        <w:tc>
          <w:tcPr>
            <w:tcW w:w="1277" w:type="dxa"/>
            <w:shd w:val="clear" w:color="auto" w:fill="C4EFCE"/>
            <w:vAlign w:val="center"/>
          </w:tcPr>
          <w:p w14:paraId="4ED3BD78" w14:textId="77777777" w:rsidR="00262911" w:rsidRDefault="00262911" w:rsidP="00262911">
            <w:pPr>
              <w:pStyle w:val="P68B1DB1-Normal7"/>
              <w:spacing w:after="0" w:line="240" w:lineRule="auto"/>
              <w:jc w:val="center"/>
              <w:rPr>
                <w:rFonts w:eastAsia="Times New Roman" w:cs="Calibri"/>
                <w:noProof/>
              </w:rPr>
            </w:pPr>
            <w:r>
              <w:rPr>
                <w:noProof/>
              </w:rPr>
              <w:t>18.7</w:t>
            </w:r>
          </w:p>
        </w:tc>
        <w:tc>
          <w:tcPr>
            <w:tcW w:w="1275" w:type="dxa"/>
            <w:shd w:val="clear" w:color="auto" w:fill="C4EFCE"/>
            <w:noWrap/>
            <w:vAlign w:val="center"/>
            <w:hideMark/>
          </w:tcPr>
          <w:p w14:paraId="2C1871B2"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40CE8FFB"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4F76739D" w14:textId="77777777" w:rsidR="00262911" w:rsidRDefault="00262911" w:rsidP="00262911">
            <w:pPr>
              <w:pStyle w:val="P68B1DB1-Normal8"/>
              <w:spacing w:after="0" w:line="240" w:lineRule="auto"/>
              <w:jc w:val="center"/>
              <w:rPr>
                <w:rFonts w:eastAsia="Times New Roman" w:cs="Calibri"/>
                <w:noProof/>
              </w:rPr>
            </w:pPr>
            <w:r>
              <w:rPr>
                <w:noProof/>
              </w:rPr>
              <w:t>Új információs rendszer a bíróságok és az ügyészség digitális átalakulásához</w:t>
            </w:r>
          </w:p>
        </w:tc>
        <w:tc>
          <w:tcPr>
            <w:tcW w:w="1633" w:type="dxa"/>
            <w:shd w:val="clear" w:color="auto" w:fill="C4EFCE"/>
            <w:noWrap/>
            <w:vAlign w:val="center"/>
            <w:hideMark/>
          </w:tcPr>
          <w:p w14:paraId="0E3E294D" w14:textId="77777777" w:rsidR="00262911" w:rsidRDefault="00262911" w:rsidP="00262911">
            <w:pPr>
              <w:pStyle w:val="P68B1DB1-Normal8"/>
              <w:spacing w:after="0" w:line="240" w:lineRule="auto"/>
              <w:jc w:val="center"/>
              <w:rPr>
                <w:rFonts w:eastAsia="Times New Roman" w:cs="Calibri"/>
                <w:noProof/>
              </w:rPr>
            </w:pPr>
            <w:r>
              <w:rPr>
                <w:noProof/>
              </w:rPr>
              <w:t>Új információs rendszer a bíróságok és az ügyészség digitális átalakításához</w:t>
            </w:r>
          </w:p>
        </w:tc>
        <w:tc>
          <w:tcPr>
            <w:tcW w:w="1659" w:type="dxa"/>
            <w:shd w:val="clear" w:color="auto" w:fill="C4EFCE"/>
            <w:noWrap/>
            <w:vAlign w:val="center"/>
            <w:hideMark/>
          </w:tcPr>
          <w:p w14:paraId="01C32B98"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376C17AC"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48D4F6D4"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2D0E0F97" w14:textId="7559E606"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0F78CEE7"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28A62C7E" w14:textId="2D8A6040" w:rsidR="00262911" w:rsidRDefault="00262911" w:rsidP="00262911">
            <w:pPr>
              <w:pStyle w:val="P68B1DB1-Normal8"/>
              <w:spacing w:after="0" w:line="240" w:lineRule="auto"/>
              <w:jc w:val="both"/>
              <w:rPr>
                <w:rFonts w:eastAsia="Times New Roman" w:cs="Calibri"/>
                <w:noProof/>
              </w:rPr>
            </w:pPr>
            <w:r>
              <w:rPr>
                <w:noProof/>
              </w:rPr>
              <w:t>Az elektronikus bírósági eljárások kezelésére szolgáló új információs rendszer működésbe lépése. Az új információs rendszernek mintegy 400 bíróságon és ügyészségi egységben kell rendelkezésre állnia az elektronikus bírósági eljárások kezelésére, valamennyi joghatóságra, eljárási lépésre (beleértve a nyomozást is) és az igazságügyi szervekre kiterjedően, és azt a bírák, ügyészek, bírósági tisztviselők és képviselők használják. Az érdekelt felekkel folytatott valamennyi bírósági kommunikációt digitalizálni kell.</w:t>
            </w:r>
          </w:p>
        </w:tc>
      </w:tr>
      <w:tr w:rsidR="00262911" w14:paraId="7596235C" w14:textId="77777777">
        <w:trPr>
          <w:trHeight w:val="420"/>
        </w:trPr>
        <w:tc>
          <w:tcPr>
            <w:tcW w:w="1277" w:type="dxa"/>
            <w:shd w:val="clear" w:color="auto" w:fill="C4EFCE"/>
            <w:vAlign w:val="center"/>
          </w:tcPr>
          <w:p w14:paraId="136E2CBE" w14:textId="77777777" w:rsidR="00262911" w:rsidRDefault="00262911" w:rsidP="00262911">
            <w:pPr>
              <w:pStyle w:val="P68B1DB1-Normal7"/>
              <w:spacing w:after="0" w:line="240" w:lineRule="auto"/>
              <w:jc w:val="center"/>
              <w:rPr>
                <w:rFonts w:eastAsia="Times New Roman" w:cs="Calibri"/>
                <w:noProof/>
              </w:rPr>
            </w:pPr>
            <w:r>
              <w:rPr>
                <w:noProof/>
              </w:rPr>
              <w:t>18.8</w:t>
            </w:r>
          </w:p>
        </w:tc>
        <w:tc>
          <w:tcPr>
            <w:tcW w:w="1275" w:type="dxa"/>
            <w:shd w:val="clear" w:color="auto" w:fill="C4EFCE"/>
            <w:noWrap/>
            <w:vAlign w:val="center"/>
            <w:hideMark/>
          </w:tcPr>
          <w:p w14:paraId="04B7365D"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03AD5040"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2AEC5F26" w14:textId="77777777" w:rsidR="00262911" w:rsidRDefault="00262911" w:rsidP="00262911">
            <w:pPr>
              <w:pStyle w:val="P68B1DB1-Normal8"/>
              <w:spacing w:after="0" w:line="240" w:lineRule="auto"/>
              <w:jc w:val="center"/>
              <w:rPr>
                <w:rFonts w:eastAsia="Times New Roman" w:cs="Calibri"/>
                <w:noProof/>
              </w:rPr>
            </w:pPr>
            <w:r>
              <w:rPr>
                <w:noProof/>
              </w:rPr>
              <w:t xml:space="preserve">Az új technológiai terv végrehajtása  </w:t>
            </w:r>
          </w:p>
        </w:tc>
        <w:tc>
          <w:tcPr>
            <w:tcW w:w="1633" w:type="dxa"/>
            <w:shd w:val="clear" w:color="auto" w:fill="C4EFCE"/>
            <w:noWrap/>
            <w:vAlign w:val="center"/>
            <w:hideMark/>
          </w:tcPr>
          <w:p w14:paraId="490AFB9D" w14:textId="77777777" w:rsidR="00262911" w:rsidRDefault="00262911" w:rsidP="00262911">
            <w:pPr>
              <w:pStyle w:val="P68B1DB1-Normal8"/>
              <w:spacing w:after="0" w:line="240" w:lineRule="auto"/>
              <w:jc w:val="center"/>
              <w:rPr>
                <w:rFonts w:eastAsia="Times New Roman" w:cs="Calibri"/>
                <w:noProof/>
              </w:rPr>
            </w:pPr>
            <w:r>
              <w:rPr>
                <w:noProof/>
              </w:rPr>
              <w:t>Az új technológiai terv végrehajtása</w:t>
            </w:r>
          </w:p>
        </w:tc>
        <w:tc>
          <w:tcPr>
            <w:tcW w:w="1659" w:type="dxa"/>
            <w:shd w:val="clear" w:color="auto" w:fill="C4EFCE"/>
            <w:noWrap/>
            <w:vAlign w:val="center"/>
            <w:hideMark/>
          </w:tcPr>
          <w:p w14:paraId="45638276"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1590CD33"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6F1CD951"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40C9F6AE" w14:textId="63B1213F"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1F094D9A"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16BB7A9B" w14:textId="77777777" w:rsidR="00262911" w:rsidRDefault="00262911" w:rsidP="00262911">
            <w:pPr>
              <w:pStyle w:val="P68B1DB1-Normal8"/>
              <w:spacing w:after="0" w:line="240" w:lineRule="auto"/>
              <w:jc w:val="both"/>
              <w:rPr>
                <w:rFonts w:eastAsia="Times New Roman" w:cs="Calibri"/>
                <w:noProof/>
              </w:rPr>
            </w:pPr>
            <w:r>
              <w:rPr>
                <w:noProof/>
              </w:rPr>
              <w:t xml:space="preserve">Az igazságügyi berendezésekre és infrastruktúrákra vonatkozó új technológiai terv végrehajtása a következő elemek üzembe helyezésével: </w:t>
            </w:r>
          </w:p>
          <w:p w14:paraId="2DCE4A09" w14:textId="77777777" w:rsidR="00262911" w:rsidRDefault="00262911" w:rsidP="00262911">
            <w:pPr>
              <w:pStyle w:val="P68B1DB1-Normal8"/>
              <w:spacing w:after="0" w:line="240" w:lineRule="auto"/>
              <w:jc w:val="both"/>
              <w:rPr>
                <w:rFonts w:eastAsia="Times New Roman" w:cs="Calibri"/>
                <w:noProof/>
              </w:rPr>
            </w:pPr>
            <w:r>
              <w:rPr>
                <w:noProof/>
              </w:rPr>
              <w:t xml:space="preserve">időpont Új adatközpont; </w:t>
            </w:r>
          </w:p>
          <w:p w14:paraId="5AABD6C8" w14:textId="77777777" w:rsidR="00262911" w:rsidRDefault="00262911" w:rsidP="00262911">
            <w:pPr>
              <w:pStyle w:val="P68B1DB1-Normal8"/>
              <w:spacing w:after="0" w:line="240" w:lineRule="auto"/>
              <w:jc w:val="both"/>
              <w:rPr>
                <w:rFonts w:eastAsia="Times New Roman" w:cs="Calibri"/>
                <w:noProof/>
              </w:rPr>
            </w:pPr>
            <w:r>
              <w:rPr>
                <w:noProof/>
              </w:rPr>
              <w:t xml:space="preserve">b) Nyíltadat-platform az igazságszolgáltatásért; </w:t>
            </w:r>
          </w:p>
          <w:p w14:paraId="598F4A88" w14:textId="77777777" w:rsidR="00262911" w:rsidRDefault="00262911" w:rsidP="00262911">
            <w:pPr>
              <w:pStyle w:val="P68B1DB1-Normal8"/>
              <w:spacing w:after="0" w:line="240" w:lineRule="auto"/>
              <w:jc w:val="both"/>
              <w:rPr>
                <w:rFonts w:eastAsia="Times New Roman" w:cs="Calibri"/>
                <w:noProof/>
              </w:rPr>
            </w:pPr>
            <w:r>
              <w:rPr>
                <w:noProof/>
              </w:rPr>
              <w:t xml:space="preserve">C) Információkezelési rendszer az igazságszolgáltatás valamennyi szerve számára; </w:t>
            </w:r>
          </w:p>
          <w:p w14:paraId="458BE826" w14:textId="1D3A1DA0" w:rsidR="00262911" w:rsidRDefault="00262911" w:rsidP="00262911">
            <w:pPr>
              <w:pStyle w:val="P68B1DB1-Normal8"/>
              <w:spacing w:after="0" w:line="240" w:lineRule="auto"/>
              <w:jc w:val="both"/>
              <w:rPr>
                <w:rFonts w:eastAsia="Times New Roman" w:cs="Calibri"/>
                <w:noProof/>
              </w:rPr>
            </w:pPr>
            <w:r>
              <w:rPr>
                <w:noProof/>
              </w:rPr>
              <w:t>d) A digitális személyazonosság kezelése és</w:t>
            </w:r>
          </w:p>
          <w:p w14:paraId="42F2BEFF" w14:textId="12D6CA51" w:rsidR="00262911" w:rsidRDefault="00262911" w:rsidP="00262911">
            <w:pPr>
              <w:pStyle w:val="P68B1DB1-Normal8"/>
              <w:spacing w:after="0" w:line="240" w:lineRule="auto"/>
              <w:jc w:val="both"/>
              <w:rPr>
                <w:rFonts w:eastAsia="Times New Roman" w:cs="Calibri"/>
                <w:noProof/>
              </w:rPr>
            </w:pPr>
            <w:r>
              <w:rPr>
                <w:noProof/>
              </w:rPr>
              <w:t>e) A bírósági eljárások során lefoglalt vagyontárgyak visszaszerzésére és kezelésére szolgáló rendszer</w:t>
            </w:r>
          </w:p>
        </w:tc>
      </w:tr>
      <w:tr w:rsidR="00262911" w14:paraId="652E8888" w14:textId="77777777">
        <w:trPr>
          <w:trHeight w:val="290"/>
        </w:trPr>
        <w:tc>
          <w:tcPr>
            <w:tcW w:w="1277" w:type="dxa"/>
            <w:shd w:val="clear" w:color="auto" w:fill="C4EFCE"/>
            <w:vAlign w:val="center"/>
          </w:tcPr>
          <w:p w14:paraId="7B60AA28" w14:textId="77777777" w:rsidR="00262911" w:rsidRDefault="00262911" w:rsidP="00262911">
            <w:pPr>
              <w:pStyle w:val="P68B1DB1-Normal7"/>
              <w:spacing w:after="0" w:line="240" w:lineRule="auto"/>
              <w:jc w:val="center"/>
              <w:rPr>
                <w:rFonts w:eastAsia="Times New Roman" w:cs="Calibri"/>
                <w:noProof/>
              </w:rPr>
            </w:pPr>
            <w:r>
              <w:rPr>
                <w:noProof/>
              </w:rPr>
              <w:t>18.9</w:t>
            </w:r>
          </w:p>
        </w:tc>
        <w:tc>
          <w:tcPr>
            <w:tcW w:w="1275" w:type="dxa"/>
            <w:shd w:val="clear" w:color="auto" w:fill="C4EFCE"/>
            <w:noWrap/>
            <w:vAlign w:val="center"/>
            <w:hideMark/>
          </w:tcPr>
          <w:p w14:paraId="466CB9EA" w14:textId="77777777" w:rsidR="00262911" w:rsidRDefault="00262911" w:rsidP="00262911">
            <w:pPr>
              <w:pStyle w:val="P68B1DB1-Normal8"/>
              <w:spacing w:after="0" w:line="240" w:lineRule="auto"/>
              <w:jc w:val="center"/>
              <w:rPr>
                <w:rFonts w:eastAsia="Times New Roman" w:cs="Calibri"/>
                <w:noProof/>
              </w:rPr>
            </w:pPr>
            <w:r>
              <w:rPr>
                <w:noProof/>
              </w:rPr>
              <w:t>TD-C18-i01</w:t>
            </w:r>
          </w:p>
        </w:tc>
        <w:tc>
          <w:tcPr>
            <w:tcW w:w="993" w:type="dxa"/>
            <w:shd w:val="clear" w:color="auto" w:fill="C4EFCE"/>
            <w:noWrap/>
            <w:vAlign w:val="center"/>
            <w:hideMark/>
          </w:tcPr>
          <w:p w14:paraId="542529BD" w14:textId="77777777" w:rsidR="00262911" w:rsidRDefault="00262911" w:rsidP="00262911">
            <w:pPr>
              <w:pStyle w:val="P68B1DB1-Normal8"/>
              <w:spacing w:after="0" w:line="240" w:lineRule="auto"/>
              <w:jc w:val="center"/>
              <w:rPr>
                <w:rFonts w:eastAsia="Times New Roman" w:cs="Calibri"/>
                <w:noProof/>
              </w:rPr>
            </w:pPr>
            <w:r>
              <w:rPr>
                <w:noProof/>
              </w:rPr>
              <w:t>M</w:t>
            </w:r>
          </w:p>
        </w:tc>
        <w:tc>
          <w:tcPr>
            <w:tcW w:w="1527" w:type="dxa"/>
            <w:gridSpan w:val="2"/>
            <w:shd w:val="clear" w:color="auto" w:fill="C4EFCE"/>
            <w:noWrap/>
            <w:vAlign w:val="center"/>
            <w:hideMark/>
          </w:tcPr>
          <w:p w14:paraId="30BF086F" w14:textId="77777777" w:rsidR="00262911" w:rsidRDefault="00262911" w:rsidP="00262911">
            <w:pPr>
              <w:pStyle w:val="P68B1DB1-Normal8"/>
              <w:spacing w:after="0" w:line="240" w:lineRule="auto"/>
              <w:jc w:val="center"/>
              <w:rPr>
                <w:rFonts w:eastAsia="Times New Roman" w:cs="Calibri"/>
                <w:noProof/>
              </w:rPr>
            </w:pPr>
            <w:r>
              <w:rPr>
                <w:noProof/>
              </w:rPr>
              <w:t xml:space="preserve">Tudásmenedzsment-platformok az igazságszolgáltatásban </w:t>
            </w:r>
          </w:p>
        </w:tc>
        <w:tc>
          <w:tcPr>
            <w:tcW w:w="1633" w:type="dxa"/>
            <w:shd w:val="clear" w:color="auto" w:fill="C4EFCE"/>
            <w:noWrap/>
            <w:vAlign w:val="center"/>
            <w:hideMark/>
          </w:tcPr>
          <w:p w14:paraId="2BB35CD2" w14:textId="77777777" w:rsidR="00262911" w:rsidRDefault="00262911" w:rsidP="00262911">
            <w:pPr>
              <w:pStyle w:val="P68B1DB1-Normal8"/>
              <w:spacing w:after="0" w:line="240" w:lineRule="auto"/>
              <w:jc w:val="center"/>
              <w:rPr>
                <w:rFonts w:eastAsia="Times New Roman" w:cs="Calibri"/>
                <w:noProof/>
              </w:rPr>
            </w:pPr>
            <w:r>
              <w:rPr>
                <w:noProof/>
              </w:rPr>
              <w:t>A tudásmenedzsment platformok működése az igazságszolgáltatásban</w:t>
            </w:r>
          </w:p>
        </w:tc>
        <w:tc>
          <w:tcPr>
            <w:tcW w:w="1659" w:type="dxa"/>
            <w:shd w:val="clear" w:color="auto" w:fill="C4EFCE"/>
            <w:noWrap/>
            <w:vAlign w:val="center"/>
            <w:hideMark/>
          </w:tcPr>
          <w:p w14:paraId="1AFCBD9B"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D02AA90"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777" w:type="dxa"/>
            <w:shd w:val="clear" w:color="auto" w:fill="C4EFCE"/>
            <w:noWrap/>
            <w:vAlign w:val="center"/>
            <w:hideMark/>
          </w:tcPr>
          <w:p w14:paraId="1A564C8D" w14:textId="77777777" w:rsidR="00262911" w:rsidRDefault="00262911" w:rsidP="00262911">
            <w:pPr>
              <w:pStyle w:val="P68B1DB1-Normal8"/>
              <w:spacing w:after="0" w:line="240" w:lineRule="auto"/>
              <w:jc w:val="center"/>
              <w:rPr>
                <w:rFonts w:eastAsia="Times New Roman" w:cs="Calibri"/>
                <w:noProof/>
              </w:rPr>
            </w:pPr>
            <w:r>
              <w:rPr>
                <w:noProof/>
              </w:rPr>
              <w:t> </w:t>
            </w:r>
          </w:p>
        </w:tc>
        <w:tc>
          <w:tcPr>
            <w:tcW w:w="533" w:type="dxa"/>
            <w:shd w:val="clear" w:color="auto" w:fill="C4EFCE"/>
            <w:noWrap/>
            <w:vAlign w:val="center"/>
            <w:hideMark/>
          </w:tcPr>
          <w:p w14:paraId="7BC388F9" w14:textId="17EE6246" w:rsidR="00262911" w:rsidRDefault="00262911" w:rsidP="00262911">
            <w:pPr>
              <w:pStyle w:val="P68B1DB1-Normal8"/>
              <w:spacing w:after="0" w:line="240" w:lineRule="auto"/>
              <w:jc w:val="center"/>
              <w:rPr>
                <w:rFonts w:eastAsia="Times New Roman" w:cs="Calibri"/>
                <w:noProof/>
              </w:rPr>
            </w:pPr>
            <w:r>
              <w:rPr>
                <w:noProof/>
              </w:rPr>
              <w:t>4. NEGYEDÉV</w:t>
            </w:r>
          </w:p>
        </w:tc>
        <w:tc>
          <w:tcPr>
            <w:tcW w:w="614" w:type="dxa"/>
            <w:shd w:val="clear" w:color="auto" w:fill="C4EFCE"/>
            <w:noWrap/>
            <w:vAlign w:val="center"/>
            <w:hideMark/>
          </w:tcPr>
          <w:p w14:paraId="176AAACD" w14:textId="77777777" w:rsidR="00262911" w:rsidRDefault="00262911" w:rsidP="00262911">
            <w:pPr>
              <w:pStyle w:val="P68B1DB1-Normal8"/>
              <w:spacing w:after="0" w:line="240" w:lineRule="auto"/>
              <w:jc w:val="center"/>
              <w:rPr>
                <w:rFonts w:eastAsia="Times New Roman" w:cs="Calibri"/>
                <w:noProof/>
              </w:rPr>
            </w:pPr>
            <w:r>
              <w:rPr>
                <w:noProof/>
              </w:rPr>
              <w:t>2025</w:t>
            </w:r>
          </w:p>
        </w:tc>
        <w:tc>
          <w:tcPr>
            <w:tcW w:w="4880" w:type="dxa"/>
            <w:shd w:val="clear" w:color="auto" w:fill="C4EFCE"/>
            <w:vAlign w:val="center"/>
            <w:hideMark/>
          </w:tcPr>
          <w:p w14:paraId="0610679A" w14:textId="77777777" w:rsidR="00262911" w:rsidRDefault="00262911" w:rsidP="00262911">
            <w:pPr>
              <w:pStyle w:val="P68B1DB1-Normal8"/>
              <w:spacing w:after="0" w:line="240" w:lineRule="auto"/>
              <w:jc w:val="both"/>
              <w:rPr>
                <w:rFonts w:eastAsia="Times New Roman" w:cs="Calibri"/>
                <w:noProof/>
              </w:rPr>
            </w:pPr>
            <w:r>
              <w:rPr>
                <w:noProof/>
              </w:rPr>
              <w:t xml:space="preserve">A következő tudásmenedzsment platformok működésének megkezdése: </w:t>
            </w:r>
          </w:p>
          <w:p w14:paraId="496127DF" w14:textId="77777777" w:rsidR="00262911" w:rsidRDefault="00262911" w:rsidP="00262911">
            <w:pPr>
              <w:pStyle w:val="P68B1DB1-Normal8"/>
              <w:spacing w:after="0" w:line="240" w:lineRule="auto"/>
              <w:jc w:val="both"/>
              <w:rPr>
                <w:rFonts w:eastAsia="Times New Roman" w:cs="Calibri"/>
                <w:noProof/>
              </w:rPr>
            </w:pPr>
            <w:r>
              <w:rPr>
                <w:noProof/>
              </w:rPr>
              <w:t>időpont Közös támogató szolgáltatások</w:t>
            </w:r>
          </w:p>
          <w:p w14:paraId="7691DD03" w14:textId="77777777" w:rsidR="00262911" w:rsidRDefault="00262911" w:rsidP="00262911">
            <w:pPr>
              <w:pStyle w:val="P68B1DB1-Normal8"/>
              <w:spacing w:after="0" w:line="240" w:lineRule="auto"/>
              <w:jc w:val="both"/>
              <w:rPr>
                <w:rFonts w:eastAsia="Times New Roman" w:cs="Calibri"/>
                <w:noProof/>
              </w:rPr>
            </w:pPr>
            <w:r>
              <w:rPr>
                <w:noProof/>
              </w:rPr>
              <w:t>b) Statisztikák és mutatók</w:t>
            </w:r>
          </w:p>
          <w:p w14:paraId="72273524" w14:textId="66EFA231" w:rsidR="00262911" w:rsidRDefault="00262911" w:rsidP="00262911">
            <w:pPr>
              <w:pStyle w:val="P68B1DB1-Normal8"/>
              <w:spacing w:after="0" w:line="240" w:lineRule="auto"/>
              <w:jc w:val="both"/>
              <w:rPr>
                <w:rFonts w:eastAsia="Times New Roman" w:cs="Calibri"/>
                <w:noProof/>
              </w:rPr>
            </w:pPr>
            <w:r>
              <w:rPr>
                <w:noProof/>
              </w:rPr>
              <w:t>C) Információkezelési platform (dokumentumkezelő rendszer)</w:t>
            </w:r>
          </w:p>
        </w:tc>
      </w:tr>
    </w:tbl>
    <w:p w14:paraId="1FA4212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4578922"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36"/>
          <w:headerReference w:type="default" r:id="rId337"/>
          <w:footerReference w:type="even" r:id="rId338"/>
          <w:footerReference w:type="default" r:id="rId339"/>
          <w:headerReference w:type="first" r:id="rId340"/>
          <w:footerReference w:type="first" r:id="rId341"/>
          <w:pgSz w:w="16839" w:h="11907" w:orient="landscape"/>
          <w:pgMar w:top="1134" w:right="1134" w:bottom="1134" w:left="1134" w:header="567" w:footer="567" w:gutter="0"/>
          <w:cols w:space="720"/>
          <w:docGrid w:linePitch="360"/>
        </w:sectPr>
      </w:pPr>
    </w:p>
    <w:p w14:paraId="2D348F08" w14:textId="40168C43"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S.</w:t>
      </w:r>
      <w:r w:rsidR="00262911">
        <w:rPr>
          <w:noProof/>
        </w:rPr>
        <w:t>19.</w:t>
      </w:r>
      <w:r>
        <w:rPr>
          <w:noProof/>
        </w:rPr>
        <w:t xml:space="preserve"> </w:t>
      </w:r>
      <w:r w:rsidR="00342815">
        <w:rPr>
          <w:noProof/>
        </w:rPr>
        <w:t>KOMPONENS</w:t>
      </w:r>
      <w:r>
        <w:rPr>
          <w:noProof/>
        </w:rPr>
        <w:t>: Digitális közigazgatás</w:t>
      </w:r>
    </w:p>
    <w:p w14:paraId="545FE9CA" w14:textId="77777777" w:rsidR="00DC5EC6" w:rsidRDefault="003245A4">
      <w:pPr>
        <w:pStyle w:val="P68B1DB1-Normal4"/>
        <w:keepNext/>
        <w:spacing w:before="40" w:after="0" w:line="259" w:lineRule="auto"/>
        <w:jc w:val="both"/>
        <w:rPr>
          <w:rFonts w:eastAsiaTheme="minorEastAsia" w:cs="Times New Roman"/>
          <w:noProof/>
        </w:rPr>
      </w:pPr>
      <w:r>
        <w:rPr>
          <w:noProof/>
        </w:rPr>
        <w:t>A portugál helyreállítási és rezilienciaépítési terv e komponense azzal a kihívással foglalkozik, hogy jobb, egyszerűbb és digitálisabb közszolgáltatásokat kell nyújtani. Bár Portugália jó helyzetben van a digitális szolgáltatások nyújtása terén, a követelmények széttöredezettsége és megkettőzése továbbra is kulcsfontosságú akadálya a hatékony és ügyfélközpontú közigazgatásnak. Ennek a komponensnek a célja e kihívások kezelése.</w:t>
      </w:r>
    </w:p>
    <w:p w14:paraId="7E98D9F3"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komponens célja a közszolgáltatás javítása a technológiai megoldások használatának előmozdítása, valamint a polgárok és a vállalkozások egyszerűbb, biztonságos, eredményes és hatékony hozzáférése érdekében a közelség erősítése révén, csökkentve a kontextus költségeit. Célja továbbá a hatékonyság, a modernizáció, az innováció és a közigazgatás szerepvállalásának előmozdítása, ellenálló képességének megerősítése, a köztisztviselők készségeinek javítása, valamint az állam és a közigazgatás gazdasági és társadalmi növekedéshez és fejlődéshez való hozzájárulásának fokozása. </w:t>
      </w:r>
    </w:p>
    <w:p w14:paraId="48EE2AE0"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 Ez a komponens a „definíció szerint digitális” paradigma és az egyszeri adatszolgáltatás elvének a portugál közigazgatásban történő megvalósítására összpontosít, miközben beruház a munkaerő továbbképzésébe. </w:t>
      </w:r>
    </w:p>
    <w:p w14:paraId="73EFA6E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komponens hozzájárul a következőkre vonatkozó országspecifikus ajánlások megvalósításához: </w:t>
      </w:r>
    </w:p>
    <w:p w14:paraId="4BE37384"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 xml:space="preserve">a növekedésbarát kiadások előtérbe helyezése (2019. és 2020. évi 1. országspecifikus ajánlás), a digitalizációból származó hatékonyságnövekedés kiaknázása révén; </w:t>
      </w:r>
    </w:p>
    <w:p w14:paraId="6FD36964"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a lakosság készségszintjének javítása (2019. évi 2. országspecifikus ajánlás) a közszolgálat tekintetében;</w:t>
      </w:r>
    </w:p>
    <w:p w14:paraId="1C7F0463"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 xml:space="preserve">a beruházások összpontosítása a digitális átállásra (2020. évi 3. országspecifikus ajánlás), a horizontális és ágazati közigazgatási rendszerekbe való beruházás révén; és </w:t>
      </w:r>
    </w:p>
    <w:p w14:paraId="4FD80289" w14:textId="77777777" w:rsidR="00DC5EC6" w:rsidRDefault="003245A4">
      <w:pPr>
        <w:pStyle w:val="P68B1DB1-Normal4"/>
        <w:keepNext/>
        <w:numPr>
          <w:ilvl w:val="0"/>
          <w:numId w:val="35"/>
        </w:numPr>
        <w:spacing w:before="40" w:after="0" w:line="259" w:lineRule="auto"/>
        <w:jc w:val="both"/>
        <w:rPr>
          <w:rFonts w:eastAsiaTheme="minorEastAsia" w:cs="Times New Roman"/>
          <w:noProof/>
        </w:rPr>
      </w:pPr>
      <w:r>
        <w:rPr>
          <w:noProof/>
        </w:rPr>
        <w:t xml:space="preserve">a vállalkozásokra nehezedő szabályozási és adminisztratív terhek csökkentése (2019. évi 4. országspecifikus ajánlás) a vállalkozások és a hatóságok közötti kapcsolatok egyszerűsítése és hatékonyabbá tétele révén, különösen az egyszeri adatszolgáltatás elvének végrehajtása révén. </w:t>
      </w:r>
    </w:p>
    <w:p w14:paraId="2CE620EE" w14:textId="77777777" w:rsidR="00DC5EC6" w:rsidRDefault="003245A4">
      <w:pPr>
        <w:pStyle w:val="P68B1DB1-Normal4"/>
        <w:keepNext/>
        <w:spacing w:before="40" w:after="120" w:line="259" w:lineRule="auto"/>
        <w:ind w:left="720"/>
        <w:jc w:val="both"/>
        <w:rPr>
          <w:rFonts w:eastAsiaTheme="minorEastAsia" w:cs="Times New Roman"/>
          <w:noProof/>
        </w:rPr>
      </w:pPr>
      <w:r>
        <w:rPr>
          <w:noProof/>
        </w:rPr>
        <w:t xml:space="preserve">Várható, hogy ebben a komponensben egyetlen intézkedés sem sérti jelentősen a környezeti célkitűzéseket az (EU) 2020/852 rendelet 17. cikke értelmében, figyelembe véve a tervben a DNSH technikai iránymutatással (2021/C58/01) összhangban meghatározott intézkedések és enyhítő lépések leírását. </w:t>
      </w:r>
    </w:p>
    <w:p w14:paraId="138A182A" w14:textId="77777777" w:rsidR="00DC5EC6" w:rsidRDefault="003245A4">
      <w:pPr>
        <w:pStyle w:val="P68B1DB1-Normal3"/>
        <w:keepNext/>
        <w:spacing w:before="40" w:after="120" w:line="259" w:lineRule="auto"/>
        <w:ind w:left="130" w:firstLine="720"/>
        <w:jc w:val="both"/>
        <w:outlineLvl w:val="1"/>
        <w:rPr>
          <w:rFonts w:eastAsiaTheme="minorEastAsia" w:cs="Times New Roman"/>
          <w:noProof/>
        </w:rPr>
      </w:pPr>
      <w:r>
        <w:rPr>
          <w:noProof/>
        </w:rPr>
        <w:t xml:space="preserve">S.1. </w:t>
      </w:r>
      <w:r>
        <w:rPr>
          <w:noProof/>
        </w:rPr>
        <w:tab/>
        <w:t>Vissza nem térítendő pénzügyi támogatás – a reformok és beruházások ismertetése</w:t>
      </w:r>
    </w:p>
    <w:p w14:paraId="33CDC499"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TD-r34 reform: Digitális, egyszerű, inkluzív és biztonságos közszolgáltatások a polgárok és a vállalkozások számára </w:t>
      </w:r>
    </w:p>
    <w:p w14:paraId="77FBE40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célja, hogy megvalósítsa a „definíció szerint digitális” paradigmát a közszolgáltatásokban, felhasználóorientáltabbá tegye azt, növelje a hozzáférhetőséget, és csökkentse a polgárok és a vállalkozások adminisztratív terheit, többek között a felhőalapú szolgáltatások használatára támaszkodva. </w:t>
      </w:r>
    </w:p>
    <w:p w14:paraId="1568584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olyan intézkedések végrehajtásából áll, amelyek biztosítják, hogy rendelkezésre álljon a digitális átálláshoz szükséges jogi keret, különösen az egységes digitális kapu és az egyszeri adatszolgáltatás elvének végrehajtása tekintetében, a közigazgatás digitális átalakítására vonatkozó, 2021–2023-ra és 2024–2026-ra vonatkozó stratégiába és cselekvési tervbe ágyazott összehangolt folyamat révén, a szükséges információbiztonsági biztosítékok végrehajtása mellett, ideértve a kiberbiztonságra vonatkozó biztosítékokat is. </w:t>
      </w:r>
    </w:p>
    <w:p w14:paraId="5F0EA2EF" w14:textId="12627A67" w:rsidR="00DC5EC6" w:rsidRDefault="003245A4">
      <w:pPr>
        <w:pStyle w:val="P68B1DB1-Normal4"/>
        <w:keepNext/>
        <w:spacing w:before="40" w:after="0" w:line="259" w:lineRule="auto"/>
        <w:jc w:val="both"/>
        <w:rPr>
          <w:rFonts w:eastAsiaTheme="minorEastAsia" w:cs="Times New Roman"/>
          <w:noProof/>
        </w:rPr>
      </w:pPr>
      <w:r>
        <w:rPr>
          <w:noProof/>
        </w:rPr>
        <w:t>A reform végrehajtását 2021. szeptember 30-ig be kell fejezni.</w:t>
      </w:r>
    </w:p>
    <w:p w14:paraId="66FE78DD"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F8D8530"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TD-r35 reform: A közigazgatás funkcionális és szervezeti reformja</w:t>
      </w:r>
    </w:p>
    <w:p w14:paraId="033B5E8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reform célja a közszolgáltatások átalakítása és ésszerűsítése a modern és hatékonyabb közigazgatás előmozdítása érdekében, kihasználva a TD-r34 reform végrehajtásából származó szinergiákat is. A központi kormányzati szerveken belül jelenleg szétszórtság és redundancia tapasztalható, ami a minisztériumokon belüli szolgáltatások megismétléséhez, valamint a szigorú parancsnoki láncon alapuló munkavégzési modellek nagyfokú merevségéhez vezet a közszférában, ami indokolatlan bürokratikus megközelítésekhez vezet. </w:t>
      </w:r>
    </w:p>
    <w:p w14:paraId="17A61D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reform felülvizsgálja az állam és általában a közigazgatás működési modelljét a szinergiák fokozása és a technológia által teremtett lehetőségek kiaknázása érdekében. Ez magában foglalja a közös és megosztott szolgáltatások központosítását, a központi kormányzati szerveken belüli szétszórtság és redundancia kezelését, az ágazati közvetlen és közvetett közigazgatási szervek szakterületek szerinti megfelelő szakosodását, a kormányzati tevékenység támogatása kritikus funkcióinak szakosodását és a kormányzati hivatalok egyetlen fizikai térre történő összpontosítását, valamint a belső ellenőrzés és teljesítményértékelés előmozdítását, a folyamathatékonyságot, a folyamatos fejlesztést és a felső vezetői gyakorlatok közigazgatási szervek közötti terjesztését. Ezt a reformot a TD-C19-i07 keretében finanszírozandó, a központi állami szolgálatok átszervezésére vonatkozó terv diagnosztizálására és meghatározására szolgáló missziós struktúra (munkacsoport) létrehozásával kell végrehajtani. </w:t>
      </w:r>
    </w:p>
    <w:p w14:paraId="5AC9D457"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végrehajtását 2023. december 31-ig be kell fejezni. </w:t>
      </w:r>
    </w:p>
    <w:p w14:paraId="0BE3FE14"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TD-r36 reform: A közérték létrehozására felhatalmazott közigazgatás</w:t>
      </w:r>
    </w:p>
    <w:p w14:paraId="4496EB08" w14:textId="77777777" w:rsidR="00DC5EC6" w:rsidRDefault="003245A4">
      <w:pPr>
        <w:pStyle w:val="P68B1DB1-Normal4"/>
        <w:keepNext/>
        <w:spacing w:before="40" w:after="0" w:line="259" w:lineRule="auto"/>
        <w:jc w:val="both"/>
        <w:rPr>
          <w:rFonts w:eastAsiaTheme="minorEastAsia" w:cs="Times New Roman"/>
          <w:noProof/>
        </w:rPr>
      </w:pPr>
      <w:r>
        <w:rPr>
          <w:noProof/>
        </w:rPr>
        <w:t>Ez a reform a köztisztviselők továbbképzésére irányul, többek között digitális készségeik terén, és új munkamodelleket vezet be (nevezetesen a távmunkát). Ez a reform összhangban van a 6. elemben előirányzott intézkedésekkel.</w:t>
      </w:r>
    </w:p>
    <w:p w14:paraId="6CC35A5C"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 reform, amely az állam és a közigazgatás 2020. júliusi innovációs és modernizációs stratégiájában tükröződik, megerősíti a köztisztviselők és a vezetőség irányítási és képzési struktúráját azáltal, hogy létrehozza a képzési tevékenységek összehangolására szolgáló struktúrát ( </w:t>
      </w:r>
      <w:r>
        <w:rPr>
          <w:i/>
          <w:noProof/>
        </w:rPr>
        <w:t>Instituto Nacional de Administração</w:t>
      </w:r>
      <w:r>
        <w:rPr>
          <w:noProof/>
        </w:rPr>
        <w:t xml:space="preserve">), amely irányítja mind a magas szintű képzések, például a vezetői készségek, az adattudomány és a szakosodási tanfolyamok előmozdítását, mind pedig a </w:t>
      </w:r>
      <w:r>
        <w:rPr>
          <w:i/>
          <w:noProof/>
        </w:rPr>
        <w:t>Qualifica AP</w:t>
      </w:r>
      <w:r>
        <w:rPr>
          <w:noProof/>
        </w:rPr>
        <w:t xml:space="preserve"> program elmélyítését a köztisztviselők képzettségi szintjének rövid/középtávon történő javítása érdekében. Ezzel párhuzamosan e reform célja a távmunkában rejlő lehetőségek kiaknázása a közszolgálatban.</w:t>
      </w:r>
    </w:p>
    <w:p w14:paraId="1D6E6E11" w14:textId="77777777" w:rsidR="00DC5EC6" w:rsidRDefault="003245A4">
      <w:pPr>
        <w:pStyle w:val="P68B1DB1-Normal4"/>
        <w:keepNext/>
        <w:spacing w:before="40" w:after="0" w:line="259" w:lineRule="auto"/>
        <w:jc w:val="both"/>
        <w:rPr>
          <w:rFonts w:eastAsiaTheme="minorEastAsia" w:cs="Times New Roman"/>
          <w:noProof/>
        </w:rPr>
      </w:pPr>
      <w:r>
        <w:rPr>
          <w:noProof/>
        </w:rPr>
        <w:t>Szervesen kapcsolódik a TD-C19i07 – A közigazgatás felhatalmazása elnevezésű beruházáshoz, amely digitális kapacitásfejlesztési programokat, szakmai gyakornoki programokat, magasabb szintű és magasabb szintű vezetői képzést, valamint általában a köztisztviselők készségeinek fejlesztését irányozza elő.</w:t>
      </w:r>
    </w:p>
    <w:p w14:paraId="3081325B"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 végrehajtását 2021. június 30-ig be kell fejezni. </w:t>
      </w:r>
    </w:p>
    <w:p w14:paraId="67759F07"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Beruházás TD-C19-i01: Az állami és konzuli szolgáltatások átalakítása </w:t>
      </w:r>
    </w:p>
    <w:p w14:paraId="2662C4CF"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 digitális paradigma megvalósítása az érdekelt felek és a portugál közigazgatás közötti interakcióban, amelynek célja a hatékonyság növelése és a bürokrácia csökkentése. Célja továbbá a konzuli szolgáltatások hatékonyságának növelése és a külügyminisztérium ellenőrzése alá tartozó szervezetek digitális átállásának biztosítása.</w:t>
      </w:r>
    </w:p>
    <w:p w14:paraId="522C313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Ez az intézkedés a közszolgáltatások innovációja, minőségének javítása és a közszolgáltatások aszimmetriáinak csökkentése érdekében átalakítja az állami és konzuli szolgálatok ügyfélszolgálatát azáltal, hogy létrehoz egy átfogó irányítási rendszert (egységes digitális átjáró, telefonos ügyfélszolgálat és személyes szolgáltatások), amely a felhőalapú számítástechnikát és az 5G hálózatok használatát kihasználva átfogó irányítási rendszert hoz létre. </w:t>
      </w:r>
    </w:p>
    <w:p w14:paraId="3624F6F1" w14:textId="47138042" w:rsidR="00DC5EC6" w:rsidRDefault="003245A4">
      <w:pPr>
        <w:pStyle w:val="P68B1DB1-Normal4"/>
        <w:keepNext/>
        <w:spacing w:before="40" w:after="0" w:line="259" w:lineRule="auto"/>
        <w:jc w:val="both"/>
        <w:rPr>
          <w:rFonts w:eastAsiaTheme="minorEastAsia" w:cs="Times New Roman"/>
          <w:noProof/>
        </w:rPr>
      </w:pPr>
      <w:r>
        <w:rPr>
          <w:noProof/>
        </w:rPr>
        <w:t xml:space="preserve">Ez a beruházás magában foglalja az új </w:t>
      </w:r>
      <w:r>
        <w:rPr>
          <w:i/>
          <w:noProof/>
        </w:rPr>
        <w:t>Espaços cidadão</w:t>
      </w:r>
      <w:r>
        <w:rPr>
          <w:noProof/>
        </w:rPr>
        <w:t xml:space="preserve"> és </w:t>
      </w:r>
      <w:r>
        <w:rPr>
          <w:i/>
          <w:noProof/>
        </w:rPr>
        <w:t>Lojas do Cidadão</w:t>
      </w:r>
      <w:r>
        <w:rPr>
          <w:noProof/>
        </w:rPr>
        <w:t xml:space="preserve"> új, energiahatékony terekben történő létrehozását is. </w:t>
      </w:r>
    </w:p>
    <w:p w14:paraId="432248CD" w14:textId="4667BC5C"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június 30-ig be kell fejezni.</w:t>
      </w:r>
    </w:p>
    <w:p w14:paraId="154FC4BB"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TD-C19-i02: Fenntartható elektronikus szolgáltatások</w:t>
      </w:r>
      <w:r>
        <w:rPr>
          <w:i/>
          <w:noProof/>
        </w:rPr>
        <w:t xml:space="preserve"> </w:t>
      </w:r>
    </w:p>
    <w:p w14:paraId="303AEEC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E beruházás célja, hogy biztosítsa a szükséges háttérirodai támogatást a korábbi beruházáshoz, és az adatok közszolgáltatások általi hasznosításának és hasznosításának megerősítésére, az interoperabilitás és az adatmegosztás, valamint a külső szervezetekkel való interoperabilitás és a határokon átnyúló interoperabilitás megerősítésére irányul (összekapcsolás az egységes európai adatportállal). </w:t>
      </w:r>
    </w:p>
    <w:p w14:paraId="5FE6647D" w14:textId="4C63475B" w:rsidR="00DC5EC6" w:rsidRDefault="003245A4">
      <w:pPr>
        <w:pStyle w:val="P68B1DB1-Normal4"/>
        <w:keepNext/>
        <w:spacing w:before="40" w:after="0" w:line="259" w:lineRule="auto"/>
        <w:jc w:val="both"/>
        <w:rPr>
          <w:rFonts w:eastAsiaTheme="minorEastAsia" w:cs="Times New Roman"/>
          <w:noProof/>
        </w:rPr>
      </w:pPr>
      <w:r>
        <w:rPr>
          <w:noProof/>
        </w:rPr>
        <w:t>Ez a beruházás a TD-r34 reformra épül a közigazgatási adatökoszisztéma összehangolt kezelésének kialakítása terén, amely biztonságos azonosítási megoldásokat, adathozzáférés-ellenőrzési mechanizmusokat és statisztikai információkat foglal magában. Előmozdítja a hatóságok által gyűjtött adatok újrafelhasználását, megvalósítva az egyszeri adatszolgáltatás elvét az informatikai rendszerek interoperabilitására és integrációjára támaszkodva, valamint az elektronikus azonosítási megoldások használatának kiszélesítésével. Emellett előmozdítja a nyílt hozzáférésű adatokat és az adatok kutatási célokra való rendelkezésre állását, miközben előmozdítja az adattudományi készségeket.</w:t>
      </w:r>
    </w:p>
    <w:p w14:paraId="24A9EB59"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25B68A4D"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TD-C19-i03: Az általános kiberbiztonsági keret megerősítése </w:t>
      </w:r>
    </w:p>
    <w:p w14:paraId="66E4850F"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az online adatokra vonatkozó információbiztonsági előírások és eljárások javítása. A beruházás a TD-C19i01 és a TD-C19-i02 beruházásokhoz kapcsolódik.</w:t>
      </w:r>
    </w:p>
    <w:p w14:paraId="67D18F87" w14:textId="77777777" w:rsidR="00DC5EC6" w:rsidRDefault="003245A4">
      <w:pPr>
        <w:pStyle w:val="P68B1DB1-Normal4"/>
        <w:keepNext/>
        <w:spacing w:before="40" w:after="0" w:line="259" w:lineRule="auto"/>
        <w:jc w:val="both"/>
        <w:rPr>
          <w:rFonts w:eastAsiaTheme="minorEastAsia" w:cs="Times New Roman"/>
          <w:noProof/>
        </w:rPr>
      </w:pPr>
      <w:r>
        <w:rPr>
          <w:noProof/>
        </w:rPr>
        <w:t>Ezen intézkedés célja a kiberbiztonság és az információbiztonság terén a nemzeti szerepvállalás fokozása, valamint az új kiberbiztonsági és információbiztonsági koordinációs modell végrehajtásához és működőképessé tételéhez szükséges fizikai és technológiai feltételek megteremtése. Ez négy intézkedést foglal magában:</w:t>
      </w:r>
    </w:p>
    <w:p w14:paraId="6D7C0A47"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 xml:space="preserve">A kapacitásépítés fokozása a kiberbiztonság és az információbiztonság területén a kkv-k és a közigazgatás kiberbiztonsági megoldásainak fejlesztésére szolgáló kompetenciaközpontok létrehozása révén; </w:t>
      </w:r>
    </w:p>
    <w:p w14:paraId="4AA336A2"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Az információk életciklusának kezelése biztonságának fokozása a nemzeti kriptográfiai kapacitás és a minősített adatok feletti ellenőrzés fejlesztése révén;</w:t>
      </w:r>
    </w:p>
    <w:p w14:paraId="7273D3F8" w14:textId="0A1AA4AB"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 nemzeti kiberbiztonsági referenciakeret végrehajtása (a TD-r34 reform szerint), beleértve a szervek akkreditálását (a 16. elemben foglalt intézkedések összehangolása és mozgósítása érdekében); és</w:t>
      </w:r>
    </w:p>
    <w:p w14:paraId="6097B93E" w14:textId="77777777" w:rsidR="00DC5EC6" w:rsidRDefault="003245A4">
      <w:pPr>
        <w:pStyle w:val="P68B1DB1-Normal4"/>
        <w:keepNext/>
        <w:numPr>
          <w:ilvl w:val="0"/>
          <w:numId w:val="35"/>
        </w:numPr>
        <w:spacing w:before="40" w:after="160" w:line="259" w:lineRule="auto"/>
        <w:contextualSpacing/>
        <w:jc w:val="both"/>
        <w:rPr>
          <w:rFonts w:eastAsiaTheme="minorEastAsia" w:cs="Times New Roman"/>
          <w:noProof/>
        </w:rPr>
      </w:pPr>
      <w:r>
        <w:rPr>
          <w:noProof/>
        </w:rPr>
        <w:t>Az új kiberbiztonsági és információbiztonsági koordinációs modell működőképessé tételéhez szükséges fizikai és technológiai feltételek megteremtése (az érintett új hatóságok teljes körű felhatalmazásával).</w:t>
      </w:r>
    </w:p>
    <w:p w14:paraId="37AA6BF2"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1FFBF663"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TD-C19-i04: Hatékony, biztonságos és megosztott kritikus digitális infrastruktúra </w:t>
      </w:r>
    </w:p>
    <w:p w14:paraId="2027F4C8"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 kritikus digitális infrastruktúrák, nevezetesen a vészhelyzeti és biztonsági kommunikációs hálózatok, valamint a kormányzati számítógépes hálózat (RING) rezilienciájának növelése.</w:t>
      </w:r>
    </w:p>
    <w:p w14:paraId="37E654B4"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kormány informatikai hálózatára irányul, javítja az állami veszélyhelyzeti kommunikációs hálózat és a nemzeti belső biztonsági hálózat lefedettségét és kapacitását, valamint felülvizsgálja a biztonsági erők információs rendszereinek és folyamatainak architektúráját. Ez tartalmazza:</w:t>
      </w:r>
    </w:p>
    <w:p w14:paraId="1A4C5223"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 xml:space="preserve">A technológiai rendszerek megújítása a határigazgatás és -ellenőrzés, valamint a rendőrségi és igazságügyi együttműködés terén; </w:t>
      </w:r>
    </w:p>
    <w:p w14:paraId="7CF7CCE5"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Az operatív központok 112-es projektje – frissítés az új szabványok figyelembevétele érdekében (új generációs 112);</w:t>
      </w:r>
    </w:p>
    <w:p w14:paraId="497C78A2"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Nemzeti belső biztonsági hálózat projekt – az informatikai architektúra-rendszerek és technológiai eszközök megfelelősége, valamint egy új adatközpont építése és működőképessé tétele;</w:t>
      </w:r>
    </w:p>
    <w:p w14:paraId="472CBA0A"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Az Állami Vészhelyzeti Kommunikációs Hálózat (SIRESP) projektje – a beruházás magában foglalja a SIRESP földi infrastruktúrája technológiai változásának előmozdítását az E1-ről IP-re (internetprotokoll), a SIRESP-hez kapcsolódó információs rendszerek katasztrófa-helyreállítási központjának létrehozását, valamint hertzián gerendák bevezetését egyes hálózati helyszíneken a réz- és optikai szálas kapcsolatok lecserélésével, a redundanciarendszer biztosítása érdekében;</w:t>
      </w:r>
    </w:p>
    <w:p w14:paraId="19E9EDA6"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Közös szolgáltatások megvalósítása a biztonsági erőkben és szolgálatokban, a műszaki folyamatokban bekövetkezett elbocsátások megszüntetése, közös rendszerek létrehozása és a működési költségek csökkentése; és</w:t>
      </w:r>
    </w:p>
    <w:p w14:paraId="3E4EAEE1" w14:textId="77777777" w:rsidR="00DC5EC6" w:rsidRDefault="003245A4">
      <w:pPr>
        <w:pStyle w:val="P68B1DB1-Normal4"/>
        <w:keepNext/>
        <w:numPr>
          <w:ilvl w:val="0"/>
          <w:numId w:val="53"/>
        </w:numPr>
        <w:spacing w:before="40" w:after="160" w:line="259" w:lineRule="auto"/>
        <w:contextualSpacing/>
        <w:jc w:val="both"/>
        <w:rPr>
          <w:rFonts w:eastAsiaTheme="minorEastAsia" w:cs="Times New Roman"/>
          <w:noProof/>
        </w:rPr>
      </w:pPr>
      <w:r>
        <w:rPr>
          <w:noProof/>
        </w:rPr>
        <w:t>Kör – A Kormányzati Informatikai Hálózatkezelő Központ technológiai infrastruktúrájának és információs rendszereinek megújulása és fejlesztése, a munkavállalók képzése, integrált multimédiás rendszer biztosítása, valamint biztonságos kommunikációs rendszerek és irányítás.</w:t>
      </w:r>
    </w:p>
    <w:p w14:paraId="6B97C2B4"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381572D8" w14:textId="1EFC180A"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TD-C19i05-RAM: Madeira közigazgatásának digitális átállása </w:t>
      </w:r>
    </w:p>
    <w:p w14:paraId="29E3A143" w14:textId="77777777" w:rsidR="00DC5EC6" w:rsidRDefault="003245A4">
      <w:pPr>
        <w:pStyle w:val="P68B1DB1-Normal4"/>
        <w:keepNext/>
        <w:spacing w:before="40" w:after="0" w:line="22" w:lineRule="atLeast"/>
        <w:jc w:val="both"/>
        <w:rPr>
          <w:rFonts w:eastAsiaTheme="minorEastAsia" w:cs="Times New Roman"/>
          <w:noProof/>
        </w:rPr>
      </w:pPr>
      <w:r>
        <w:rPr>
          <w:noProof/>
        </w:rPr>
        <w:t xml:space="preserve">E beruházás célja, hogy reziliensebbé tegye a közigazgatást, és elérhetővé tegye a digitális technológiákat a közszolgáltatások nyújtásához. </w:t>
      </w:r>
    </w:p>
    <w:p w14:paraId="62BFA60F" w14:textId="00FFE6EC" w:rsidR="00DC5EC6" w:rsidRDefault="003245A4">
      <w:pPr>
        <w:pStyle w:val="P68B1DB1-Normal4"/>
        <w:keepNext/>
        <w:spacing w:after="160" w:line="22" w:lineRule="atLeast"/>
        <w:jc w:val="both"/>
        <w:rPr>
          <w:rFonts w:eastAsia="Times New Roman" w:cs="Times New Roman"/>
          <w:noProof/>
        </w:rPr>
      </w:pPr>
      <w:r>
        <w:rPr>
          <w:noProof/>
        </w:rPr>
        <w:t>Ez a beruházás a TD-C19-i01–i03 beruházások terén alkalmazott megközelítést követi, amelynek célja a kritikus infrastruktúra és az informatikai architektúra korszerűsítése, a közigazgatás és a polgárok igényeinek megfelelő digitális eszközök rendelkezésre bocsátása, az emberi erőforrások továbbképzése (különösen a digitális készségek területén), az omnicannel közszolgáltatások rendelkezésre állása, valamint az interoperabilitás és a konnektivitás. Ez az intézkedés biztosítja a régió közigazgatása számára az infrastruktúrát, az eszközöket, a szolgáltatások interoperabilitását és a know-how-t a digitális közszolgáltatások nyújtásának biztosítása érdekében. Az intézkedésnek központosított adatkezelési megoldást is ki kell dolgoznia.</w:t>
      </w:r>
    </w:p>
    <w:p w14:paraId="647A856E"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június 30-ig be kell fejezni.</w:t>
      </w:r>
    </w:p>
    <w:p w14:paraId="4B5DBC4E" w14:textId="722653DB"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TD-C19i06-RAA: A közigazgatás digitális átállása az Azori-szigeteken </w:t>
      </w:r>
    </w:p>
    <w:p w14:paraId="660DD307"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 közszféra digitális átállásának támogatása és az adminisztratív terhek csökkentése annak érdekében, hogy a polgárok és a vállalkozások jobb közszolgáltatást kapjanak.</w:t>
      </w:r>
    </w:p>
    <w:p w14:paraId="3B659374" w14:textId="744A928B" w:rsidR="00DC5EC6" w:rsidRDefault="003245A4">
      <w:pPr>
        <w:pStyle w:val="P68B1DB1-Normal4"/>
        <w:keepNext/>
        <w:spacing w:before="40" w:after="0" w:line="259" w:lineRule="auto"/>
        <w:jc w:val="both"/>
        <w:rPr>
          <w:rFonts w:eastAsiaTheme="minorEastAsia" w:cs="Times New Roman"/>
          <w:noProof/>
        </w:rPr>
      </w:pPr>
      <w:r>
        <w:rPr>
          <w:noProof/>
        </w:rPr>
        <w:t>Ez az intézkedés támogatja a közszolgáltatás digitális átállását, az omnicannel megközelítés keretében is, interoperábilis digitális szolgáltatásokra támaszkodva, amennyiben a tranzakciós szolgáltatások online elérhetők. A közszolgáltatást úgy alakítja át, hogy egyszerűbb és agilisebb szolgáltatásokat tegyen lehetővé, és a virtuális munkakörnyezet biztosítása és a személyzet képzése (például digitális készségek, irányítás és együttműködésen alapuló munka) révén fokozza a közszolgálatban a munkahelyek dematerializációjának technológiai feltételeit. Az adatbiztonság biztosítása érdekében kiberbiztonsági műveleti központot kell létrehozni.</w:t>
      </w:r>
    </w:p>
    <w:p w14:paraId="42D68FCC"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3C5769F7"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TD-C19-i07: A közérték létrehozására felhatalmazott közigazgatás</w:t>
      </w:r>
    </w:p>
    <w:p w14:paraId="0088EEF1" w14:textId="77777777" w:rsidR="00DC5EC6" w:rsidRDefault="003245A4">
      <w:pPr>
        <w:pStyle w:val="P68B1DB1-Normal4"/>
        <w:keepNext/>
        <w:spacing w:before="40" w:after="0" w:line="259" w:lineRule="auto"/>
        <w:jc w:val="both"/>
        <w:rPr>
          <w:rFonts w:eastAsiaTheme="minorEastAsia" w:cs="Times New Roman"/>
          <w:noProof/>
        </w:rPr>
      </w:pPr>
      <w:r>
        <w:rPr>
          <w:noProof/>
        </w:rPr>
        <w:t>E beruházás célja annak biztosítása, hogy a közszolgálat rendelkezzen a szükséges know-how-val, különösen a vezetői készségek és a technológia terén, hogy magas színvonalú szolgáltatást nyújtson a nyilvánosság számára.</w:t>
      </w:r>
    </w:p>
    <w:p w14:paraId="20434E99" w14:textId="6144F8EC" w:rsidR="00DC5EC6" w:rsidRDefault="003245A4">
      <w:pPr>
        <w:pStyle w:val="P68B1DB1-Normal4"/>
        <w:keepNext/>
        <w:spacing w:before="40" w:after="0" w:line="259" w:lineRule="auto"/>
        <w:jc w:val="both"/>
        <w:rPr>
          <w:rFonts w:eastAsiaTheme="minorEastAsia" w:cs="Times New Roman"/>
          <w:noProof/>
        </w:rPr>
      </w:pPr>
      <w:r>
        <w:rPr>
          <w:noProof/>
        </w:rPr>
        <w:t>E beruházás célja a közigazgatási dolgozóknak és vezetőknek szóló képzési kínálat fejlesztése, a tehetségek vonzásának előmozdítása gyakornoki programok kínálata révén, valamint a távmunka előmozdítása. Magában foglalja különösen a digitális támogató programokat, a magasabb szintű és magasabb szintű vezetői képzést, valamint a köztisztviselők általános képzését és továbbképzését.</w:t>
      </w:r>
    </w:p>
    <w:p w14:paraId="512AFC27" w14:textId="77777777" w:rsidR="00DC5EC6" w:rsidRDefault="003245A4">
      <w:pPr>
        <w:pStyle w:val="P68B1DB1-Normal4"/>
        <w:keepNext/>
        <w:spacing w:before="40" w:after="0" w:line="259" w:lineRule="auto"/>
        <w:jc w:val="both"/>
        <w:rPr>
          <w:rFonts w:eastAsiaTheme="minorEastAsia" w:cs="Times New Roman"/>
          <w:noProof/>
        </w:rPr>
      </w:pPr>
      <w:r>
        <w:rPr>
          <w:noProof/>
        </w:rPr>
        <w:t>Ez az intézkedés magában foglalja a közigazgatási tervezéssel, szakpolitikával és előrejelzéssel foglalkozó kompetenciaközpont létrehozását is, amely a közpolitikák meghatározását és végrehajtását, a szakpolitikák értékelését és az előrejelzést támogató kapacitások megerősítése szempontjából releváns.</w:t>
      </w:r>
    </w:p>
    <w:p w14:paraId="79184ED3" w14:textId="77777777" w:rsidR="00DC5EC6" w:rsidRDefault="003245A4">
      <w:pPr>
        <w:pStyle w:val="P68B1DB1-Normal4"/>
        <w:keepNext/>
        <w:spacing w:before="40" w:after="0" w:line="259" w:lineRule="auto"/>
        <w:jc w:val="both"/>
        <w:rPr>
          <w:rFonts w:eastAsiaTheme="minorEastAsia" w:cs="Times New Roman"/>
          <w:noProof/>
        </w:rPr>
      </w:pPr>
      <w:r>
        <w:rPr>
          <w:noProof/>
        </w:rPr>
        <w:t>Ezenkívül a TD-r35 reformban említettek szerint e beruházás keretében létre kell hozni a közszolgáltatások átszervezését támogató küldetési struktúrát.</w:t>
      </w:r>
    </w:p>
    <w:p w14:paraId="3494F754"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2026. március 31-ig be kell fejezni.</w:t>
      </w:r>
    </w:p>
    <w:p w14:paraId="33A26B41" w14:textId="0518C380"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TD-C19-r41 reform: A közszolgáltatásokhoz való hozzáférés: a személyes és online hozzáférés harmonizálása és egységesítése </w:t>
      </w:r>
    </w:p>
    <w:p w14:paraId="78F96C8F" w14:textId="085A25C0" w:rsidR="00DC5EC6" w:rsidRDefault="003245A4">
      <w:pPr>
        <w:pStyle w:val="P68B1DB1-Normal4"/>
        <w:spacing w:before="40" w:after="0" w:line="259" w:lineRule="auto"/>
        <w:jc w:val="both"/>
        <w:rPr>
          <w:rFonts w:cs="Times New Roman"/>
          <w:noProof/>
        </w:rPr>
      </w:pPr>
      <w:r>
        <w:rPr>
          <w:noProof/>
        </w:rPr>
        <w:t xml:space="preserve">E reform célja a közigazgatás digitális átállásának elmélyítése és az új technológiák kihasználása a jelenlegi közszolgáltatási modell átalakítása érdekében. </w:t>
      </w:r>
    </w:p>
    <w:p w14:paraId="13C6A2E3" w14:textId="0566F40C" w:rsidR="00DC5EC6" w:rsidRDefault="003245A4">
      <w:pPr>
        <w:pStyle w:val="P68B1DB1-Normal4"/>
        <w:spacing w:before="40" w:after="0" w:line="259" w:lineRule="auto"/>
        <w:jc w:val="both"/>
        <w:rPr>
          <w:rFonts w:eastAsia="@MS Mincho" w:cs="Times New Roman"/>
          <w:noProof/>
        </w:rPr>
      </w:pPr>
      <w:r>
        <w:rPr>
          <w:noProof/>
        </w:rPr>
        <w:t>A reform egy olyan jogalkotási aktus hatálybalépéséből áll, amely harmonizálja és egységes szerkezetbe foglalja a közszolgáltatásokhoz való személyes és távoli hozzáférésre vonatkozó szabályokat (online, alkalmazáson keresztül, telefonon). Ez a jogalkotási aktus bővíti a közszolgáltatások egységes portálján elérhető közszolgáltatások számát is.</w:t>
      </w:r>
    </w:p>
    <w:p w14:paraId="46639889" w14:textId="77777777" w:rsidR="00DC5EC6" w:rsidRDefault="003245A4">
      <w:pPr>
        <w:pStyle w:val="P68B1DB1-Normal4"/>
        <w:spacing w:before="40" w:after="0" w:line="259" w:lineRule="auto"/>
        <w:jc w:val="both"/>
        <w:rPr>
          <w:rFonts w:cs="Times New Roman"/>
          <w:noProof/>
        </w:rPr>
      </w:pPr>
      <w:r>
        <w:rPr>
          <w:noProof/>
        </w:rPr>
        <w:t>A reform végrehajtását 2025. szeptember 30-ig be kell fejezni.</w:t>
      </w:r>
    </w:p>
    <w:p w14:paraId="7DE1A9CA" w14:textId="2210B9E1" w:rsidR="00DC5EC6" w:rsidRDefault="003245A4">
      <w:pPr>
        <w:pStyle w:val="P68B1DB1-Heading214"/>
        <w:spacing w:before="240"/>
        <w:rPr>
          <w:noProof/>
        </w:rPr>
      </w:pPr>
      <w:r>
        <w:rPr>
          <w:noProof/>
        </w:rPr>
        <w:t>TD-C19-r42 reform: Új értékelési rendszer a közigazgatásban dolgozók társadalmi szerepvállalásának növelése és megújulása érdekében</w:t>
      </w:r>
    </w:p>
    <w:p w14:paraId="553B9ED2" w14:textId="1CFBDB39" w:rsidR="00DC5EC6" w:rsidRDefault="003245A4">
      <w:pPr>
        <w:pStyle w:val="P68B1DB1-Normal4"/>
        <w:spacing w:beforeLines="40" w:before="96" w:after="0" w:line="22" w:lineRule="atLeast"/>
        <w:jc w:val="both"/>
        <w:rPr>
          <w:rFonts w:cs="Times New Roman"/>
          <w:noProof/>
        </w:rPr>
      </w:pPr>
      <w:r>
        <w:rPr>
          <w:noProof/>
        </w:rPr>
        <w:t xml:space="preserve">E reform fő célja a portugál közigazgatás előtt álló egyik fő kihívás kezelése: képes a munkaerő megújulására, valamint a tehetségek vonzására és megtartására. </w:t>
      </w:r>
    </w:p>
    <w:p w14:paraId="6B48C29E" w14:textId="77777777" w:rsidR="00DC5EC6" w:rsidRDefault="003245A4">
      <w:pPr>
        <w:pStyle w:val="P68B1DB1-Normal4"/>
        <w:spacing w:beforeLines="40" w:before="96" w:after="0" w:line="22" w:lineRule="atLeast"/>
        <w:jc w:val="both"/>
        <w:rPr>
          <w:rFonts w:cs="Times New Roman"/>
          <w:noProof/>
        </w:rPr>
      </w:pPr>
      <w:r>
        <w:rPr>
          <w:noProof/>
        </w:rPr>
        <w:t>Ez a reform a közigazgatás (a közigazgatás teljesítményének kezelésére és értékelésére szolgáló integrált rendszer – SIADAP) teljesítményértékelési rendszerének a jogi keret módosításával történő felülvizsgálatából áll. A felülvizsgált SIADAP:</w:t>
      </w:r>
    </w:p>
    <w:p w14:paraId="615F098E" w14:textId="77777777" w:rsidR="00DC5EC6" w:rsidRDefault="003245A4">
      <w:pPr>
        <w:pStyle w:val="ListParagraph"/>
        <w:keepNext w:val="0"/>
        <w:numPr>
          <w:ilvl w:val="0"/>
          <w:numId w:val="82"/>
        </w:numPr>
        <w:spacing w:beforeLines="40" w:before="96" w:after="0" w:line="22" w:lineRule="atLeast"/>
        <w:rPr>
          <w:noProof/>
        </w:rPr>
      </w:pPr>
      <w:r>
        <w:rPr>
          <w:noProof/>
        </w:rPr>
        <w:t xml:space="preserve">Változtassa meg az értékelés gyakoriságát (kétévente), </w:t>
      </w:r>
    </w:p>
    <w:p w14:paraId="15FE64A1" w14:textId="77777777" w:rsidR="00DC5EC6" w:rsidRDefault="003245A4">
      <w:pPr>
        <w:pStyle w:val="ListParagraph"/>
        <w:keepNext w:val="0"/>
        <w:numPr>
          <w:ilvl w:val="0"/>
          <w:numId w:val="82"/>
        </w:numPr>
        <w:spacing w:beforeLines="40" w:before="96" w:after="0" w:line="22" w:lineRule="atLeast"/>
        <w:rPr>
          <w:noProof/>
        </w:rPr>
      </w:pPr>
      <w:r>
        <w:rPr>
          <w:noProof/>
        </w:rPr>
        <w:t xml:space="preserve">Azon munkavállalók arányának növelése, akik megkaphatják a két legmagasabb teljesítményminősítést és értékelési ciklusonként a megfelelő pontszámot; </w:t>
      </w:r>
    </w:p>
    <w:p w14:paraId="5B67385F" w14:textId="77777777" w:rsidR="00DC5EC6" w:rsidRDefault="003245A4">
      <w:pPr>
        <w:pStyle w:val="ListParagraph"/>
        <w:keepNext w:val="0"/>
        <w:numPr>
          <w:ilvl w:val="0"/>
          <w:numId w:val="82"/>
        </w:numPr>
        <w:spacing w:beforeLines="40" w:before="96" w:after="0" w:line="22" w:lineRule="atLeast"/>
        <w:rPr>
          <w:noProof/>
        </w:rPr>
      </w:pPr>
      <w:r>
        <w:rPr>
          <w:noProof/>
        </w:rPr>
        <w:t xml:space="preserve">További teljesítményfokozat bevezetése; </w:t>
      </w:r>
    </w:p>
    <w:p w14:paraId="3CD9DEDD" w14:textId="2385DC1D" w:rsidR="00DC5EC6" w:rsidRDefault="003245A4">
      <w:pPr>
        <w:pStyle w:val="ListParagraph"/>
        <w:keepNext w:val="0"/>
        <w:numPr>
          <w:ilvl w:val="0"/>
          <w:numId w:val="82"/>
        </w:numPr>
        <w:spacing w:beforeLines="40" w:before="96" w:after="0" w:line="22" w:lineRule="atLeast"/>
        <w:rPr>
          <w:noProof/>
        </w:rPr>
      </w:pPr>
      <w:r>
        <w:rPr>
          <w:noProof/>
        </w:rPr>
        <w:t xml:space="preserve">Összeállítja a közigazgatási kompetenciák profilján belül értékelendő kompetenciák listáját;  </w:t>
      </w:r>
    </w:p>
    <w:p w14:paraId="0D4797D5" w14:textId="615A1814" w:rsidR="00DC5EC6" w:rsidRDefault="003245A4">
      <w:pPr>
        <w:pStyle w:val="ListParagraph"/>
        <w:keepNext w:val="0"/>
        <w:numPr>
          <w:ilvl w:val="0"/>
          <w:numId w:val="82"/>
        </w:numPr>
        <w:spacing w:beforeLines="40" w:before="96" w:after="0" w:line="22" w:lineRule="atLeast"/>
        <w:rPr>
          <w:noProof/>
        </w:rPr>
      </w:pPr>
      <w:r>
        <w:rPr>
          <w:noProof/>
        </w:rPr>
        <w:t>A kompetenciák és a vonatkozó képzés továbbfejlesztéséhez szükséges igények azonosítása.</w:t>
      </w:r>
    </w:p>
    <w:p w14:paraId="0E988E2A" w14:textId="585AA569" w:rsidR="00DC5EC6" w:rsidRDefault="003245A4">
      <w:pPr>
        <w:pStyle w:val="P68B1DB1-Normal4"/>
        <w:spacing w:beforeLines="40" w:before="96" w:after="0" w:line="22" w:lineRule="atLeast"/>
        <w:jc w:val="both"/>
        <w:rPr>
          <w:rFonts w:cs="Times New Roman"/>
          <w:noProof/>
        </w:rPr>
      </w:pPr>
      <w:r>
        <w:rPr>
          <w:noProof/>
        </w:rPr>
        <w:t xml:space="preserve">A reformnak a SIADAP-modell felülvizsgálatával együtt magában kell foglalnia a közigazgatási kompetenciaprofil felülvizsgálatát is, amely magában foglalja a felvételi és kiválasztási eljárás, a teljesítményértékelési rendszer és a szakmai képzések során értékelendő kompetenciákat. </w:t>
      </w:r>
    </w:p>
    <w:p w14:paraId="0D929530" w14:textId="5F2DFF63" w:rsidR="00DC5EC6" w:rsidRDefault="003245A4">
      <w:pPr>
        <w:pStyle w:val="P68B1DB1-Normal4"/>
        <w:spacing w:beforeLines="40" w:before="96" w:after="0" w:line="22" w:lineRule="atLeast"/>
        <w:jc w:val="both"/>
        <w:rPr>
          <w:rFonts w:cs="Times New Roman"/>
          <w:noProof/>
        </w:rPr>
      </w:pPr>
      <w:r>
        <w:rPr>
          <w:noProof/>
        </w:rPr>
        <w:t xml:space="preserve">A reform magában foglalja egy olyan informatikai platform fejlesztését is, amelyen a SIADAP működik. Külön képzést kell biztosítani a platform használatának megtanulásához. </w:t>
      </w:r>
    </w:p>
    <w:p w14:paraId="6FA49BD3" w14:textId="291EABB7" w:rsidR="00DC5EC6" w:rsidRDefault="003245A4">
      <w:pPr>
        <w:pStyle w:val="P68B1DB1-Normal4"/>
        <w:spacing w:beforeLines="40" w:before="96" w:after="0" w:line="22" w:lineRule="atLeast"/>
        <w:jc w:val="both"/>
        <w:rPr>
          <w:rFonts w:cs="Times New Roman"/>
          <w:noProof/>
        </w:rPr>
      </w:pPr>
      <w:r>
        <w:rPr>
          <w:noProof/>
        </w:rPr>
        <w:t>A reform végrehajtását 2025. március 31-ig be kell fejezni.</w:t>
      </w:r>
    </w:p>
    <w:p w14:paraId="61D9A60B" w14:textId="76B79EF0" w:rsidR="00DC5EC6" w:rsidRDefault="003245A4">
      <w:pPr>
        <w:pStyle w:val="P68B1DB1-Heading214"/>
        <w:spacing w:before="240"/>
        <w:rPr>
          <w:noProof/>
        </w:rPr>
      </w:pPr>
      <w:r>
        <w:rPr>
          <w:noProof/>
        </w:rPr>
        <w:t>Beruházás TD-C19i08 – Intelligens területek</w:t>
      </w:r>
    </w:p>
    <w:p w14:paraId="75C3ED74" w14:textId="77777777" w:rsidR="00DC5EC6" w:rsidRDefault="003245A4">
      <w:pPr>
        <w:pStyle w:val="P68B1DB1-Normal4"/>
        <w:spacing w:beforeLines="40" w:before="96" w:after="0" w:line="22" w:lineRule="atLeast"/>
        <w:jc w:val="both"/>
        <w:rPr>
          <w:rFonts w:cs="Times New Roman"/>
          <w:noProof/>
        </w:rPr>
      </w:pPr>
      <w:r>
        <w:rPr>
          <w:noProof/>
        </w:rPr>
        <w:t xml:space="preserve">E beruházás célja, hogy adatvezérelt közpolitikák alapján új paradigmát hozzon létre a városok és területek tervezéséhez és irányításához. </w:t>
      </w:r>
    </w:p>
    <w:p w14:paraId="787965D6" w14:textId="77777777" w:rsidR="00DC5EC6" w:rsidRDefault="003245A4">
      <w:pPr>
        <w:pStyle w:val="P68B1DB1-Normal4"/>
        <w:spacing w:beforeLines="40" w:before="96" w:after="0" w:line="22" w:lineRule="atLeast"/>
        <w:jc w:val="both"/>
        <w:rPr>
          <w:rFonts w:cs="Times New Roman"/>
          <w:noProof/>
        </w:rPr>
      </w:pPr>
      <w:r>
        <w:rPr>
          <w:noProof/>
        </w:rPr>
        <w:t>A beruházás a következőket foglalja magában:</w:t>
      </w:r>
    </w:p>
    <w:p w14:paraId="22DF1388" w14:textId="148F8DD1" w:rsidR="00DC5EC6" w:rsidRDefault="003245A4">
      <w:pPr>
        <w:pStyle w:val="ListParagraph"/>
        <w:keepNext w:val="0"/>
        <w:numPr>
          <w:ilvl w:val="0"/>
          <w:numId w:val="84"/>
        </w:numPr>
        <w:spacing w:beforeLines="40" w:before="96" w:after="0" w:line="22" w:lineRule="atLeast"/>
        <w:rPr>
          <w:noProof/>
        </w:rPr>
      </w:pPr>
      <w:r>
        <w:rPr>
          <w:noProof/>
        </w:rPr>
        <w:t>Az intelligens területek portáljának fejlesztése és elindítása. Ez a portál rendelkezik a releváns helyi, regionális és nemzeti szintű információk – például a bevált gyakorlatok, az iránymutatás, a szabványokra, jogszabályokra és rendeletekre vonatkozó információk, valamint a projektfinanszírozási forrásokra vonatkozó információk – online adattárával.</w:t>
      </w:r>
    </w:p>
    <w:p w14:paraId="12D7477F" w14:textId="6BE4E225" w:rsidR="00DC5EC6" w:rsidRDefault="003245A4">
      <w:pPr>
        <w:pStyle w:val="ListParagraph"/>
        <w:keepNext w:val="0"/>
        <w:numPr>
          <w:ilvl w:val="0"/>
          <w:numId w:val="84"/>
        </w:numPr>
        <w:spacing w:beforeLines="40" w:before="96" w:after="0" w:line="22" w:lineRule="atLeast"/>
        <w:rPr>
          <w:noProof/>
        </w:rPr>
      </w:pPr>
      <w:r>
        <w:rPr>
          <w:noProof/>
        </w:rPr>
        <w:t xml:space="preserve">Városgazdálkodási platformok (UMP) fejlesztése, elindítása vagy korszerűsítése 75 településen és Comunidades Intermunicipais/Areas Metropolitanasban, beleértve a lakhatás digitalizálását és a területrendezési eljárásokat. </w:t>
      </w:r>
    </w:p>
    <w:p w14:paraId="61C1C578" w14:textId="29C677AC" w:rsidR="00DC5EC6" w:rsidRDefault="003245A4">
      <w:pPr>
        <w:pStyle w:val="ListParagraph"/>
        <w:keepNext w:val="0"/>
        <w:numPr>
          <w:ilvl w:val="0"/>
          <w:numId w:val="84"/>
        </w:numPr>
        <w:spacing w:beforeLines="40" w:before="96" w:after="0" w:line="22" w:lineRule="atLeast"/>
        <w:rPr>
          <w:noProof/>
        </w:rPr>
      </w:pPr>
      <w:r>
        <w:rPr>
          <w:noProof/>
        </w:rPr>
        <w:t xml:space="preserve">Digitális ikermodellek kifejlesztése (egy tervezett vagy tényleges valós fizikai termék, rendszer vagy folyamat digitális ábrázolása gyakorlati célokra) olyan nemzeti kiemelt területeken, mint a víz és a mezőgazdaság, az éghajlatváltozás hatásaival szembeni reziliencia, a mobilitás és a dekarbonizáció, az egészségügy, az energia, az idegenforgalom, a polgári védelem. </w:t>
      </w:r>
    </w:p>
    <w:p w14:paraId="61C1750B" w14:textId="479FE5E9" w:rsidR="00DC5EC6" w:rsidRDefault="003245A4">
      <w:pPr>
        <w:pStyle w:val="ListParagraph"/>
        <w:keepNext w:val="0"/>
        <w:numPr>
          <w:ilvl w:val="0"/>
          <w:numId w:val="84"/>
        </w:numPr>
        <w:spacing w:beforeLines="40" w:before="96" w:after="0" w:line="22" w:lineRule="atLeast"/>
        <w:rPr>
          <w:noProof/>
        </w:rPr>
      </w:pPr>
      <w:r>
        <w:rPr>
          <w:noProof/>
        </w:rPr>
        <w:t xml:space="preserve">Közpolitikai irányítópult kidolgozása és elindítása, amely szisztematikus és naprakész információkkal segíti az állami szereplők politikai döntéshozatalát a hierarchia különböző szintjein. </w:t>
      </w:r>
    </w:p>
    <w:p w14:paraId="55B408C7" w14:textId="24E1FBE6" w:rsidR="00DC5EC6" w:rsidRDefault="003245A4">
      <w:pPr>
        <w:pStyle w:val="ListParagraph"/>
        <w:keepNext w:val="0"/>
        <w:numPr>
          <w:ilvl w:val="0"/>
          <w:numId w:val="84"/>
        </w:numPr>
        <w:spacing w:beforeLines="40" w:before="96" w:after="0" w:line="22" w:lineRule="atLeast"/>
        <w:rPr>
          <w:noProof/>
        </w:rPr>
      </w:pPr>
      <w:r>
        <w:rPr>
          <w:noProof/>
        </w:rPr>
        <w:t>Az adatgyűjtéssel és -kezeléssel, a szabványokkal, a nyílt szabványokkal, az alkalmazásprogramozási felületekkel és az intelligens városokhoz és épületekhez kapcsolódó egyéb tartalmakkal, valamint a fenntarthatósággal kapcsolatos tartalmak fejlesztése és képzése.</w:t>
      </w:r>
    </w:p>
    <w:p w14:paraId="7B990B4E" w14:textId="66208460" w:rsidR="00DC5EC6" w:rsidRDefault="003245A4">
      <w:pPr>
        <w:pStyle w:val="P68B1DB1-Normal4"/>
        <w:spacing w:beforeLines="40" w:before="96" w:after="0" w:line="22" w:lineRule="atLeast"/>
        <w:jc w:val="both"/>
        <w:rPr>
          <w:rFonts w:cs="Times New Roman"/>
          <w:noProof/>
        </w:rPr>
      </w:pPr>
      <w:r>
        <w:rPr>
          <w:noProof/>
        </w:rPr>
        <w:t>A beruházás végrehajtását 2026. június 30-ig be kell fejezni.</w:t>
      </w:r>
    </w:p>
    <w:p w14:paraId="681015AA"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7CC8938" w14:textId="77777777" w:rsidR="00DC5EC6" w:rsidRDefault="00DC5EC6">
      <w:pPr>
        <w:keepNext/>
        <w:spacing w:before="40" w:after="0" w:line="259" w:lineRule="auto"/>
        <w:rPr>
          <w:rFonts w:ascii="Times New Roman" w:eastAsiaTheme="minorEastAsia" w:hAnsi="Times New Roman" w:cs="Times New Roman"/>
          <w:noProof/>
          <w:sz w:val="24"/>
        </w:rPr>
        <w:sectPr w:rsidR="00DC5EC6" w:rsidSect="00E00EDD">
          <w:headerReference w:type="even" r:id="rId342"/>
          <w:headerReference w:type="default" r:id="rId343"/>
          <w:footerReference w:type="even" r:id="rId344"/>
          <w:footerReference w:type="default" r:id="rId345"/>
          <w:headerReference w:type="first" r:id="rId346"/>
          <w:footerReference w:type="first" r:id="rId347"/>
          <w:pgSz w:w="11907" w:h="16839"/>
          <w:pgMar w:top="1134" w:right="1134" w:bottom="1134" w:left="1134" w:header="567" w:footer="567" w:gutter="0"/>
          <w:cols w:space="720"/>
          <w:docGrid w:linePitch="360"/>
        </w:sectPr>
      </w:pPr>
    </w:p>
    <w:p w14:paraId="7CB91F94"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S.2. </w:t>
      </w:r>
      <w:r>
        <w:rPr>
          <w:noProof/>
        </w:rPr>
        <w:tab/>
        <w:t>Vissza nem térítendő pénzügyi támogatás – a végrehajtáshoz és a nyomon követéshez kapcsolódó mérföldkövek, célok, mutatók és ütemterv</w:t>
      </w:r>
    </w:p>
    <w:p w14:paraId="64FD62E1"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186"/>
        <w:gridCol w:w="1058"/>
        <w:gridCol w:w="1573"/>
        <w:gridCol w:w="1314"/>
        <w:gridCol w:w="1110"/>
        <w:gridCol w:w="928"/>
        <w:gridCol w:w="670"/>
        <w:gridCol w:w="542"/>
        <w:gridCol w:w="670"/>
        <w:gridCol w:w="4347"/>
      </w:tblGrid>
      <w:tr w:rsidR="00DC5EC6" w14:paraId="088C7A32" w14:textId="77777777" w:rsidTr="00C009B1">
        <w:trPr>
          <w:trHeight w:val="910"/>
          <w:tblHeader/>
        </w:trPr>
        <w:tc>
          <w:tcPr>
            <w:tcW w:w="1061" w:type="dxa"/>
            <w:vMerge w:val="restart"/>
            <w:shd w:val="clear" w:color="auto" w:fill="BDD6EE"/>
            <w:vAlign w:val="center"/>
            <w:hideMark/>
          </w:tcPr>
          <w:p w14:paraId="67C74427"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186" w:type="dxa"/>
            <w:vMerge w:val="restart"/>
            <w:shd w:val="clear" w:color="auto" w:fill="BDD6EE"/>
            <w:vAlign w:val="center"/>
            <w:hideMark/>
          </w:tcPr>
          <w:p w14:paraId="628E7404"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058" w:type="dxa"/>
            <w:vMerge w:val="restart"/>
            <w:shd w:val="clear" w:color="auto" w:fill="BDD6EE"/>
            <w:vAlign w:val="center"/>
            <w:hideMark/>
          </w:tcPr>
          <w:p w14:paraId="0E05B438" w14:textId="53E6D5D2" w:rsidR="00DC5EC6" w:rsidRDefault="003245A4">
            <w:pPr>
              <w:pStyle w:val="P68B1DB1-Normal6"/>
              <w:spacing w:after="0" w:line="240" w:lineRule="auto"/>
              <w:jc w:val="center"/>
              <w:rPr>
                <w:rFonts w:eastAsia="Times New Roman" w:cs="Times New Roman"/>
                <w:noProof/>
              </w:rPr>
            </w:pPr>
            <w:r>
              <w:rPr>
                <w:noProof/>
              </w:rPr>
              <w:t>Mérföldkő/cél</w:t>
            </w:r>
          </w:p>
        </w:tc>
        <w:tc>
          <w:tcPr>
            <w:tcW w:w="1573" w:type="dxa"/>
            <w:vMerge w:val="restart"/>
            <w:shd w:val="clear" w:color="auto" w:fill="BDD6EE"/>
            <w:vAlign w:val="center"/>
            <w:hideMark/>
          </w:tcPr>
          <w:p w14:paraId="0BDF7800" w14:textId="77777777" w:rsidR="00DC5EC6" w:rsidRDefault="003245A4">
            <w:pPr>
              <w:pStyle w:val="P68B1DB1-Normal6"/>
              <w:spacing w:after="0" w:line="240" w:lineRule="auto"/>
              <w:jc w:val="center"/>
              <w:rPr>
                <w:rFonts w:eastAsia="Times New Roman" w:cs="Times New Roman"/>
                <w:noProof/>
              </w:rPr>
            </w:pPr>
            <w:r>
              <w:rPr>
                <w:noProof/>
              </w:rPr>
              <w:t>Név</w:t>
            </w:r>
          </w:p>
        </w:tc>
        <w:tc>
          <w:tcPr>
            <w:tcW w:w="1314" w:type="dxa"/>
            <w:vMerge w:val="restart"/>
            <w:shd w:val="clear" w:color="auto" w:fill="BDD6EE"/>
            <w:vAlign w:val="center"/>
            <w:hideMark/>
          </w:tcPr>
          <w:p w14:paraId="170B5F8F"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708" w:type="dxa"/>
            <w:gridSpan w:val="3"/>
            <w:shd w:val="clear" w:color="auto" w:fill="BDD6EE"/>
            <w:vAlign w:val="center"/>
            <w:hideMark/>
          </w:tcPr>
          <w:p w14:paraId="2A5DB656"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12" w:type="dxa"/>
            <w:gridSpan w:val="2"/>
            <w:shd w:val="clear" w:color="auto" w:fill="BDD6EE"/>
            <w:vAlign w:val="center"/>
            <w:hideMark/>
          </w:tcPr>
          <w:p w14:paraId="6828BC5C"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4347" w:type="dxa"/>
            <w:vMerge w:val="restart"/>
            <w:shd w:val="clear" w:color="auto" w:fill="BDD6EE"/>
            <w:vAlign w:val="center"/>
            <w:hideMark/>
          </w:tcPr>
          <w:p w14:paraId="7DCEFB5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4548F8B7" w14:textId="77777777" w:rsidTr="00C009B1">
        <w:trPr>
          <w:trHeight w:val="470"/>
          <w:tblHeader/>
        </w:trPr>
        <w:tc>
          <w:tcPr>
            <w:tcW w:w="1061" w:type="dxa"/>
            <w:vMerge/>
            <w:vAlign w:val="center"/>
            <w:hideMark/>
          </w:tcPr>
          <w:p w14:paraId="103877F4" w14:textId="77777777" w:rsidR="00DC5EC6" w:rsidRDefault="00DC5EC6">
            <w:pPr>
              <w:spacing w:after="0" w:line="240" w:lineRule="auto"/>
              <w:rPr>
                <w:rFonts w:ascii="Times New Roman" w:eastAsia="Times New Roman" w:hAnsi="Times New Roman" w:cs="Times New Roman"/>
                <w:b/>
                <w:noProof/>
                <w:sz w:val="18"/>
              </w:rPr>
            </w:pPr>
          </w:p>
        </w:tc>
        <w:tc>
          <w:tcPr>
            <w:tcW w:w="1186" w:type="dxa"/>
            <w:vMerge/>
            <w:vAlign w:val="center"/>
            <w:hideMark/>
          </w:tcPr>
          <w:p w14:paraId="615E906C" w14:textId="77777777" w:rsidR="00DC5EC6" w:rsidRDefault="00DC5EC6">
            <w:pPr>
              <w:spacing w:after="0" w:line="240" w:lineRule="auto"/>
              <w:rPr>
                <w:rFonts w:ascii="Times New Roman" w:eastAsia="Times New Roman" w:hAnsi="Times New Roman" w:cs="Times New Roman"/>
                <w:b/>
                <w:noProof/>
                <w:sz w:val="18"/>
              </w:rPr>
            </w:pPr>
          </w:p>
        </w:tc>
        <w:tc>
          <w:tcPr>
            <w:tcW w:w="1058" w:type="dxa"/>
            <w:vMerge/>
            <w:vAlign w:val="center"/>
            <w:hideMark/>
          </w:tcPr>
          <w:p w14:paraId="03D775B3" w14:textId="2BE8587E" w:rsidR="00DC5EC6" w:rsidRDefault="00DC5EC6">
            <w:pPr>
              <w:spacing w:after="0" w:line="240" w:lineRule="auto"/>
              <w:jc w:val="center"/>
              <w:rPr>
                <w:rFonts w:ascii="Times New Roman" w:eastAsia="Times New Roman" w:hAnsi="Times New Roman" w:cs="Times New Roman"/>
                <w:b/>
                <w:noProof/>
                <w:sz w:val="18"/>
              </w:rPr>
            </w:pPr>
          </w:p>
        </w:tc>
        <w:tc>
          <w:tcPr>
            <w:tcW w:w="1573" w:type="dxa"/>
            <w:vMerge/>
            <w:vAlign w:val="center"/>
            <w:hideMark/>
          </w:tcPr>
          <w:p w14:paraId="7BCB0E2B" w14:textId="77777777" w:rsidR="00DC5EC6" w:rsidRDefault="00DC5EC6">
            <w:pPr>
              <w:spacing w:after="0" w:line="240" w:lineRule="auto"/>
              <w:rPr>
                <w:rFonts w:ascii="Times New Roman" w:eastAsia="Times New Roman" w:hAnsi="Times New Roman" w:cs="Times New Roman"/>
                <w:b/>
                <w:noProof/>
                <w:sz w:val="18"/>
              </w:rPr>
            </w:pPr>
          </w:p>
        </w:tc>
        <w:tc>
          <w:tcPr>
            <w:tcW w:w="1314" w:type="dxa"/>
            <w:vMerge/>
            <w:vAlign w:val="center"/>
            <w:hideMark/>
          </w:tcPr>
          <w:p w14:paraId="37EB8607" w14:textId="77777777" w:rsidR="00DC5EC6" w:rsidRDefault="00DC5EC6">
            <w:pPr>
              <w:spacing w:after="0" w:line="240" w:lineRule="auto"/>
              <w:rPr>
                <w:rFonts w:ascii="Times New Roman" w:eastAsia="Times New Roman" w:hAnsi="Times New Roman" w:cs="Times New Roman"/>
                <w:b/>
                <w:noProof/>
                <w:sz w:val="18"/>
              </w:rPr>
            </w:pPr>
          </w:p>
        </w:tc>
        <w:tc>
          <w:tcPr>
            <w:tcW w:w="1110" w:type="dxa"/>
            <w:shd w:val="clear" w:color="auto" w:fill="BDD6EE"/>
            <w:vAlign w:val="center"/>
            <w:hideMark/>
          </w:tcPr>
          <w:p w14:paraId="61817E80"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28" w:type="dxa"/>
            <w:shd w:val="clear" w:color="auto" w:fill="BDD6EE"/>
            <w:vAlign w:val="center"/>
            <w:hideMark/>
          </w:tcPr>
          <w:p w14:paraId="3FDEEB09"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670" w:type="dxa"/>
            <w:shd w:val="clear" w:color="auto" w:fill="BDD6EE"/>
            <w:vAlign w:val="center"/>
            <w:hideMark/>
          </w:tcPr>
          <w:p w14:paraId="65EB9FBE" w14:textId="77777777" w:rsidR="00DC5EC6" w:rsidRDefault="003245A4">
            <w:pPr>
              <w:pStyle w:val="P68B1DB1-Normal6"/>
              <w:spacing w:after="0" w:line="240" w:lineRule="auto"/>
              <w:jc w:val="center"/>
              <w:rPr>
                <w:rFonts w:eastAsia="Times New Roman" w:cs="Times New Roman"/>
                <w:noProof/>
              </w:rPr>
            </w:pPr>
            <w:r>
              <w:rPr>
                <w:noProof/>
              </w:rPr>
              <w:t>Cél</w:t>
            </w:r>
          </w:p>
        </w:tc>
        <w:tc>
          <w:tcPr>
            <w:tcW w:w="542" w:type="dxa"/>
            <w:shd w:val="clear" w:color="auto" w:fill="BDD6EE"/>
            <w:vAlign w:val="center"/>
            <w:hideMark/>
          </w:tcPr>
          <w:p w14:paraId="1B5C364F" w14:textId="09A9CBB1" w:rsidR="00DC5EC6" w:rsidRDefault="00C009B1">
            <w:pPr>
              <w:pStyle w:val="P68B1DB1-Normal6"/>
              <w:spacing w:after="0" w:line="240" w:lineRule="auto"/>
              <w:jc w:val="center"/>
              <w:rPr>
                <w:rFonts w:eastAsia="Times New Roman" w:cs="Times New Roman"/>
                <w:noProof/>
              </w:rPr>
            </w:pPr>
            <w:r>
              <w:rPr>
                <w:noProof/>
              </w:rPr>
              <w:t>Negyedév</w:t>
            </w:r>
          </w:p>
        </w:tc>
        <w:tc>
          <w:tcPr>
            <w:tcW w:w="670" w:type="dxa"/>
            <w:shd w:val="clear" w:color="auto" w:fill="BDD6EE"/>
            <w:vAlign w:val="center"/>
            <w:hideMark/>
          </w:tcPr>
          <w:p w14:paraId="3B9C38F6" w14:textId="51F7F315" w:rsidR="00DC5EC6" w:rsidRDefault="003245A4">
            <w:pPr>
              <w:pStyle w:val="P68B1DB1-Normal6"/>
              <w:spacing w:after="0" w:line="240" w:lineRule="auto"/>
              <w:jc w:val="center"/>
              <w:rPr>
                <w:rFonts w:eastAsia="Times New Roman" w:cs="Times New Roman"/>
                <w:noProof/>
              </w:rPr>
            </w:pPr>
            <w:r>
              <w:rPr>
                <w:noProof/>
              </w:rPr>
              <w:t>Év</w:t>
            </w:r>
          </w:p>
        </w:tc>
        <w:tc>
          <w:tcPr>
            <w:tcW w:w="4347" w:type="dxa"/>
            <w:vMerge/>
            <w:vAlign w:val="center"/>
            <w:hideMark/>
          </w:tcPr>
          <w:p w14:paraId="7341FB0C" w14:textId="77777777" w:rsidR="00DC5EC6" w:rsidRDefault="00DC5EC6">
            <w:pPr>
              <w:spacing w:after="0" w:line="240" w:lineRule="auto"/>
              <w:rPr>
                <w:rFonts w:ascii="Times New Roman" w:eastAsia="Times New Roman" w:hAnsi="Times New Roman" w:cs="Times New Roman"/>
                <w:b/>
                <w:noProof/>
                <w:sz w:val="18"/>
              </w:rPr>
            </w:pPr>
          </w:p>
        </w:tc>
      </w:tr>
      <w:tr w:rsidR="00CF0219" w14:paraId="1E167ECE" w14:textId="77777777" w:rsidTr="00C009B1">
        <w:trPr>
          <w:trHeight w:val="420"/>
        </w:trPr>
        <w:tc>
          <w:tcPr>
            <w:tcW w:w="1061" w:type="dxa"/>
            <w:shd w:val="clear" w:color="auto" w:fill="C4EFCE"/>
            <w:vAlign w:val="center"/>
            <w:hideMark/>
          </w:tcPr>
          <w:p w14:paraId="1B7A59FA" w14:textId="77777777" w:rsidR="00CF0219" w:rsidRDefault="00CF0219" w:rsidP="00CF0219">
            <w:pPr>
              <w:pStyle w:val="P68B1DB1-Normal7"/>
              <w:spacing w:after="0" w:line="240" w:lineRule="auto"/>
              <w:jc w:val="center"/>
              <w:rPr>
                <w:rFonts w:eastAsia="Times New Roman" w:cs="Calibri"/>
                <w:noProof/>
              </w:rPr>
            </w:pPr>
            <w:r>
              <w:rPr>
                <w:noProof/>
              </w:rPr>
              <w:t>19.1</w:t>
            </w:r>
          </w:p>
        </w:tc>
        <w:tc>
          <w:tcPr>
            <w:tcW w:w="1186" w:type="dxa"/>
            <w:shd w:val="clear" w:color="auto" w:fill="C4EFCE"/>
            <w:noWrap/>
            <w:vAlign w:val="center"/>
            <w:hideMark/>
          </w:tcPr>
          <w:p w14:paraId="3FDA88F6" w14:textId="77777777" w:rsidR="00CF0219" w:rsidRDefault="00CF0219" w:rsidP="00CF0219">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hideMark/>
          </w:tcPr>
          <w:p w14:paraId="3DC52799" w14:textId="77777777" w:rsidR="00CF0219" w:rsidRDefault="00CF0219" w:rsidP="00CF0219">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F8CF771" w14:textId="77777777" w:rsidR="00CF0219" w:rsidRDefault="00CF0219" w:rsidP="00CF0219">
            <w:pPr>
              <w:pStyle w:val="P68B1DB1-Normal8"/>
              <w:spacing w:after="0" w:line="240" w:lineRule="auto"/>
              <w:jc w:val="center"/>
              <w:rPr>
                <w:rFonts w:eastAsia="Times New Roman" w:cs="Calibri"/>
                <w:noProof/>
              </w:rPr>
            </w:pPr>
            <w:r>
              <w:rPr>
                <w:noProof/>
              </w:rPr>
              <w:t>A közszolgáltatások egyszerűsített és koherens módon, különböző csatornákon keresztül érhetők el</w:t>
            </w:r>
          </w:p>
        </w:tc>
        <w:tc>
          <w:tcPr>
            <w:tcW w:w="1314" w:type="dxa"/>
            <w:shd w:val="clear" w:color="auto" w:fill="C4EFCE"/>
            <w:noWrap/>
            <w:vAlign w:val="center"/>
            <w:hideMark/>
          </w:tcPr>
          <w:p w14:paraId="6DFD823D"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317A5659" w14:textId="77777777" w:rsidR="00CF0219" w:rsidRDefault="00CF0219" w:rsidP="00CF0219">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3D4F554C" w14:textId="77777777" w:rsidR="00CF0219" w:rsidRDefault="00CF0219" w:rsidP="00CF0219">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27880A98" w14:textId="77777777" w:rsidR="00CF0219" w:rsidRDefault="00CF0219" w:rsidP="00CF0219">
            <w:pPr>
              <w:pStyle w:val="P68B1DB1-Normal8"/>
              <w:spacing w:after="0" w:line="240" w:lineRule="auto"/>
              <w:jc w:val="center"/>
              <w:rPr>
                <w:rFonts w:eastAsia="Times New Roman" w:cs="Calibri"/>
                <w:noProof/>
              </w:rPr>
            </w:pPr>
            <w:r>
              <w:rPr>
                <w:noProof/>
              </w:rPr>
              <w:t>5</w:t>
            </w:r>
          </w:p>
        </w:tc>
        <w:tc>
          <w:tcPr>
            <w:tcW w:w="542" w:type="dxa"/>
            <w:shd w:val="clear" w:color="auto" w:fill="C4EFCE"/>
            <w:noWrap/>
            <w:vAlign w:val="center"/>
            <w:hideMark/>
          </w:tcPr>
          <w:p w14:paraId="290B35B9" w14:textId="5E91C302"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2E18BF24" w14:textId="77777777" w:rsidR="00CF0219" w:rsidRDefault="00CF0219" w:rsidP="00CF0219">
            <w:pPr>
              <w:pStyle w:val="P68B1DB1-Normal8"/>
              <w:spacing w:after="0" w:line="240" w:lineRule="auto"/>
              <w:jc w:val="center"/>
              <w:rPr>
                <w:rFonts w:eastAsia="Times New Roman" w:cs="Calibri"/>
                <w:noProof/>
              </w:rPr>
            </w:pPr>
            <w:r>
              <w:rPr>
                <w:noProof/>
              </w:rPr>
              <w:t>2022</w:t>
            </w:r>
          </w:p>
        </w:tc>
        <w:tc>
          <w:tcPr>
            <w:tcW w:w="4347" w:type="dxa"/>
            <w:shd w:val="clear" w:color="auto" w:fill="C4EFCE"/>
            <w:vAlign w:val="center"/>
            <w:hideMark/>
          </w:tcPr>
          <w:p w14:paraId="2F2A0419" w14:textId="77777777" w:rsidR="00CF0219" w:rsidRDefault="00CF0219" w:rsidP="00CF0219">
            <w:pPr>
              <w:pStyle w:val="P68B1DB1-Normal8"/>
              <w:spacing w:after="0" w:line="240" w:lineRule="auto"/>
              <w:jc w:val="both"/>
              <w:rPr>
                <w:rFonts w:eastAsia="Times New Roman" w:cs="Calibri"/>
                <w:noProof/>
              </w:rPr>
            </w:pPr>
            <w:r>
              <w:rPr>
                <w:noProof/>
              </w:rPr>
              <w:t xml:space="preserve">A szervezetek és szolgáltatások továbbfejlesztett jegyzékében rögzített és több csatornán keresztül elérhető szolgáltatások száma: egységes digitális szolgáltatási portál, kapcsolattartó központ, </w:t>
            </w:r>
            <w:r>
              <w:rPr>
                <w:i/>
                <w:noProof/>
              </w:rPr>
              <w:t>Lojas do Cidadão</w:t>
            </w:r>
            <w:r>
              <w:rPr>
                <w:noProof/>
              </w:rPr>
              <w:t xml:space="preserve"> </w:t>
            </w:r>
            <w:r>
              <w:rPr>
                <w:i/>
                <w:noProof/>
              </w:rPr>
              <w:t>/Espaços Cidadão</w:t>
            </w:r>
            <w:r>
              <w:rPr>
                <w:noProof/>
              </w:rPr>
              <w:t xml:space="preserve">. </w:t>
            </w:r>
          </w:p>
          <w:p w14:paraId="0669A61E" w14:textId="66964D8D" w:rsidR="00CF0219" w:rsidRDefault="00CF0219" w:rsidP="00CF0219">
            <w:pPr>
              <w:pStyle w:val="P68B1DB1-Normal8"/>
              <w:spacing w:after="0" w:line="240" w:lineRule="auto"/>
              <w:jc w:val="both"/>
              <w:rPr>
                <w:rFonts w:eastAsia="Times New Roman" w:cs="Calibri"/>
                <w:noProof/>
              </w:rPr>
            </w:pPr>
            <w:r>
              <w:rPr>
                <w:noProof/>
              </w:rPr>
              <w:t>Ez a mutató azt jelenti, hogy ezeket a szolgáltatásokat az egyszeri adatszolgáltatás elvének megfelelően át kell tervezni, és omnicannel-megközelítéssel kell elérhetővé tenni.</w:t>
            </w:r>
          </w:p>
        </w:tc>
      </w:tr>
      <w:tr w:rsidR="00DC5EC6" w14:paraId="5047912C" w14:textId="77777777" w:rsidTr="00C009B1">
        <w:trPr>
          <w:trHeight w:val="420"/>
        </w:trPr>
        <w:tc>
          <w:tcPr>
            <w:tcW w:w="1061" w:type="dxa"/>
            <w:shd w:val="clear" w:color="auto" w:fill="C4EFCE"/>
            <w:vAlign w:val="center"/>
            <w:hideMark/>
          </w:tcPr>
          <w:p w14:paraId="313C63A5" w14:textId="77777777" w:rsidR="00DC5EC6" w:rsidRDefault="003245A4">
            <w:pPr>
              <w:pStyle w:val="P68B1DB1-Normal7"/>
              <w:spacing w:after="0" w:line="240" w:lineRule="auto"/>
              <w:jc w:val="center"/>
              <w:rPr>
                <w:rFonts w:eastAsia="Times New Roman" w:cs="Calibri"/>
                <w:noProof/>
              </w:rPr>
            </w:pPr>
            <w:r>
              <w:rPr>
                <w:noProof/>
              </w:rPr>
              <w:t>19.2</w:t>
            </w:r>
          </w:p>
        </w:tc>
        <w:tc>
          <w:tcPr>
            <w:tcW w:w="1186" w:type="dxa"/>
            <w:shd w:val="clear" w:color="auto" w:fill="C4EFCE"/>
            <w:noWrap/>
            <w:vAlign w:val="center"/>
            <w:hideMark/>
          </w:tcPr>
          <w:p w14:paraId="74C76E9B" w14:textId="77777777"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hideMark/>
          </w:tcPr>
          <w:p w14:paraId="21EB2875"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557BE133" w14:textId="77777777" w:rsidR="00DC5EC6" w:rsidRDefault="003245A4">
            <w:pPr>
              <w:pStyle w:val="P68B1DB1-Normal8"/>
              <w:spacing w:after="0" w:line="240" w:lineRule="auto"/>
              <w:jc w:val="center"/>
              <w:rPr>
                <w:rFonts w:eastAsia="Times New Roman" w:cs="Calibri"/>
                <w:noProof/>
              </w:rPr>
            </w:pPr>
            <w:r>
              <w:rPr>
                <w:noProof/>
              </w:rPr>
              <w:t>A közszolgáltatások egyszerűsített és koherens módon, különböző csatornákon keresztül érhetők el</w:t>
            </w:r>
          </w:p>
        </w:tc>
        <w:tc>
          <w:tcPr>
            <w:tcW w:w="1314" w:type="dxa"/>
            <w:shd w:val="clear" w:color="auto" w:fill="C4EFCE"/>
            <w:noWrap/>
            <w:vAlign w:val="center"/>
            <w:hideMark/>
          </w:tcPr>
          <w:p w14:paraId="0C7B536C"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723C0D4E"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04D75696" w14:textId="77777777" w:rsidR="00DC5EC6" w:rsidRDefault="003245A4">
            <w:pPr>
              <w:pStyle w:val="P68B1DB1-Normal8"/>
              <w:spacing w:after="0" w:line="240" w:lineRule="auto"/>
              <w:jc w:val="center"/>
              <w:rPr>
                <w:rFonts w:eastAsia="Times New Roman" w:cs="Calibri"/>
                <w:noProof/>
              </w:rPr>
            </w:pPr>
            <w:r>
              <w:rPr>
                <w:noProof/>
              </w:rPr>
              <w:t>5</w:t>
            </w:r>
          </w:p>
        </w:tc>
        <w:tc>
          <w:tcPr>
            <w:tcW w:w="670" w:type="dxa"/>
            <w:shd w:val="clear" w:color="auto" w:fill="C4EFCE"/>
            <w:noWrap/>
            <w:vAlign w:val="center"/>
            <w:hideMark/>
          </w:tcPr>
          <w:p w14:paraId="542165AC" w14:textId="77777777" w:rsidR="00DC5EC6" w:rsidRDefault="003245A4">
            <w:pPr>
              <w:pStyle w:val="P68B1DB1-Normal8"/>
              <w:spacing w:after="0" w:line="240" w:lineRule="auto"/>
              <w:jc w:val="center"/>
              <w:rPr>
                <w:rFonts w:eastAsia="Times New Roman" w:cs="Calibri"/>
                <w:noProof/>
              </w:rPr>
            </w:pPr>
            <w:r>
              <w:rPr>
                <w:noProof/>
              </w:rPr>
              <w:t>25</w:t>
            </w:r>
          </w:p>
        </w:tc>
        <w:tc>
          <w:tcPr>
            <w:tcW w:w="542" w:type="dxa"/>
            <w:shd w:val="clear" w:color="auto" w:fill="C4EFCE"/>
            <w:noWrap/>
            <w:vAlign w:val="center"/>
            <w:hideMark/>
          </w:tcPr>
          <w:p w14:paraId="204665A2" w14:textId="3D49D199"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47B5ABC7"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6A62EF75" w14:textId="77777777" w:rsidR="00DC5EC6" w:rsidRDefault="003245A4">
            <w:pPr>
              <w:pStyle w:val="P68B1DB1-Normal8"/>
              <w:spacing w:after="0" w:line="240" w:lineRule="auto"/>
              <w:jc w:val="both"/>
              <w:rPr>
                <w:rFonts w:eastAsia="Times New Roman" w:cs="Calibri"/>
                <w:noProof/>
              </w:rPr>
            </w:pPr>
            <w:r>
              <w:rPr>
                <w:noProof/>
              </w:rPr>
              <w:t xml:space="preserve">A szervezetek és szolgáltatások továbbfejlesztett jegyzékében rögzített és több csatornán keresztül elérhető szolgáltatások száma: egységes digitális szolgáltatási portál, kapcsolattartó központ, </w:t>
            </w:r>
            <w:r>
              <w:rPr>
                <w:i/>
                <w:noProof/>
              </w:rPr>
              <w:t>Lojas do Cidadão</w:t>
            </w:r>
            <w:r>
              <w:rPr>
                <w:noProof/>
              </w:rPr>
              <w:t xml:space="preserve"> </w:t>
            </w:r>
            <w:r>
              <w:rPr>
                <w:i/>
                <w:noProof/>
              </w:rPr>
              <w:t>/Espaços Cidadão</w:t>
            </w:r>
            <w:r>
              <w:rPr>
                <w:noProof/>
              </w:rPr>
              <w:t xml:space="preserve">. </w:t>
            </w:r>
          </w:p>
          <w:p w14:paraId="1F8BC66A" w14:textId="3E0F41FA" w:rsidR="00DC5EC6" w:rsidRDefault="003245A4">
            <w:pPr>
              <w:pStyle w:val="P68B1DB1-Normal8"/>
              <w:spacing w:after="0" w:line="240" w:lineRule="auto"/>
              <w:jc w:val="both"/>
              <w:rPr>
                <w:rFonts w:eastAsia="Times New Roman" w:cs="Calibri"/>
                <w:noProof/>
              </w:rPr>
            </w:pPr>
            <w:r>
              <w:rPr>
                <w:noProof/>
              </w:rPr>
              <w:t>Ez a mutató azt jelenti, hogy ezeket a szolgáltatásokat az egyszeri adatszolgáltatás elvének megfelelően át kell tervezni, és omnicannel-megközelítéssel kell elérhetővé tenni.</w:t>
            </w:r>
          </w:p>
        </w:tc>
      </w:tr>
      <w:tr w:rsidR="00DC5EC6" w14:paraId="27972876" w14:textId="77777777" w:rsidTr="00C009B1">
        <w:trPr>
          <w:trHeight w:val="290"/>
        </w:trPr>
        <w:tc>
          <w:tcPr>
            <w:tcW w:w="1061" w:type="dxa"/>
            <w:shd w:val="clear" w:color="auto" w:fill="C4EFCE"/>
            <w:vAlign w:val="center"/>
            <w:hideMark/>
          </w:tcPr>
          <w:p w14:paraId="0B0D05C4" w14:textId="77777777" w:rsidR="00DC5EC6" w:rsidRDefault="003245A4">
            <w:pPr>
              <w:pStyle w:val="P68B1DB1-Normal7"/>
              <w:spacing w:after="0" w:line="240" w:lineRule="auto"/>
              <w:jc w:val="center"/>
              <w:rPr>
                <w:rFonts w:eastAsia="Times New Roman" w:cs="Calibri"/>
                <w:noProof/>
              </w:rPr>
            </w:pPr>
            <w:r>
              <w:rPr>
                <w:noProof/>
              </w:rPr>
              <w:t>19.3</w:t>
            </w:r>
          </w:p>
        </w:tc>
        <w:tc>
          <w:tcPr>
            <w:tcW w:w="1186" w:type="dxa"/>
            <w:shd w:val="clear" w:color="auto" w:fill="C4EFCE"/>
            <w:noWrap/>
            <w:vAlign w:val="center"/>
            <w:hideMark/>
          </w:tcPr>
          <w:p w14:paraId="0DA2F717" w14:textId="77777777"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hideMark/>
          </w:tcPr>
          <w:p w14:paraId="3FEDE5E4"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24992453" w14:textId="77777777" w:rsidR="00DC5EC6" w:rsidRDefault="003245A4">
            <w:pPr>
              <w:pStyle w:val="P68B1DB1-Normal8"/>
              <w:spacing w:after="0" w:line="240" w:lineRule="auto"/>
              <w:jc w:val="center"/>
              <w:rPr>
                <w:rFonts w:eastAsia="Times New Roman" w:cs="Calibri"/>
                <w:noProof/>
              </w:rPr>
            </w:pPr>
            <w:r>
              <w:rPr>
                <w:noProof/>
              </w:rPr>
              <w:t>Új konzuli irányítási modell van érvényben</w:t>
            </w:r>
          </w:p>
        </w:tc>
        <w:tc>
          <w:tcPr>
            <w:tcW w:w="1314" w:type="dxa"/>
            <w:shd w:val="clear" w:color="auto" w:fill="C4EFCE"/>
            <w:noWrap/>
            <w:vAlign w:val="center"/>
            <w:hideMark/>
          </w:tcPr>
          <w:p w14:paraId="221340B2" w14:textId="77777777" w:rsidR="00DC5EC6" w:rsidRDefault="003245A4">
            <w:pPr>
              <w:pStyle w:val="P68B1DB1-Normal8"/>
              <w:spacing w:after="0" w:line="240" w:lineRule="auto"/>
              <w:jc w:val="center"/>
              <w:rPr>
                <w:rFonts w:eastAsia="Times New Roman" w:cs="Calibri"/>
                <w:noProof/>
              </w:rPr>
            </w:pPr>
            <w:r>
              <w:rPr>
                <w:noProof/>
              </w:rPr>
              <w:t>Új konzuli irányítási modell van érvényben</w:t>
            </w:r>
          </w:p>
        </w:tc>
        <w:tc>
          <w:tcPr>
            <w:tcW w:w="1110" w:type="dxa"/>
            <w:shd w:val="clear" w:color="auto" w:fill="C4EFCE"/>
            <w:noWrap/>
            <w:vAlign w:val="center"/>
            <w:hideMark/>
          </w:tcPr>
          <w:p w14:paraId="57A5BD83" w14:textId="77777777" w:rsidR="00DC5EC6" w:rsidRDefault="003245A4">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0C64240F" w14:textId="77777777" w:rsidR="00DC5EC6" w:rsidRDefault="003245A4">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78C80247" w14:textId="77777777" w:rsidR="00DC5EC6" w:rsidRDefault="003245A4">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2C0C4BCA" w14:textId="532D8D50"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6EC450BB"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46DC3E91" w14:textId="77777777" w:rsidR="00DC5EC6" w:rsidRDefault="003245A4">
            <w:pPr>
              <w:pStyle w:val="P68B1DB1-Normal8"/>
              <w:spacing w:after="0" w:line="240" w:lineRule="auto"/>
              <w:jc w:val="both"/>
              <w:rPr>
                <w:rFonts w:eastAsia="Calibri" w:cs="Calibri"/>
                <w:noProof/>
              </w:rPr>
            </w:pPr>
            <w:r>
              <w:rPr>
                <w:noProof/>
              </w:rPr>
              <w:t xml:space="preserve">Az új konzuli igazgatási modell teljes körű végrehajtása: </w:t>
            </w:r>
          </w:p>
          <w:p w14:paraId="1B8817E6" w14:textId="77777777" w:rsidR="00DC5EC6" w:rsidRDefault="003245A4">
            <w:pPr>
              <w:pStyle w:val="P68B1DB1-Normal8"/>
              <w:spacing w:after="0" w:line="240" w:lineRule="auto"/>
              <w:jc w:val="both"/>
              <w:rPr>
                <w:rFonts w:eastAsia="Calibri" w:cs="Calibri"/>
                <w:noProof/>
              </w:rPr>
            </w:pPr>
            <w:r>
              <w:rPr>
                <w:noProof/>
              </w:rPr>
              <w:t xml:space="preserve">a külföldi állampolgárok/nem állampolgárok számára nyújtott dematerializált konzuli szolgáltatások, a külügyminisztérium által nyújtott szolgáltatások 80%-a digitalizált; </w:t>
            </w:r>
          </w:p>
          <w:p w14:paraId="7C5A19A7" w14:textId="49C1668D" w:rsidR="00DC5EC6" w:rsidRDefault="003245A4">
            <w:pPr>
              <w:pStyle w:val="P68B1DB1-Normal8"/>
              <w:spacing w:after="0" w:line="240" w:lineRule="auto"/>
              <w:jc w:val="both"/>
              <w:rPr>
                <w:rFonts w:eastAsia="Times New Roman" w:cs="Calibri"/>
                <w:noProof/>
              </w:rPr>
            </w:pPr>
            <w:r>
              <w:rPr>
                <w:noProof/>
              </w:rPr>
              <w:t xml:space="preserve">a </w:t>
            </w:r>
            <w:r>
              <w:rPr>
                <w:i/>
                <w:noProof/>
              </w:rPr>
              <w:t>Centro de Atendimento konzuli</w:t>
            </w:r>
            <w:r>
              <w:rPr>
                <w:noProof/>
              </w:rPr>
              <w:t xml:space="preserve"> működése és rendelkezésre állása legalább 15 országban.</w:t>
            </w:r>
          </w:p>
        </w:tc>
      </w:tr>
      <w:tr w:rsidR="00DC5EC6" w14:paraId="42D2A359" w14:textId="77777777" w:rsidTr="00C009B1">
        <w:trPr>
          <w:trHeight w:val="290"/>
        </w:trPr>
        <w:tc>
          <w:tcPr>
            <w:tcW w:w="1061" w:type="dxa"/>
            <w:shd w:val="clear" w:color="auto" w:fill="C4EFCE"/>
            <w:vAlign w:val="center"/>
          </w:tcPr>
          <w:p w14:paraId="4C161EC7" w14:textId="4D567DD7" w:rsidR="00DC5EC6" w:rsidRDefault="003245A4">
            <w:pPr>
              <w:pStyle w:val="P68B1DB1-Normal7"/>
              <w:spacing w:after="0" w:line="240" w:lineRule="auto"/>
              <w:jc w:val="center"/>
              <w:rPr>
                <w:rFonts w:eastAsia="Times New Roman" w:cs="Calibri"/>
                <w:noProof/>
              </w:rPr>
            </w:pPr>
            <w:r>
              <w:rPr>
                <w:noProof/>
              </w:rPr>
              <w:t>19.25</w:t>
            </w:r>
          </w:p>
        </w:tc>
        <w:tc>
          <w:tcPr>
            <w:tcW w:w="1186" w:type="dxa"/>
            <w:shd w:val="clear" w:color="auto" w:fill="C4EFCE"/>
            <w:noWrap/>
            <w:vAlign w:val="center"/>
          </w:tcPr>
          <w:p w14:paraId="07A7A65E" w14:textId="3F4583C4"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tcPr>
          <w:p w14:paraId="45A6111B" w14:textId="49684DBC"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0EEB120D" w14:textId="7DE3216A" w:rsidR="00DC5EC6" w:rsidRDefault="003245A4">
            <w:pPr>
              <w:pStyle w:val="P68B1DB1-Normal8"/>
              <w:spacing w:after="0" w:line="240" w:lineRule="auto"/>
              <w:jc w:val="center"/>
              <w:rPr>
                <w:rFonts w:eastAsia="Times New Roman" w:cs="Calibri"/>
                <w:noProof/>
              </w:rPr>
            </w:pPr>
            <w:r>
              <w:rPr>
                <w:noProof/>
              </w:rPr>
              <w:t>Új lakossági üzletek és polgári terek létrehozására vonatkozó protokollok aláírása</w:t>
            </w:r>
          </w:p>
        </w:tc>
        <w:tc>
          <w:tcPr>
            <w:tcW w:w="1314" w:type="dxa"/>
            <w:shd w:val="clear" w:color="auto" w:fill="C4EFCE"/>
            <w:noWrap/>
            <w:vAlign w:val="center"/>
          </w:tcPr>
          <w:p w14:paraId="6B203D02" w14:textId="3253C7C6" w:rsidR="00DC5EC6" w:rsidRDefault="003245A4">
            <w:pPr>
              <w:pStyle w:val="P68B1DB1-Normal8"/>
              <w:spacing w:after="0" w:line="240" w:lineRule="auto"/>
              <w:jc w:val="center"/>
              <w:rPr>
                <w:rFonts w:eastAsia="Times New Roman" w:cs="Calibri"/>
                <w:noProof/>
              </w:rPr>
            </w:pPr>
            <w:r>
              <w:rPr>
                <w:noProof/>
              </w:rPr>
              <w:t>Aláírt jegyzőkönyvek</w:t>
            </w:r>
          </w:p>
        </w:tc>
        <w:tc>
          <w:tcPr>
            <w:tcW w:w="1110" w:type="dxa"/>
            <w:shd w:val="clear" w:color="auto" w:fill="C4EFCE"/>
            <w:noWrap/>
            <w:vAlign w:val="center"/>
          </w:tcPr>
          <w:p w14:paraId="4ED17015" w14:textId="57284CD9" w:rsidR="00DC5EC6" w:rsidRDefault="00DC5EC6">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53C5C74B" w14:textId="638C6428" w:rsidR="00DC5EC6" w:rsidRDefault="00DC5EC6">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657B7723" w14:textId="6009BCC2" w:rsidR="00DC5EC6" w:rsidRDefault="00DC5EC6">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4C967353" w14:textId="43425FE3" w:rsidR="00DC5EC6" w:rsidRDefault="00CF0219">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70" w:type="dxa"/>
            <w:shd w:val="clear" w:color="auto" w:fill="C4EFCE"/>
            <w:noWrap/>
            <w:vAlign w:val="center"/>
          </w:tcPr>
          <w:p w14:paraId="42D3096C" w14:textId="45ACD52F" w:rsidR="00DC5EC6" w:rsidRDefault="003245A4">
            <w:pPr>
              <w:pStyle w:val="P68B1DB1-Normal8"/>
              <w:spacing w:after="0" w:line="240" w:lineRule="auto"/>
              <w:jc w:val="center"/>
              <w:rPr>
                <w:rFonts w:eastAsia="Times New Roman" w:cs="Calibri"/>
                <w:noProof/>
              </w:rPr>
            </w:pPr>
            <w:r>
              <w:rPr>
                <w:noProof/>
              </w:rPr>
              <w:t>2024</w:t>
            </w:r>
          </w:p>
        </w:tc>
        <w:tc>
          <w:tcPr>
            <w:tcW w:w="4347" w:type="dxa"/>
            <w:shd w:val="clear" w:color="auto" w:fill="C4EFCE"/>
            <w:vAlign w:val="center"/>
          </w:tcPr>
          <w:p w14:paraId="351D5F02" w14:textId="653F6769" w:rsidR="00DC5EC6" w:rsidRDefault="003245A4">
            <w:pPr>
              <w:pStyle w:val="P68B1DB1-Normal8"/>
              <w:spacing w:after="0" w:line="240" w:lineRule="auto"/>
              <w:jc w:val="both"/>
              <w:rPr>
                <w:rFonts w:eastAsia="Calibri" w:cs="Calibri"/>
                <w:noProof/>
              </w:rPr>
            </w:pPr>
            <w:r>
              <w:rPr>
                <w:noProof/>
              </w:rPr>
              <w:t>A 31 új lakossági üzlet (</w:t>
            </w:r>
            <w:r>
              <w:rPr>
                <w:i/>
                <w:noProof/>
              </w:rPr>
              <w:t>Lojas de Cidadão) és 400 új polgári tér (Espaços Cidadão</w:t>
            </w:r>
            <w:r>
              <w:rPr>
                <w:noProof/>
              </w:rPr>
              <w:t>) létrehozására vonatkozó jegyzőkönyvek aláírása</w:t>
            </w:r>
          </w:p>
        </w:tc>
      </w:tr>
      <w:tr w:rsidR="00C009B1" w14:paraId="408CD92E" w14:textId="77777777" w:rsidTr="00C009B1">
        <w:trPr>
          <w:trHeight w:val="290"/>
        </w:trPr>
        <w:tc>
          <w:tcPr>
            <w:tcW w:w="1061" w:type="dxa"/>
            <w:shd w:val="clear" w:color="auto" w:fill="C4EFCE"/>
            <w:vAlign w:val="center"/>
          </w:tcPr>
          <w:p w14:paraId="641766AF" w14:textId="4D443BCF" w:rsidR="00C009B1" w:rsidRDefault="00C009B1" w:rsidP="00C009B1">
            <w:pPr>
              <w:pStyle w:val="P68B1DB1-Normal7"/>
              <w:spacing w:after="0" w:line="240" w:lineRule="auto"/>
              <w:jc w:val="center"/>
              <w:rPr>
                <w:rFonts w:eastAsia="Times New Roman" w:cs="Calibri"/>
                <w:noProof/>
              </w:rPr>
            </w:pPr>
            <w:r>
              <w:rPr>
                <w:noProof/>
              </w:rPr>
              <w:t>19.26</w:t>
            </w:r>
          </w:p>
        </w:tc>
        <w:tc>
          <w:tcPr>
            <w:tcW w:w="1186" w:type="dxa"/>
            <w:shd w:val="clear" w:color="auto" w:fill="C4EFCE"/>
            <w:noWrap/>
            <w:vAlign w:val="center"/>
          </w:tcPr>
          <w:p w14:paraId="70CB2BFA" w14:textId="4DB762B8" w:rsidR="00C009B1" w:rsidRDefault="00C009B1" w:rsidP="00C009B1">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tcPr>
          <w:p w14:paraId="3D62FEF2" w14:textId="0F53039D" w:rsidR="00C009B1" w:rsidRDefault="00C009B1" w:rsidP="00C009B1">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tcPr>
          <w:p w14:paraId="19DB5DC3" w14:textId="2D88108E" w:rsidR="00C009B1" w:rsidRDefault="00C009B1" w:rsidP="00C009B1">
            <w:pPr>
              <w:pStyle w:val="P68B1DB1-Normal8"/>
              <w:spacing w:after="0" w:line="240" w:lineRule="auto"/>
              <w:jc w:val="center"/>
              <w:rPr>
                <w:rFonts w:eastAsia="Times New Roman" w:cs="Calibri"/>
                <w:noProof/>
              </w:rPr>
            </w:pPr>
            <w:r>
              <w:rPr>
                <w:noProof/>
              </w:rPr>
              <w:t xml:space="preserve">Új polgárok üzleteket és polgári tereket működtetnek. </w:t>
            </w:r>
          </w:p>
        </w:tc>
        <w:tc>
          <w:tcPr>
            <w:tcW w:w="1314" w:type="dxa"/>
            <w:shd w:val="clear" w:color="auto" w:fill="C4EFCE"/>
            <w:noWrap/>
            <w:vAlign w:val="center"/>
          </w:tcPr>
          <w:p w14:paraId="0FA8BF22" w14:textId="77777777" w:rsidR="00C009B1" w:rsidRDefault="00C009B1" w:rsidP="00C009B1">
            <w:pPr>
              <w:spacing w:after="0" w:line="240" w:lineRule="auto"/>
              <w:jc w:val="center"/>
              <w:rPr>
                <w:rFonts w:ascii="Calibri" w:eastAsia="Times New Roman" w:hAnsi="Calibri" w:cs="Calibri"/>
                <w:noProof/>
                <w:sz w:val="16"/>
              </w:rPr>
            </w:pPr>
          </w:p>
        </w:tc>
        <w:tc>
          <w:tcPr>
            <w:tcW w:w="1110" w:type="dxa"/>
            <w:shd w:val="clear" w:color="auto" w:fill="C4EFCE"/>
            <w:noWrap/>
            <w:vAlign w:val="center"/>
          </w:tcPr>
          <w:p w14:paraId="57B94528" w14:textId="683E09C2" w:rsidR="00C009B1" w:rsidRDefault="00C009B1" w:rsidP="00C009B1">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tcPr>
          <w:p w14:paraId="799EE625" w14:textId="2F093CB5" w:rsidR="00C009B1" w:rsidRDefault="00C009B1" w:rsidP="00C009B1">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tcPr>
          <w:p w14:paraId="5FF018BE" w14:textId="106AAE71" w:rsidR="00C009B1" w:rsidRDefault="00C009B1" w:rsidP="00C009B1">
            <w:pPr>
              <w:pStyle w:val="P68B1DB1-Normal8"/>
              <w:spacing w:after="0" w:line="240" w:lineRule="auto"/>
              <w:jc w:val="center"/>
              <w:rPr>
                <w:rFonts w:eastAsia="Times New Roman" w:cs="Calibri"/>
                <w:noProof/>
              </w:rPr>
            </w:pPr>
            <w:r>
              <w:rPr>
                <w:noProof/>
              </w:rPr>
              <w:t>431</w:t>
            </w:r>
          </w:p>
        </w:tc>
        <w:tc>
          <w:tcPr>
            <w:tcW w:w="542" w:type="dxa"/>
            <w:shd w:val="clear" w:color="auto" w:fill="C4EFCE"/>
            <w:noWrap/>
            <w:vAlign w:val="center"/>
          </w:tcPr>
          <w:p w14:paraId="18F2223E" w14:textId="7065F816"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tcPr>
          <w:p w14:paraId="1C18699C" w14:textId="56F51900" w:rsidR="00C009B1" w:rsidRDefault="00C009B1" w:rsidP="00C009B1">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tcPr>
          <w:p w14:paraId="6849E419" w14:textId="44B1A1B2" w:rsidR="00C009B1" w:rsidRDefault="00C009B1" w:rsidP="00C009B1">
            <w:pPr>
              <w:pStyle w:val="P68B1DB1-Normal8"/>
              <w:spacing w:line="240" w:lineRule="auto"/>
              <w:rPr>
                <w:rFonts w:eastAsia="Times New Roman" w:cs="Calibri"/>
                <w:noProof/>
              </w:rPr>
            </w:pPr>
            <w:r>
              <w:rPr>
                <w:noProof/>
              </w:rPr>
              <w:t>31 új lakossági üzlet (</w:t>
            </w:r>
            <w:r>
              <w:rPr>
                <w:i/>
                <w:noProof/>
              </w:rPr>
              <w:t>Lojas de Cidadão</w:t>
            </w:r>
            <w:r>
              <w:rPr>
                <w:noProof/>
              </w:rPr>
              <w:t>) és 400 új polgári tér (</w:t>
            </w:r>
            <w:r>
              <w:rPr>
                <w:i/>
                <w:noProof/>
              </w:rPr>
              <w:t>Espaços Cidadão</w:t>
            </w:r>
            <w:r>
              <w:rPr>
                <w:noProof/>
              </w:rPr>
              <w:t xml:space="preserve">) üzemel.  </w:t>
            </w:r>
          </w:p>
          <w:p w14:paraId="6F984B47" w14:textId="3B47A9D3" w:rsidR="00C009B1" w:rsidRDefault="00C009B1" w:rsidP="00C009B1">
            <w:pPr>
              <w:pStyle w:val="P68B1DB1-Normal8"/>
              <w:spacing w:line="240" w:lineRule="auto"/>
              <w:rPr>
                <w:rFonts w:eastAsia="Times New Roman" w:cs="Calibri"/>
                <w:noProof/>
              </w:rPr>
            </w:pPr>
            <w:r>
              <w:rPr>
                <w:noProof/>
              </w:rPr>
              <w:t>Az új épületek primerenergia-szükséglete legalább 20%-kal alacsonyabb, mint a közel nulla energiaigényű épületekre vonatkozó szabvány.</w:t>
            </w:r>
          </w:p>
        </w:tc>
      </w:tr>
      <w:tr w:rsidR="00DC5EC6" w14:paraId="20304CE4" w14:textId="77777777" w:rsidTr="00C009B1">
        <w:trPr>
          <w:trHeight w:val="290"/>
        </w:trPr>
        <w:tc>
          <w:tcPr>
            <w:tcW w:w="1061" w:type="dxa"/>
            <w:shd w:val="clear" w:color="auto" w:fill="C4EFCE"/>
            <w:vAlign w:val="center"/>
          </w:tcPr>
          <w:p w14:paraId="3F6EF73B" w14:textId="54A6CD7F" w:rsidR="00DC5EC6" w:rsidRDefault="003245A4">
            <w:pPr>
              <w:pStyle w:val="P68B1DB1-Normal7"/>
              <w:spacing w:after="0" w:line="240" w:lineRule="auto"/>
              <w:jc w:val="center"/>
              <w:rPr>
                <w:rFonts w:eastAsia="Times New Roman" w:cs="Calibri"/>
                <w:noProof/>
              </w:rPr>
            </w:pPr>
            <w:r>
              <w:rPr>
                <w:noProof/>
              </w:rPr>
              <w:t>19.27</w:t>
            </w:r>
          </w:p>
        </w:tc>
        <w:tc>
          <w:tcPr>
            <w:tcW w:w="1186" w:type="dxa"/>
            <w:shd w:val="clear" w:color="auto" w:fill="C4EFCE"/>
            <w:noWrap/>
            <w:vAlign w:val="center"/>
          </w:tcPr>
          <w:p w14:paraId="1F0F77AA" w14:textId="41ECE9F0" w:rsidR="00DC5EC6" w:rsidRDefault="003245A4">
            <w:pPr>
              <w:pStyle w:val="P68B1DB1-Normal8"/>
              <w:spacing w:after="0" w:line="240" w:lineRule="auto"/>
              <w:jc w:val="center"/>
              <w:rPr>
                <w:rFonts w:eastAsia="Times New Roman" w:cs="Calibri"/>
                <w:noProof/>
              </w:rPr>
            </w:pPr>
            <w:r>
              <w:rPr>
                <w:noProof/>
              </w:rPr>
              <w:t>TD-C19-i01</w:t>
            </w:r>
          </w:p>
        </w:tc>
        <w:tc>
          <w:tcPr>
            <w:tcW w:w="1058" w:type="dxa"/>
            <w:shd w:val="clear" w:color="auto" w:fill="C4EFCE"/>
            <w:noWrap/>
            <w:vAlign w:val="center"/>
          </w:tcPr>
          <w:p w14:paraId="2F6E7772" w14:textId="38D77F2B"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tcPr>
          <w:p w14:paraId="3BE91D37" w14:textId="3B8C1000" w:rsidR="00DC5EC6" w:rsidRDefault="003245A4">
            <w:pPr>
              <w:pStyle w:val="P68B1DB1-Normal8"/>
              <w:spacing w:after="0" w:line="240" w:lineRule="auto"/>
              <w:jc w:val="center"/>
              <w:rPr>
                <w:rFonts w:ascii="Arial" w:eastAsia="Arial" w:hAnsi="Arial" w:cs="Arial"/>
                <w:noProof/>
                <w:sz w:val="15"/>
              </w:rPr>
            </w:pPr>
            <w:r>
              <w:rPr>
                <w:noProof/>
              </w:rPr>
              <w:t>Polgári kérelem</w:t>
            </w:r>
          </w:p>
        </w:tc>
        <w:tc>
          <w:tcPr>
            <w:tcW w:w="1314" w:type="dxa"/>
            <w:shd w:val="clear" w:color="auto" w:fill="C4EFCE"/>
            <w:noWrap/>
            <w:vAlign w:val="center"/>
          </w:tcPr>
          <w:p w14:paraId="7912A7C9" w14:textId="336432D3" w:rsidR="00DC5EC6" w:rsidRDefault="003245A4">
            <w:pPr>
              <w:pStyle w:val="P68B1DB1-Normal8"/>
              <w:spacing w:after="0" w:line="240" w:lineRule="auto"/>
              <w:jc w:val="center"/>
              <w:rPr>
                <w:rFonts w:eastAsia="Times New Roman" w:cs="Calibri"/>
                <w:noProof/>
              </w:rPr>
            </w:pPr>
            <w:r>
              <w:rPr>
                <w:noProof/>
              </w:rPr>
              <w:t>Polgári pályázat indítása</w:t>
            </w:r>
          </w:p>
        </w:tc>
        <w:tc>
          <w:tcPr>
            <w:tcW w:w="1110" w:type="dxa"/>
            <w:shd w:val="clear" w:color="auto" w:fill="C4EFCE"/>
            <w:noWrap/>
            <w:vAlign w:val="center"/>
          </w:tcPr>
          <w:p w14:paraId="5BBBBDEF" w14:textId="77777777" w:rsidR="00DC5EC6" w:rsidRDefault="00DC5EC6">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4C7253AA" w14:textId="77777777" w:rsidR="00DC5EC6" w:rsidRDefault="00DC5EC6">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5900726E" w14:textId="77777777" w:rsidR="00DC5EC6" w:rsidRDefault="00DC5EC6">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0132BF5B" w14:textId="1DBD9CC1"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tcPr>
          <w:p w14:paraId="12E3ADEC" w14:textId="0B99F5D6" w:rsidR="00DC5EC6" w:rsidRDefault="003245A4">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tcPr>
          <w:p w14:paraId="4394027D" w14:textId="6D95096C" w:rsidR="00DC5EC6" w:rsidRDefault="003245A4">
            <w:pPr>
              <w:pStyle w:val="P68B1DB1-Normal8"/>
              <w:spacing w:after="0" w:line="240" w:lineRule="auto"/>
              <w:rPr>
                <w:rFonts w:eastAsia="Times New Roman" w:cs="Calibri"/>
                <w:noProof/>
              </w:rPr>
            </w:pPr>
            <w:r>
              <w:rPr>
                <w:noProof/>
              </w:rPr>
              <w:t>Polgári alkalmazás elindítása és működőképessége. Az alkalmazásnak lehetővé kell tennie a felhasználók számára, hogy digitálisan hozzáférjenek a legnépszerűbb közszolgáltatásokhoz és egyéb funkciókhoz (például a szolgáltatások fizetéséhez).</w:t>
            </w:r>
          </w:p>
        </w:tc>
      </w:tr>
      <w:tr w:rsidR="00DC5EC6" w14:paraId="4C5FE56E" w14:textId="77777777" w:rsidTr="00C009B1">
        <w:trPr>
          <w:trHeight w:val="1460"/>
        </w:trPr>
        <w:tc>
          <w:tcPr>
            <w:tcW w:w="1061" w:type="dxa"/>
            <w:shd w:val="clear" w:color="auto" w:fill="C4EFCE"/>
            <w:vAlign w:val="center"/>
            <w:hideMark/>
          </w:tcPr>
          <w:p w14:paraId="056AA2D9" w14:textId="77777777" w:rsidR="00DC5EC6" w:rsidRDefault="003245A4">
            <w:pPr>
              <w:pStyle w:val="P68B1DB1-Normal7"/>
              <w:spacing w:after="0" w:line="240" w:lineRule="auto"/>
              <w:jc w:val="center"/>
              <w:rPr>
                <w:rFonts w:eastAsia="Times New Roman" w:cs="Calibri"/>
                <w:noProof/>
              </w:rPr>
            </w:pPr>
            <w:r>
              <w:rPr>
                <w:noProof/>
              </w:rPr>
              <w:t>19.4</w:t>
            </w:r>
          </w:p>
        </w:tc>
        <w:tc>
          <w:tcPr>
            <w:tcW w:w="1186" w:type="dxa"/>
            <w:shd w:val="clear" w:color="auto" w:fill="C4EFCE"/>
            <w:noWrap/>
            <w:vAlign w:val="center"/>
            <w:hideMark/>
          </w:tcPr>
          <w:p w14:paraId="66F6086A" w14:textId="77777777" w:rsidR="00DC5EC6" w:rsidRDefault="003245A4">
            <w:pPr>
              <w:pStyle w:val="P68B1DB1-Normal8"/>
              <w:spacing w:after="0" w:line="240" w:lineRule="auto"/>
              <w:jc w:val="center"/>
              <w:rPr>
                <w:rFonts w:eastAsia="Times New Roman" w:cs="Calibri"/>
                <w:noProof/>
              </w:rPr>
            </w:pPr>
            <w:r>
              <w:rPr>
                <w:noProof/>
              </w:rPr>
              <w:t>TD-C19-i02</w:t>
            </w:r>
          </w:p>
        </w:tc>
        <w:tc>
          <w:tcPr>
            <w:tcW w:w="1058" w:type="dxa"/>
            <w:shd w:val="clear" w:color="auto" w:fill="C4EFCE"/>
            <w:noWrap/>
            <w:vAlign w:val="center"/>
            <w:hideMark/>
          </w:tcPr>
          <w:p w14:paraId="07ADC372"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302FA656" w14:textId="77777777" w:rsidR="00DC5EC6" w:rsidRDefault="003245A4">
            <w:pPr>
              <w:pStyle w:val="P68B1DB1-Normal8"/>
              <w:spacing w:after="0" w:line="240" w:lineRule="auto"/>
              <w:jc w:val="center"/>
              <w:rPr>
                <w:rFonts w:eastAsia="Times New Roman" w:cs="Calibri"/>
                <w:noProof/>
              </w:rPr>
            </w:pPr>
            <w:r>
              <w:rPr>
                <w:noProof/>
              </w:rPr>
              <w:t>Az elektronikus személyazonosság révén biztonságosan hozzáférhető közszolgáltatások, tiszteletben tartva az egyszeri adatszolgáltatás elvét</w:t>
            </w:r>
          </w:p>
        </w:tc>
        <w:tc>
          <w:tcPr>
            <w:tcW w:w="1314" w:type="dxa"/>
            <w:shd w:val="clear" w:color="auto" w:fill="C4EFCE"/>
            <w:noWrap/>
            <w:vAlign w:val="center"/>
            <w:hideMark/>
          </w:tcPr>
          <w:p w14:paraId="2F0CF461"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1F07FD7D"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10946C7F"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2912ED93" w14:textId="77777777" w:rsidR="00DC5EC6" w:rsidRDefault="003245A4">
            <w:pPr>
              <w:pStyle w:val="P68B1DB1-Normal8"/>
              <w:spacing w:after="0" w:line="240" w:lineRule="auto"/>
              <w:jc w:val="center"/>
              <w:rPr>
                <w:rFonts w:eastAsia="Times New Roman" w:cs="Calibri"/>
                <w:noProof/>
              </w:rPr>
            </w:pPr>
            <w:r>
              <w:rPr>
                <w:noProof/>
              </w:rPr>
              <w:t>5</w:t>
            </w:r>
          </w:p>
        </w:tc>
        <w:tc>
          <w:tcPr>
            <w:tcW w:w="542" w:type="dxa"/>
            <w:shd w:val="clear" w:color="auto" w:fill="C4EFCE"/>
            <w:noWrap/>
            <w:vAlign w:val="center"/>
            <w:hideMark/>
          </w:tcPr>
          <w:p w14:paraId="5630E509" w14:textId="0D7DA283" w:rsidR="00DC5EC6" w:rsidRDefault="00CF0219">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70" w:type="dxa"/>
            <w:shd w:val="clear" w:color="auto" w:fill="C4EFCE"/>
            <w:noWrap/>
            <w:vAlign w:val="center"/>
            <w:hideMark/>
          </w:tcPr>
          <w:p w14:paraId="2CCF72CC" w14:textId="77777777" w:rsidR="00DC5EC6" w:rsidRDefault="003245A4">
            <w:pPr>
              <w:pStyle w:val="P68B1DB1-Normal8"/>
              <w:spacing w:after="0" w:line="240" w:lineRule="auto"/>
              <w:jc w:val="center"/>
              <w:rPr>
                <w:rFonts w:eastAsia="Times New Roman" w:cs="Calibri"/>
                <w:noProof/>
              </w:rPr>
            </w:pPr>
            <w:r>
              <w:rPr>
                <w:noProof/>
              </w:rPr>
              <w:t>2022</w:t>
            </w:r>
          </w:p>
        </w:tc>
        <w:tc>
          <w:tcPr>
            <w:tcW w:w="4347" w:type="dxa"/>
            <w:shd w:val="clear" w:color="auto" w:fill="C4EFCE"/>
            <w:vAlign w:val="center"/>
            <w:hideMark/>
          </w:tcPr>
          <w:p w14:paraId="2D73BE7F" w14:textId="77777777" w:rsidR="00DC5EC6" w:rsidRDefault="005B5627">
            <w:pPr>
              <w:pStyle w:val="P68B1DB1-Normal8"/>
              <w:spacing w:after="0" w:line="240" w:lineRule="auto"/>
              <w:jc w:val="both"/>
              <w:rPr>
                <w:rFonts w:eastAsia="Times New Roman" w:cs="Calibri"/>
                <w:noProof/>
              </w:rPr>
            </w:pPr>
            <w:hyperlink r:id="rId348" w:history="1">
              <w:r w:rsidR="003245A4">
                <w:rPr>
                  <w:noProof/>
                </w:rPr>
                <w:t>Az (iap.gov.pt. internetcímen elérhető) iAP-katalógusban rendelkezésre álló adatokat hasznosító polgárok és vállalkozások rendelkezésére álló digitális közszolgáltatások száma (amennyiben a szolgálatok ezt kérik) és a közigazgatásban a személyes adatok ellenőrzésére szolgáló rendszer által lefedett és a nyílt hozzáférésű adatokat a www.dados.gov.pt honlapon teszik közzé.</w:t>
              </w:r>
            </w:hyperlink>
          </w:p>
        </w:tc>
      </w:tr>
      <w:tr w:rsidR="00DC5EC6" w14:paraId="68FF8B70" w14:textId="77777777" w:rsidTr="00C009B1">
        <w:trPr>
          <w:trHeight w:val="1460"/>
        </w:trPr>
        <w:tc>
          <w:tcPr>
            <w:tcW w:w="1061" w:type="dxa"/>
            <w:shd w:val="clear" w:color="auto" w:fill="C4EFCE"/>
            <w:vAlign w:val="center"/>
            <w:hideMark/>
          </w:tcPr>
          <w:p w14:paraId="15F177E4" w14:textId="77777777" w:rsidR="00DC5EC6" w:rsidRDefault="003245A4">
            <w:pPr>
              <w:pStyle w:val="P68B1DB1-Normal7"/>
              <w:spacing w:after="0" w:line="240" w:lineRule="auto"/>
              <w:jc w:val="center"/>
              <w:rPr>
                <w:rFonts w:eastAsia="Times New Roman" w:cs="Calibri"/>
                <w:noProof/>
              </w:rPr>
            </w:pPr>
            <w:r>
              <w:rPr>
                <w:noProof/>
              </w:rPr>
              <w:t>19.5</w:t>
            </w:r>
          </w:p>
        </w:tc>
        <w:tc>
          <w:tcPr>
            <w:tcW w:w="1186" w:type="dxa"/>
            <w:shd w:val="clear" w:color="auto" w:fill="C4EFCE"/>
            <w:noWrap/>
            <w:vAlign w:val="center"/>
            <w:hideMark/>
          </w:tcPr>
          <w:p w14:paraId="6B9131E1" w14:textId="77777777" w:rsidR="00DC5EC6" w:rsidRDefault="003245A4">
            <w:pPr>
              <w:pStyle w:val="P68B1DB1-Normal8"/>
              <w:spacing w:after="0" w:line="240" w:lineRule="auto"/>
              <w:jc w:val="center"/>
              <w:rPr>
                <w:rFonts w:eastAsia="Times New Roman" w:cs="Calibri"/>
                <w:noProof/>
              </w:rPr>
            </w:pPr>
            <w:r>
              <w:rPr>
                <w:noProof/>
              </w:rPr>
              <w:t>TD-C19-i02</w:t>
            </w:r>
          </w:p>
        </w:tc>
        <w:tc>
          <w:tcPr>
            <w:tcW w:w="1058" w:type="dxa"/>
            <w:shd w:val="clear" w:color="auto" w:fill="C4EFCE"/>
            <w:noWrap/>
            <w:vAlign w:val="center"/>
            <w:hideMark/>
          </w:tcPr>
          <w:p w14:paraId="3C336C97"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1BD9AD68" w14:textId="77777777" w:rsidR="00DC5EC6" w:rsidRDefault="003245A4">
            <w:pPr>
              <w:pStyle w:val="P68B1DB1-Normal8"/>
              <w:spacing w:after="0" w:line="240" w:lineRule="auto"/>
              <w:jc w:val="center"/>
              <w:rPr>
                <w:rFonts w:eastAsia="Times New Roman" w:cs="Calibri"/>
                <w:noProof/>
              </w:rPr>
            </w:pPr>
            <w:r>
              <w:rPr>
                <w:noProof/>
              </w:rPr>
              <w:t>Az elektronikus személyazonosság révén biztonságosan hozzáférhető közszolgáltatások, tiszteletben tartva az egyszeri adatszolgáltatás elvét</w:t>
            </w:r>
          </w:p>
        </w:tc>
        <w:tc>
          <w:tcPr>
            <w:tcW w:w="1314" w:type="dxa"/>
            <w:shd w:val="clear" w:color="auto" w:fill="C4EFCE"/>
            <w:noWrap/>
            <w:vAlign w:val="center"/>
            <w:hideMark/>
          </w:tcPr>
          <w:p w14:paraId="08DE2C60"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4E591E30"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4BE803EF" w14:textId="77777777" w:rsidR="00DC5EC6" w:rsidRDefault="003245A4">
            <w:pPr>
              <w:pStyle w:val="P68B1DB1-Normal8"/>
              <w:spacing w:after="0" w:line="240" w:lineRule="auto"/>
              <w:jc w:val="center"/>
              <w:rPr>
                <w:rFonts w:eastAsia="Times New Roman" w:cs="Calibri"/>
                <w:noProof/>
              </w:rPr>
            </w:pPr>
            <w:r>
              <w:rPr>
                <w:noProof/>
              </w:rPr>
              <w:t>5</w:t>
            </w:r>
          </w:p>
        </w:tc>
        <w:tc>
          <w:tcPr>
            <w:tcW w:w="670" w:type="dxa"/>
            <w:shd w:val="clear" w:color="auto" w:fill="C4EFCE"/>
            <w:noWrap/>
            <w:vAlign w:val="center"/>
            <w:hideMark/>
          </w:tcPr>
          <w:p w14:paraId="1EEBC244" w14:textId="77777777" w:rsidR="00DC5EC6" w:rsidRDefault="003245A4">
            <w:pPr>
              <w:pStyle w:val="P68B1DB1-Normal8"/>
              <w:spacing w:after="0" w:line="240" w:lineRule="auto"/>
              <w:jc w:val="center"/>
              <w:rPr>
                <w:rFonts w:eastAsia="Times New Roman" w:cs="Calibri"/>
                <w:noProof/>
              </w:rPr>
            </w:pPr>
            <w:r>
              <w:rPr>
                <w:noProof/>
              </w:rPr>
              <w:t>25</w:t>
            </w:r>
          </w:p>
        </w:tc>
        <w:tc>
          <w:tcPr>
            <w:tcW w:w="542" w:type="dxa"/>
            <w:shd w:val="clear" w:color="auto" w:fill="C4EFCE"/>
            <w:noWrap/>
            <w:vAlign w:val="center"/>
            <w:hideMark/>
          </w:tcPr>
          <w:p w14:paraId="55886765" w14:textId="79AA4556"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6CF36C79"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5195558B" w14:textId="77777777" w:rsidR="00DC5EC6" w:rsidRDefault="005B5627">
            <w:pPr>
              <w:pStyle w:val="P68B1DB1-Normal8"/>
              <w:spacing w:after="0" w:line="240" w:lineRule="auto"/>
              <w:jc w:val="both"/>
              <w:rPr>
                <w:rFonts w:eastAsia="Times New Roman" w:cs="Calibri"/>
                <w:noProof/>
                <w:u w:val="single"/>
              </w:rPr>
            </w:pPr>
            <w:hyperlink r:id="rId349" w:history="1">
              <w:r w:rsidR="003245A4">
                <w:rPr>
                  <w:noProof/>
                </w:rPr>
                <w:t>Azon digitális közszolgáltatások száma, amelyek az iAP-katalógusban rendelkezésre álló adatokat hasznosító polgárok és vállalkozások rendelkezésére állnak (elérhető az iap.gov.pt-en, elektronikus személyazonossággal (amennyiben a szolgálatok kérik) és a közigazgatásban a személyes adatok ellenőrzésére szolgáló rendszer által lefedett és a nyílt hozzáférésű adatokat a www.dados.gov.pt honlapon teszik közzé.</w:t>
              </w:r>
            </w:hyperlink>
          </w:p>
        </w:tc>
      </w:tr>
      <w:tr w:rsidR="00DC5EC6" w14:paraId="05EB17B2" w14:textId="77777777" w:rsidTr="00C009B1">
        <w:trPr>
          <w:trHeight w:val="2864"/>
        </w:trPr>
        <w:tc>
          <w:tcPr>
            <w:tcW w:w="1061" w:type="dxa"/>
            <w:shd w:val="clear" w:color="auto" w:fill="C4EFCE"/>
            <w:vAlign w:val="center"/>
            <w:hideMark/>
          </w:tcPr>
          <w:p w14:paraId="2E952EA4" w14:textId="77777777" w:rsidR="00DC5EC6" w:rsidRDefault="003245A4">
            <w:pPr>
              <w:pStyle w:val="P68B1DB1-Normal7"/>
              <w:spacing w:after="0" w:line="240" w:lineRule="auto"/>
              <w:jc w:val="center"/>
              <w:rPr>
                <w:rFonts w:eastAsia="Times New Roman" w:cs="Calibri"/>
                <w:noProof/>
              </w:rPr>
            </w:pPr>
            <w:r>
              <w:rPr>
                <w:noProof/>
              </w:rPr>
              <w:t>19.6</w:t>
            </w:r>
          </w:p>
        </w:tc>
        <w:tc>
          <w:tcPr>
            <w:tcW w:w="1186" w:type="dxa"/>
            <w:shd w:val="clear" w:color="auto" w:fill="C4EFCE"/>
            <w:noWrap/>
            <w:vAlign w:val="center"/>
            <w:hideMark/>
          </w:tcPr>
          <w:p w14:paraId="2C2B1316" w14:textId="77777777" w:rsidR="00DC5EC6" w:rsidRDefault="003245A4">
            <w:pPr>
              <w:pStyle w:val="P68B1DB1-Normal8"/>
              <w:spacing w:after="0" w:line="240" w:lineRule="auto"/>
              <w:jc w:val="center"/>
              <w:rPr>
                <w:rFonts w:eastAsia="Times New Roman" w:cs="Calibri"/>
                <w:noProof/>
              </w:rPr>
            </w:pPr>
            <w:r>
              <w:rPr>
                <w:noProof/>
              </w:rPr>
              <w:t>TD-C19-i02</w:t>
            </w:r>
          </w:p>
        </w:tc>
        <w:tc>
          <w:tcPr>
            <w:tcW w:w="1058" w:type="dxa"/>
            <w:shd w:val="clear" w:color="auto" w:fill="C4EFCE"/>
            <w:noWrap/>
            <w:vAlign w:val="center"/>
            <w:hideMark/>
          </w:tcPr>
          <w:p w14:paraId="0B87EDBD"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78B82EB8" w14:textId="77777777" w:rsidR="00DC5EC6" w:rsidRDefault="003245A4">
            <w:pPr>
              <w:pStyle w:val="P68B1DB1-Normal8"/>
              <w:spacing w:after="0" w:line="240" w:lineRule="auto"/>
              <w:jc w:val="center"/>
              <w:rPr>
                <w:rFonts w:eastAsia="Times New Roman" w:cs="Calibri"/>
                <w:noProof/>
              </w:rPr>
            </w:pPr>
            <w:r>
              <w:rPr>
                <w:noProof/>
              </w:rPr>
              <w:t>Területi információs infrastruktúra</w:t>
            </w:r>
          </w:p>
        </w:tc>
        <w:tc>
          <w:tcPr>
            <w:tcW w:w="1314" w:type="dxa"/>
            <w:shd w:val="clear" w:color="auto" w:fill="C4EFCE"/>
            <w:noWrap/>
            <w:vAlign w:val="center"/>
            <w:hideMark/>
          </w:tcPr>
          <w:p w14:paraId="4CE5387D" w14:textId="77777777" w:rsidR="00DC5EC6" w:rsidRDefault="003245A4">
            <w:pPr>
              <w:pStyle w:val="P68B1DB1-Normal8"/>
              <w:spacing w:after="0" w:line="240" w:lineRule="auto"/>
              <w:rPr>
                <w:rFonts w:eastAsia="Times New Roman" w:cs="Calibri"/>
                <w:noProof/>
              </w:rPr>
            </w:pPr>
            <w:r>
              <w:rPr>
                <w:noProof/>
              </w:rPr>
              <w:t> </w:t>
            </w:r>
          </w:p>
        </w:tc>
        <w:tc>
          <w:tcPr>
            <w:tcW w:w="1110" w:type="dxa"/>
            <w:shd w:val="clear" w:color="auto" w:fill="C4EFCE"/>
            <w:noWrap/>
            <w:vAlign w:val="center"/>
            <w:hideMark/>
          </w:tcPr>
          <w:p w14:paraId="10B4DFC4" w14:textId="77777777" w:rsidR="00DC5EC6" w:rsidRDefault="003245A4">
            <w:pPr>
              <w:pStyle w:val="P68B1DB1-Normal8"/>
              <w:spacing w:after="0" w:line="240" w:lineRule="auto"/>
              <w:jc w:val="center"/>
              <w:rPr>
                <w:rFonts w:eastAsia="Times New Roman" w:cs="Calibri"/>
                <w:noProof/>
              </w:rPr>
            </w:pPr>
            <w:r>
              <w:rPr>
                <w:noProof/>
              </w:rPr>
              <w:t> Szám</w:t>
            </w:r>
          </w:p>
        </w:tc>
        <w:tc>
          <w:tcPr>
            <w:tcW w:w="928" w:type="dxa"/>
            <w:shd w:val="clear" w:color="auto" w:fill="C4EFCE"/>
            <w:noWrap/>
            <w:vAlign w:val="center"/>
            <w:hideMark/>
          </w:tcPr>
          <w:p w14:paraId="05F91934" w14:textId="77777777" w:rsidR="00DC5EC6" w:rsidRDefault="003245A4">
            <w:pPr>
              <w:pStyle w:val="P68B1DB1-Normal8"/>
              <w:spacing w:after="0" w:line="240" w:lineRule="auto"/>
              <w:jc w:val="center"/>
              <w:rPr>
                <w:rFonts w:eastAsia="Times New Roman" w:cs="Calibri"/>
                <w:noProof/>
              </w:rPr>
            </w:pPr>
            <w:r>
              <w:rPr>
                <w:noProof/>
              </w:rPr>
              <w:t> 0</w:t>
            </w:r>
          </w:p>
        </w:tc>
        <w:tc>
          <w:tcPr>
            <w:tcW w:w="670" w:type="dxa"/>
            <w:shd w:val="clear" w:color="auto" w:fill="C4EFCE"/>
            <w:noWrap/>
            <w:vAlign w:val="center"/>
            <w:hideMark/>
          </w:tcPr>
          <w:p w14:paraId="40489FCE" w14:textId="77777777" w:rsidR="00DC5EC6" w:rsidRDefault="003245A4">
            <w:pPr>
              <w:pStyle w:val="P68B1DB1-Normal8"/>
              <w:spacing w:after="0" w:line="240" w:lineRule="auto"/>
              <w:jc w:val="center"/>
              <w:rPr>
                <w:rFonts w:eastAsia="Times New Roman" w:cs="Calibri"/>
                <w:noProof/>
              </w:rPr>
            </w:pPr>
            <w:r>
              <w:rPr>
                <w:noProof/>
              </w:rPr>
              <w:t> 150</w:t>
            </w:r>
          </w:p>
        </w:tc>
        <w:tc>
          <w:tcPr>
            <w:tcW w:w="542" w:type="dxa"/>
            <w:shd w:val="clear" w:color="auto" w:fill="C4EFCE"/>
            <w:noWrap/>
            <w:vAlign w:val="center"/>
            <w:hideMark/>
          </w:tcPr>
          <w:p w14:paraId="3D27795A" w14:textId="7E8E5120"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2E675188"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4CAF8E18" w14:textId="77777777" w:rsidR="00DC5EC6" w:rsidRDefault="003245A4">
            <w:pPr>
              <w:pStyle w:val="P68B1DB1-Normal8"/>
              <w:spacing w:after="0" w:line="240" w:lineRule="auto"/>
              <w:jc w:val="both"/>
              <w:rPr>
                <w:rFonts w:eastAsia="Times New Roman" w:cs="Calibri"/>
                <w:noProof/>
              </w:rPr>
            </w:pPr>
            <w:r>
              <w:rPr>
                <w:noProof/>
              </w:rPr>
              <w:t>A lakhatási, demográfiai, társadalmi és gazdasági információkra kiterjedő területi információs infrastruktúrába integrált adatforrások száma. Az adatforrások közé tartoznak az adminisztratív és felmérési mikroadatok (jellemzően egyéni vagy szervezeti/vállalkozási szinten), amelyeket fokozatosan integrálnak a portugál Statisztikai Hivatalba (nemzeti adatinfrastruktúráján keresztül), többek között a társadalombiztosítástól, az adóhatóságtól és az oktatás, a munkaügy, az egészségügy és a jogérvényesülés kormányzati területeinek számos közigazgatási szervétől, valamint az érintett évek (éves vagy évközi információk) lehetőség szerinti bővítésétől. Minden adatforrást stabilizálni kell (a továbbítást), kezelni és elemezni kell annak érdekében, hogy készen álljon az integrációra és a statisztikai információk előállítására a legrészletesebb szinten, különösen a regionális dimenzió mentén.</w:t>
            </w:r>
          </w:p>
        </w:tc>
      </w:tr>
      <w:tr w:rsidR="00DC5EC6" w14:paraId="021D13B4" w14:textId="77777777" w:rsidTr="00C009B1">
        <w:trPr>
          <w:trHeight w:val="1546"/>
        </w:trPr>
        <w:tc>
          <w:tcPr>
            <w:tcW w:w="1061" w:type="dxa"/>
            <w:shd w:val="clear" w:color="auto" w:fill="C4EFCE"/>
            <w:vAlign w:val="center"/>
            <w:hideMark/>
          </w:tcPr>
          <w:p w14:paraId="26F8CD80" w14:textId="77777777" w:rsidR="00DC5EC6" w:rsidRDefault="003245A4">
            <w:pPr>
              <w:pStyle w:val="P68B1DB1-Normal7"/>
              <w:spacing w:after="0" w:line="240" w:lineRule="auto"/>
              <w:jc w:val="center"/>
              <w:rPr>
                <w:rFonts w:eastAsia="Times New Roman" w:cs="Calibri"/>
                <w:noProof/>
              </w:rPr>
            </w:pPr>
            <w:r>
              <w:rPr>
                <w:noProof/>
              </w:rPr>
              <w:t>19.7</w:t>
            </w:r>
          </w:p>
        </w:tc>
        <w:tc>
          <w:tcPr>
            <w:tcW w:w="1186" w:type="dxa"/>
            <w:shd w:val="clear" w:color="auto" w:fill="C4EFCE"/>
            <w:noWrap/>
            <w:vAlign w:val="center"/>
            <w:hideMark/>
          </w:tcPr>
          <w:p w14:paraId="31F06611" w14:textId="77777777"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hideMark/>
          </w:tcPr>
          <w:p w14:paraId="6E886759"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01F1C4FC" w14:textId="77777777" w:rsidR="00DC5EC6" w:rsidRDefault="003245A4">
            <w:pPr>
              <w:pStyle w:val="P68B1DB1-Normal8"/>
              <w:spacing w:after="0" w:line="240" w:lineRule="auto"/>
              <w:jc w:val="center"/>
              <w:rPr>
                <w:rFonts w:eastAsia="Times New Roman" w:cs="Calibri"/>
                <w:noProof/>
              </w:rPr>
            </w:pPr>
            <w:r>
              <w:rPr>
                <w:noProof/>
              </w:rPr>
              <w:t>Informatikai szakemberek képzése a kiberbiztonsági és információbiztonsági képességek megerősítése érdekében</w:t>
            </w:r>
          </w:p>
        </w:tc>
        <w:tc>
          <w:tcPr>
            <w:tcW w:w="1314" w:type="dxa"/>
            <w:shd w:val="clear" w:color="auto" w:fill="C4EFCE"/>
            <w:noWrap/>
            <w:vAlign w:val="center"/>
            <w:hideMark/>
          </w:tcPr>
          <w:p w14:paraId="331EB092"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3B688D49"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3500F57F"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00D6EA06" w14:textId="77777777" w:rsidR="00DC5EC6" w:rsidRDefault="003245A4">
            <w:pPr>
              <w:pStyle w:val="P68B1DB1-Normal8"/>
              <w:spacing w:after="0" w:line="240" w:lineRule="auto"/>
              <w:jc w:val="center"/>
              <w:rPr>
                <w:rFonts w:eastAsia="Times New Roman" w:cs="Calibri"/>
                <w:noProof/>
              </w:rPr>
            </w:pPr>
            <w:r>
              <w:rPr>
                <w:noProof/>
              </w:rPr>
              <w:t>9 800</w:t>
            </w:r>
          </w:p>
        </w:tc>
        <w:tc>
          <w:tcPr>
            <w:tcW w:w="542" w:type="dxa"/>
            <w:shd w:val="clear" w:color="auto" w:fill="C4EFCE"/>
            <w:noWrap/>
            <w:vAlign w:val="center"/>
            <w:hideMark/>
          </w:tcPr>
          <w:p w14:paraId="4FDC9656" w14:textId="72501A58"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C8036E3"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3DC67902" w14:textId="77777777" w:rsidR="00DC5EC6" w:rsidRDefault="003245A4">
            <w:pPr>
              <w:pStyle w:val="P68B1DB1-Normal8"/>
              <w:spacing w:after="0" w:line="240" w:lineRule="auto"/>
              <w:jc w:val="both"/>
              <w:rPr>
                <w:rFonts w:eastAsia="Times New Roman" w:cs="Calibri"/>
                <w:noProof/>
              </w:rPr>
            </w:pPr>
            <w:r>
              <w:rPr>
                <w:noProof/>
              </w:rPr>
              <w:t>A hét újonnan létrehozott kiberbiztonsági kompetenciaközpont hálózatában kiképzett informatikai szakemberek száma. A központok magas szintű kiberbiztonsági és információbiztonsági készségeket biztosítanak a Nemzeti Kiberbiztonsági Központ (CNCS) képzési és gyakornoki programjai révén a közigazgatás IKT-alkalmazottak számára (személyes vagy telematikai képzés).</w:t>
            </w:r>
          </w:p>
        </w:tc>
      </w:tr>
      <w:tr w:rsidR="00DC5EC6" w14:paraId="6EAE2210" w14:textId="77777777" w:rsidTr="00C009B1">
        <w:trPr>
          <w:trHeight w:val="1690"/>
        </w:trPr>
        <w:tc>
          <w:tcPr>
            <w:tcW w:w="1061" w:type="dxa"/>
            <w:shd w:val="clear" w:color="auto" w:fill="C4EFCE"/>
            <w:vAlign w:val="center"/>
            <w:hideMark/>
          </w:tcPr>
          <w:p w14:paraId="308988EE" w14:textId="77777777" w:rsidR="00DC5EC6" w:rsidRDefault="003245A4">
            <w:pPr>
              <w:pStyle w:val="P68B1DB1-Normal7"/>
              <w:spacing w:after="0" w:line="240" w:lineRule="auto"/>
              <w:jc w:val="center"/>
              <w:rPr>
                <w:rFonts w:eastAsia="Times New Roman" w:cs="Calibri"/>
                <w:noProof/>
              </w:rPr>
            </w:pPr>
            <w:r>
              <w:rPr>
                <w:noProof/>
              </w:rPr>
              <w:t>19.8</w:t>
            </w:r>
          </w:p>
        </w:tc>
        <w:tc>
          <w:tcPr>
            <w:tcW w:w="1186" w:type="dxa"/>
            <w:shd w:val="clear" w:color="auto" w:fill="C4EFCE"/>
            <w:noWrap/>
            <w:vAlign w:val="center"/>
            <w:hideMark/>
          </w:tcPr>
          <w:p w14:paraId="2756D035" w14:textId="77777777"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hideMark/>
          </w:tcPr>
          <w:p w14:paraId="487E3F25"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2E4949A1" w14:textId="77777777" w:rsidR="00DC5EC6" w:rsidRDefault="003245A4">
            <w:pPr>
              <w:pStyle w:val="P68B1DB1-Normal8"/>
              <w:spacing w:after="0" w:line="240" w:lineRule="auto"/>
              <w:jc w:val="center"/>
              <w:rPr>
                <w:rFonts w:eastAsia="Times New Roman" w:cs="Calibri"/>
                <w:noProof/>
              </w:rPr>
            </w:pPr>
            <w:r>
              <w:rPr>
                <w:noProof/>
              </w:rPr>
              <w:t>A portugál kriptográfiai megoldás hatóságok általi elfogadása</w:t>
            </w:r>
          </w:p>
        </w:tc>
        <w:tc>
          <w:tcPr>
            <w:tcW w:w="1314" w:type="dxa"/>
            <w:shd w:val="clear" w:color="auto" w:fill="C4EFCE"/>
            <w:noWrap/>
            <w:vAlign w:val="center"/>
            <w:hideMark/>
          </w:tcPr>
          <w:p w14:paraId="4C9A8180" w14:textId="77777777" w:rsidR="00DC5EC6" w:rsidRDefault="003245A4">
            <w:pPr>
              <w:pStyle w:val="P68B1DB1-Normal8"/>
              <w:spacing w:after="0" w:line="240" w:lineRule="auto"/>
              <w:rPr>
                <w:rFonts w:eastAsia="Times New Roman" w:cs="Calibri"/>
                <w:noProof/>
              </w:rPr>
            </w:pPr>
            <w:r>
              <w:rPr>
                <w:noProof/>
              </w:rPr>
              <w:t> </w:t>
            </w:r>
          </w:p>
        </w:tc>
        <w:tc>
          <w:tcPr>
            <w:tcW w:w="1110" w:type="dxa"/>
            <w:shd w:val="clear" w:color="auto" w:fill="C4EFCE"/>
            <w:noWrap/>
            <w:vAlign w:val="center"/>
            <w:hideMark/>
          </w:tcPr>
          <w:p w14:paraId="5E66E76F"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2CC988A8"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4A8C6E1F" w14:textId="77777777" w:rsidR="00DC5EC6" w:rsidRDefault="003245A4">
            <w:pPr>
              <w:pStyle w:val="P68B1DB1-Normal8"/>
              <w:spacing w:after="0" w:line="240" w:lineRule="auto"/>
              <w:jc w:val="center"/>
              <w:rPr>
                <w:rFonts w:eastAsia="Times New Roman" w:cs="Calibri"/>
                <w:noProof/>
              </w:rPr>
            </w:pPr>
            <w:r>
              <w:rPr>
                <w:noProof/>
              </w:rPr>
              <w:t>150</w:t>
            </w:r>
          </w:p>
        </w:tc>
        <w:tc>
          <w:tcPr>
            <w:tcW w:w="542" w:type="dxa"/>
            <w:shd w:val="clear" w:color="auto" w:fill="C4EFCE"/>
            <w:noWrap/>
            <w:vAlign w:val="center"/>
            <w:hideMark/>
          </w:tcPr>
          <w:p w14:paraId="086973FB" w14:textId="204BE9A1"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0931A0E"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365B7BEE" w14:textId="77777777" w:rsidR="00DC5EC6" w:rsidRDefault="003245A4">
            <w:pPr>
              <w:pStyle w:val="P68B1DB1-Normal8"/>
              <w:spacing w:after="0" w:line="240" w:lineRule="auto"/>
              <w:jc w:val="both"/>
              <w:rPr>
                <w:rFonts w:eastAsia="Times New Roman" w:cs="Calibri"/>
                <w:noProof/>
              </w:rPr>
            </w:pPr>
            <w:r>
              <w:rPr>
                <w:noProof/>
              </w:rPr>
              <w:t>A jogszabályi követelményeknek megfelelő kriptográfiai berendezésekkel ellátott hatóságok száma [Reolução</w:t>
            </w:r>
            <w:r>
              <w:rPr>
                <w:i/>
                <w:noProof/>
              </w:rPr>
              <w:t>do Conselho de Ministros, n.° 16/96, de 22 de março – Instruções para a Segurança Nacional, Segurança das Telecomunicações (SEGNAC 3), Capítulo 3/A Miniszterek Tanácsának március 22-i</w:t>
            </w:r>
            <w:r>
              <w:rPr>
                <w:noProof/>
              </w:rPr>
              <w:t xml:space="preserve"> 16/96. sz. állásfoglalása – A nemzetbiztonsági és távközlési biztonsági utasítások (SEGNAC 3), 3. fejezet]. </w:t>
            </w:r>
          </w:p>
        </w:tc>
      </w:tr>
      <w:tr w:rsidR="00DC5EC6" w14:paraId="4FEFFAA1" w14:textId="77777777" w:rsidTr="00C009B1">
        <w:trPr>
          <w:trHeight w:val="1969"/>
        </w:trPr>
        <w:tc>
          <w:tcPr>
            <w:tcW w:w="1061" w:type="dxa"/>
            <w:shd w:val="clear" w:color="auto" w:fill="C4EFCE"/>
            <w:vAlign w:val="center"/>
          </w:tcPr>
          <w:p w14:paraId="3A68F726" w14:textId="59EE31D4" w:rsidR="00DC5EC6" w:rsidRDefault="003245A4">
            <w:pPr>
              <w:pStyle w:val="P68B1DB1-Normal7"/>
              <w:spacing w:after="0" w:line="240" w:lineRule="auto"/>
              <w:jc w:val="center"/>
              <w:rPr>
                <w:rFonts w:eastAsia="Times New Roman" w:cs="Calibri"/>
                <w:noProof/>
              </w:rPr>
            </w:pPr>
            <w:r>
              <w:rPr>
                <w:noProof/>
              </w:rPr>
              <w:t>19.9</w:t>
            </w:r>
          </w:p>
        </w:tc>
        <w:tc>
          <w:tcPr>
            <w:tcW w:w="1186" w:type="dxa"/>
            <w:shd w:val="clear" w:color="auto" w:fill="C4EFCE"/>
            <w:noWrap/>
            <w:vAlign w:val="center"/>
          </w:tcPr>
          <w:p w14:paraId="67DE3F13" w14:textId="744B2D80"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tcPr>
          <w:p w14:paraId="5426B223" w14:textId="1A66F3E2"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tcPr>
          <w:p w14:paraId="6B8CDAAE" w14:textId="05621BA1" w:rsidR="00DC5EC6" w:rsidRDefault="003245A4">
            <w:pPr>
              <w:pStyle w:val="P68B1DB1-Normal8"/>
              <w:spacing w:after="0" w:line="240" w:lineRule="auto"/>
              <w:jc w:val="center"/>
              <w:rPr>
                <w:rFonts w:eastAsia="Times New Roman" w:cs="Calibri"/>
                <w:noProof/>
              </w:rPr>
            </w:pPr>
            <w:r>
              <w:rPr>
                <w:noProof/>
              </w:rPr>
              <w:t>A nemzeti kiberbiztonsági keret végrehajtása</w:t>
            </w:r>
          </w:p>
        </w:tc>
        <w:tc>
          <w:tcPr>
            <w:tcW w:w="1314" w:type="dxa"/>
            <w:shd w:val="clear" w:color="auto" w:fill="C4EFCE"/>
            <w:noWrap/>
            <w:vAlign w:val="center"/>
          </w:tcPr>
          <w:p w14:paraId="15AE299E" w14:textId="77777777" w:rsidR="00DC5EC6" w:rsidRDefault="00DC5EC6">
            <w:pPr>
              <w:spacing w:after="0" w:line="240" w:lineRule="auto"/>
              <w:rPr>
                <w:rFonts w:ascii="Calibri" w:eastAsia="Times New Roman" w:hAnsi="Calibri" w:cs="Calibri"/>
                <w:noProof/>
                <w:sz w:val="16"/>
              </w:rPr>
            </w:pPr>
          </w:p>
        </w:tc>
        <w:tc>
          <w:tcPr>
            <w:tcW w:w="1110" w:type="dxa"/>
            <w:shd w:val="clear" w:color="auto" w:fill="C4EFCE"/>
            <w:noWrap/>
            <w:vAlign w:val="center"/>
          </w:tcPr>
          <w:p w14:paraId="557F5529" w14:textId="47FFDC85"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tcPr>
          <w:p w14:paraId="10F2D9AB" w14:textId="31D9A02A"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tcPr>
          <w:p w14:paraId="4F952B72" w14:textId="3DF121B4" w:rsidR="00DC5EC6" w:rsidRDefault="003245A4">
            <w:pPr>
              <w:pStyle w:val="P68B1DB1-Normal8"/>
              <w:spacing w:after="0" w:line="240" w:lineRule="auto"/>
              <w:jc w:val="center"/>
              <w:rPr>
                <w:rFonts w:eastAsia="Times New Roman" w:cs="Calibri"/>
                <w:noProof/>
              </w:rPr>
            </w:pPr>
            <w:r>
              <w:rPr>
                <w:noProof/>
              </w:rPr>
              <w:t>47</w:t>
            </w:r>
          </w:p>
        </w:tc>
        <w:tc>
          <w:tcPr>
            <w:tcW w:w="542" w:type="dxa"/>
            <w:shd w:val="clear" w:color="auto" w:fill="C4EFCE"/>
            <w:noWrap/>
            <w:vAlign w:val="center"/>
          </w:tcPr>
          <w:p w14:paraId="28B08257" w14:textId="2D94811E"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tcPr>
          <w:p w14:paraId="168519DA" w14:textId="5F4A2B04"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tcPr>
          <w:p w14:paraId="0B3D764C" w14:textId="37515DD9" w:rsidR="00DC5EC6" w:rsidRDefault="003245A4">
            <w:pPr>
              <w:pStyle w:val="P68B1DB1-Normal8"/>
              <w:spacing w:after="0" w:line="240" w:lineRule="auto"/>
              <w:jc w:val="both"/>
              <w:rPr>
                <w:rFonts w:eastAsia="Times New Roman" w:cs="Calibri"/>
                <w:noProof/>
              </w:rPr>
            </w:pPr>
            <w:r>
              <w:rPr>
                <w:noProof/>
              </w:rPr>
              <w:t>A nemzeti kiberbiztonsági keret hatálya alá tartozó új közigazgatási szervezetek száma (lásd a TD-r34 reformot). Ezeknek a szervezeteknek kiberbiztonsági mutatókat kell kidolgozniuk, végre kell hajtaniuk a nemzeti és uniós kiberbiztonsági szabályozási keretet, többek között megfelelőségértékelő szervezetek és új ellenőrök révén, valamint a tudás- és információbiztonságra vonatkozó együttműködésen alapuló és információmegosztási irányítási modell meghatározása és nyomon követése révén.</w:t>
            </w:r>
          </w:p>
        </w:tc>
      </w:tr>
      <w:tr w:rsidR="00DC5EC6" w14:paraId="2F6B4CDF" w14:textId="77777777" w:rsidTr="00C009B1">
        <w:trPr>
          <w:trHeight w:val="430"/>
        </w:trPr>
        <w:tc>
          <w:tcPr>
            <w:tcW w:w="1061" w:type="dxa"/>
            <w:shd w:val="clear" w:color="auto" w:fill="C4EFCE"/>
            <w:vAlign w:val="center"/>
            <w:hideMark/>
          </w:tcPr>
          <w:p w14:paraId="312AB79F" w14:textId="77777777" w:rsidR="00DC5EC6" w:rsidRDefault="003245A4">
            <w:pPr>
              <w:pStyle w:val="P68B1DB1-Normal7"/>
              <w:spacing w:after="0" w:line="240" w:lineRule="auto"/>
              <w:jc w:val="center"/>
              <w:rPr>
                <w:rFonts w:eastAsia="Times New Roman" w:cs="Calibri"/>
                <w:noProof/>
              </w:rPr>
            </w:pPr>
            <w:r>
              <w:rPr>
                <w:noProof/>
              </w:rPr>
              <w:t>19.10</w:t>
            </w:r>
          </w:p>
        </w:tc>
        <w:tc>
          <w:tcPr>
            <w:tcW w:w="1186" w:type="dxa"/>
            <w:shd w:val="clear" w:color="auto" w:fill="C4EFCE"/>
            <w:noWrap/>
            <w:vAlign w:val="center"/>
            <w:hideMark/>
          </w:tcPr>
          <w:p w14:paraId="4ED32827" w14:textId="77777777" w:rsidR="00DC5EC6" w:rsidRDefault="003245A4">
            <w:pPr>
              <w:pStyle w:val="P68B1DB1-Normal8"/>
              <w:spacing w:after="0" w:line="240" w:lineRule="auto"/>
              <w:jc w:val="center"/>
              <w:rPr>
                <w:rFonts w:eastAsia="Times New Roman" w:cs="Calibri"/>
                <w:noProof/>
              </w:rPr>
            </w:pPr>
            <w:r>
              <w:rPr>
                <w:noProof/>
              </w:rPr>
              <w:t>TD-C19-i03</w:t>
            </w:r>
          </w:p>
        </w:tc>
        <w:tc>
          <w:tcPr>
            <w:tcW w:w="1058" w:type="dxa"/>
            <w:shd w:val="clear" w:color="auto" w:fill="C4EFCE"/>
            <w:noWrap/>
            <w:vAlign w:val="center"/>
            <w:hideMark/>
          </w:tcPr>
          <w:p w14:paraId="15B82E65"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55D8A471" w14:textId="77777777" w:rsidR="00DC5EC6" w:rsidRDefault="003245A4">
            <w:pPr>
              <w:pStyle w:val="P68B1DB1-Normal8"/>
              <w:spacing w:after="0" w:line="240" w:lineRule="auto"/>
              <w:jc w:val="center"/>
              <w:rPr>
                <w:rFonts w:eastAsia="Times New Roman" w:cs="Calibri"/>
                <w:noProof/>
              </w:rPr>
            </w:pPr>
            <w:r>
              <w:rPr>
                <w:noProof/>
              </w:rPr>
              <w:t>A kiberbiztonsági és információbiztonsági hatóságok építésének befejezése</w:t>
            </w:r>
          </w:p>
        </w:tc>
        <w:tc>
          <w:tcPr>
            <w:tcW w:w="1314" w:type="dxa"/>
            <w:shd w:val="clear" w:color="auto" w:fill="C4EFCE"/>
            <w:noWrap/>
            <w:vAlign w:val="center"/>
            <w:hideMark/>
          </w:tcPr>
          <w:p w14:paraId="73297563" w14:textId="77777777" w:rsidR="00DC5EC6" w:rsidRDefault="003245A4">
            <w:pPr>
              <w:pStyle w:val="P68B1DB1-Normal8"/>
              <w:spacing w:after="0" w:line="240" w:lineRule="auto"/>
              <w:jc w:val="center"/>
              <w:rPr>
                <w:rFonts w:eastAsia="Times New Roman" w:cs="Calibri"/>
                <w:noProof/>
              </w:rPr>
            </w:pPr>
            <w:r>
              <w:rPr>
                <w:noProof/>
              </w:rPr>
              <w:t xml:space="preserve">A kiberbiztonsági és információbiztonsági hatóságok építésének befejezése </w:t>
            </w:r>
          </w:p>
        </w:tc>
        <w:tc>
          <w:tcPr>
            <w:tcW w:w="1110" w:type="dxa"/>
            <w:shd w:val="clear" w:color="auto" w:fill="C4EFCE"/>
            <w:noWrap/>
            <w:vAlign w:val="center"/>
            <w:hideMark/>
          </w:tcPr>
          <w:p w14:paraId="18895E37"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928" w:type="dxa"/>
            <w:shd w:val="clear" w:color="auto" w:fill="C4EFCE"/>
            <w:noWrap/>
            <w:vAlign w:val="center"/>
            <w:hideMark/>
          </w:tcPr>
          <w:p w14:paraId="68F01236"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670" w:type="dxa"/>
            <w:shd w:val="clear" w:color="auto" w:fill="C4EFCE"/>
            <w:noWrap/>
            <w:vAlign w:val="center"/>
            <w:hideMark/>
          </w:tcPr>
          <w:p w14:paraId="5CF77E3A" w14:textId="77777777" w:rsidR="00DC5EC6" w:rsidRDefault="003245A4">
            <w:pPr>
              <w:pStyle w:val="P68B1DB1-Normal8"/>
              <w:spacing w:after="0" w:line="240" w:lineRule="auto"/>
              <w:jc w:val="center"/>
              <w:rPr>
                <w:rFonts w:eastAsia="Times New Roman" w:cs="Calibri"/>
                <w:noProof/>
              </w:rPr>
            </w:pPr>
            <w:r>
              <w:rPr>
                <w:noProof/>
              </w:rPr>
              <w:t xml:space="preserve"> </w:t>
            </w:r>
          </w:p>
        </w:tc>
        <w:tc>
          <w:tcPr>
            <w:tcW w:w="542" w:type="dxa"/>
            <w:shd w:val="clear" w:color="auto" w:fill="C4EFCE"/>
            <w:noWrap/>
            <w:vAlign w:val="center"/>
            <w:hideMark/>
          </w:tcPr>
          <w:p w14:paraId="1DB26465" w14:textId="2E1D53B0"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FC22AB1"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36ECA463" w14:textId="77777777" w:rsidR="00DC5EC6" w:rsidRDefault="003245A4">
            <w:pPr>
              <w:pStyle w:val="P68B1DB1-Normal8"/>
              <w:spacing w:after="0" w:line="240" w:lineRule="auto"/>
              <w:jc w:val="both"/>
              <w:rPr>
                <w:rFonts w:eastAsia="Times New Roman" w:cs="Calibri"/>
                <w:noProof/>
              </w:rPr>
            </w:pPr>
            <w:r>
              <w:rPr>
                <w:noProof/>
              </w:rPr>
              <w:t>A három kiberbiztonsági és információbiztonsági hatóság építéséhez szükséges megfelelő technológiai és biztonsági feltételekkel rendelkező építési munkálatok és berendezések telepítésének befejezése.</w:t>
            </w:r>
          </w:p>
        </w:tc>
      </w:tr>
      <w:tr w:rsidR="00C009B1" w14:paraId="3DC45753" w14:textId="77777777" w:rsidTr="00C009B1">
        <w:trPr>
          <w:trHeight w:val="430"/>
        </w:trPr>
        <w:tc>
          <w:tcPr>
            <w:tcW w:w="1061" w:type="dxa"/>
            <w:shd w:val="clear" w:color="auto" w:fill="C4EFCE"/>
            <w:vAlign w:val="center"/>
            <w:hideMark/>
          </w:tcPr>
          <w:p w14:paraId="4270D7DC" w14:textId="77777777" w:rsidR="00C009B1" w:rsidRDefault="00C009B1" w:rsidP="00C009B1">
            <w:pPr>
              <w:pStyle w:val="P68B1DB1-Normal7"/>
              <w:spacing w:after="0" w:line="240" w:lineRule="auto"/>
              <w:jc w:val="center"/>
              <w:rPr>
                <w:rFonts w:eastAsia="Times New Roman" w:cs="Calibri"/>
                <w:noProof/>
              </w:rPr>
            </w:pPr>
            <w:r>
              <w:rPr>
                <w:noProof/>
              </w:rPr>
              <w:t>19.11</w:t>
            </w:r>
          </w:p>
        </w:tc>
        <w:tc>
          <w:tcPr>
            <w:tcW w:w="1186" w:type="dxa"/>
            <w:shd w:val="clear" w:color="auto" w:fill="C4EFCE"/>
            <w:noWrap/>
            <w:vAlign w:val="center"/>
            <w:hideMark/>
          </w:tcPr>
          <w:p w14:paraId="7E15EC62" w14:textId="77777777" w:rsidR="00C009B1" w:rsidRDefault="00C009B1" w:rsidP="00C009B1">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2A1A6729" w14:textId="77777777" w:rsidR="00C009B1" w:rsidRDefault="00C009B1" w:rsidP="00C009B1">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51F4579A" w14:textId="77777777" w:rsidR="00C009B1" w:rsidRDefault="00C009B1" w:rsidP="00C009B1">
            <w:pPr>
              <w:pStyle w:val="P68B1DB1-Normal8"/>
              <w:spacing w:after="0" w:line="240" w:lineRule="auto"/>
              <w:jc w:val="center"/>
              <w:rPr>
                <w:rFonts w:eastAsia="Times New Roman" w:cs="Calibri"/>
                <w:noProof/>
              </w:rPr>
            </w:pPr>
            <w:r>
              <w:rPr>
                <w:noProof/>
              </w:rPr>
              <w:t>Biztonságos mobilhírközlési rendszer a kormányzati alkalmazottak számára</w:t>
            </w:r>
          </w:p>
        </w:tc>
        <w:tc>
          <w:tcPr>
            <w:tcW w:w="1314" w:type="dxa"/>
            <w:shd w:val="clear" w:color="auto" w:fill="C4EFCE"/>
            <w:noWrap/>
            <w:vAlign w:val="center"/>
            <w:hideMark/>
          </w:tcPr>
          <w:p w14:paraId="25D1824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717F43F1" w14:textId="77777777" w:rsidR="00C009B1" w:rsidRDefault="00C009B1" w:rsidP="00C009B1">
            <w:pPr>
              <w:pStyle w:val="P68B1DB1-Normal8"/>
              <w:spacing w:after="0" w:line="240" w:lineRule="auto"/>
              <w:jc w:val="center"/>
              <w:rPr>
                <w:rFonts w:eastAsia="Times New Roman" w:cs="Calibri"/>
                <w:noProof/>
              </w:rPr>
            </w:pPr>
            <w:r>
              <w:rPr>
                <w:noProof/>
              </w:rPr>
              <w:t>%</w:t>
            </w:r>
          </w:p>
        </w:tc>
        <w:tc>
          <w:tcPr>
            <w:tcW w:w="928" w:type="dxa"/>
            <w:shd w:val="clear" w:color="auto" w:fill="C4EFCE"/>
            <w:noWrap/>
            <w:vAlign w:val="center"/>
            <w:hideMark/>
          </w:tcPr>
          <w:p w14:paraId="3A5E5B34" w14:textId="77777777" w:rsidR="00C009B1" w:rsidRDefault="00C009B1" w:rsidP="00C009B1">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50DDAE09" w14:textId="77777777" w:rsidR="00C009B1" w:rsidRDefault="00C009B1" w:rsidP="00C009B1">
            <w:pPr>
              <w:pStyle w:val="P68B1DB1-Normal8"/>
              <w:spacing w:after="0" w:line="240" w:lineRule="auto"/>
              <w:jc w:val="center"/>
              <w:rPr>
                <w:rFonts w:eastAsia="Times New Roman" w:cs="Calibri"/>
                <w:noProof/>
              </w:rPr>
            </w:pPr>
            <w:r>
              <w:rPr>
                <w:noProof/>
              </w:rPr>
              <w:t>95</w:t>
            </w:r>
          </w:p>
        </w:tc>
        <w:tc>
          <w:tcPr>
            <w:tcW w:w="542" w:type="dxa"/>
            <w:shd w:val="clear" w:color="auto" w:fill="C4EFCE"/>
            <w:noWrap/>
            <w:vAlign w:val="center"/>
            <w:hideMark/>
          </w:tcPr>
          <w:p w14:paraId="636A686F" w14:textId="4464BD34"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04354A03" w14:textId="77777777" w:rsidR="00C009B1" w:rsidRDefault="00C009B1" w:rsidP="00C009B1">
            <w:pPr>
              <w:pStyle w:val="P68B1DB1-Normal8"/>
              <w:spacing w:after="0" w:line="240" w:lineRule="auto"/>
              <w:jc w:val="center"/>
              <w:rPr>
                <w:rFonts w:eastAsia="Times New Roman" w:cs="Calibri"/>
                <w:noProof/>
              </w:rPr>
            </w:pPr>
            <w:r>
              <w:rPr>
                <w:noProof/>
              </w:rPr>
              <w:t>2022</w:t>
            </w:r>
          </w:p>
        </w:tc>
        <w:tc>
          <w:tcPr>
            <w:tcW w:w="4347" w:type="dxa"/>
            <w:shd w:val="clear" w:color="auto" w:fill="C4EFCE"/>
            <w:vAlign w:val="center"/>
            <w:hideMark/>
          </w:tcPr>
          <w:p w14:paraId="0B6506D9" w14:textId="77777777" w:rsidR="00C009B1" w:rsidRDefault="00C009B1" w:rsidP="00C009B1">
            <w:pPr>
              <w:pStyle w:val="P68B1DB1-Normal8"/>
              <w:spacing w:after="0" w:line="240" w:lineRule="auto"/>
              <w:jc w:val="both"/>
              <w:rPr>
                <w:rFonts w:eastAsia="Times New Roman" w:cs="Calibri"/>
                <w:noProof/>
              </w:rPr>
            </w:pPr>
            <w:r>
              <w:rPr>
                <w:noProof/>
              </w:rPr>
              <w:t>A biztonságos hang-, üzenetküldő és videokommunikációs rendszerhez hozzáféréssel rendelkező kormányzati alkalmazottak százalékos aránya.</w:t>
            </w:r>
          </w:p>
        </w:tc>
      </w:tr>
      <w:tr w:rsidR="00DC5EC6" w14:paraId="3CA6562D" w14:textId="77777777" w:rsidTr="00C009B1">
        <w:trPr>
          <w:trHeight w:val="290"/>
        </w:trPr>
        <w:tc>
          <w:tcPr>
            <w:tcW w:w="1061" w:type="dxa"/>
            <w:shd w:val="clear" w:color="auto" w:fill="C4EFCE"/>
            <w:vAlign w:val="center"/>
            <w:hideMark/>
          </w:tcPr>
          <w:p w14:paraId="3056D03D" w14:textId="77777777" w:rsidR="00DC5EC6" w:rsidRDefault="003245A4">
            <w:pPr>
              <w:pStyle w:val="P68B1DB1-Normal7"/>
              <w:spacing w:after="0" w:line="240" w:lineRule="auto"/>
              <w:jc w:val="center"/>
              <w:rPr>
                <w:rFonts w:eastAsia="Times New Roman" w:cs="Calibri"/>
                <w:noProof/>
              </w:rPr>
            </w:pPr>
            <w:r>
              <w:rPr>
                <w:noProof/>
              </w:rPr>
              <w:t>19.12</w:t>
            </w:r>
          </w:p>
        </w:tc>
        <w:tc>
          <w:tcPr>
            <w:tcW w:w="1186" w:type="dxa"/>
            <w:shd w:val="clear" w:color="auto" w:fill="C4EFCE"/>
            <w:noWrap/>
            <w:vAlign w:val="center"/>
            <w:hideMark/>
          </w:tcPr>
          <w:p w14:paraId="0D7F79C6" w14:textId="77777777" w:rsidR="00DC5EC6" w:rsidRDefault="003245A4">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6E6F4A96"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3E8D5C65" w14:textId="77777777" w:rsidR="00DC5EC6" w:rsidRDefault="003245A4">
            <w:pPr>
              <w:pStyle w:val="P68B1DB1-Normal8"/>
              <w:spacing w:after="0" w:line="240" w:lineRule="auto"/>
              <w:jc w:val="center"/>
              <w:rPr>
                <w:rFonts w:eastAsia="Times New Roman" w:cs="Calibri"/>
                <w:noProof/>
              </w:rPr>
            </w:pPr>
            <w:r>
              <w:rPr>
                <w:noProof/>
              </w:rPr>
              <w:t xml:space="preserve">A kritikus digitális infrastruktúrák korszerűsítésének befejezése </w:t>
            </w:r>
          </w:p>
        </w:tc>
        <w:tc>
          <w:tcPr>
            <w:tcW w:w="1314" w:type="dxa"/>
            <w:shd w:val="clear" w:color="auto" w:fill="C4EFCE"/>
            <w:noWrap/>
            <w:vAlign w:val="center"/>
            <w:hideMark/>
          </w:tcPr>
          <w:p w14:paraId="501E6AED" w14:textId="77777777" w:rsidR="00DC5EC6" w:rsidRDefault="003245A4">
            <w:pPr>
              <w:pStyle w:val="P68B1DB1-Normal8"/>
              <w:spacing w:after="0" w:line="240" w:lineRule="auto"/>
              <w:jc w:val="center"/>
              <w:rPr>
                <w:rFonts w:eastAsia="Times New Roman" w:cs="Calibri"/>
                <w:noProof/>
              </w:rPr>
            </w:pPr>
            <w:r>
              <w:rPr>
                <w:noProof/>
              </w:rPr>
              <w:t>A nemzeti belső biztonsági hálózat és a vészhelyzeti állami kommunikációs hálózat korszerűsítésének befejezése</w:t>
            </w:r>
          </w:p>
        </w:tc>
        <w:tc>
          <w:tcPr>
            <w:tcW w:w="1110" w:type="dxa"/>
            <w:shd w:val="clear" w:color="auto" w:fill="C4EFCE"/>
            <w:noWrap/>
            <w:vAlign w:val="center"/>
            <w:hideMark/>
          </w:tcPr>
          <w:p w14:paraId="39F8F6F1" w14:textId="77777777" w:rsidR="00DC5EC6" w:rsidRDefault="003245A4">
            <w:pPr>
              <w:pStyle w:val="P68B1DB1-Normal8"/>
              <w:spacing w:after="0" w:line="240" w:lineRule="auto"/>
              <w:rPr>
                <w:rFonts w:eastAsia="Times New Roman" w:cs="Calibri"/>
                <w:noProof/>
              </w:rPr>
            </w:pPr>
            <w:r>
              <w:rPr>
                <w:noProof/>
              </w:rPr>
              <w:t> </w:t>
            </w:r>
          </w:p>
        </w:tc>
        <w:tc>
          <w:tcPr>
            <w:tcW w:w="928" w:type="dxa"/>
            <w:shd w:val="clear" w:color="auto" w:fill="C4EFCE"/>
            <w:noWrap/>
            <w:vAlign w:val="center"/>
            <w:hideMark/>
          </w:tcPr>
          <w:p w14:paraId="1F264429" w14:textId="77777777" w:rsidR="00DC5EC6" w:rsidRDefault="003245A4">
            <w:pPr>
              <w:pStyle w:val="P68B1DB1-Normal8"/>
              <w:spacing w:after="0" w:line="240" w:lineRule="auto"/>
              <w:rPr>
                <w:rFonts w:eastAsia="Times New Roman" w:cs="Calibri"/>
                <w:noProof/>
              </w:rPr>
            </w:pPr>
            <w:r>
              <w:rPr>
                <w:noProof/>
              </w:rPr>
              <w:t> </w:t>
            </w:r>
          </w:p>
        </w:tc>
        <w:tc>
          <w:tcPr>
            <w:tcW w:w="670" w:type="dxa"/>
            <w:shd w:val="clear" w:color="auto" w:fill="C4EFCE"/>
            <w:noWrap/>
            <w:vAlign w:val="center"/>
            <w:hideMark/>
          </w:tcPr>
          <w:p w14:paraId="1A118CBF" w14:textId="77777777" w:rsidR="00DC5EC6" w:rsidRDefault="003245A4">
            <w:pPr>
              <w:pStyle w:val="P68B1DB1-Normal8"/>
              <w:spacing w:after="0" w:line="240" w:lineRule="auto"/>
              <w:rPr>
                <w:rFonts w:eastAsia="Times New Roman" w:cs="Calibri"/>
                <w:noProof/>
              </w:rPr>
            </w:pPr>
            <w:r>
              <w:rPr>
                <w:noProof/>
              </w:rPr>
              <w:t> </w:t>
            </w:r>
          </w:p>
        </w:tc>
        <w:tc>
          <w:tcPr>
            <w:tcW w:w="542" w:type="dxa"/>
            <w:shd w:val="clear" w:color="auto" w:fill="C4EFCE"/>
            <w:noWrap/>
            <w:vAlign w:val="center"/>
            <w:hideMark/>
          </w:tcPr>
          <w:p w14:paraId="2E51498A" w14:textId="12AC29CA"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7F7EF7EA" w14:textId="0D64379A" w:rsidR="00DC5EC6" w:rsidRDefault="003245A4">
            <w:pPr>
              <w:pStyle w:val="P68B1DB1-Normal8"/>
              <w:spacing w:after="0" w:line="240" w:lineRule="auto"/>
              <w:jc w:val="right"/>
              <w:rPr>
                <w:rFonts w:eastAsia="Times New Roman" w:cs="Calibri"/>
                <w:noProof/>
              </w:rPr>
            </w:pPr>
            <w:r>
              <w:rPr>
                <w:noProof/>
              </w:rPr>
              <w:t>2024</w:t>
            </w:r>
          </w:p>
        </w:tc>
        <w:tc>
          <w:tcPr>
            <w:tcW w:w="4347" w:type="dxa"/>
            <w:shd w:val="clear" w:color="auto" w:fill="C4EFCE"/>
            <w:hideMark/>
          </w:tcPr>
          <w:p w14:paraId="4312DD38" w14:textId="77777777" w:rsidR="00DC5EC6" w:rsidRDefault="003245A4">
            <w:pPr>
              <w:pStyle w:val="P68B1DB1-Normal8"/>
              <w:spacing w:after="0" w:line="240" w:lineRule="auto"/>
              <w:jc w:val="both"/>
              <w:rPr>
                <w:rFonts w:eastAsia="Calibri" w:cs="Calibri"/>
                <w:noProof/>
              </w:rPr>
            </w:pPr>
            <w:r>
              <w:rPr>
                <w:noProof/>
              </w:rPr>
              <w:t xml:space="preserve">A kritikus digitális infrastruktúrák korszerűsítésének befejezése: a nemzeti belső biztonsági hálózaton belüli további kapacitások megvalósításának 60%-a, beleértve a magas szintű adatfeldolgozási kapacitást, a rezilienciát és a biztonságot: </w:t>
            </w:r>
          </w:p>
          <w:p w14:paraId="44F9C278" w14:textId="4B066DDA" w:rsidR="00DC5EC6" w:rsidRDefault="003245A4">
            <w:pPr>
              <w:pStyle w:val="P68B1DB1-Normal8"/>
              <w:spacing w:after="0" w:line="240" w:lineRule="auto"/>
              <w:jc w:val="both"/>
              <w:rPr>
                <w:rFonts w:eastAsia="Times New Roman" w:cs="Calibri"/>
                <w:noProof/>
              </w:rPr>
            </w:pPr>
            <w:r>
              <w:rPr>
                <w:noProof/>
              </w:rPr>
              <w:t>az állami veszélyhelyzeti hálózat teljes területi lefedettsége, kapacitása és létszámcsökkentése végrehajtásának 55%-a</w:t>
            </w:r>
          </w:p>
        </w:tc>
      </w:tr>
      <w:tr w:rsidR="00CF0219" w14:paraId="3F8BAA6B" w14:textId="77777777" w:rsidTr="00C009B1">
        <w:trPr>
          <w:trHeight w:val="290"/>
        </w:trPr>
        <w:tc>
          <w:tcPr>
            <w:tcW w:w="1061" w:type="dxa"/>
            <w:shd w:val="clear" w:color="auto" w:fill="C4EFCE"/>
            <w:vAlign w:val="center"/>
            <w:hideMark/>
          </w:tcPr>
          <w:p w14:paraId="60B7CB28" w14:textId="77777777" w:rsidR="00CF0219" w:rsidRDefault="00CF0219" w:rsidP="00CF0219">
            <w:pPr>
              <w:pStyle w:val="P68B1DB1-Normal7"/>
              <w:spacing w:after="0" w:line="240" w:lineRule="auto"/>
              <w:jc w:val="center"/>
              <w:rPr>
                <w:rFonts w:eastAsia="Times New Roman" w:cs="Calibri"/>
                <w:noProof/>
              </w:rPr>
            </w:pPr>
            <w:r>
              <w:rPr>
                <w:noProof/>
              </w:rPr>
              <w:t>19.13</w:t>
            </w:r>
          </w:p>
        </w:tc>
        <w:tc>
          <w:tcPr>
            <w:tcW w:w="1186" w:type="dxa"/>
            <w:shd w:val="clear" w:color="auto" w:fill="C4EFCE"/>
            <w:noWrap/>
            <w:vAlign w:val="center"/>
            <w:hideMark/>
          </w:tcPr>
          <w:p w14:paraId="05F9B74B" w14:textId="77777777" w:rsidR="00CF0219" w:rsidRDefault="00CF0219" w:rsidP="00CF0219">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57F97217" w14:textId="77777777"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179ABEE4" w14:textId="77777777" w:rsidR="00CF0219" w:rsidRDefault="00CF0219" w:rsidP="00CF0219">
            <w:pPr>
              <w:pStyle w:val="P68B1DB1-Normal8"/>
              <w:spacing w:after="0" w:line="240" w:lineRule="auto"/>
              <w:jc w:val="center"/>
              <w:rPr>
                <w:rFonts w:eastAsia="Times New Roman" w:cs="Calibri"/>
                <w:noProof/>
              </w:rPr>
            </w:pPr>
            <w:r>
              <w:rPr>
                <w:noProof/>
              </w:rPr>
              <w:t xml:space="preserve">A kritikus digitális infrastruktúrák korszerűsítésének befejezése </w:t>
            </w:r>
          </w:p>
        </w:tc>
        <w:tc>
          <w:tcPr>
            <w:tcW w:w="1314" w:type="dxa"/>
            <w:shd w:val="clear" w:color="auto" w:fill="C4EFCE"/>
            <w:noWrap/>
            <w:vAlign w:val="center"/>
            <w:hideMark/>
          </w:tcPr>
          <w:p w14:paraId="2699DED6" w14:textId="77777777" w:rsidR="00CF0219" w:rsidRDefault="00CF0219" w:rsidP="00CF0219">
            <w:pPr>
              <w:pStyle w:val="P68B1DB1-Normal8"/>
              <w:spacing w:after="0" w:line="240" w:lineRule="auto"/>
              <w:jc w:val="center"/>
              <w:rPr>
                <w:rFonts w:eastAsia="Times New Roman" w:cs="Calibri"/>
                <w:noProof/>
              </w:rPr>
            </w:pPr>
            <w:r>
              <w:rPr>
                <w:noProof/>
              </w:rPr>
              <w:t>A nemzeti belső biztonsági hálózat és a vészhelyzeti állami kommunikációs hálózat korszerűsítésének befejezése</w:t>
            </w:r>
          </w:p>
        </w:tc>
        <w:tc>
          <w:tcPr>
            <w:tcW w:w="1110" w:type="dxa"/>
            <w:shd w:val="clear" w:color="auto" w:fill="C4EFCE"/>
            <w:noWrap/>
            <w:vAlign w:val="center"/>
            <w:hideMark/>
          </w:tcPr>
          <w:p w14:paraId="78067F72" w14:textId="77777777" w:rsidR="00CF0219" w:rsidRDefault="00CF0219" w:rsidP="00CF0219">
            <w:pPr>
              <w:pStyle w:val="P68B1DB1-Normal8"/>
              <w:spacing w:after="0" w:line="240" w:lineRule="auto"/>
              <w:rPr>
                <w:rFonts w:eastAsia="Times New Roman" w:cs="Calibri"/>
                <w:noProof/>
              </w:rPr>
            </w:pPr>
            <w:r>
              <w:rPr>
                <w:noProof/>
              </w:rPr>
              <w:t> </w:t>
            </w:r>
          </w:p>
        </w:tc>
        <w:tc>
          <w:tcPr>
            <w:tcW w:w="928" w:type="dxa"/>
            <w:shd w:val="clear" w:color="auto" w:fill="C4EFCE"/>
            <w:noWrap/>
            <w:vAlign w:val="center"/>
            <w:hideMark/>
          </w:tcPr>
          <w:p w14:paraId="2C543219" w14:textId="77777777" w:rsidR="00CF0219" w:rsidRDefault="00CF0219" w:rsidP="00CF0219">
            <w:pPr>
              <w:pStyle w:val="P68B1DB1-Normal8"/>
              <w:spacing w:after="0" w:line="240" w:lineRule="auto"/>
              <w:rPr>
                <w:rFonts w:eastAsia="Times New Roman" w:cs="Calibri"/>
                <w:noProof/>
              </w:rPr>
            </w:pPr>
            <w:r>
              <w:rPr>
                <w:noProof/>
              </w:rPr>
              <w:t> </w:t>
            </w:r>
          </w:p>
        </w:tc>
        <w:tc>
          <w:tcPr>
            <w:tcW w:w="670" w:type="dxa"/>
            <w:shd w:val="clear" w:color="auto" w:fill="C4EFCE"/>
            <w:noWrap/>
            <w:vAlign w:val="center"/>
            <w:hideMark/>
          </w:tcPr>
          <w:p w14:paraId="3512C253" w14:textId="77777777" w:rsidR="00CF0219" w:rsidRDefault="00CF0219" w:rsidP="00CF0219">
            <w:pPr>
              <w:pStyle w:val="P68B1DB1-Normal8"/>
              <w:spacing w:after="0" w:line="240" w:lineRule="auto"/>
              <w:rPr>
                <w:rFonts w:eastAsia="Times New Roman" w:cs="Calibri"/>
                <w:noProof/>
              </w:rPr>
            </w:pPr>
            <w:r>
              <w:rPr>
                <w:noProof/>
              </w:rPr>
              <w:t> </w:t>
            </w:r>
          </w:p>
        </w:tc>
        <w:tc>
          <w:tcPr>
            <w:tcW w:w="542" w:type="dxa"/>
            <w:shd w:val="clear" w:color="auto" w:fill="C4EFCE"/>
            <w:noWrap/>
            <w:vAlign w:val="center"/>
            <w:hideMark/>
          </w:tcPr>
          <w:p w14:paraId="2BB5AA71" w14:textId="5C807164"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7358850B" w14:textId="77777777" w:rsidR="00CF0219" w:rsidRDefault="00CF0219" w:rsidP="00CF0219">
            <w:pPr>
              <w:pStyle w:val="P68B1DB1-Normal8"/>
              <w:spacing w:after="0" w:line="240" w:lineRule="auto"/>
              <w:jc w:val="right"/>
              <w:rPr>
                <w:rFonts w:eastAsia="Times New Roman" w:cs="Calibri"/>
                <w:noProof/>
              </w:rPr>
            </w:pPr>
            <w:r>
              <w:rPr>
                <w:noProof/>
              </w:rPr>
              <w:t>2025</w:t>
            </w:r>
          </w:p>
        </w:tc>
        <w:tc>
          <w:tcPr>
            <w:tcW w:w="4347" w:type="dxa"/>
            <w:shd w:val="clear" w:color="auto" w:fill="C4EFCE"/>
            <w:vAlign w:val="center"/>
            <w:hideMark/>
          </w:tcPr>
          <w:p w14:paraId="3FAC7FB6" w14:textId="77777777" w:rsidR="00CF0219" w:rsidRDefault="00CF0219" w:rsidP="00CF0219">
            <w:pPr>
              <w:pStyle w:val="P68B1DB1-Normal8"/>
              <w:spacing w:after="0" w:line="240" w:lineRule="auto"/>
              <w:jc w:val="both"/>
              <w:rPr>
                <w:rFonts w:eastAsia="Calibri" w:cs="Calibri"/>
                <w:noProof/>
              </w:rPr>
            </w:pPr>
            <w:r>
              <w:rPr>
                <w:noProof/>
              </w:rPr>
              <w:t xml:space="preserve">A kritikus digitális infrastruktúrák korszerűsítésének befejezése: további kapacitás működésbe lépése a nemzeti belső biztonsági hálózaton belül, beleértve a magas adatfeldolgozási kapacitást, a rezilienciát és a biztonságot: </w:t>
            </w:r>
          </w:p>
          <w:p w14:paraId="4A3AF4F0" w14:textId="77777777" w:rsidR="00CF0219" w:rsidRDefault="00CF0219" w:rsidP="00CF0219">
            <w:pPr>
              <w:pStyle w:val="P68B1DB1-Normal8"/>
              <w:spacing w:after="0" w:line="240" w:lineRule="auto"/>
              <w:jc w:val="both"/>
              <w:rPr>
                <w:rFonts w:eastAsia="Calibri" w:cs="Calibri"/>
                <w:noProof/>
              </w:rPr>
            </w:pPr>
            <w:r>
              <w:rPr>
                <w:noProof/>
              </w:rPr>
              <w:t xml:space="preserve">intelligens automatizálásra és kifinomultságra képes új technológiai architektúrák, rendszerek és eszközök bevezetése </w:t>
            </w:r>
          </w:p>
          <w:p w14:paraId="25F4E897" w14:textId="455BEF95" w:rsidR="00CF0219" w:rsidRDefault="00CF0219" w:rsidP="00CF0219">
            <w:pPr>
              <w:pStyle w:val="P68B1DB1-Normal8"/>
              <w:spacing w:after="0" w:line="240" w:lineRule="auto"/>
              <w:jc w:val="both"/>
              <w:rPr>
                <w:rFonts w:eastAsia="Times New Roman" w:cs="Calibri"/>
                <w:noProof/>
              </w:rPr>
            </w:pPr>
            <w:r>
              <w:rPr>
                <w:noProof/>
              </w:rPr>
              <w:t>állami kommunikációs veszélyhelyzeti hálózat: a teljes területi lefedettség elérése és kapacitásának javítása, valamint elbocsátások</w:t>
            </w:r>
          </w:p>
        </w:tc>
      </w:tr>
      <w:tr w:rsidR="00CF0219" w14:paraId="0A8D9375" w14:textId="77777777" w:rsidTr="00C009B1">
        <w:trPr>
          <w:trHeight w:val="290"/>
        </w:trPr>
        <w:tc>
          <w:tcPr>
            <w:tcW w:w="1061" w:type="dxa"/>
            <w:shd w:val="clear" w:color="auto" w:fill="C4EFCE"/>
            <w:vAlign w:val="center"/>
            <w:hideMark/>
          </w:tcPr>
          <w:p w14:paraId="59CF7E22" w14:textId="77777777" w:rsidR="00CF0219" w:rsidRDefault="00CF0219" w:rsidP="00CF0219">
            <w:pPr>
              <w:pStyle w:val="P68B1DB1-Normal7"/>
              <w:spacing w:after="0" w:line="240" w:lineRule="auto"/>
              <w:jc w:val="center"/>
              <w:rPr>
                <w:rFonts w:eastAsia="Times New Roman" w:cs="Calibri"/>
                <w:noProof/>
              </w:rPr>
            </w:pPr>
            <w:r>
              <w:rPr>
                <w:noProof/>
              </w:rPr>
              <w:t>19.14</w:t>
            </w:r>
          </w:p>
        </w:tc>
        <w:tc>
          <w:tcPr>
            <w:tcW w:w="1186" w:type="dxa"/>
            <w:shd w:val="clear" w:color="auto" w:fill="C4EFCE"/>
            <w:noWrap/>
            <w:vAlign w:val="center"/>
            <w:hideMark/>
          </w:tcPr>
          <w:p w14:paraId="0826B3A0" w14:textId="77777777" w:rsidR="00CF0219" w:rsidRDefault="00CF0219" w:rsidP="00CF0219">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4FC5A95C" w14:textId="77777777"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6CFF1D03" w14:textId="77777777" w:rsidR="00CF0219" w:rsidRDefault="00CF0219" w:rsidP="00CF0219">
            <w:pPr>
              <w:pStyle w:val="P68B1DB1-Normal8"/>
              <w:spacing w:after="0" w:line="240" w:lineRule="auto"/>
              <w:jc w:val="center"/>
              <w:rPr>
                <w:rFonts w:eastAsia="Times New Roman" w:cs="Calibri"/>
                <w:noProof/>
              </w:rPr>
            </w:pPr>
            <w:r>
              <w:rPr>
                <w:noProof/>
              </w:rPr>
              <w:t>A biztonsági erők és szolgálatok informatikai rendszerének korszerűsítése</w:t>
            </w:r>
          </w:p>
        </w:tc>
        <w:tc>
          <w:tcPr>
            <w:tcW w:w="1314" w:type="dxa"/>
            <w:shd w:val="clear" w:color="auto" w:fill="C4EFCE"/>
            <w:noWrap/>
            <w:vAlign w:val="center"/>
            <w:hideMark/>
          </w:tcPr>
          <w:p w14:paraId="12090031" w14:textId="77777777" w:rsidR="00CF0219" w:rsidRDefault="00CF0219" w:rsidP="00CF0219">
            <w:pPr>
              <w:pStyle w:val="P68B1DB1-Normal8"/>
              <w:spacing w:after="0" w:line="240" w:lineRule="auto"/>
              <w:jc w:val="center"/>
              <w:rPr>
                <w:rFonts w:eastAsia="Times New Roman" w:cs="Calibri"/>
                <w:noProof/>
              </w:rPr>
            </w:pPr>
            <w:r>
              <w:rPr>
                <w:noProof/>
              </w:rPr>
              <w:t>A biztonsági erők és szolgálatok informatikai rendszereinek korszerűsítése</w:t>
            </w:r>
          </w:p>
        </w:tc>
        <w:tc>
          <w:tcPr>
            <w:tcW w:w="1110" w:type="dxa"/>
            <w:shd w:val="clear" w:color="auto" w:fill="C4EFCE"/>
            <w:noWrap/>
            <w:vAlign w:val="center"/>
            <w:hideMark/>
          </w:tcPr>
          <w:p w14:paraId="7E591444"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3A6B64F2"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450C75A6"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0A0A4410" w14:textId="619C9CC0"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46E1DCB9" w14:textId="77777777" w:rsidR="00CF0219" w:rsidRDefault="00CF0219" w:rsidP="00CF0219">
            <w:pPr>
              <w:pStyle w:val="P68B1DB1-Normal8"/>
              <w:spacing w:after="0" w:line="240" w:lineRule="auto"/>
              <w:jc w:val="center"/>
              <w:rPr>
                <w:rFonts w:eastAsia="Times New Roman" w:cs="Calibri"/>
                <w:noProof/>
              </w:rPr>
            </w:pPr>
            <w:r>
              <w:rPr>
                <w:noProof/>
              </w:rPr>
              <w:t>2024</w:t>
            </w:r>
          </w:p>
        </w:tc>
        <w:tc>
          <w:tcPr>
            <w:tcW w:w="4347" w:type="dxa"/>
            <w:shd w:val="clear" w:color="auto" w:fill="C4EFCE"/>
            <w:vAlign w:val="center"/>
            <w:hideMark/>
          </w:tcPr>
          <w:p w14:paraId="73F537E7" w14:textId="77777777" w:rsidR="00CF0219" w:rsidRDefault="00CF0219" w:rsidP="00CF0219">
            <w:pPr>
              <w:pStyle w:val="P68B1DB1-Normal8"/>
              <w:spacing w:after="0" w:line="240" w:lineRule="auto"/>
              <w:jc w:val="both"/>
              <w:rPr>
                <w:rFonts w:eastAsia="Times New Roman" w:cs="Calibri"/>
                <w:noProof/>
              </w:rPr>
            </w:pPr>
            <w:r>
              <w:rPr>
                <w:noProof/>
              </w:rPr>
              <w:t xml:space="preserve">A biztonsági erők és szolgálatok informatikai rendszereinek korszerűsítése: </w:t>
            </w:r>
          </w:p>
          <w:p w14:paraId="61DD86E9" w14:textId="0DD5A6A7" w:rsidR="00CF0219" w:rsidRDefault="00CF0219" w:rsidP="00CF0219">
            <w:pPr>
              <w:pStyle w:val="P68B1DB1-Normal8"/>
              <w:spacing w:after="0" w:line="240" w:lineRule="auto"/>
              <w:jc w:val="both"/>
              <w:rPr>
                <w:rFonts w:eastAsia="Times New Roman" w:cs="Calibri"/>
                <w:noProof/>
              </w:rPr>
            </w:pPr>
            <w:r>
              <w:rPr>
                <w:noProof/>
              </w:rPr>
              <w:t>a megújított SEF informatikai rendszereinek üzembe helyezése (határigazgatás és -ellenőrzés, rendőrségi és igazságügyi együttműködés, valamint a közös európai menekültügyi rendszer); b) megosztott informatikai szolgáltatások a biztonsági erőknél és szolgálatoknál</w:t>
            </w:r>
          </w:p>
        </w:tc>
      </w:tr>
      <w:tr w:rsidR="00DC5EC6" w14:paraId="09BA9EDE" w14:textId="77777777" w:rsidTr="00C009B1">
        <w:trPr>
          <w:trHeight w:val="640"/>
        </w:trPr>
        <w:tc>
          <w:tcPr>
            <w:tcW w:w="1061" w:type="dxa"/>
            <w:shd w:val="clear" w:color="auto" w:fill="C4EFCE"/>
            <w:vAlign w:val="center"/>
            <w:hideMark/>
          </w:tcPr>
          <w:p w14:paraId="6AD2F9D4" w14:textId="77777777" w:rsidR="00DC5EC6" w:rsidRDefault="003245A4">
            <w:pPr>
              <w:pStyle w:val="P68B1DB1-Normal7"/>
              <w:spacing w:after="0" w:line="240" w:lineRule="auto"/>
              <w:jc w:val="center"/>
              <w:rPr>
                <w:rFonts w:eastAsia="Times New Roman" w:cs="Calibri"/>
                <w:noProof/>
              </w:rPr>
            </w:pPr>
            <w:r>
              <w:rPr>
                <w:noProof/>
              </w:rPr>
              <w:t>19.15</w:t>
            </w:r>
          </w:p>
        </w:tc>
        <w:tc>
          <w:tcPr>
            <w:tcW w:w="1186" w:type="dxa"/>
            <w:shd w:val="clear" w:color="auto" w:fill="C4EFCE"/>
            <w:noWrap/>
            <w:vAlign w:val="center"/>
            <w:hideMark/>
          </w:tcPr>
          <w:p w14:paraId="3AC7180D" w14:textId="77777777" w:rsidR="00DC5EC6" w:rsidRDefault="003245A4">
            <w:pPr>
              <w:pStyle w:val="P68B1DB1-Normal8"/>
              <w:spacing w:after="0" w:line="240" w:lineRule="auto"/>
              <w:jc w:val="center"/>
              <w:rPr>
                <w:rFonts w:eastAsia="Times New Roman" w:cs="Calibri"/>
                <w:noProof/>
              </w:rPr>
            </w:pPr>
            <w:r>
              <w:rPr>
                <w:noProof/>
              </w:rPr>
              <w:t>TD-C19-i04</w:t>
            </w:r>
          </w:p>
        </w:tc>
        <w:tc>
          <w:tcPr>
            <w:tcW w:w="1058" w:type="dxa"/>
            <w:shd w:val="clear" w:color="auto" w:fill="C4EFCE"/>
            <w:noWrap/>
            <w:vAlign w:val="center"/>
            <w:hideMark/>
          </w:tcPr>
          <w:p w14:paraId="02F28311" w14:textId="77777777"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2C9ADC93" w14:textId="77777777" w:rsidR="00DC5EC6" w:rsidRDefault="003245A4">
            <w:pPr>
              <w:pStyle w:val="P68B1DB1-Normal8"/>
              <w:spacing w:after="0" w:line="240" w:lineRule="auto"/>
              <w:jc w:val="center"/>
              <w:rPr>
                <w:rFonts w:eastAsia="Times New Roman" w:cs="Calibri"/>
                <w:noProof/>
              </w:rPr>
            </w:pPr>
            <w:r>
              <w:rPr>
                <w:noProof/>
              </w:rPr>
              <w:t>A kormány informatikai hálózatkezelő központjának (RING) megerősítése</w:t>
            </w:r>
          </w:p>
        </w:tc>
        <w:tc>
          <w:tcPr>
            <w:tcW w:w="1314" w:type="dxa"/>
            <w:shd w:val="clear" w:color="auto" w:fill="C4EFCE"/>
            <w:noWrap/>
            <w:vAlign w:val="center"/>
            <w:hideMark/>
          </w:tcPr>
          <w:p w14:paraId="4C0CAC20" w14:textId="77777777" w:rsidR="00DC5EC6" w:rsidRDefault="003245A4">
            <w:pPr>
              <w:pStyle w:val="P68B1DB1-Normal8"/>
              <w:spacing w:after="0" w:line="240" w:lineRule="auto"/>
              <w:jc w:val="center"/>
              <w:rPr>
                <w:rFonts w:eastAsia="Times New Roman" w:cs="Calibri"/>
                <w:noProof/>
              </w:rPr>
            </w:pPr>
            <w:r>
              <w:rPr>
                <w:noProof/>
              </w:rPr>
              <w:t xml:space="preserve"> A kormány informatikai hálózatkezelő központjának (RING) megerősítése </w:t>
            </w:r>
          </w:p>
        </w:tc>
        <w:tc>
          <w:tcPr>
            <w:tcW w:w="1110" w:type="dxa"/>
            <w:shd w:val="clear" w:color="auto" w:fill="C4EFCE"/>
            <w:noWrap/>
            <w:vAlign w:val="center"/>
            <w:hideMark/>
          </w:tcPr>
          <w:p w14:paraId="1D34255D" w14:textId="77777777" w:rsidR="00DC5EC6" w:rsidRDefault="003245A4">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748A1D2D" w14:textId="77777777" w:rsidR="00DC5EC6" w:rsidRDefault="003245A4">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718E309F" w14:textId="77777777" w:rsidR="00DC5EC6" w:rsidRDefault="003245A4">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76EC258A" w14:textId="50435767"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5C6920FB"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48233525" w14:textId="77777777" w:rsidR="00DC5EC6" w:rsidRDefault="003245A4">
            <w:pPr>
              <w:pStyle w:val="P68B1DB1-Normal8"/>
              <w:spacing w:after="0" w:line="240" w:lineRule="auto"/>
              <w:jc w:val="both"/>
              <w:rPr>
                <w:rFonts w:eastAsia="Times New Roman" w:cs="Calibri"/>
                <w:noProof/>
              </w:rPr>
            </w:pPr>
            <w:r>
              <w:rPr>
                <w:noProof/>
              </w:rPr>
              <w:t xml:space="preserve">A cél a RING megerősítése a RING öt kritikus technológiai infrastruktúrájának korszerűsítése révén (tűzfalvédelem; informatika, tárolás és biztonsági másolatok; VoIP telefónia; videokonferenciák; és alkalmazási ökoszisztéma) és felhő) és a fő információs rendszerek fejlődésének korszerűsítése </w:t>
            </w:r>
          </w:p>
        </w:tc>
      </w:tr>
      <w:tr w:rsidR="00CF0219" w14:paraId="0767329D" w14:textId="77777777" w:rsidTr="00C009B1">
        <w:trPr>
          <w:trHeight w:val="953"/>
        </w:trPr>
        <w:tc>
          <w:tcPr>
            <w:tcW w:w="1061" w:type="dxa"/>
            <w:shd w:val="clear" w:color="auto" w:fill="C4EFCE"/>
            <w:vAlign w:val="center"/>
          </w:tcPr>
          <w:p w14:paraId="18FB6E3B" w14:textId="16CADAA5" w:rsidR="00CF0219" w:rsidRDefault="00CF0219" w:rsidP="00CF0219">
            <w:pPr>
              <w:pStyle w:val="P68B1DB1-Normal7"/>
              <w:spacing w:after="0" w:line="240" w:lineRule="auto"/>
              <w:jc w:val="center"/>
              <w:rPr>
                <w:rFonts w:eastAsia="Times New Roman" w:cs="Calibri"/>
                <w:noProof/>
              </w:rPr>
            </w:pPr>
            <w:r>
              <w:rPr>
                <w:noProof/>
              </w:rPr>
              <w:t>19.28</w:t>
            </w:r>
          </w:p>
        </w:tc>
        <w:tc>
          <w:tcPr>
            <w:tcW w:w="1186" w:type="dxa"/>
            <w:shd w:val="clear" w:color="auto" w:fill="C4EFCE"/>
            <w:noWrap/>
            <w:vAlign w:val="center"/>
          </w:tcPr>
          <w:p w14:paraId="00C07FA4" w14:textId="7F329DC4" w:rsidR="00CF0219" w:rsidRDefault="00CF0219" w:rsidP="00CF0219">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tcPr>
          <w:p w14:paraId="73ED5E83" w14:textId="53DB6063"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744FC0AC" w14:textId="7F580C3A" w:rsidR="00CF0219" w:rsidRDefault="00CF0219" w:rsidP="00CF0219">
            <w:pPr>
              <w:pStyle w:val="P68B1DB1-Normal8"/>
              <w:spacing w:after="0" w:line="240" w:lineRule="auto"/>
              <w:jc w:val="center"/>
              <w:rPr>
                <w:rFonts w:eastAsia="Times New Roman" w:cs="Calibri"/>
                <w:noProof/>
              </w:rPr>
            </w:pPr>
            <w:r>
              <w:rPr>
                <w:noProof/>
              </w:rPr>
              <w:t xml:space="preserve">Központosított adatkezelési megoldás funkcionális prototípusa </w:t>
            </w:r>
          </w:p>
        </w:tc>
        <w:tc>
          <w:tcPr>
            <w:tcW w:w="1314" w:type="dxa"/>
            <w:shd w:val="clear" w:color="auto" w:fill="C4EFCE"/>
            <w:noWrap/>
            <w:vAlign w:val="center"/>
          </w:tcPr>
          <w:p w14:paraId="329F803E" w14:textId="193C5F33" w:rsidR="00CF0219" w:rsidRDefault="00CF0219" w:rsidP="00CF0219">
            <w:pPr>
              <w:pStyle w:val="P68B1DB1-Normal8"/>
              <w:spacing w:after="0" w:line="240" w:lineRule="auto"/>
              <w:jc w:val="center"/>
              <w:rPr>
                <w:rFonts w:eastAsia="Times New Roman" w:cs="Calibri"/>
                <w:noProof/>
              </w:rPr>
            </w:pPr>
            <w:r>
              <w:rPr>
                <w:noProof/>
              </w:rPr>
              <w:t>Működőképes funkcionális prototípus</w:t>
            </w:r>
          </w:p>
        </w:tc>
        <w:tc>
          <w:tcPr>
            <w:tcW w:w="1110" w:type="dxa"/>
            <w:shd w:val="clear" w:color="auto" w:fill="C4EFCE"/>
            <w:noWrap/>
            <w:vAlign w:val="center"/>
          </w:tcPr>
          <w:p w14:paraId="2C07AACF" w14:textId="77777777" w:rsidR="00CF0219" w:rsidRDefault="00CF0219" w:rsidP="00CF0219">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3D308A56" w14:textId="77777777" w:rsidR="00CF0219" w:rsidRDefault="00CF0219" w:rsidP="00CF0219">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0A37D57E" w14:textId="77777777" w:rsidR="00CF0219" w:rsidRDefault="00CF0219" w:rsidP="00CF0219">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1B060ADB" w14:textId="64966C42"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tcPr>
          <w:p w14:paraId="51DB435B" w14:textId="3BB9B3A3" w:rsidR="00CF0219" w:rsidRDefault="00CF0219" w:rsidP="00CF0219">
            <w:pPr>
              <w:pStyle w:val="P68B1DB1-Normal8"/>
              <w:spacing w:after="0" w:line="240" w:lineRule="auto"/>
              <w:jc w:val="center"/>
              <w:rPr>
                <w:rFonts w:eastAsia="Times New Roman" w:cs="Calibri"/>
                <w:noProof/>
              </w:rPr>
            </w:pPr>
            <w:r>
              <w:rPr>
                <w:noProof/>
              </w:rPr>
              <w:t>2024</w:t>
            </w:r>
          </w:p>
        </w:tc>
        <w:tc>
          <w:tcPr>
            <w:tcW w:w="4347" w:type="dxa"/>
            <w:shd w:val="clear" w:color="auto" w:fill="C4EFCE"/>
            <w:vAlign w:val="center"/>
          </w:tcPr>
          <w:p w14:paraId="5E2D4942" w14:textId="77777777" w:rsidR="00CF0219" w:rsidRDefault="00CF0219" w:rsidP="00CF0219">
            <w:pPr>
              <w:pStyle w:val="P68B1DB1-Normal8"/>
              <w:tabs>
                <w:tab w:val="left" w:pos="710"/>
                <w:tab w:val="right" w:pos="1963"/>
              </w:tabs>
              <w:spacing w:after="0" w:line="240" w:lineRule="auto"/>
              <w:jc w:val="both"/>
              <w:rPr>
                <w:rFonts w:eastAsia="Times New Roman" w:cs="Calibri"/>
                <w:noProof/>
              </w:rPr>
            </w:pPr>
            <w:r>
              <w:rPr>
                <w:noProof/>
              </w:rPr>
              <w:t>A funkcionális prototípus elindítása. A prototípusnak képesnek kell lennie a következő funkciók szimulálására:</w:t>
            </w:r>
          </w:p>
          <w:p w14:paraId="0A60490A" w14:textId="77777777" w:rsidR="00CF0219" w:rsidRDefault="00CF0219" w:rsidP="00CF0219">
            <w:pPr>
              <w:pStyle w:val="P68B1DB1-Normal8"/>
              <w:tabs>
                <w:tab w:val="left" w:pos="710"/>
                <w:tab w:val="right" w:pos="1963"/>
              </w:tabs>
              <w:spacing w:after="0" w:line="240" w:lineRule="auto"/>
              <w:jc w:val="both"/>
              <w:rPr>
                <w:rFonts w:eastAsia="Times New Roman" w:cs="Calibri"/>
                <w:noProof/>
              </w:rPr>
            </w:pPr>
            <w:r>
              <w:rPr>
                <w:noProof/>
              </w:rPr>
              <w:t>Eszközöket hoz létre a hatékonysági hiányosságok, a csalás és más kockázati területek MI-algoritmusokkal történő azonosítására;</w:t>
            </w:r>
          </w:p>
          <w:p w14:paraId="2ADEB2DD" w14:textId="77777777" w:rsidR="00CF0219" w:rsidRDefault="00CF0219" w:rsidP="00CF0219">
            <w:pPr>
              <w:pStyle w:val="P68B1DB1-Normal8"/>
              <w:spacing w:after="0" w:line="240" w:lineRule="auto"/>
              <w:jc w:val="both"/>
              <w:rPr>
                <w:rFonts w:eastAsia="Times New Roman" w:cs="Calibri"/>
                <w:noProof/>
              </w:rPr>
            </w:pPr>
            <w:r>
              <w:rPr>
                <w:noProof/>
              </w:rPr>
              <w:t xml:space="preserve">A mesterséges intelligencián alapuló szolgáltatások elérhetővé tétele a közigazgatás különböző területein </w:t>
            </w:r>
          </w:p>
          <w:p w14:paraId="63B3E50E" w14:textId="567A0FC0" w:rsidR="00CF0219" w:rsidRDefault="00CF0219" w:rsidP="00CF0219">
            <w:pPr>
              <w:pStyle w:val="P68B1DB1-Normal8"/>
              <w:spacing w:after="0" w:line="240" w:lineRule="auto"/>
              <w:jc w:val="both"/>
              <w:rPr>
                <w:rFonts w:eastAsia="Times New Roman" w:cs="Calibri"/>
                <w:noProof/>
              </w:rPr>
            </w:pPr>
            <w:r>
              <w:rPr>
                <w:noProof/>
              </w:rPr>
              <w:t>Automatizálja a döntéshozatalt a közigazgatás különböző területein.</w:t>
            </w:r>
          </w:p>
        </w:tc>
      </w:tr>
      <w:tr w:rsidR="00C009B1" w14:paraId="5CB7E1C4" w14:textId="77777777" w:rsidTr="00C009B1">
        <w:trPr>
          <w:trHeight w:val="953"/>
        </w:trPr>
        <w:tc>
          <w:tcPr>
            <w:tcW w:w="1061" w:type="dxa"/>
            <w:shd w:val="clear" w:color="auto" w:fill="C4EFCE"/>
            <w:vAlign w:val="center"/>
            <w:hideMark/>
          </w:tcPr>
          <w:p w14:paraId="576D56A1" w14:textId="77777777" w:rsidR="00C009B1" w:rsidRDefault="00C009B1" w:rsidP="00C009B1">
            <w:pPr>
              <w:pStyle w:val="P68B1DB1-Normal7"/>
              <w:spacing w:after="0" w:line="240" w:lineRule="auto"/>
              <w:jc w:val="center"/>
              <w:rPr>
                <w:rFonts w:eastAsia="Times New Roman" w:cs="Calibri"/>
                <w:noProof/>
              </w:rPr>
            </w:pPr>
            <w:r>
              <w:rPr>
                <w:noProof/>
              </w:rPr>
              <w:t>19.16</w:t>
            </w:r>
          </w:p>
        </w:tc>
        <w:tc>
          <w:tcPr>
            <w:tcW w:w="1186" w:type="dxa"/>
            <w:shd w:val="clear" w:color="auto" w:fill="C4EFCE"/>
            <w:noWrap/>
            <w:vAlign w:val="center"/>
            <w:hideMark/>
          </w:tcPr>
          <w:p w14:paraId="18A1503B" w14:textId="77777777" w:rsidR="00C009B1" w:rsidRDefault="00C009B1" w:rsidP="00C009B1">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hideMark/>
          </w:tcPr>
          <w:p w14:paraId="7F8FB6EE" w14:textId="77777777" w:rsidR="00C009B1" w:rsidRDefault="00C009B1" w:rsidP="00C009B1">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769BDF3" w14:textId="77777777" w:rsidR="00C009B1" w:rsidRDefault="00C009B1" w:rsidP="00C009B1">
            <w:pPr>
              <w:pStyle w:val="P68B1DB1-Normal8"/>
              <w:spacing w:after="0" w:line="240" w:lineRule="auto"/>
              <w:jc w:val="center"/>
              <w:rPr>
                <w:rFonts w:eastAsia="Times New Roman" w:cs="Calibri"/>
                <w:noProof/>
              </w:rPr>
            </w:pPr>
            <w:r>
              <w:rPr>
                <w:noProof/>
              </w:rPr>
              <w:t>Közszolgáltatások a polgárok, a látogatók és a vállalkozások számára az ARM-ben</w:t>
            </w:r>
          </w:p>
        </w:tc>
        <w:tc>
          <w:tcPr>
            <w:tcW w:w="1314" w:type="dxa"/>
            <w:shd w:val="clear" w:color="auto" w:fill="C4EFCE"/>
            <w:noWrap/>
            <w:vAlign w:val="center"/>
            <w:hideMark/>
          </w:tcPr>
          <w:p w14:paraId="3EA8E5EC"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708975FC" w14:textId="77777777" w:rsidR="00C009B1" w:rsidRDefault="00C009B1" w:rsidP="00C009B1">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648029EC" w14:textId="77777777" w:rsidR="00C009B1" w:rsidRDefault="00C009B1" w:rsidP="00C009B1">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23D539CC" w14:textId="77777777" w:rsidR="00C009B1" w:rsidRDefault="00C009B1" w:rsidP="00C009B1">
            <w:pPr>
              <w:pStyle w:val="P68B1DB1-Normal8"/>
              <w:spacing w:after="0" w:line="240" w:lineRule="auto"/>
              <w:jc w:val="center"/>
              <w:rPr>
                <w:rFonts w:eastAsia="Times New Roman" w:cs="Calibri"/>
                <w:noProof/>
              </w:rPr>
            </w:pPr>
            <w:r>
              <w:rPr>
                <w:noProof/>
              </w:rPr>
              <w:t>5</w:t>
            </w:r>
          </w:p>
        </w:tc>
        <w:tc>
          <w:tcPr>
            <w:tcW w:w="542" w:type="dxa"/>
            <w:shd w:val="clear" w:color="auto" w:fill="C4EFCE"/>
            <w:noWrap/>
            <w:vAlign w:val="center"/>
            <w:hideMark/>
          </w:tcPr>
          <w:p w14:paraId="461712A3" w14:textId="3CD5D2F2"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7E32D4A6" w14:textId="77777777" w:rsidR="00C009B1" w:rsidRDefault="00C009B1" w:rsidP="00C009B1">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hideMark/>
          </w:tcPr>
          <w:p w14:paraId="7F14D18C" w14:textId="77777777" w:rsidR="00C009B1" w:rsidRDefault="00C009B1" w:rsidP="00C009B1">
            <w:pPr>
              <w:pStyle w:val="P68B1DB1-Normal8"/>
              <w:spacing w:after="0" w:line="240" w:lineRule="auto"/>
              <w:jc w:val="both"/>
              <w:rPr>
                <w:rFonts w:eastAsia="Times New Roman" w:cs="Calibri"/>
                <w:noProof/>
              </w:rPr>
            </w:pPr>
            <w:r>
              <w:rPr>
                <w:noProof/>
              </w:rPr>
              <w:t>A polgárok és a vállalkozások rendelkezésére bocsátott új, egyszerűsített digitalizált közszolgáltatások száma</w:t>
            </w:r>
          </w:p>
        </w:tc>
      </w:tr>
      <w:tr w:rsidR="00C009B1" w14:paraId="4DDCEA50" w14:textId="77777777" w:rsidTr="00C009B1">
        <w:trPr>
          <w:trHeight w:val="290"/>
        </w:trPr>
        <w:tc>
          <w:tcPr>
            <w:tcW w:w="1061" w:type="dxa"/>
            <w:shd w:val="clear" w:color="auto" w:fill="C4EFCE"/>
            <w:vAlign w:val="center"/>
            <w:hideMark/>
          </w:tcPr>
          <w:p w14:paraId="155D0A6D" w14:textId="77777777" w:rsidR="00C009B1" w:rsidRDefault="00C009B1" w:rsidP="00C009B1">
            <w:pPr>
              <w:pStyle w:val="P68B1DB1-Normal7"/>
              <w:spacing w:after="0" w:line="240" w:lineRule="auto"/>
              <w:jc w:val="center"/>
              <w:rPr>
                <w:rFonts w:eastAsia="Times New Roman" w:cs="Calibri"/>
                <w:noProof/>
              </w:rPr>
            </w:pPr>
            <w:r>
              <w:rPr>
                <w:noProof/>
              </w:rPr>
              <w:t>19.17</w:t>
            </w:r>
          </w:p>
        </w:tc>
        <w:tc>
          <w:tcPr>
            <w:tcW w:w="1186" w:type="dxa"/>
            <w:shd w:val="clear" w:color="auto" w:fill="C4EFCE"/>
            <w:noWrap/>
            <w:vAlign w:val="center"/>
            <w:hideMark/>
          </w:tcPr>
          <w:p w14:paraId="2D65B27E" w14:textId="77777777" w:rsidR="00C009B1" w:rsidRDefault="00C009B1" w:rsidP="00C009B1">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hideMark/>
          </w:tcPr>
          <w:p w14:paraId="317D5CC6"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315CD8F8" w14:textId="77777777" w:rsidR="00C009B1" w:rsidRDefault="00C009B1" w:rsidP="00C009B1">
            <w:pPr>
              <w:pStyle w:val="P68B1DB1-Normal8"/>
              <w:spacing w:after="0" w:line="240" w:lineRule="auto"/>
              <w:jc w:val="center"/>
              <w:rPr>
                <w:rFonts w:eastAsia="Times New Roman" w:cs="Calibri"/>
                <w:noProof/>
              </w:rPr>
            </w:pPr>
            <w:r>
              <w:rPr>
                <w:noProof/>
              </w:rPr>
              <w:t>A kritikus infrastruktúra és a közszolgáltatások számítógépes architektúrájának korszerűsítése az ARM-ben</w:t>
            </w:r>
          </w:p>
        </w:tc>
        <w:tc>
          <w:tcPr>
            <w:tcW w:w="1314" w:type="dxa"/>
            <w:shd w:val="clear" w:color="auto" w:fill="C4EFCE"/>
            <w:noWrap/>
            <w:vAlign w:val="center"/>
            <w:hideMark/>
          </w:tcPr>
          <w:p w14:paraId="51FC6F0B" w14:textId="77777777" w:rsidR="00C009B1" w:rsidRDefault="00C009B1" w:rsidP="00C009B1">
            <w:pPr>
              <w:pStyle w:val="P68B1DB1-Normal8"/>
              <w:spacing w:after="0" w:line="240" w:lineRule="auto"/>
              <w:jc w:val="center"/>
              <w:rPr>
                <w:rFonts w:eastAsia="Times New Roman" w:cs="Calibri"/>
                <w:noProof/>
              </w:rPr>
            </w:pPr>
            <w:r>
              <w:rPr>
                <w:noProof/>
              </w:rPr>
              <w:t>A kritikus infrastruktúra és a közszolgáltatások számítógépes architektúrájának korszerűsítése az ARM-ben</w:t>
            </w:r>
          </w:p>
        </w:tc>
        <w:tc>
          <w:tcPr>
            <w:tcW w:w="1110" w:type="dxa"/>
            <w:shd w:val="clear" w:color="auto" w:fill="C4EFCE"/>
            <w:noWrap/>
            <w:vAlign w:val="center"/>
            <w:hideMark/>
          </w:tcPr>
          <w:p w14:paraId="5C3CE7BD" w14:textId="77777777" w:rsidR="00C009B1" w:rsidRDefault="00C009B1" w:rsidP="00C009B1">
            <w:pPr>
              <w:pStyle w:val="P68B1DB1-Normal8"/>
              <w:spacing w:after="0" w:line="240" w:lineRule="auto"/>
              <w:rPr>
                <w:rFonts w:eastAsia="Times New Roman" w:cs="Calibri"/>
                <w:noProof/>
              </w:rPr>
            </w:pPr>
            <w:r>
              <w:rPr>
                <w:noProof/>
              </w:rPr>
              <w:t> </w:t>
            </w:r>
          </w:p>
        </w:tc>
        <w:tc>
          <w:tcPr>
            <w:tcW w:w="928" w:type="dxa"/>
            <w:shd w:val="clear" w:color="auto" w:fill="C4EFCE"/>
            <w:noWrap/>
            <w:vAlign w:val="center"/>
            <w:hideMark/>
          </w:tcPr>
          <w:p w14:paraId="27932955"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53A57C64"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0EA1F25B" w14:textId="1E35EEA0"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75DB415B" w14:textId="77777777" w:rsidR="00C009B1" w:rsidRDefault="00C009B1" w:rsidP="00C009B1">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hideMark/>
          </w:tcPr>
          <w:p w14:paraId="639F5DC3" w14:textId="77777777" w:rsidR="00C009B1" w:rsidRDefault="00C009B1" w:rsidP="00C009B1">
            <w:pPr>
              <w:pStyle w:val="P68B1DB1-Normal12"/>
              <w:spacing w:after="0" w:line="240" w:lineRule="auto"/>
              <w:jc w:val="both"/>
              <w:rPr>
                <w:rFonts w:ascii="Times New Roman" w:eastAsia="Times New Roman" w:hAnsi="Times New Roman" w:cs="Times New Roman"/>
                <w:noProof/>
              </w:rPr>
            </w:pPr>
            <w:r>
              <w:rPr>
                <w:rFonts w:ascii="Calibri" w:hAnsi="Calibri"/>
                <w:noProof/>
              </w:rPr>
              <w:t>A digitális átállás befejezése az ARM közigazgatásában, amely a következőket foglalja magában:</w:t>
            </w:r>
            <w:r>
              <w:rPr>
                <w:rFonts w:ascii="Times New Roman" w:hAnsi="Times New Roman"/>
                <w:noProof/>
              </w:rPr>
              <w:t xml:space="preserve"> </w:t>
            </w:r>
          </w:p>
          <w:p w14:paraId="67185D7F" w14:textId="4DEDF20E" w:rsidR="00C009B1" w:rsidRDefault="00C009B1" w:rsidP="00C009B1">
            <w:pPr>
              <w:pStyle w:val="P68B1DB1-Normal8"/>
              <w:spacing w:after="0" w:line="240" w:lineRule="auto"/>
              <w:jc w:val="both"/>
              <w:rPr>
                <w:rFonts w:eastAsia="Times New Roman" w:cs="Calibri"/>
                <w:noProof/>
              </w:rPr>
            </w:pPr>
            <w:r>
              <w:rPr>
                <w:noProof/>
              </w:rPr>
              <w:t xml:space="preserve">Az 5G magánhálózat megvalósítása </w:t>
            </w:r>
          </w:p>
          <w:p w14:paraId="55AFBD4F" w14:textId="77777777" w:rsidR="00C009B1" w:rsidRDefault="00C009B1" w:rsidP="00C009B1">
            <w:pPr>
              <w:pStyle w:val="P68B1DB1-Normal8"/>
              <w:spacing w:after="0" w:line="240" w:lineRule="auto"/>
              <w:jc w:val="both"/>
              <w:rPr>
                <w:rFonts w:eastAsia="Times New Roman" w:cs="Calibri"/>
                <w:noProof/>
              </w:rPr>
            </w:pPr>
            <w:r>
              <w:rPr>
                <w:noProof/>
              </w:rPr>
              <w:t xml:space="preserve">Az erdőtüzeket felügyelő mobil ellenőrző központ </w:t>
            </w:r>
          </w:p>
          <w:p w14:paraId="5710C4B7" w14:textId="77777777" w:rsidR="00C009B1" w:rsidRDefault="00C009B1" w:rsidP="00C009B1">
            <w:pPr>
              <w:pStyle w:val="P68B1DB1-Normal8"/>
              <w:spacing w:after="0" w:line="240" w:lineRule="auto"/>
              <w:jc w:val="both"/>
              <w:rPr>
                <w:rFonts w:eastAsia="Times New Roman" w:cs="Calibri"/>
                <w:noProof/>
              </w:rPr>
            </w:pPr>
            <w:r>
              <w:rPr>
                <w:noProof/>
              </w:rPr>
              <w:t xml:space="preserve">A regionális közigazgatás meglévő adatközpontjainak központosítása és megújítása </w:t>
            </w:r>
          </w:p>
          <w:p w14:paraId="2D032E34" w14:textId="77777777" w:rsidR="00C009B1" w:rsidRDefault="00C009B1" w:rsidP="00C009B1">
            <w:pPr>
              <w:pStyle w:val="P68B1DB1-Normal8"/>
              <w:spacing w:after="0" w:line="240" w:lineRule="auto"/>
              <w:jc w:val="both"/>
              <w:rPr>
                <w:rFonts w:eastAsia="Times New Roman" w:cs="Calibri"/>
                <w:noProof/>
              </w:rPr>
            </w:pPr>
            <w:r>
              <w:rPr>
                <w:noProof/>
              </w:rPr>
              <w:t xml:space="preserve">A kiberbiztonsági architektúra megvalósítása (lásd az r34. pontot) </w:t>
            </w:r>
          </w:p>
          <w:p w14:paraId="67CCB2DC" w14:textId="7CD81F5F" w:rsidR="00C009B1" w:rsidRDefault="00C009B1" w:rsidP="00C009B1">
            <w:pPr>
              <w:pStyle w:val="P68B1DB1-Normal8"/>
              <w:spacing w:after="0" w:line="240" w:lineRule="auto"/>
              <w:jc w:val="both"/>
              <w:rPr>
                <w:rFonts w:eastAsia="Times New Roman" w:cs="Calibri"/>
                <w:noProof/>
              </w:rPr>
            </w:pPr>
            <w:r>
              <w:rPr>
                <w:noProof/>
              </w:rPr>
              <w:t xml:space="preserve">Hálózati összekapcsoltság a regionális közigazgatási épületekben – Digitális mobilitási eszközök a közszférában dolgozók számára </w:t>
            </w:r>
          </w:p>
          <w:p w14:paraId="30F48F65" w14:textId="77777777" w:rsidR="00C009B1" w:rsidRDefault="00C009B1" w:rsidP="00C009B1">
            <w:pPr>
              <w:pStyle w:val="P68B1DB1-Normal8"/>
              <w:spacing w:after="0" w:line="240" w:lineRule="auto"/>
              <w:jc w:val="both"/>
              <w:rPr>
                <w:rFonts w:eastAsia="Times New Roman" w:cs="Calibri"/>
                <w:noProof/>
              </w:rPr>
            </w:pPr>
            <w:r>
              <w:rPr>
                <w:noProof/>
              </w:rPr>
              <w:t xml:space="preserve">Digitális képzés a közszférában dolgozók számára </w:t>
            </w:r>
          </w:p>
          <w:p w14:paraId="03CB00E5" w14:textId="77777777" w:rsidR="00C009B1" w:rsidRDefault="00C009B1" w:rsidP="00C009B1">
            <w:pPr>
              <w:pStyle w:val="P68B1DB1-Normal8"/>
              <w:spacing w:after="0" w:line="240" w:lineRule="auto"/>
              <w:jc w:val="both"/>
              <w:rPr>
                <w:rFonts w:eastAsia="Times New Roman" w:cs="Calibri"/>
                <w:noProof/>
              </w:rPr>
            </w:pPr>
            <w:r>
              <w:rPr>
                <w:noProof/>
              </w:rPr>
              <w:t xml:space="preserve">Az államháztartási gazdálkodás informatikai rendszerének megvalósítása </w:t>
            </w:r>
          </w:p>
          <w:p w14:paraId="596B0D1F" w14:textId="77777777" w:rsidR="00C009B1" w:rsidRDefault="00C009B1" w:rsidP="00C009B1">
            <w:pPr>
              <w:pStyle w:val="P68B1DB1-Normal8"/>
              <w:spacing w:after="0" w:line="240" w:lineRule="auto"/>
              <w:jc w:val="both"/>
              <w:rPr>
                <w:rFonts w:eastAsia="Times New Roman" w:cs="Calibri"/>
                <w:noProof/>
              </w:rPr>
            </w:pPr>
            <w:r>
              <w:rPr>
                <w:noProof/>
              </w:rPr>
              <w:t>Köztulajdon-kezelési rendszer megvalósítása</w:t>
            </w:r>
          </w:p>
          <w:p w14:paraId="5268118F" w14:textId="77777777" w:rsidR="00C009B1" w:rsidRDefault="00C009B1" w:rsidP="00C009B1">
            <w:pPr>
              <w:pStyle w:val="P68B1DB1-Normal8"/>
              <w:spacing w:after="0" w:line="240" w:lineRule="auto"/>
              <w:jc w:val="both"/>
              <w:rPr>
                <w:rFonts w:eastAsia="Times New Roman" w:cs="Calibri"/>
                <w:noProof/>
              </w:rPr>
            </w:pPr>
            <w:r>
              <w:rPr>
                <w:noProof/>
              </w:rPr>
              <w:t>Az ARM igazságszolgáltatási rendszer és a nemzeti informatikai rendszerek közötti interoperabilitás</w:t>
            </w:r>
          </w:p>
          <w:p w14:paraId="77673804" w14:textId="63E13982" w:rsidR="00C009B1" w:rsidRDefault="00C009B1" w:rsidP="00C009B1">
            <w:pPr>
              <w:pStyle w:val="P68B1DB1-Normal8"/>
              <w:spacing w:after="0" w:line="240" w:lineRule="auto"/>
              <w:jc w:val="both"/>
              <w:rPr>
                <w:rFonts w:eastAsia="Times New Roman" w:cs="Calibri"/>
                <w:noProof/>
              </w:rPr>
            </w:pPr>
            <w:r>
              <w:rPr>
                <w:noProof/>
              </w:rPr>
              <w:t>Intelligens hozzáférési pontok összekapcsolására irányuló projekt</w:t>
            </w:r>
          </w:p>
        </w:tc>
      </w:tr>
      <w:tr w:rsidR="00CF0219" w14:paraId="2A157D90" w14:textId="77777777" w:rsidTr="00C009B1">
        <w:trPr>
          <w:trHeight w:val="290"/>
        </w:trPr>
        <w:tc>
          <w:tcPr>
            <w:tcW w:w="1061" w:type="dxa"/>
            <w:shd w:val="clear" w:color="auto" w:fill="C4EFCE"/>
            <w:vAlign w:val="center"/>
          </w:tcPr>
          <w:p w14:paraId="1C82B8D6" w14:textId="5B16A76A" w:rsidR="00CF0219" w:rsidRDefault="00CF0219" w:rsidP="00CF0219">
            <w:pPr>
              <w:pStyle w:val="P68B1DB1-Normal7"/>
              <w:spacing w:after="0" w:line="240" w:lineRule="auto"/>
              <w:jc w:val="center"/>
              <w:rPr>
                <w:rFonts w:eastAsia="Times New Roman" w:cs="Calibri"/>
                <w:noProof/>
              </w:rPr>
            </w:pPr>
            <w:r>
              <w:rPr>
                <w:noProof/>
              </w:rPr>
              <w:t>19.29</w:t>
            </w:r>
          </w:p>
        </w:tc>
        <w:tc>
          <w:tcPr>
            <w:tcW w:w="1186" w:type="dxa"/>
            <w:shd w:val="clear" w:color="auto" w:fill="C4EFCE"/>
            <w:noWrap/>
            <w:vAlign w:val="center"/>
          </w:tcPr>
          <w:p w14:paraId="5DF9BA4A" w14:textId="0F2186BF" w:rsidR="00CF0219" w:rsidRDefault="00CF0219" w:rsidP="00CF0219">
            <w:pPr>
              <w:pStyle w:val="P68B1DB1-Normal8"/>
              <w:spacing w:after="0" w:line="240" w:lineRule="auto"/>
              <w:jc w:val="center"/>
              <w:rPr>
                <w:rFonts w:eastAsia="Times New Roman" w:cs="Calibri"/>
                <w:noProof/>
              </w:rPr>
            </w:pPr>
            <w:r>
              <w:rPr>
                <w:noProof/>
              </w:rPr>
              <w:t>TD-C19i05-RAM</w:t>
            </w:r>
          </w:p>
        </w:tc>
        <w:tc>
          <w:tcPr>
            <w:tcW w:w="1058" w:type="dxa"/>
            <w:shd w:val="clear" w:color="auto" w:fill="C4EFCE"/>
            <w:noWrap/>
            <w:vAlign w:val="center"/>
          </w:tcPr>
          <w:p w14:paraId="506C8CD6" w14:textId="143AFCD2"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6F63D36B" w14:textId="3601B6F1" w:rsidR="00CF0219" w:rsidRDefault="00CF0219" w:rsidP="00CF0219">
            <w:pPr>
              <w:pStyle w:val="P68B1DB1-Normal8"/>
              <w:spacing w:before="120" w:after="0" w:line="240" w:lineRule="auto"/>
              <w:jc w:val="both"/>
              <w:rPr>
                <w:rFonts w:eastAsia="Calibri" w:cs="Calibri"/>
                <w:noProof/>
              </w:rPr>
            </w:pPr>
            <w:r>
              <w:rPr>
                <w:noProof/>
              </w:rPr>
              <w:t>Központosított adatkezelési megoldás</w:t>
            </w:r>
          </w:p>
        </w:tc>
        <w:tc>
          <w:tcPr>
            <w:tcW w:w="1314" w:type="dxa"/>
            <w:shd w:val="clear" w:color="auto" w:fill="C4EFCE"/>
            <w:noWrap/>
            <w:vAlign w:val="center"/>
          </w:tcPr>
          <w:p w14:paraId="63B29C5E" w14:textId="7AD40D4B" w:rsidR="00CF0219" w:rsidRDefault="00CF0219" w:rsidP="00CF0219">
            <w:pPr>
              <w:pStyle w:val="P68B1DB1-Normal8"/>
              <w:spacing w:after="0" w:line="240" w:lineRule="auto"/>
              <w:jc w:val="center"/>
              <w:rPr>
                <w:rFonts w:eastAsia="Calibri" w:cs="Calibri"/>
                <w:noProof/>
              </w:rPr>
            </w:pPr>
            <w:r>
              <w:rPr>
                <w:noProof/>
              </w:rPr>
              <w:t>Központosított adatkezelési megoldás működőképes</w:t>
            </w:r>
          </w:p>
        </w:tc>
        <w:tc>
          <w:tcPr>
            <w:tcW w:w="1110" w:type="dxa"/>
            <w:shd w:val="clear" w:color="auto" w:fill="C4EFCE"/>
            <w:noWrap/>
            <w:vAlign w:val="center"/>
          </w:tcPr>
          <w:p w14:paraId="56259C96" w14:textId="77777777" w:rsidR="00CF0219" w:rsidRDefault="00CF0219" w:rsidP="00CF0219">
            <w:pPr>
              <w:spacing w:after="0" w:line="240" w:lineRule="auto"/>
              <w:rPr>
                <w:rFonts w:ascii="Calibri" w:eastAsia="Times New Roman" w:hAnsi="Calibri" w:cs="Calibri"/>
                <w:noProof/>
                <w:sz w:val="16"/>
              </w:rPr>
            </w:pPr>
          </w:p>
        </w:tc>
        <w:tc>
          <w:tcPr>
            <w:tcW w:w="928" w:type="dxa"/>
            <w:shd w:val="clear" w:color="auto" w:fill="C4EFCE"/>
            <w:noWrap/>
            <w:vAlign w:val="center"/>
          </w:tcPr>
          <w:p w14:paraId="7BF5098B" w14:textId="77777777" w:rsidR="00CF0219" w:rsidRDefault="00CF0219" w:rsidP="00CF0219">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027C1EA6" w14:textId="77777777" w:rsidR="00CF0219" w:rsidRDefault="00CF0219" w:rsidP="00CF0219">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6EB0713C" w14:textId="327703BD"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tcPr>
          <w:p w14:paraId="01F50E14" w14:textId="3E0B8059" w:rsidR="00CF0219" w:rsidRDefault="00CF0219" w:rsidP="00CF0219">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tcPr>
          <w:p w14:paraId="5A47B065" w14:textId="77777777" w:rsidR="00CF0219" w:rsidRDefault="00CF0219" w:rsidP="00CF0219">
            <w:pPr>
              <w:pStyle w:val="P68B1DB1-Normal8"/>
              <w:spacing w:after="0" w:line="240" w:lineRule="auto"/>
              <w:jc w:val="both"/>
              <w:rPr>
                <w:rFonts w:eastAsia="Calibri" w:cs="Calibri"/>
                <w:noProof/>
              </w:rPr>
            </w:pPr>
            <w:r>
              <w:rPr>
                <w:noProof/>
              </w:rPr>
              <w:t>A központosított adatkezelési megoldás elindítása. A bizottság:</w:t>
            </w:r>
          </w:p>
          <w:p w14:paraId="0B46F946" w14:textId="77777777" w:rsidR="00CF0219" w:rsidRDefault="00CF0219" w:rsidP="00CF0219">
            <w:pPr>
              <w:pStyle w:val="P68B1DB1-Normal8"/>
              <w:tabs>
                <w:tab w:val="left" w:pos="710"/>
                <w:tab w:val="right" w:pos="1963"/>
              </w:tabs>
              <w:spacing w:after="0" w:line="240" w:lineRule="auto"/>
              <w:jc w:val="both"/>
              <w:rPr>
                <w:rFonts w:eastAsia="Times New Roman" w:cs="Calibri"/>
                <w:noProof/>
              </w:rPr>
            </w:pPr>
            <w:r>
              <w:rPr>
                <w:noProof/>
              </w:rPr>
              <w:t>Eszközöket hoz létre a hatékonysági hiányosságok, a csalás és más kockázati területek MI-algoritmusokkal történő azonosítására;</w:t>
            </w:r>
          </w:p>
          <w:p w14:paraId="3CD59918" w14:textId="548FE233" w:rsidR="00CF0219" w:rsidRDefault="00CF0219" w:rsidP="00CF0219">
            <w:pPr>
              <w:pStyle w:val="P68B1DB1-Normal8"/>
              <w:spacing w:after="0" w:line="240" w:lineRule="auto"/>
              <w:jc w:val="both"/>
              <w:rPr>
                <w:rFonts w:eastAsia="Times New Roman" w:cs="Calibri"/>
                <w:noProof/>
              </w:rPr>
            </w:pPr>
            <w:r>
              <w:rPr>
                <w:noProof/>
              </w:rPr>
              <w:t xml:space="preserve">A mesterséges intelligencián alapuló szolgáltatások elérhetővé tétele a közigazgatás különböző területein </w:t>
            </w:r>
          </w:p>
          <w:p w14:paraId="3129C273" w14:textId="27DC1D7B" w:rsidR="00CF0219" w:rsidRDefault="00CF0219" w:rsidP="00CF0219">
            <w:pPr>
              <w:pStyle w:val="P68B1DB1-Normal8"/>
              <w:spacing w:after="0" w:line="240" w:lineRule="auto"/>
              <w:jc w:val="both"/>
              <w:rPr>
                <w:rFonts w:eastAsia="Times New Roman" w:cs="Calibri"/>
                <w:noProof/>
              </w:rPr>
            </w:pPr>
            <w:r>
              <w:rPr>
                <w:noProof/>
              </w:rPr>
              <w:t>Automatizálja a döntéshozatalt a közigazgatás különböző területein.</w:t>
            </w:r>
          </w:p>
        </w:tc>
      </w:tr>
      <w:tr w:rsidR="00CF0219" w14:paraId="466B5AF3" w14:textId="77777777" w:rsidTr="00C009B1">
        <w:trPr>
          <w:trHeight w:val="290"/>
        </w:trPr>
        <w:tc>
          <w:tcPr>
            <w:tcW w:w="1061" w:type="dxa"/>
            <w:shd w:val="clear" w:color="auto" w:fill="C4EFCE"/>
            <w:vAlign w:val="center"/>
          </w:tcPr>
          <w:p w14:paraId="7C2288AD" w14:textId="6CE5E3E0" w:rsidR="00CF0219" w:rsidRDefault="00CF0219" w:rsidP="00CF0219">
            <w:pPr>
              <w:pStyle w:val="P68B1DB1-Normal7"/>
              <w:spacing w:after="0" w:line="240" w:lineRule="auto"/>
              <w:jc w:val="center"/>
              <w:rPr>
                <w:rFonts w:eastAsia="Times New Roman" w:cs="Calibri"/>
                <w:noProof/>
              </w:rPr>
            </w:pPr>
            <w:r>
              <w:rPr>
                <w:noProof/>
              </w:rPr>
              <w:t>19.18</w:t>
            </w:r>
          </w:p>
        </w:tc>
        <w:tc>
          <w:tcPr>
            <w:tcW w:w="1186" w:type="dxa"/>
            <w:shd w:val="clear" w:color="auto" w:fill="C4EFCE"/>
            <w:noWrap/>
            <w:vAlign w:val="center"/>
          </w:tcPr>
          <w:p w14:paraId="53E2405E" w14:textId="254C07E6" w:rsidR="00CF0219" w:rsidRDefault="00CF0219" w:rsidP="00CF0219">
            <w:pPr>
              <w:pStyle w:val="P68B1DB1-Normal8"/>
              <w:spacing w:after="0" w:line="240" w:lineRule="auto"/>
              <w:jc w:val="center"/>
              <w:rPr>
                <w:rFonts w:eastAsia="Times New Roman" w:cs="Calibri"/>
                <w:noProof/>
              </w:rPr>
            </w:pPr>
            <w:r>
              <w:rPr>
                <w:noProof/>
              </w:rPr>
              <w:t>TD-C19-i06-RAA</w:t>
            </w:r>
          </w:p>
        </w:tc>
        <w:tc>
          <w:tcPr>
            <w:tcW w:w="1058" w:type="dxa"/>
            <w:shd w:val="clear" w:color="auto" w:fill="C4EFCE"/>
            <w:noWrap/>
            <w:vAlign w:val="center"/>
          </w:tcPr>
          <w:p w14:paraId="29CC492A" w14:textId="79FE0E99"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1D1FA322" w14:textId="428C6462" w:rsidR="00CF0219" w:rsidRDefault="00CF0219" w:rsidP="00CF0219">
            <w:pPr>
              <w:pStyle w:val="P68B1DB1-Normal8"/>
              <w:spacing w:before="120" w:after="0" w:line="240" w:lineRule="auto"/>
              <w:jc w:val="both"/>
              <w:rPr>
                <w:rFonts w:eastAsia="Calibri" w:cs="Calibri"/>
                <w:noProof/>
                <w:highlight w:val="cyan"/>
              </w:rPr>
            </w:pPr>
            <w:r>
              <w:rPr>
                <w:noProof/>
              </w:rPr>
              <w:t>Az ARA regionális közigazgatásának digitalizációja</w:t>
            </w:r>
          </w:p>
        </w:tc>
        <w:tc>
          <w:tcPr>
            <w:tcW w:w="1314" w:type="dxa"/>
            <w:shd w:val="clear" w:color="auto" w:fill="C4EFCE"/>
            <w:noWrap/>
            <w:vAlign w:val="center"/>
          </w:tcPr>
          <w:p w14:paraId="61C1FEC8" w14:textId="112CCC73" w:rsidR="00CF0219" w:rsidRDefault="00CF0219" w:rsidP="00CF0219">
            <w:pPr>
              <w:pStyle w:val="P68B1DB1-Normal8"/>
              <w:spacing w:after="0" w:line="240" w:lineRule="auto"/>
              <w:jc w:val="center"/>
              <w:rPr>
                <w:rFonts w:eastAsia="Times New Roman" w:cs="Calibri"/>
                <w:noProof/>
              </w:rPr>
            </w:pPr>
            <w:r>
              <w:rPr>
                <w:noProof/>
              </w:rPr>
              <w:t>Az ARA regionális közigazgatásának digitalizációja</w:t>
            </w:r>
          </w:p>
        </w:tc>
        <w:tc>
          <w:tcPr>
            <w:tcW w:w="1110" w:type="dxa"/>
            <w:shd w:val="clear" w:color="auto" w:fill="C4EFCE"/>
            <w:noWrap/>
            <w:vAlign w:val="center"/>
          </w:tcPr>
          <w:p w14:paraId="6A5817AB" w14:textId="77777777" w:rsidR="00CF0219" w:rsidRDefault="00CF0219" w:rsidP="00CF0219">
            <w:pPr>
              <w:spacing w:after="0" w:line="240" w:lineRule="auto"/>
              <w:rPr>
                <w:rFonts w:ascii="Calibri" w:eastAsia="Times New Roman" w:hAnsi="Calibri" w:cs="Calibri"/>
                <w:noProof/>
                <w:sz w:val="16"/>
              </w:rPr>
            </w:pPr>
          </w:p>
        </w:tc>
        <w:tc>
          <w:tcPr>
            <w:tcW w:w="928" w:type="dxa"/>
            <w:shd w:val="clear" w:color="auto" w:fill="C4EFCE"/>
            <w:noWrap/>
            <w:vAlign w:val="center"/>
          </w:tcPr>
          <w:p w14:paraId="5090F33B" w14:textId="77777777" w:rsidR="00CF0219" w:rsidRDefault="00CF0219" w:rsidP="00CF0219">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63CFFECA" w14:textId="77777777" w:rsidR="00CF0219" w:rsidRDefault="00CF0219" w:rsidP="00CF0219">
            <w:pPr>
              <w:spacing w:after="0" w:line="240" w:lineRule="auto"/>
              <w:jc w:val="center"/>
              <w:rPr>
                <w:rFonts w:ascii="Calibri" w:eastAsia="Times New Roman" w:hAnsi="Calibri" w:cs="Calibri"/>
                <w:noProof/>
                <w:sz w:val="16"/>
              </w:rPr>
            </w:pPr>
          </w:p>
        </w:tc>
        <w:tc>
          <w:tcPr>
            <w:tcW w:w="542" w:type="dxa"/>
            <w:shd w:val="clear" w:color="auto" w:fill="C4EFCE"/>
            <w:noWrap/>
            <w:vAlign w:val="center"/>
          </w:tcPr>
          <w:p w14:paraId="3D6E7BDA" w14:textId="242B7BFC"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tcPr>
          <w:p w14:paraId="52922652" w14:textId="077714E2" w:rsidR="00CF0219" w:rsidRDefault="00CF0219" w:rsidP="00CF0219">
            <w:pPr>
              <w:pStyle w:val="P68B1DB1-Normal8"/>
              <w:spacing w:after="0" w:line="240" w:lineRule="auto"/>
              <w:jc w:val="center"/>
              <w:rPr>
                <w:rFonts w:eastAsia="Times New Roman" w:cs="Calibri"/>
                <w:noProof/>
              </w:rPr>
            </w:pPr>
            <w:r>
              <w:rPr>
                <w:noProof/>
              </w:rPr>
              <w:t>2025</w:t>
            </w:r>
          </w:p>
        </w:tc>
        <w:tc>
          <w:tcPr>
            <w:tcW w:w="4347" w:type="dxa"/>
            <w:shd w:val="clear" w:color="auto" w:fill="C4EFCE"/>
            <w:vAlign w:val="center"/>
          </w:tcPr>
          <w:p w14:paraId="3D491425" w14:textId="77777777"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 xml:space="preserve">Öt projekt lezárása: </w:t>
            </w:r>
          </w:p>
          <w:p w14:paraId="5A78D913" w14:textId="77777777"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 xml:space="preserve">APR+ hozzáférhető, inkluzív és nyitott közigazgatás </w:t>
            </w:r>
          </w:p>
          <w:p w14:paraId="3074EF7C" w14:textId="77777777"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APR + agilisabb közszolgáltatások, valamint az államháztartás ellenőrzési és irányítási rendszere.</w:t>
            </w:r>
          </w:p>
          <w:p w14:paraId="18AA1A5C" w14:textId="351449F8" w:rsidR="00CF0219" w:rsidRDefault="00CF0219" w:rsidP="00CF0219">
            <w:pPr>
              <w:pStyle w:val="P68B1DB1-Normal8"/>
              <w:tabs>
                <w:tab w:val="left" w:pos="710"/>
                <w:tab w:val="right" w:pos="1963"/>
              </w:tabs>
              <w:spacing w:after="0" w:line="288" w:lineRule="auto"/>
              <w:jc w:val="both"/>
              <w:rPr>
                <w:rFonts w:eastAsia="Times New Roman" w:cs="Calibri"/>
                <w:noProof/>
              </w:rPr>
            </w:pPr>
            <w:r>
              <w:rPr>
                <w:noProof/>
              </w:rPr>
              <w:t xml:space="preserve">APR+ Proactiva </w:t>
            </w:r>
          </w:p>
          <w:p w14:paraId="4BD5069C" w14:textId="6355AD50" w:rsidR="00CF0219" w:rsidRDefault="00CF0219" w:rsidP="00CF0219">
            <w:pPr>
              <w:pStyle w:val="P68B1DB1-Normal8"/>
              <w:tabs>
                <w:tab w:val="left" w:pos="710"/>
                <w:tab w:val="right" w:pos="1963"/>
              </w:tabs>
              <w:spacing w:after="0" w:line="288" w:lineRule="auto"/>
              <w:jc w:val="both"/>
              <w:rPr>
                <w:rFonts w:ascii="Arial" w:eastAsia="Arial" w:hAnsi="Arial" w:cs="Arial"/>
                <w:noProof/>
                <w:sz w:val="15"/>
              </w:rPr>
            </w:pPr>
            <w:r>
              <w:rPr>
                <w:noProof/>
              </w:rPr>
              <w:t>Mobilportál a regionális közigazgatás számára – APR+ a jövő kihívásainak megfelelően</w:t>
            </w:r>
          </w:p>
        </w:tc>
      </w:tr>
      <w:tr w:rsidR="00CF0219" w14:paraId="700CCFFC" w14:textId="77777777" w:rsidTr="00C009B1">
        <w:trPr>
          <w:trHeight w:val="430"/>
        </w:trPr>
        <w:tc>
          <w:tcPr>
            <w:tcW w:w="1061" w:type="dxa"/>
            <w:shd w:val="clear" w:color="auto" w:fill="C4EFCE"/>
            <w:vAlign w:val="center"/>
            <w:hideMark/>
          </w:tcPr>
          <w:p w14:paraId="6F89E376" w14:textId="77777777" w:rsidR="00CF0219" w:rsidRDefault="00CF0219" w:rsidP="00CF0219">
            <w:pPr>
              <w:pStyle w:val="P68B1DB1-Normal7"/>
              <w:spacing w:after="0" w:line="240" w:lineRule="auto"/>
              <w:jc w:val="center"/>
              <w:rPr>
                <w:rFonts w:eastAsia="Times New Roman" w:cs="Calibri"/>
                <w:noProof/>
              </w:rPr>
            </w:pPr>
            <w:r>
              <w:rPr>
                <w:noProof/>
              </w:rPr>
              <w:t>19.19</w:t>
            </w:r>
          </w:p>
        </w:tc>
        <w:tc>
          <w:tcPr>
            <w:tcW w:w="1186" w:type="dxa"/>
            <w:shd w:val="clear" w:color="auto" w:fill="C4EFCE"/>
            <w:noWrap/>
            <w:vAlign w:val="center"/>
            <w:hideMark/>
          </w:tcPr>
          <w:p w14:paraId="17E815D0" w14:textId="77777777" w:rsidR="00CF0219" w:rsidRDefault="00CF0219" w:rsidP="00CF0219">
            <w:pPr>
              <w:pStyle w:val="P68B1DB1-Normal8"/>
              <w:spacing w:after="0" w:line="240" w:lineRule="auto"/>
              <w:jc w:val="center"/>
              <w:rPr>
                <w:rFonts w:eastAsia="Times New Roman" w:cs="Calibri"/>
                <w:noProof/>
              </w:rPr>
            </w:pPr>
            <w:r>
              <w:rPr>
                <w:noProof/>
              </w:rPr>
              <w:t>TD-C19-i07</w:t>
            </w:r>
          </w:p>
        </w:tc>
        <w:tc>
          <w:tcPr>
            <w:tcW w:w="1058" w:type="dxa"/>
            <w:shd w:val="clear" w:color="auto" w:fill="C4EFCE"/>
            <w:noWrap/>
            <w:vAlign w:val="center"/>
            <w:hideMark/>
          </w:tcPr>
          <w:p w14:paraId="3D998E6D" w14:textId="77777777" w:rsidR="00CF0219" w:rsidRDefault="00CF0219" w:rsidP="00CF0219">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6F9B879" w14:textId="77777777" w:rsidR="00CF0219" w:rsidRDefault="00CF0219" w:rsidP="00CF0219">
            <w:pPr>
              <w:pStyle w:val="P68B1DB1-Normal8"/>
              <w:spacing w:after="0" w:line="240" w:lineRule="auto"/>
              <w:jc w:val="center"/>
              <w:rPr>
                <w:rFonts w:eastAsia="Times New Roman" w:cs="Calibri"/>
                <w:noProof/>
              </w:rPr>
            </w:pPr>
            <w:r>
              <w:rPr>
                <w:noProof/>
              </w:rPr>
              <w:t>Gyakornoki program diplomások számára</w:t>
            </w:r>
          </w:p>
        </w:tc>
        <w:tc>
          <w:tcPr>
            <w:tcW w:w="1314" w:type="dxa"/>
            <w:shd w:val="clear" w:color="auto" w:fill="C4EFCE"/>
            <w:noWrap/>
            <w:vAlign w:val="center"/>
            <w:hideMark/>
          </w:tcPr>
          <w:p w14:paraId="7526E1BB"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6FAEB2B9" w14:textId="77777777" w:rsidR="00CF0219" w:rsidRDefault="00CF0219" w:rsidP="00CF0219">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1C0B63B6" w14:textId="77777777" w:rsidR="00CF0219" w:rsidRDefault="00CF0219" w:rsidP="00CF0219">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7BFD045F" w14:textId="77777777" w:rsidR="00CF0219" w:rsidRDefault="00CF0219" w:rsidP="00CF0219">
            <w:pPr>
              <w:pStyle w:val="P68B1DB1-Normal8"/>
              <w:spacing w:after="0" w:line="240" w:lineRule="auto"/>
              <w:jc w:val="center"/>
              <w:rPr>
                <w:rFonts w:eastAsia="Times New Roman" w:cs="Calibri"/>
                <w:noProof/>
              </w:rPr>
            </w:pPr>
            <w:r>
              <w:rPr>
                <w:noProof/>
              </w:rPr>
              <w:t>1 500</w:t>
            </w:r>
          </w:p>
        </w:tc>
        <w:tc>
          <w:tcPr>
            <w:tcW w:w="542" w:type="dxa"/>
            <w:shd w:val="clear" w:color="auto" w:fill="C4EFCE"/>
            <w:noWrap/>
            <w:vAlign w:val="center"/>
            <w:hideMark/>
          </w:tcPr>
          <w:p w14:paraId="349DA6C0" w14:textId="1F5A7617"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1F12DF81" w14:textId="77777777" w:rsidR="00CF0219" w:rsidRDefault="00CF0219" w:rsidP="00CF0219">
            <w:pPr>
              <w:pStyle w:val="P68B1DB1-Normal8"/>
              <w:spacing w:after="0" w:line="240" w:lineRule="auto"/>
              <w:jc w:val="center"/>
              <w:rPr>
                <w:rFonts w:eastAsia="Times New Roman" w:cs="Calibri"/>
                <w:noProof/>
              </w:rPr>
            </w:pPr>
            <w:r>
              <w:rPr>
                <w:noProof/>
              </w:rPr>
              <w:t>2023</w:t>
            </w:r>
          </w:p>
        </w:tc>
        <w:tc>
          <w:tcPr>
            <w:tcW w:w="4347" w:type="dxa"/>
            <w:shd w:val="clear" w:color="auto" w:fill="C4EFCE"/>
            <w:vAlign w:val="center"/>
            <w:hideMark/>
          </w:tcPr>
          <w:p w14:paraId="321523D7" w14:textId="77777777" w:rsidR="00CF0219" w:rsidRDefault="00CF0219" w:rsidP="00CF0219">
            <w:pPr>
              <w:pStyle w:val="P68B1DB1-Normal8"/>
              <w:spacing w:after="0" w:line="240" w:lineRule="auto"/>
              <w:jc w:val="both"/>
              <w:rPr>
                <w:rFonts w:eastAsia="Times New Roman" w:cs="Calibri"/>
                <w:noProof/>
              </w:rPr>
            </w:pPr>
            <w:r>
              <w:rPr>
                <w:noProof/>
              </w:rPr>
              <w:t xml:space="preserve">A 11/2021. sz. </w:t>
            </w:r>
            <w:r>
              <w:rPr>
                <w:i/>
                <w:noProof/>
              </w:rPr>
              <w:t>Resolução do Conselho de Ministros alapján létrehozott közigazgatási gyakornoki programot látogatott diplomások száma</w:t>
            </w:r>
            <w:r>
              <w:rPr>
                <w:noProof/>
              </w:rPr>
              <w:t xml:space="preserve">  </w:t>
            </w:r>
          </w:p>
        </w:tc>
      </w:tr>
      <w:tr w:rsidR="00CF0219" w14:paraId="7C101E4F" w14:textId="77777777" w:rsidTr="00C009B1">
        <w:trPr>
          <w:trHeight w:val="845"/>
        </w:trPr>
        <w:tc>
          <w:tcPr>
            <w:tcW w:w="1061" w:type="dxa"/>
            <w:shd w:val="clear" w:color="auto" w:fill="C4EFCE"/>
            <w:vAlign w:val="center"/>
            <w:hideMark/>
          </w:tcPr>
          <w:p w14:paraId="3693F16E" w14:textId="77777777" w:rsidR="00CF0219" w:rsidRDefault="00CF0219" w:rsidP="00CF0219">
            <w:pPr>
              <w:pStyle w:val="P68B1DB1-Normal7"/>
              <w:spacing w:after="0" w:line="240" w:lineRule="auto"/>
              <w:jc w:val="center"/>
              <w:rPr>
                <w:rFonts w:eastAsia="Times New Roman" w:cs="Calibri"/>
                <w:noProof/>
              </w:rPr>
            </w:pPr>
            <w:r>
              <w:rPr>
                <w:noProof/>
              </w:rPr>
              <w:t>19.20</w:t>
            </w:r>
          </w:p>
        </w:tc>
        <w:tc>
          <w:tcPr>
            <w:tcW w:w="1186" w:type="dxa"/>
            <w:shd w:val="clear" w:color="auto" w:fill="C4EFCE"/>
            <w:noWrap/>
            <w:vAlign w:val="center"/>
            <w:hideMark/>
          </w:tcPr>
          <w:p w14:paraId="64A1DE9A" w14:textId="77777777" w:rsidR="00CF0219" w:rsidRDefault="00CF0219" w:rsidP="00CF0219">
            <w:pPr>
              <w:pStyle w:val="P68B1DB1-Normal8"/>
              <w:spacing w:after="0" w:line="240" w:lineRule="auto"/>
              <w:jc w:val="center"/>
              <w:rPr>
                <w:rFonts w:eastAsia="Times New Roman" w:cs="Calibri"/>
                <w:noProof/>
              </w:rPr>
            </w:pPr>
            <w:r>
              <w:rPr>
                <w:noProof/>
              </w:rPr>
              <w:t>TD-C19-i07</w:t>
            </w:r>
          </w:p>
        </w:tc>
        <w:tc>
          <w:tcPr>
            <w:tcW w:w="1058" w:type="dxa"/>
            <w:shd w:val="clear" w:color="auto" w:fill="C4EFCE"/>
            <w:noWrap/>
            <w:vAlign w:val="center"/>
            <w:hideMark/>
          </w:tcPr>
          <w:p w14:paraId="30E5AB63" w14:textId="77777777" w:rsidR="00CF0219" w:rsidRDefault="00CF0219" w:rsidP="00CF0219">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75ECCEF3" w14:textId="77777777" w:rsidR="00CF0219" w:rsidRDefault="00CF0219" w:rsidP="00CF0219">
            <w:pPr>
              <w:pStyle w:val="P68B1DB1-Normal8"/>
              <w:spacing w:after="0" w:line="240" w:lineRule="auto"/>
              <w:jc w:val="center"/>
              <w:rPr>
                <w:rFonts w:eastAsia="Times New Roman" w:cs="Calibri"/>
                <w:noProof/>
              </w:rPr>
            </w:pPr>
            <w:r>
              <w:rPr>
                <w:noProof/>
              </w:rPr>
              <w:t xml:space="preserve">A távmunkában dolgozó közalkalmazottak </w:t>
            </w:r>
          </w:p>
        </w:tc>
        <w:tc>
          <w:tcPr>
            <w:tcW w:w="1314" w:type="dxa"/>
            <w:shd w:val="clear" w:color="auto" w:fill="C4EFCE"/>
            <w:noWrap/>
            <w:vAlign w:val="center"/>
            <w:hideMark/>
          </w:tcPr>
          <w:p w14:paraId="18CC4640"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6FAFD665" w14:textId="77777777" w:rsidR="00CF0219" w:rsidRDefault="00CF0219" w:rsidP="00CF0219">
            <w:pPr>
              <w:pStyle w:val="P68B1DB1-Normal8"/>
              <w:spacing w:after="0" w:line="240" w:lineRule="auto"/>
              <w:jc w:val="center"/>
              <w:rPr>
                <w:rFonts w:eastAsia="Times New Roman" w:cs="Calibri"/>
                <w:noProof/>
              </w:rPr>
            </w:pPr>
            <w:r>
              <w:rPr>
                <w:noProof/>
              </w:rPr>
              <w:t>%</w:t>
            </w:r>
          </w:p>
        </w:tc>
        <w:tc>
          <w:tcPr>
            <w:tcW w:w="928" w:type="dxa"/>
            <w:shd w:val="clear" w:color="auto" w:fill="C4EFCE"/>
            <w:noWrap/>
            <w:vAlign w:val="center"/>
            <w:hideMark/>
          </w:tcPr>
          <w:p w14:paraId="47C0D607" w14:textId="77777777" w:rsidR="00CF0219" w:rsidRDefault="00CF0219" w:rsidP="00CF0219">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4BDFB5C4" w14:textId="77777777" w:rsidR="00CF0219" w:rsidRDefault="00CF0219" w:rsidP="00CF0219">
            <w:pPr>
              <w:pStyle w:val="P68B1DB1-Normal8"/>
              <w:spacing w:after="0" w:line="240" w:lineRule="auto"/>
              <w:jc w:val="center"/>
              <w:rPr>
                <w:rFonts w:eastAsia="Times New Roman" w:cs="Calibri"/>
                <w:noProof/>
              </w:rPr>
            </w:pPr>
            <w:r>
              <w:rPr>
                <w:noProof/>
              </w:rPr>
              <w:t>25</w:t>
            </w:r>
          </w:p>
        </w:tc>
        <w:tc>
          <w:tcPr>
            <w:tcW w:w="542" w:type="dxa"/>
            <w:shd w:val="clear" w:color="auto" w:fill="C4EFCE"/>
            <w:noWrap/>
            <w:vAlign w:val="center"/>
            <w:hideMark/>
          </w:tcPr>
          <w:p w14:paraId="604CF745" w14:textId="6AEAA147"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03B6EE75" w14:textId="77777777" w:rsidR="00CF0219" w:rsidRDefault="00CF0219" w:rsidP="00CF0219">
            <w:pPr>
              <w:pStyle w:val="P68B1DB1-Normal8"/>
              <w:spacing w:after="0" w:line="240" w:lineRule="auto"/>
              <w:jc w:val="center"/>
              <w:rPr>
                <w:rFonts w:eastAsia="Times New Roman" w:cs="Calibri"/>
                <w:noProof/>
              </w:rPr>
            </w:pPr>
            <w:r>
              <w:rPr>
                <w:noProof/>
              </w:rPr>
              <w:t>2023</w:t>
            </w:r>
          </w:p>
        </w:tc>
        <w:tc>
          <w:tcPr>
            <w:tcW w:w="4347" w:type="dxa"/>
            <w:shd w:val="clear" w:color="auto" w:fill="C4EFCE"/>
            <w:vAlign w:val="center"/>
            <w:hideMark/>
          </w:tcPr>
          <w:p w14:paraId="1BE6B08F" w14:textId="77777777" w:rsidR="00CF0219" w:rsidRDefault="00CF0219" w:rsidP="00CF0219">
            <w:pPr>
              <w:pStyle w:val="P68B1DB1-Normal8"/>
              <w:spacing w:after="0" w:line="240" w:lineRule="auto"/>
              <w:jc w:val="both"/>
              <w:rPr>
                <w:rFonts w:eastAsia="Times New Roman" w:cs="Calibri"/>
                <w:noProof/>
              </w:rPr>
            </w:pPr>
            <w:r>
              <w:rPr>
                <w:noProof/>
              </w:rPr>
              <w:t>A távmunkával kompatibilis funkciókkal rendelkező munkavállalók százalékos aránya, akik hatékonyan dolgoznak a távmunkában</w:t>
            </w:r>
          </w:p>
        </w:tc>
      </w:tr>
      <w:tr w:rsidR="00DC5EC6" w14:paraId="257C5019" w14:textId="77777777" w:rsidTr="00C009B1">
        <w:trPr>
          <w:trHeight w:val="290"/>
        </w:trPr>
        <w:tc>
          <w:tcPr>
            <w:tcW w:w="1061" w:type="dxa"/>
            <w:shd w:val="clear" w:color="auto" w:fill="C4EFCE"/>
            <w:vAlign w:val="center"/>
            <w:hideMark/>
          </w:tcPr>
          <w:p w14:paraId="1167BE07" w14:textId="77777777" w:rsidR="00DC5EC6" w:rsidRDefault="003245A4">
            <w:pPr>
              <w:pStyle w:val="P68B1DB1-Normal7"/>
              <w:spacing w:after="0" w:line="240" w:lineRule="auto"/>
              <w:jc w:val="center"/>
              <w:rPr>
                <w:rFonts w:eastAsia="Times New Roman" w:cs="Calibri"/>
                <w:noProof/>
              </w:rPr>
            </w:pPr>
            <w:r>
              <w:rPr>
                <w:noProof/>
              </w:rPr>
              <w:t>19.21</w:t>
            </w:r>
          </w:p>
        </w:tc>
        <w:tc>
          <w:tcPr>
            <w:tcW w:w="1186" w:type="dxa"/>
            <w:shd w:val="clear" w:color="auto" w:fill="C4EFCE"/>
            <w:noWrap/>
            <w:vAlign w:val="center"/>
            <w:hideMark/>
          </w:tcPr>
          <w:p w14:paraId="53F1D9CD" w14:textId="77777777" w:rsidR="00DC5EC6" w:rsidRDefault="003245A4">
            <w:pPr>
              <w:pStyle w:val="P68B1DB1-Normal8"/>
              <w:spacing w:after="0" w:line="240" w:lineRule="auto"/>
              <w:jc w:val="center"/>
              <w:rPr>
                <w:rFonts w:eastAsia="Times New Roman" w:cs="Calibri"/>
                <w:noProof/>
              </w:rPr>
            </w:pPr>
            <w:r>
              <w:rPr>
                <w:noProof/>
              </w:rPr>
              <w:t>TD-C19-i07</w:t>
            </w:r>
          </w:p>
        </w:tc>
        <w:tc>
          <w:tcPr>
            <w:tcW w:w="1058" w:type="dxa"/>
            <w:shd w:val="clear" w:color="auto" w:fill="C4EFCE"/>
            <w:noWrap/>
            <w:vAlign w:val="center"/>
            <w:hideMark/>
          </w:tcPr>
          <w:p w14:paraId="003D5D5A" w14:textId="77777777" w:rsidR="00DC5EC6" w:rsidRDefault="003245A4">
            <w:pPr>
              <w:pStyle w:val="P68B1DB1-Normal8"/>
              <w:spacing w:after="0" w:line="240" w:lineRule="auto"/>
              <w:jc w:val="center"/>
              <w:rPr>
                <w:rFonts w:eastAsia="Times New Roman" w:cs="Calibri"/>
                <w:noProof/>
              </w:rPr>
            </w:pPr>
            <w:r>
              <w:rPr>
                <w:noProof/>
              </w:rPr>
              <w:t>T</w:t>
            </w:r>
          </w:p>
        </w:tc>
        <w:tc>
          <w:tcPr>
            <w:tcW w:w="1573" w:type="dxa"/>
            <w:shd w:val="clear" w:color="auto" w:fill="C4EFCE"/>
            <w:noWrap/>
            <w:vAlign w:val="center"/>
            <w:hideMark/>
          </w:tcPr>
          <w:p w14:paraId="4D32EAEF" w14:textId="77777777" w:rsidR="00DC5EC6" w:rsidRDefault="003245A4">
            <w:pPr>
              <w:pStyle w:val="P68B1DB1-Normal8"/>
              <w:spacing w:after="0" w:line="240" w:lineRule="auto"/>
              <w:jc w:val="center"/>
              <w:rPr>
                <w:rFonts w:eastAsia="Times New Roman" w:cs="Calibri"/>
                <w:noProof/>
              </w:rPr>
            </w:pPr>
            <w:r>
              <w:rPr>
                <w:noProof/>
              </w:rPr>
              <w:t>A közigazgatásban dolgozók képzése</w:t>
            </w:r>
          </w:p>
        </w:tc>
        <w:tc>
          <w:tcPr>
            <w:tcW w:w="1314" w:type="dxa"/>
            <w:shd w:val="clear" w:color="auto" w:fill="C4EFCE"/>
            <w:noWrap/>
            <w:vAlign w:val="center"/>
            <w:hideMark/>
          </w:tcPr>
          <w:p w14:paraId="356BB73B" w14:textId="77777777" w:rsidR="00DC5EC6" w:rsidRDefault="003245A4">
            <w:pPr>
              <w:pStyle w:val="P68B1DB1-Normal8"/>
              <w:spacing w:after="0" w:line="240" w:lineRule="auto"/>
              <w:jc w:val="center"/>
              <w:rPr>
                <w:rFonts w:eastAsia="Times New Roman" w:cs="Calibri"/>
                <w:noProof/>
              </w:rPr>
            </w:pPr>
            <w:r>
              <w:rPr>
                <w:noProof/>
              </w:rPr>
              <w:t> </w:t>
            </w:r>
          </w:p>
        </w:tc>
        <w:tc>
          <w:tcPr>
            <w:tcW w:w="1110" w:type="dxa"/>
            <w:shd w:val="clear" w:color="auto" w:fill="C4EFCE"/>
            <w:noWrap/>
            <w:vAlign w:val="center"/>
            <w:hideMark/>
          </w:tcPr>
          <w:p w14:paraId="00612396" w14:textId="77777777" w:rsidR="00DC5EC6" w:rsidRDefault="003245A4">
            <w:pPr>
              <w:pStyle w:val="P68B1DB1-Normal8"/>
              <w:spacing w:after="0" w:line="240" w:lineRule="auto"/>
              <w:jc w:val="center"/>
              <w:rPr>
                <w:rFonts w:eastAsia="Times New Roman" w:cs="Calibri"/>
                <w:noProof/>
              </w:rPr>
            </w:pPr>
            <w:r>
              <w:rPr>
                <w:noProof/>
              </w:rPr>
              <w:t>Szám</w:t>
            </w:r>
          </w:p>
        </w:tc>
        <w:tc>
          <w:tcPr>
            <w:tcW w:w="928" w:type="dxa"/>
            <w:shd w:val="clear" w:color="auto" w:fill="C4EFCE"/>
            <w:noWrap/>
            <w:vAlign w:val="center"/>
            <w:hideMark/>
          </w:tcPr>
          <w:p w14:paraId="299EDA1B" w14:textId="77777777" w:rsidR="00DC5EC6" w:rsidRDefault="003245A4">
            <w:pPr>
              <w:pStyle w:val="P68B1DB1-Normal8"/>
              <w:spacing w:after="0" w:line="240" w:lineRule="auto"/>
              <w:jc w:val="center"/>
              <w:rPr>
                <w:rFonts w:eastAsia="Times New Roman" w:cs="Calibri"/>
                <w:noProof/>
              </w:rPr>
            </w:pPr>
            <w:r>
              <w:rPr>
                <w:noProof/>
              </w:rPr>
              <w:t>0</w:t>
            </w:r>
          </w:p>
        </w:tc>
        <w:tc>
          <w:tcPr>
            <w:tcW w:w="670" w:type="dxa"/>
            <w:shd w:val="clear" w:color="auto" w:fill="C4EFCE"/>
            <w:noWrap/>
            <w:vAlign w:val="center"/>
            <w:hideMark/>
          </w:tcPr>
          <w:p w14:paraId="4E220285" w14:textId="3C6BE53E" w:rsidR="00DC5EC6" w:rsidRDefault="003245A4">
            <w:pPr>
              <w:pStyle w:val="P68B1DB1-Normal8"/>
              <w:spacing w:after="0" w:line="240" w:lineRule="auto"/>
              <w:jc w:val="center"/>
              <w:rPr>
                <w:rFonts w:eastAsia="Times New Roman" w:cs="Calibri"/>
                <w:noProof/>
              </w:rPr>
            </w:pPr>
            <w:r>
              <w:rPr>
                <w:noProof/>
              </w:rPr>
              <w:t>96 400</w:t>
            </w:r>
          </w:p>
        </w:tc>
        <w:tc>
          <w:tcPr>
            <w:tcW w:w="542" w:type="dxa"/>
            <w:shd w:val="clear" w:color="auto" w:fill="C4EFCE"/>
            <w:noWrap/>
            <w:vAlign w:val="center"/>
            <w:hideMark/>
          </w:tcPr>
          <w:p w14:paraId="09C77FD6" w14:textId="3B61D2CE" w:rsidR="00DC5EC6" w:rsidRDefault="00CF0219">
            <w:pPr>
              <w:pStyle w:val="P68B1DB1-Normal8"/>
              <w:spacing w:after="0" w:line="240" w:lineRule="auto"/>
              <w:jc w:val="center"/>
              <w:rPr>
                <w:rFonts w:eastAsia="Times New Roman" w:cs="Calibri"/>
                <w:noProof/>
              </w:rPr>
            </w:pPr>
            <w:r>
              <w:rPr>
                <w:noProof/>
              </w:rPr>
              <w:t>1.</w:t>
            </w:r>
            <w:r w:rsidR="003245A4">
              <w:rPr>
                <w:noProof/>
              </w:rPr>
              <w:t>NEGYEDÉV</w:t>
            </w:r>
          </w:p>
        </w:tc>
        <w:tc>
          <w:tcPr>
            <w:tcW w:w="670" w:type="dxa"/>
            <w:shd w:val="clear" w:color="auto" w:fill="C4EFCE"/>
            <w:noWrap/>
            <w:vAlign w:val="center"/>
            <w:hideMark/>
          </w:tcPr>
          <w:p w14:paraId="457FEE36" w14:textId="77777777" w:rsidR="00DC5EC6" w:rsidRDefault="003245A4">
            <w:pPr>
              <w:pStyle w:val="P68B1DB1-Normal8"/>
              <w:spacing w:after="0" w:line="240" w:lineRule="auto"/>
              <w:jc w:val="center"/>
              <w:rPr>
                <w:rFonts w:eastAsia="Times New Roman" w:cs="Calibri"/>
                <w:noProof/>
              </w:rPr>
            </w:pPr>
            <w:r>
              <w:rPr>
                <w:noProof/>
              </w:rPr>
              <w:t>2026</w:t>
            </w:r>
          </w:p>
        </w:tc>
        <w:tc>
          <w:tcPr>
            <w:tcW w:w="4347" w:type="dxa"/>
            <w:shd w:val="clear" w:color="auto" w:fill="C4EFCE"/>
            <w:vAlign w:val="center"/>
            <w:hideMark/>
          </w:tcPr>
          <w:p w14:paraId="5E2A4ED8" w14:textId="77777777" w:rsidR="00DC5EC6" w:rsidRDefault="003245A4">
            <w:pPr>
              <w:pStyle w:val="P68B1DB1-Normal8"/>
              <w:spacing w:after="0" w:line="240" w:lineRule="auto"/>
              <w:jc w:val="both"/>
              <w:rPr>
                <w:rFonts w:eastAsia="Times New Roman" w:cs="Calibri"/>
                <w:noProof/>
              </w:rPr>
            </w:pPr>
            <w:r>
              <w:rPr>
                <w:noProof/>
              </w:rPr>
              <w:t>A képzés résztvevőinek száma a következő kapacitásépítési programokban:</w:t>
            </w:r>
          </w:p>
          <w:p w14:paraId="3545F647" w14:textId="77777777" w:rsidR="00DC5EC6" w:rsidRDefault="003245A4">
            <w:pPr>
              <w:pStyle w:val="P68B1DB1-Normal8"/>
              <w:spacing w:after="0" w:line="240" w:lineRule="auto"/>
              <w:jc w:val="both"/>
              <w:rPr>
                <w:rFonts w:eastAsia="Times New Roman" w:cs="Calibri"/>
                <w:noProof/>
              </w:rPr>
            </w:pPr>
            <w:r>
              <w:rPr>
                <w:i/>
                <w:noProof/>
              </w:rPr>
              <w:t>Programa de capacitação digital</w:t>
            </w:r>
            <w:r>
              <w:rPr>
                <w:noProof/>
              </w:rPr>
              <w:t xml:space="preserve"> </w:t>
            </w:r>
          </w:p>
          <w:p w14:paraId="4161D919" w14:textId="77777777" w:rsidR="00DC5EC6" w:rsidRDefault="003245A4">
            <w:pPr>
              <w:pStyle w:val="P68B1DB1-Normal8"/>
              <w:spacing w:after="0" w:line="240" w:lineRule="auto"/>
              <w:jc w:val="both"/>
              <w:rPr>
                <w:rFonts w:eastAsia="Times New Roman" w:cs="Calibri"/>
                <w:noProof/>
              </w:rPr>
            </w:pPr>
            <w:r>
              <w:rPr>
                <w:noProof/>
              </w:rPr>
              <w:t xml:space="preserve">Felsőbb szintű és felsőoktatás a vezetésben </w:t>
            </w:r>
          </w:p>
          <w:p w14:paraId="6D3A99C1" w14:textId="77777777" w:rsidR="00DC5EC6" w:rsidRDefault="003245A4">
            <w:pPr>
              <w:pStyle w:val="P68B1DB1-Normal8"/>
              <w:spacing w:after="0" w:line="240" w:lineRule="auto"/>
              <w:jc w:val="both"/>
              <w:rPr>
                <w:rFonts w:eastAsia="Times New Roman" w:cs="Calibri"/>
                <w:i/>
                <w:noProof/>
              </w:rPr>
            </w:pPr>
            <w:r>
              <w:rPr>
                <w:noProof/>
              </w:rPr>
              <w:t xml:space="preserve">Képzés </w:t>
            </w:r>
            <w:r>
              <w:rPr>
                <w:i/>
                <w:noProof/>
              </w:rPr>
              <w:t xml:space="preserve">Lojas do Cidadão/Espaços Cidadão </w:t>
            </w:r>
            <w:r>
              <w:rPr>
                <w:noProof/>
              </w:rPr>
              <w:t>számára</w:t>
            </w:r>
          </w:p>
          <w:p w14:paraId="0F98079D" w14:textId="77777777" w:rsidR="00DC5EC6" w:rsidRDefault="003245A4">
            <w:pPr>
              <w:pStyle w:val="P68B1DB1-Normal8"/>
              <w:spacing w:after="0" w:line="240" w:lineRule="auto"/>
              <w:jc w:val="both"/>
              <w:rPr>
                <w:rFonts w:eastAsia="Times New Roman" w:cs="Calibri"/>
                <w:noProof/>
              </w:rPr>
            </w:pPr>
            <w:r>
              <w:rPr>
                <w:i/>
                <w:noProof/>
              </w:rPr>
              <w:t>Qualifica AP</w:t>
            </w:r>
            <w:r>
              <w:rPr>
                <w:noProof/>
              </w:rPr>
              <w:t xml:space="preserve"> program </w:t>
            </w:r>
          </w:p>
          <w:p w14:paraId="6471EAAE" w14:textId="77777777" w:rsidR="00DC5EC6" w:rsidRDefault="003245A4">
            <w:pPr>
              <w:pStyle w:val="P68B1DB1-Normal8"/>
              <w:spacing w:after="0" w:line="240" w:lineRule="auto"/>
              <w:jc w:val="both"/>
              <w:rPr>
                <w:rFonts w:eastAsia="Times New Roman" w:cs="Calibri"/>
                <w:noProof/>
              </w:rPr>
            </w:pPr>
            <w:r>
              <w:rPr>
                <w:noProof/>
              </w:rPr>
              <w:t>PlanAPP – tervezési és előrejelzési készségfejlesztési projekt</w:t>
            </w:r>
          </w:p>
          <w:p w14:paraId="57E273AB" w14:textId="2AC231AE" w:rsidR="00DC5EC6" w:rsidRDefault="003245A4">
            <w:pPr>
              <w:pStyle w:val="P68B1DB1-Normal8"/>
              <w:spacing w:after="0" w:line="240" w:lineRule="auto"/>
              <w:jc w:val="both"/>
              <w:rPr>
                <w:rFonts w:eastAsia="Times New Roman" w:cs="Calibri"/>
                <w:noProof/>
              </w:rPr>
            </w:pPr>
            <w:r>
              <w:rPr>
                <w:noProof/>
              </w:rPr>
              <w:t>SIADAP</w:t>
            </w:r>
          </w:p>
        </w:tc>
      </w:tr>
      <w:tr w:rsidR="00DC5EC6" w14:paraId="7FBC13AB" w14:textId="77777777" w:rsidTr="00C009B1">
        <w:trPr>
          <w:trHeight w:val="290"/>
        </w:trPr>
        <w:tc>
          <w:tcPr>
            <w:tcW w:w="1061" w:type="dxa"/>
            <w:shd w:val="clear" w:color="auto" w:fill="C4EFCE"/>
            <w:vAlign w:val="center"/>
          </w:tcPr>
          <w:p w14:paraId="58D022BD" w14:textId="64345F0E" w:rsidR="00DC5EC6" w:rsidRDefault="003245A4">
            <w:pPr>
              <w:pStyle w:val="P68B1DB1-Normal7"/>
              <w:spacing w:after="0" w:line="240" w:lineRule="auto"/>
              <w:jc w:val="center"/>
              <w:rPr>
                <w:rFonts w:eastAsia="Times New Roman" w:cs="Calibri"/>
                <w:noProof/>
              </w:rPr>
            </w:pPr>
            <w:r>
              <w:rPr>
                <w:noProof/>
              </w:rPr>
              <w:t>19.22</w:t>
            </w:r>
          </w:p>
        </w:tc>
        <w:tc>
          <w:tcPr>
            <w:tcW w:w="1186" w:type="dxa"/>
            <w:shd w:val="clear" w:color="auto" w:fill="C4EFCE"/>
            <w:noWrap/>
            <w:vAlign w:val="center"/>
          </w:tcPr>
          <w:p w14:paraId="43D1A15C" w14:textId="13068CEA" w:rsidR="00DC5EC6" w:rsidRDefault="003245A4">
            <w:pPr>
              <w:pStyle w:val="P68B1DB1-Normal8"/>
              <w:spacing w:after="0" w:line="240" w:lineRule="auto"/>
              <w:jc w:val="center"/>
              <w:rPr>
                <w:rFonts w:eastAsia="Times New Roman" w:cs="Calibri"/>
                <w:noProof/>
              </w:rPr>
            </w:pPr>
            <w:r>
              <w:rPr>
                <w:noProof/>
              </w:rPr>
              <w:t>TD-C19–r34</w:t>
            </w:r>
          </w:p>
        </w:tc>
        <w:tc>
          <w:tcPr>
            <w:tcW w:w="1058" w:type="dxa"/>
            <w:shd w:val="clear" w:color="auto" w:fill="C4EFCE"/>
            <w:noWrap/>
            <w:vAlign w:val="center"/>
          </w:tcPr>
          <w:p w14:paraId="5C282FC5" w14:textId="21349B74" w:rsidR="00DC5EC6" w:rsidRDefault="003245A4">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tcPr>
          <w:p w14:paraId="0CBD813F" w14:textId="660102B3" w:rsidR="00DC5EC6" w:rsidRDefault="003245A4">
            <w:pPr>
              <w:pStyle w:val="P68B1DB1-Normal8"/>
              <w:spacing w:after="0" w:line="240" w:lineRule="auto"/>
              <w:jc w:val="center"/>
              <w:rPr>
                <w:rFonts w:eastAsia="Times New Roman" w:cs="Calibri"/>
                <w:noProof/>
              </w:rPr>
            </w:pPr>
            <w:r>
              <w:rPr>
                <w:noProof/>
              </w:rPr>
              <w:t>A közigazgatás digitális átalakulására vonatkozó jogi keret hatálybalépése</w:t>
            </w:r>
          </w:p>
        </w:tc>
        <w:tc>
          <w:tcPr>
            <w:tcW w:w="1314" w:type="dxa"/>
            <w:shd w:val="clear" w:color="auto" w:fill="C4EFCE"/>
            <w:noWrap/>
            <w:vAlign w:val="center"/>
          </w:tcPr>
          <w:p w14:paraId="5D13F7D8" w14:textId="7CE7177C" w:rsidR="00DC5EC6" w:rsidRDefault="003245A4">
            <w:pPr>
              <w:pStyle w:val="P68B1DB1-Normal8"/>
              <w:spacing w:after="0" w:line="240" w:lineRule="auto"/>
              <w:jc w:val="center"/>
              <w:rPr>
                <w:rFonts w:eastAsia="Times New Roman" w:cs="Calibri"/>
                <w:noProof/>
              </w:rPr>
            </w:pPr>
            <w:r>
              <w:rPr>
                <w:noProof/>
              </w:rPr>
              <w:t>A közigazgatás digitális átalakulására vonatkozó jogi keret hatálybalépése</w:t>
            </w:r>
          </w:p>
        </w:tc>
        <w:tc>
          <w:tcPr>
            <w:tcW w:w="1110" w:type="dxa"/>
            <w:shd w:val="clear" w:color="auto" w:fill="C4EFCE"/>
            <w:noWrap/>
            <w:vAlign w:val="center"/>
          </w:tcPr>
          <w:p w14:paraId="62180EE1" w14:textId="77777777" w:rsidR="00DC5EC6" w:rsidRDefault="00DC5EC6">
            <w:pPr>
              <w:spacing w:after="0" w:line="240" w:lineRule="auto"/>
              <w:jc w:val="center"/>
              <w:rPr>
                <w:rFonts w:ascii="Calibri" w:eastAsia="Times New Roman" w:hAnsi="Calibri" w:cs="Calibri"/>
                <w:noProof/>
                <w:sz w:val="16"/>
              </w:rPr>
            </w:pPr>
          </w:p>
        </w:tc>
        <w:tc>
          <w:tcPr>
            <w:tcW w:w="928" w:type="dxa"/>
            <w:shd w:val="clear" w:color="auto" w:fill="C4EFCE"/>
            <w:noWrap/>
            <w:vAlign w:val="center"/>
          </w:tcPr>
          <w:p w14:paraId="4FFFBFC7" w14:textId="77777777" w:rsidR="00DC5EC6" w:rsidRDefault="00DC5EC6">
            <w:pPr>
              <w:spacing w:after="0" w:line="240" w:lineRule="auto"/>
              <w:jc w:val="center"/>
              <w:rPr>
                <w:rFonts w:ascii="Calibri" w:eastAsia="Times New Roman" w:hAnsi="Calibri" w:cs="Calibri"/>
                <w:noProof/>
                <w:sz w:val="16"/>
              </w:rPr>
            </w:pPr>
          </w:p>
        </w:tc>
        <w:tc>
          <w:tcPr>
            <w:tcW w:w="670" w:type="dxa"/>
            <w:shd w:val="clear" w:color="auto" w:fill="C4EFCE"/>
            <w:noWrap/>
            <w:vAlign w:val="center"/>
          </w:tcPr>
          <w:p w14:paraId="216D20AB" w14:textId="77777777" w:rsidR="00DC5EC6" w:rsidRDefault="00DC5EC6">
            <w:pPr>
              <w:spacing w:after="0" w:line="240" w:lineRule="auto"/>
              <w:jc w:val="center"/>
              <w:rPr>
                <w:rFonts w:ascii="Calibri" w:eastAsia="Times New Roman" w:hAnsi="Calibri" w:cs="Calibri"/>
                <w:noProof/>
                <w:sz w:val="16"/>
                <w:highlight w:val="yellow"/>
              </w:rPr>
            </w:pPr>
          </w:p>
        </w:tc>
        <w:tc>
          <w:tcPr>
            <w:tcW w:w="542" w:type="dxa"/>
            <w:shd w:val="clear" w:color="auto" w:fill="C4EFCE"/>
            <w:noWrap/>
            <w:vAlign w:val="center"/>
          </w:tcPr>
          <w:p w14:paraId="728AFEC2" w14:textId="65A8370D" w:rsidR="00DC5EC6" w:rsidRDefault="00CF0219">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670" w:type="dxa"/>
            <w:shd w:val="clear" w:color="auto" w:fill="C4EFCE"/>
            <w:noWrap/>
            <w:vAlign w:val="center"/>
          </w:tcPr>
          <w:p w14:paraId="595C52FC" w14:textId="2C811559" w:rsidR="00DC5EC6" w:rsidRDefault="003245A4">
            <w:pPr>
              <w:pStyle w:val="P68B1DB1-Normal8"/>
              <w:spacing w:after="0" w:line="240" w:lineRule="auto"/>
              <w:jc w:val="center"/>
              <w:rPr>
                <w:rFonts w:eastAsia="Times New Roman" w:cs="Calibri"/>
                <w:noProof/>
              </w:rPr>
            </w:pPr>
            <w:r>
              <w:rPr>
                <w:noProof/>
              </w:rPr>
              <w:t>2021</w:t>
            </w:r>
          </w:p>
        </w:tc>
        <w:tc>
          <w:tcPr>
            <w:tcW w:w="4347" w:type="dxa"/>
            <w:shd w:val="clear" w:color="auto" w:fill="C4EFCE"/>
            <w:vAlign w:val="center"/>
          </w:tcPr>
          <w:p w14:paraId="1CD11544" w14:textId="77777777" w:rsidR="00DC5EC6" w:rsidRDefault="003245A4">
            <w:pPr>
              <w:pStyle w:val="P68B1DB1-Normal8"/>
              <w:spacing w:after="0" w:line="240" w:lineRule="auto"/>
              <w:jc w:val="both"/>
              <w:rPr>
                <w:rFonts w:eastAsia="Times New Roman" w:cs="Calibri"/>
                <w:noProof/>
              </w:rPr>
            </w:pPr>
            <w:r>
              <w:rPr>
                <w:noProof/>
              </w:rPr>
              <w:t xml:space="preserve">A közigazgatás digitális átalakulására vonatkozó jogi keret hatálybalépése: </w:t>
            </w:r>
          </w:p>
          <w:p w14:paraId="42F64203" w14:textId="77777777" w:rsidR="00DC5EC6" w:rsidRDefault="003245A4">
            <w:pPr>
              <w:pStyle w:val="P68B1DB1-Normal8"/>
              <w:spacing w:after="0" w:line="240" w:lineRule="auto"/>
              <w:jc w:val="both"/>
              <w:rPr>
                <w:rFonts w:eastAsia="Times New Roman" w:cs="Calibri"/>
                <w:noProof/>
              </w:rPr>
            </w:pPr>
            <w:r>
              <w:rPr>
                <w:noProof/>
              </w:rPr>
              <w:t xml:space="preserve">a közigazgatás digitális átalakulására vonatkozó stratégia és transzverzális cselekvési terv, valamint </w:t>
            </w:r>
          </w:p>
          <w:p w14:paraId="45E866C9" w14:textId="2B06E7C5" w:rsidR="00DC5EC6" w:rsidRDefault="003245A4">
            <w:pPr>
              <w:pStyle w:val="P68B1DB1-Normal8"/>
              <w:spacing w:after="0" w:line="240" w:lineRule="auto"/>
              <w:jc w:val="both"/>
              <w:rPr>
                <w:rFonts w:eastAsia="Times New Roman" w:cs="Calibri"/>
                <w:noProof/>
              </w:rPr>
            </w:pPr>
            <w:r>
              <w:rPr>
                <w:noProof/>
              </w:rPr>
              <w:t xml:space="preserve">a nemzeti kiberbiztonsági keretről szóló jogalkotási csomag (beleértve a CNCS-ről szóló rendeletet is), a 46/2018. sz. törvény alapján  </w:t>
            </w:r>
          </w:p>
        </w:tc>
      </w:tr>
      <w:tr w:rsidR="00CF0219" w14:paraId="6ACE826A" w14:textId="77777777" w:rsidTr="00C009B1">
        <w:trPr>
          <w:trHeight w:val="640"/>
        </w:trPr>
        <w:tc>
          <w:tcPr>
            <w:tcW w:w="1061" w:type="dxa"/>
            <w:shd w:val="clear" w:color="auto" w:fill="C4EFCE"/>
            <w:vAlign w:val="center"/>
            <w:hideMark/>
          </w:tcPr>
          <w:p w14:paraId="5C1ED785" w14:textId="77777777" w:rsidR="00CF0219" w:rsidRDefault="00CF0219" w:rsidP="00CF0219">
            <w:pPr>
              <w:pStyle w:val="P68B1DB1-Normal7"/>
              <w:spacing w:after="0" w:line="240" w:lineRule="auto"/>
              <w:jc w:val="center"/>
              <w:rPr>
                <w:rFonts w:eastAsia="Times New Roman" w:cs="Calibri"/>
                <w:noProof/>
              </w:rPr>
            </w:pPr>
            <w:r>
              <w:rPr>
                <w:noProof/>
              </w:rPr>
              <w:t>19.23</w:t>
            </w:r>
          </w:p>
        </w:tc>
        <w:tc>
          <w:tcPr>
            <w:tcW w:w="1186" w:type="dxa"/>
            <w:shd w:val="clear" w:color="auto" w:fill="C4EFCE"/>
            <w:noWrap/>
            <w:vAlign w:val="center"/>
            <w:hideMark/>
          </w:tcPr>
          <w:p w14:paraId="263EFDAF" w14:textId="77777777" w:rsidR="00CF0219" w:rsidRDefault="00CF0219" w:rsidP="00CF0219">
            <w:pPr>
              <w:pStyle w:val="P68B1DB1-Normal8"/>
              <w:spacing w:after="0" w:line="240" w:lineRule="auto"/>
              <w:jc w:val="center"/>
              <w:rPr>
                <w:rFonts w:eastAsia="Times New Roman" w:cs="Calibri"/>
                <w:noProof/>
              </w:rPr>
            </w:pPr>
            <w:r>
              <w:rPr>
                <w:noProof/>
              </w:rPr>
              <w:t>TD-C19–r35</w:t>
            </w:r>
          </w:p>
        </w:tc>
        <w:tc>
          <w:tcPr>
            <w:tcW w:w="1058" w:type="dxa"/>
            <w:shd w:val="clear" w:color="auto" w:fill="C4EFCE"/>
            <w:noWrap/>
            <w:vAlign w:val="center"/>
            <w:hideMark/>
          </w:tcPr>
          <w:p w14:paraId="5996D96C" w14:textId="77777777" w:rsidR="00CF0219" w:rsidRDefault="00CF0219" w:rsidP="00CF0219">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0B1FDC94" w14:textId="77777777" w:rsidR="00CF0219" w:rsidRDefault="00CF0219" w:rsidP="00CF0219">
            <w:pPr>
              <w:pStyle w:val="P68B1DB1-Normal8"/>
              <w:spacing w:after="0" w:line="240" w:lineRule="auto"/>
              <w:jc w:val="center"/>
              <w:rPr>
                <w:rFonts w:eastAsia="Times New Roman" w:cs="Calibri"/>
                <w:noProof/>
              </w:rPr>
            </w:pPr>
            <w:r>
              <w:rPr>
                <w:noProof/>
              </w:rPr>
              <w:t>A közigazgatás átszervezésére vonatkozó jogalkotási csomag hatálybalépése</w:t>
            </w:r>
          </w:p>
        </w:tc>
        <w:tc>
          <w:tcPr>
            <w:tcW w:w="1314" w:type="dxa"/>
            <w:shd w:val="clear" w:color="auto" w:fill="C4EFCE"/>
            <w:noWrap/>
            <w:vAlign w:val="center"/>
            <w:hideMark/>
          </w:tcPr>
          <w:p w14:paraId="605DD329" w14:textId="77777777" w:rsidR="00CF0219" w:rsidRDefault="00CF0219" w:rsidP="00CF0219">
            <w:pPr>
              <w:pStyle w:val="P68B1DB1-Normal8"/>
              <w:spacing w:after="0" w:line="240" w:lineRule="auto"/>
              <w:jc w:val="center"/>
              <w:rPr>
                <w:rFonts w:eastAsia="Times New Roman" w:cs="Calibri"/>
                <w:noProof/>
              </w:rPr>
            </w:pPr>
            <w:r>
              <w:rPr>
                <w:noProof/>
              </w:rPr>
              <w:t>A közigazgatás átszervezésére vonatkozó jogalkotási csomag hatálybalépése</w:t>
            </w:r>
          </w:p>
        </w:tc>
        <w:tc>
          <w:tcPr>
            <w:tcW w:w="1110" w:type="dxa"/>
            <w:shd w:val="clear" w:color="auto" w:fill="C4EFCE"/>
            <w:noWrap/>
            <w:vAlign w:val="center"/>
            <w:hideMark/>
          </w:tcPr>
          <w:p w14:paraId="0A7AAAFB"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1EFE25EB"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17016DD5" w14:textId="77777777" w:rsidR="00CF0219" w:rsidRDefault="00CF0219" w:rsidP="00CF0219">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2CDF4678" w14:textId="417F211B" w:rsidR="00CF0219" w:rsidRDefault="00CF0219" w:rsidP="00CF0219">
            <w:pPr>
              <w:pStyle w:val="P68B1DB1-Normal8"/>
              <w:spacing w:after="0" w:line="240" w:lineRule="auto"/>
              <w:jc w:val="center"/>
              <w:rPr>
                <w:rFonts w:eastAsia="Times New Roman" w:cs="Calibri"/>
                <w:noProof/>
              </w:rPr>
            </w:pPr>
            <w:r>
              <w:rPr>
                <w:noProof/>
              </w:rPr>
              <w:t>4. NEGYEDÉV</w:t>
            </w:r>
          </w:p>
        </w:tc>
        <w:tc>
          <w:tcPr>
            <w:tcW w:w="670" w:type="dxa"/>
            <w:shd w:val="clear" w:color="auto" w:fill="C4EFCE"/>
            <w:noWrap/>
            <w:vAlign w:val="center"/>
            <w:hideMark/>
          </w:tcPr>
          <w:p w14:paraId="0C9F2504" w14:textId="77777777" w:rsidR="00CF0219" w:rsidRDefault="00CF0219" w:rsidP="00CF0219">
            <w:pPr>
              <w:pStyle w:val="P68B1DB1-Normal8"/>
              <w:spacing w:after="0" w:line="240" w:lineRule="auto"/>
              <w:jc w:val="center"/>
              <w:rPr>
                <w:rFonts w:eastAsia="Times New Roman" w:cs="Calibri"/>
                <w:noProof/>
              </w:rPr>
            </w:pPr>
            <w:r>
              <w:rPr>
                <w:noProof/>
              </w:rPr>
              <w:t>2023</w:t>
            </w:r>
          </w:p>
        </w:tc>
        <w:tc>
          <w:tcPr>
            <w:tcW w:w="4347" w:type="dxa"/>
            <w:shd w:val="clear" w:color="auto" w:fill="C4EFCE"/>
            <w:vAlign w:val="center"/>
            <w:hideMark/>
          </w:tcPr>
          <w:p w14:paraId="505BBF80" w14:textId="77777777" w:rsidR="00CF0219" w:rsidRDefault="00CF0219" w:rsidP="00CF0219">
            <w:pPr>
              <w:pStyle w:val="P68B1DB1-Normal8"/>
              <w:spacing w:after="0" w:line="240" w:lineRule="auto"/>
              <w:jc w:val="both"/>
              <w:rPr>
                <w:rFonts w:eastAsia="Times New Roman" w:cs="Calibri"/>
                <w:noProof/>
              </w:rPr>
            </w:pPr>
            <w:r>
              <w:rPr>
                <w:noProof/>
              </w:rPr>
              <w:t xml:space="preserve">A központi közigazgatás funkcionális és szervezeti változásainak végrehajtásához szükséges jogszabályok hatálybalépése a Miniszterek Tanácsának állásfoglalása által létrehozott </w:t>
            </w:r>
            <w:r>
              <w:rPr>
                <w:i/>
                <w:noProof/>
              </w:rPr>
              <w:t>Estrutura de</w:t>
            </w:r>
            <w:r>
              <w:rPr>
                <w:noProof/>
              </w:rPr>
              <w:t xml:space="preserve"> missão által készített jelentés alapján </w:t>
            </w:r>
          </w:p>
        </w:tc>
      </w:tr>
      <w:tr w:rsidR="00C009B1" w14:paraId="3BEC967D" w14:textId="77777777" w:rsidTr="00C009B1">
        <w:trPr>
          <w:trHeight w:val="430"/>
        </w:trPr>
        <w:tc>
          <w:tcPr>
            <w:tcW w:w="1061" w:type="dxa"/>
            <w:shd w:val="clear" w:color="auto" w:fill="C4EFCE"/>
            <w:vAlign w:val="center"/>
            <w:hideMark/>
          </w:tcPr>
          <w:p w14:paraId="0F6E1273" w14:textId="77777777" w:rsidR="00C009B1" w:rsidRDefault="00C009B1" w:rsidP="00C009B1">
            <w:pPr>
              <w:pStyle w:val="P68B1DB1-Normal7"/>
              <w:spacing w:after="0" w:line="240" w:lineRule="auto"/>
              <w:jc w:val="center"/>
              <w:rPr>
                <w:rFonts w:eastAsia="Times New Roman" w:cs="Calibri"/>
                <w:noProof/>
              </w:rPr>
            </w:pPr>
            <w:r>
              <w:rPr>
                <w:noProof/>
              </w:rPr>
              <w:t>19.24</w:t>
            </w:r>
          </w:p>
        </w:tc>
        <w:tc>
          <w:tcPr>
            <w:tcW w:w="1186" w:type="dxa"/>
            <w:shd w:val="clear" w:color="auto" w:fill="C4EFCE"/>
            <w:noWrap/>
            <w:vAlign w:val="center"/>
            <w:hideMark/>
          </w:tcPr>
          <w:p w14:paraId="0CC675A9" w14:textId="77777777" w:rsidR="00C009B1" w:rsidRDefault="00C009B1" w:rsidP="00C009B1">
            <w:pPr>
              <w:pStyle w:val="P68B1DB1-Normal8"/>
              <w:spacing w:after="0" w:line="240" w:lineRule="auto"/>
              <w:jc w:val="center"/>
              <w:rPr>
                <w:rFonts w:eastAsia="Times New Roman" w:cs="Calibri"/>
                <w:noProof/>
              </w:rPr>
            </w:pPr>
            <w:r>
              <w:rPr>
                <w:noProof/>
              </w:rPr>
              <w:t>TD-C19–r36</w:t>
            </w:r>
          </w:p>
        </w:tc>
        <w:tc>
          <w:tcPr>
            <w:tcW w:w="1058" w:type="dxa"/>
            <w:shd w:val="clear" w:color="auto" w:fill="C4EFCE"/>
            <w:noWrap/>
            <w:vAlign w:val="center"/>
            <w:hideMark/>
          </w:tcPr>
          <w:p w14:paraId="349C8A7E" w14:textId="77777777" w:rsidR="00C009B1" w:rsidRDefault="00C009B1" w:rsidP="00C009B1">
            <w:pPr>
              <w:pStyle w:val="P68B1DB1-Normal8"/>
              <w:spacing w:after="0" w:line="240" w:lineRule="auto"/>
              <w:jc w:val="center"/>
              <w:rPr>
                <w:rFonts w:eastAsia="Times New Roman" w:cs="Calibri"/>
                <w:noProof/>
              </w:rPr>
            </w:pPr>
            <w:r>
              <w:rPr>
                <w:noProof/>
              </w:rPr>
              <w:t>M</w:t>
            </w:r>
          </w:p>
        </w:tc>
        <w:tc>
          <w:tcPr>
            <w:tcW w:w="1573" w:type="dxa"/>
            <w:shd w:val="clear" w:color="auto" w:fill="C4EFCE"/>
            <w:noWrap/>
            <w:vAlign w:val="center"/>
            <w:hideMark/>
          </w:tcPr>
          <w:p w14:paraId="7479E327" w14:textId="77777777" w:rsidR="00C009B1" w:rsidRDefault="00C009B1" w:rsidP="00C009B1">
            <w:pPr>
              <w:pStyle w:val="P68B1DB1-Normal8"/>
              <w:spacing w:after="0" w:line="240" w:lineRule="auto"/>
              <w:jc w:val="center"/>
              <w:rPr>
                <w:rFonts w:eastAsia="Times New Roman" w:cs="Calibri"/>
                <w:noProof/>
              </w:rPr>
            </w:pPr>
            <w:r>
              <w:rPr>
                <w:noProof/>
              </w:rPr>
              <w:t xml:space="preserve"> A Nemzeti Közigazgatási Intézet (National Institute of Administration, I.P.) létrehozása</w:t>
            </w:r>
          </w:p>
        </w:tc>
        <w:tc>
          <w:tcPr>
            <w:tcW w:w="1314" w:type="dxa"/>
            <w:shd w:val="clear" w:color="auto" w:fill="C4EFCE"/>
            <w:noWrap/>
            <w:vAlign w:val="center"/>
            <w:hideMark/>
          </w:tcPr>
          <w:p w14:paraId="030C5824" w14:textId="77777777" w:rsidR="00C009B1" w:rsidRDefault="00C009B1" w:rsidP="00C009B1">
            <w:pPr>
              <w:pStyle w:val="P68B1DB1-Normal8"/>
              <w:spacing w:after="0" w:line="240" w:lineRule="auto"/>
              <w:jc w:val="center"/>
              <w:rPr>
                <w:rFonts w:eastAsia="Times New Roman" w:cs="Calibri"/>
                <w:noProof/>
              </w:rPr>
            </w:pPr>
            <w:r>
              <w:rPr>
                <w:noProof/>
              </w:rPr>
              <w:t>A Nemzeti Közigazgatási Intézet, I.P. jogi aktussal történő létrehozása</w:t>
            </w:r>
          </w:p>
        </w:tc>
        <w:tc>
          <w:tcPr>
            <w:tcW w:w="1110" w:type="dxa"/>
            <w:shd w:val="clear" w:color="auto" w:fill="C4EFCE"/>
            <w:noWrap/>
            <w:vAlign w:val="center"/>
            <w:hideMark/>
          </w:tcPr>
          <w:p w14:paraId="0B9E120E"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928" w:type="dxa"/>
            <w:shd w:val="clear" w:color="auto" w:fill="C4EFCE"/>
            <w:noWrap/>
            <w:vAlign w:val="center"/>
            <w:hideMark/>
          </w:tcPr>
          <w:p w14:paraId="4A2766AC"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670" w:type="dxa"/>
            <w:shd w:val="clear" w:color="auto" w:fill="C4EFCE"/>
            <w:noWrap/>
            <w:vAlign w:val="center"/>
            <w:hideMark/>
          </w:tcPr>
          <w:p w14:paraId="649ABF2C" w14:textId="77777777" w:rsidR="00C009B1" w:rsidRDefault="00C009B1" w:rsidP="00C009B1">
            <w:pPr>
              <w:pStyle w:val="P68B1DB1-Normal8"/>
              <w:spacing w:after="0" w:line="240" w:lineRule="auto"/>
              <w:jc w:val="center"/>
              <w:rPr>
                <w:rFonts w:eastAsia="Times New Roman" w:cs="Calibri"/>
                <w:noProof/>
              </w:rPr>
            </w:pPr>
            <w:r>
              <w:rPr>
                <w:noProof/>
              </w:rPr>
              <w:t> </w:t>
            </w:r>
          </w:p>
        </w:tc>
        <w:tc>
          <w:tcPr>
            <w:tcW w:w="542" w:type="dxa"/>
            <w:shd w:val="clear" w:color="auto" w:fill="C4EFCE"/>
            <w:noWrap/>
            <w:vAlign w:val="center"/>
            <w:hideMark/>
          </w:tcPr>
          <w:p w14:paraId="1FA4DEB7" w14:textId="31F01435" w:rsidR="00C009B1" w:rsidRDefault="00C009B1" w:rsidP="00C009B1">
            <w:pPr>
              <w:pStyle w:val="P68B1DB1-Normal8"/>
              <w:spacing w:after="0" w:line="240" w:lineRule="auto"/>
              <w:jc w:val="center"/>
              <w:rPr>
                <w:rFonts w:eastAsia="Times New Roman" w:cs="Calibri"/>
                <w:noProof/>
              </w:rPr>
            </w:pPr>
            <w:r>
              <w:rPr>
                <w:noProof/>
              </w:rPr>
              <w:t>2. NEGYEDÉV</w:t>
            </w:r>
          </w:p>
        </w:tc>
        <w:tc>
          <w:tcPr>
            <w:tcW w:w="670" w:type="dxa"/>
            <w:shd w:val="clear" w:color="auto" w:fill="C4EFCE"/>
            <w:noWrap/>
            <w:vAlign w:val="center"/>
            <w:hideMark/>
          </w:tcPr>
          <w:p w14:paraId="1300E342" w14:textId="77777777" w:rsidR="00C009B1" w:rsidRDefault="00C009B1" w:rsidP="00C009B1">
            <w:pPr>
              <w:pStyle w:val="P68B1DB1-Normal8"/>
              <w:spacing w:after="0" w:line="240" w:lineRule="auto"/>
              <w:jc w:val="center"/>
              <w:rPr>
                <w:rFonts w:eastAsia="Times New Roman" w:cs="Calibri"/>
                <w:noProof/>
              </w:rPr>
            </w:pPr>
            <w:r>
              <w:rPr>
                <w:noProof/>
              </w:rPr>
              <w:t>2021</w:t>
            </w:r>
          </w:p>
        </w:tc>
        <w:tc>
          <w:tcPr>
            <w:tcW w:w="4347" w:type="dxa"/>
            <w:shd w:val="clear" w:color="auto" w:fill="C4EFCE"/>
            <w:vAlign w:val="center"/>
            <w:hideMark/>
          </w:tcPr>
          <w:p w14:paraId="241B071D" w14:textId="77777777" w:rsidR="00C009B1" w:rsidRDefault="00C009B1" w:rsidP="00C009B1">
            <w:pPr>
              <w:pStyle w:val="P68B1DB1-Normal8"/>
              <w:spacing w:after="0" w:line="240" w:lineRule="auto"/>
              <w:jc w:val="both"/>
              <w:rPr>
                <w:rFonts w:eastAsia="Times New Roman" w:cs="Calibri"/>
                <w:noProof/>
              </w:rPr>
            </w:pPr>
            <w:r>
              <w:rPr>
                <w:noProof/>
              </w:rPr>
              <w:t xml:space="preserve">Az </w:t>
            </w:r>
            <w:r>
              <w:rPr>
                <w:i/>
                <w:noProof/>
              </w:rPr>
              <w:t>Instituto Nacional de Administração, IP jogi aktussal történő létrehozása,</w:t>
            </w:r>
            <w:r>
              <w:rPr>
                <w:noProof/>
              </w:rPr>
              <w:t xml:space="preserve"> amely lehetővé teszi a közigazgatási képzési tevékenységeket</w:t>
            </w:r>
          </w:p>
        </w:tc>
      </w:tr>
      <w:tr w:rsidR="00DC5EC6" w14:paraId="7E83CB0B" w14:textId="77777777" w:rsidTr="00C009B1">
        <w:trPr>
          <w:trHeight w:val="430"/>
        </w:trPr>
        <w:tc>
          <w:tcPr>
            <w:tcW w:w="1061" w:type="dxa"/>
            <w:shd w:val="clear" w:color="auto" w:fill="C4EFCE"/>
            <w:vAlign w:val="center"/>
          </w:tcPr>
          <w:p w14:paraId="18E9975D" w14:textId="11D15DFC" w:rsidR="00DC5EC6" w:rsidRDefault="003245A4">
            <w:pPr>
              <w:pStyle w:val="P68B1DB1-Normal11"/>
              <w:spacing w:after="0" w:line="240" w:lineRule="auto"/>
              <w:jc w:val="center"/>
              <w:rPr>
                <w:rFonts w:eastAsia="Times New Roman" w:cstheme="minorHAnsi"/>
                <w:noProof/>
              </w:rPr>
            </w:pPr>
            <w:r>
              <w:rPr>
                <w:noProof/>
              </w:rPr>
              <w:t>19.30</w:t>
            </w:r>
          </w:p>
        </w:tc>
        <w:tc>
          <w:tcPr>
            <w:tcW w:w="1186" w:type="dxa"/>
            <w:shd w:val="clear" w:color="auto" w:fill="C4EFCE"/>
            <w:noWrap/>
            <w:vAlign w:val="center"/>
          </w:tcPr>
          <w:p w14:paraId="5460871A" w14:textId="02F65AC9" w:rsidR="00DC5EC6" w:rsidRDefault="003245A4">
            <w:pPr>
              <w:pStyle w:val="P68B1DB1-Normal12"/>
              <w:spacing w:after="0" w:line="240" w:lineRule="auto"/>
              <w:jc w:val="center"/>
              <w:rPr>
                <w:rFonts w:eastAsia="Times New Roman" w:cstheme="minorHAnsi"/>
                <w:noProof/>
              </w:rPr>
            </w:pPr>
            <w:r>
              <w:rPr>
                <w:noProof/>
              </w:rPr>
              <w:t>TD-C19-r41</w:t>
            </w:r>
          </w:p>
        </w:tc>
        <w:tc>
          <w:tcPr>
            <w:tcW w:w="1058" w:type="dxa"/>
            <w:shd w:val="clear" w:color="auto" w:fill="C4EFCE"/>
            <w:noWrap/>
            <w:vAlign w:val="center"/>
          </w:tcPr>
          <w:p w14:paraId="162BD2C1" w14:textId="67F68A48" w:rsidR="00DC5EC6" w:rsidRDefault="003245A4">
            <w:pPr>
              <w:pStyle w:val="P68B1DB1-Normal12"/>
              <w:spacing w:after="0" w:line="240" w:lineRule="auto"/>
              <w:jc w:val="center"/>
              <w:rPr>
                <w:rFonts w:eastAsia="Times New Roman" w:cstheme="minorHAnsi"/>
                <w:noProof/>
              </w:rPr>
            </w:pPr>
            <w:r>
              <w:rPr>
                <w:noProof/>
              </w:rPr>
              <w:t>M</w:t>
            </w:r>
          </w:p>
        </w:tc>
        <w:tc>
          <w:tcPr>
            <w:tcW w:w="1573" w:type="dxa"/>
            <w:shd w:val="clear" w:color="auto" w:fill="C4EFCE"/>
            <w:noWrap/>
            <w:vAlign w:val="center"/>
          </w:tcPr>
          <w:p w14:paraId="2A40F594" w14:textId="7823E16A" w:rsidR="00DC5EC6" w:rsidRDefault="003245A4">
            <w:pPr>
              <w:pStyle w:val="P68B1DB1-Normal12"/>
              <w:spacing w:after="0" w:line="240" w:lineRule="auto"/>
              <w:jc w:val="center"/>
              <w:rPr>
                <w:rFonts w:eastAsia="Times New Roman" w:cstheme="minorHAnsi"/>
                <w:noProof/>
              </w:rPr>
            </w:pPr>
            <w:r>
              <w:rPr>
                <w:noProof/>
              </w:rPr>
              <w:t>A közszolgáltatásokhoz való hozzáférésről szóló jogalkotási aktus hatálybalépése</w:t>
            </w:r>
          </w:p>
        </w:tc>
        <w:tc>
          <w:tcPr>
            <w:tcW w:w="1314" w:type="dxa"/>
            <w:shd w:val="clear" w:color="auto" w:fill="C4EFCE"/>
            <w:noWrap/>
            <w:vAlign w:val="center"/>
          </w:tcPr>
          <w:p w14:paraId="191A02D6" w14:textId="280F4306" w:rsidR="00DC5EC6" w:rsidRDefault="003245A4">
            <w:pPr>
              <w:pStyle w:val="P68B1DB1-Normal12"/>
              <w:spacing w:after="0" w:line="240" w:lineRule="auto"/>
              <w:jc w:val="center"/>
              <w:rPr>
                <w:rFonts w:eastAsia="Times New Roman" w:cstheme="minorHAnsi"/>
                <w:noProof/>
              </w:rPr>
            </w:pPr>
            <w:r>
              <w:rPr>
                <w:noProof/>
              </w:rPr>
              <w:t xml:space="preserve">A jogszabály hatálybalépésére utaló jogszabályi rendelkezés </w:t>
            </w:r>
          </w:p>
        </w:tc>
        <w:tc>
          <w:tcPr>
            <w:tcW w:w="1110" w:type="dxa"/>
            <w:shd w:val="clear" w:color="auto" w:fill="C4EFCE"/>
            <w:noWrap/>
            <w:vAlign w:val="center"/>
          </w:tcPr>
          <w:p w14:paraId="15EB9DF1" w14:textId="77777777" w:rsidR="00DC5EC6" w:rsidRDefault="00DC5EC6">
            <w:pPr>
              <w:spacing w:after="0" w:line="240" w:lineRule="auto"/>
              <w:jc w:val="center"/>
              <w:rPr>
                <w:rFonts w:eastAsia="Times New Roman" w:cstheme="minorHAnsi"/>
                <w:noProof/>
                <w:sz w:val="16"/>
              </w:rPr>
            </w:pPr>
          </w:p>
        </w:tc>
        <w:tc>
          <w:tcPr>
            <w:tcW w:w="928" w:type="dxa"/>
            <w:shd w:val="clear" w:color="auto" w:fill="C4EFCE"/>
            <w:noWrap/>
            <w:vAlign w:val="center"/>
          </w:tcPr>
          <w:p w14:paraId="0B16E3FF" w14:textId="77777777" w:rsidR="00DC5EC6" w:rsidRDefault="00DC5EC6">
            <w:pPr>
              <w:spacing w:after="0" w:line="240" w:lineRule="auto"/>
              <w:jc w:val="center"/>
              <w:rPr>
                <w:rFonts w:eastAsia="Times New Roman" w:cstheme="minorHAnsi"/>
                <w:noProof/>
                <w:sz w:val="16"/>
              </w:rPr>
            </w:pPr>
          </w:p>
        </w:tc>
        <w:tc>
          <w:tcPr>
            <w:tcW w:w="670" w:type="dxa"/>
            <w:shd w:val="clear" w:color="auto" w:fill="C4EFCE"/>
            <w:noWrap/>
            <w:vAlign w:val="center"/>
          </w:tcPr>
          <w:p w14:paraId="08355F05" w14:textId="77777777" w:rsidR="00DC5EC6" w:rsidRDefault="00DC5EC6">
            <w:pPr>
              <w:spacing w:after="0" w:line="240" w:lineRule="auto"/>
              <w:jc w:val="center"/>
              <w:rPr>
                <w:rFonts w:eastAsia="Times New Roman" w:cstheme="minorHAnsi"/>
                <w:noProof/>
                <w:sz w:val="16"/>
              </w:rPr>
            </w:pPr>
          </w:p>
        </w:tc>
        <w:tc>
          <w:tcPr>
            <w:tcW w:w="542" w:type="dxa"/>
            <w:shd w:val="clear" w:color="auto" w:fill="C4EFCE"/>
            <w:noWrap/>
            <w:vAlign w:val="center"/>
          </w:tcPr>
          <w:p w14:paraId="028AEAD5" w14:textId="0CAAA9AA" w:rsidR="00DC5EC6" w:rsidRDefault="00CF0219">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670" w:type="dxa"/>
            <w:shd w:val="clear" w:color="auto" w:fill="C4EFCE"/>
            <w:noWrap/>
            <w:vAlign w:val="center"/>
          </w:tcPr>
          <w:p w14:paraId="265FA0B5" w14:textId="7DD6FBCA" w:rsidR="00DC5EC6" w:rsidRDefault="003245A4">
            <w:pPr>
              <w:pStyle w:val="P68B1DB1-Normal12"/>
              <w:spacing w:after="0" w:line="240" w:lineRule="auto"/>
              <w:jc w:val="center"/>
              <w:rPr>
                <w:rFonts w:eastAsia="Times New Roman" w:cstheme="minorHAnsi"/>
                <w:noProof/>
              </w:rPr>
            </w:pPr>
            <w:r>
              <w:rPr>
                <w:noProof/>
              </w:rPr>
              <w:t>2025</w:t>
            </w:r>
          </w:p>
        </w:tc>
        <w:tc>
          <w:tcPr>
            <w:tcW w:w="4347" w:type="dxa"/>
            <w:shd w:val="clear" w:color="auto" w:fill="C4EFCE"/>
            <w:vAlign w:val="center"/>
          </w:tcPr>
          <w:p w14:paraId="3DA5037E" w14:textId="298CCB37" w:rsidR="00DC5EC6" w:rsidRDefault="003245A4">
            <w:pPr>
              <w:pStyle w:val="P68B1DB1-Normal12"/>
              <w:spacing w:after="0" w:line="240" w:lineRule="auto"/>
              <w:jc w:val="both"/>
              <w:rPr>
                <w:rFonts w:eastAsia="Times New Roman" w:cstheme="minorHAnsi"/>
                <w:noProof/>
              </w:rPr>
            </w:pPr>
            <w:r>
              <w:rPr>
                <w:noProof/>
              </w:rPr>
              <w:t xml:space="preserve">A közszolgáltatásokhoz való személyes és online hozzáférést harmonizáló és egységes szerkezetbe foglaló jogalkotási aktus hatálybalépése, valamint a közszolgáltatások egységes portálján elérhető szolgáltatások számának bővítése.   </w:t>
            </w:r>
          </w:p>
        </w:tc>
      </w:tr>
      <w:tr w:rsidR="00DC5EC6" w14:paraId="70FA8B5F" w14:textId="77777777" w:rsidTr="00C009B1">
        <w:trPr>
          <w:trHeight w:val="430"/>
        </w:trPr>
        <w:tc>
          <w:tcPr>
            <w:tcW w:w="1061" w:type="dxa"/>
            <w:shd w:val="clear" w:color="auto" w:fill="C4EFCE"/>
            <w:vAlign w:val="center"/>
          </w:tcPr>
          <w:p w14:paraId="5D5EB9E9" w14:textId="2177C7F7" w:rsidR="00DC5EC6" w:rsidRDefault="003245A4">
            <w:pPr>
              <w:pStyle w:val="P68B1DB1-Normal11"/>
              <w:spacing w:after="0" w:line="240" w:lineRule="auto"/>
              <w:jc w:val="center"/>
              <w:rPr>
                <w:rFonts w:eastAsia="Times New Roman" w:cstheme="minorHAnsi"/>
                <w:noProof/>
              </w:rPr>
            </w:pPr>
            <w:r>
              <w:rPr>
                <w:noProof/>
              </w:rPr>
              <w:t>19.31</w:t>
            </w:r>
          </w:p>
        </w:tc>
        <w:tc>
          <w:tcPr>
            <w:tcW w:w="1186" w:type="dxa"/>
            <w:shd w:val="clear" w:color="auto" w:fill="C4EFCE"/>
            <w:noWrap/>
            <w:vAlign w:val="center"/>
          </w:tcPr>
          <w:p w14:paraId="160F0E2B" w14:textId="668FB811" w:rsidR="00DC5EC6" w:rsidRDefault="003245A4">
            <w:pPr>
              <w:pStyle w:val="P68B1DB1-Bodytext1013"/>
              <w:spacing w:after="0"/>
              <w:jc w:val="center"/>
              <w:rPr>
                <w:rFonts w:cstheme="minorHAnsi"/>
                <w:noProof/>
              </w:rPr>
            </w:pPr>
            <w:r>
              <w:rPr>
                <w:noProof/>
              </w:rPr>
              <w:t>TD-C19–r42</w:t>
            </w:r>
          </w:p>
        </w:tc>
        <w:tc>
          <w:tcPr>
            <w:tcW w:w="1058" w:type="dxa"/>
            <w:shd w:val="clear" w:color="auto" w:fill="C4EFCE"/>
            <w:noWrap/>
            <w:vAlign w:val="center"/>
          </w:tcPr>
          <w:p w14:paraId="5A9F3806" w14:textId="793E38CA" w:rsidR="00DC5EC6" w:rsidRDefault="003245A4">
            <w:pPr>
              <w:pStyle w:val="P68B1DB1-Normal12"/>
              <w:spacing w:after="0" w:line="240" w:lineRule="auto"/>
              <w:jc w:val="center"/>
              <w:rPr>
                <w:rFonts w:eastAsia="Times New Roman" w:cstheme="minorHAnsi"/>
                <w:noProof/>
              </w:rPr>
            </w:pPr>
            <w:r>
              <w:rPr>
                <w:noProof/>
              </w:rPr>
              <w:t xml:space="preserve"> M</w:t>
            </w:r>
          </w:p>
        </w:tc>
        <w:tc>
          <w:tcPr>
            <w:tcW w:w="1573" w:type="dxa"/>
            <w:shd w:val="clear" w:color="auto" w:fill="C4EFCE"/>
            <w:noWrap/>
            <w:vAlign w:val="center"/>
          </w:tcPr>
          <w:p w14:paraId="2935250F" w14:textId="2D44B127" w:rsidR="00DC5EC6" w:rsidRDefault="003245A4">
            <w:pPr>
              <w:pStyle w:val="P68B1DB1-Bodytext1013"/>
              <w:jc w:val="center"/>
              <w:rPr>
                <w:rFonts w:cstheme="minorHAnsi"/>
                <w:noProof/>
              </w:rPr>
            </w:pPr>
            <w:r>
              <w:rPr>
                <w:noProof/>
              </w:rPr>
              <w:t>A SIADAP-ot felülvizsgáló jogalkotási aktus hatálybalépése</w:t>
            </w:r>
          </w:p>
        </w:tc>
        <w:tc>
          <w:tcPr>
            <w:tcW w:w="1314" w:type="dxa"/>
            <w:shd w:val="clear" w:color="auto" w:fill="C4EFCE"/>
            <w:noWrap/>
            <w:vAlign w:val="center"/>
          </w:tcPr>
          <w:p w14:paraId="76DB72FC" w14:textId="202A9E7E" w:rsidR="00DC5EC6" w:rsidRDefault="003245A4">
            <w:pPr>
              <w:pStyle w:val="P68B1DB1-Normal12"/>
              <w:spacing w:after="0" w:line="240" w:lineRule="auto"/>
              <w:jc w:val="center"/>
              <w:rPr>
                <w:rFonts w:eastAsia="Times New Roman" w:cstheme="minorHAnsi"/>
                <w:noProof/>
              </w:rPr>
            </w:pPr>
            <w:r>
              <w:rPr>
                <w:noProof/>
              </w:rPr>
              <w:t xml:space="preserve">A jogalkotási aktusban szereplő, a jogalkotási aktus hatálybalépésére utaló rendelkezés </w:t>
            </w:r>
          </w:p>
        </w:tc>
        <w:tc>
          <w:tcPr>
            <w:tcW w:w="1110" w:type="dxa"/>
            <w:shd w:val="clear" w:color="auto" w:fill="C4EFCE"/>
            <w:noWrap/>
            <w:vAlign w:val="center"/>
          </w:tcPr>
          <w:p w14:paraId="5BD712C6" w14:textId="68D529B9" w:rsidR="00DC5EC6" w:rsidRDefault="003245A4">
            <w:pPr>
              <w:pStyle w:val="P68B1DB1-Normal12"/>
              <w:spacing w:after="0" w:line="240" w:lineRule="auto"/>
              <w:jc w:val="center"/>
              <w:rPr>
                <w:rFonts w:eastAsia="Times New Roman" w:cstheme="minorHAnsi"/>
                <w:noProof/>
              </w:rPr>
            </w:pPr>
            <w:r>
              <w:rPr>
                <w:noProof/>
              </w:rPr>
              <w:t xml:space="preserve"> </w:t>
            </w:r>
          </w:p>
        </w:tc>
        <w:tc>
          <w:tcPr>
            <w:tcW w:w="928" w:type="dxa"/>
            <w:shd w:val="clear" w:color="auto" w:fill="C4EFCE"/>
            <w:noWrap/>
            <w:vAlign w:val="center"/>
          </w:tcPr>
          <w:p w14:paraId="64F81F0D" w14:textId="54AE8BAD" w:rsidR="00DC5EC6" w:rsidRDefault="003245A4">
            <w:pPr>
              <w:pStyle w:val="P68B1DB1-Normal12"/>
              <w:spacing w:after="0" w:line="240" w:lineRule="auto"/>
              <w:jc w:val="center"/>
              <w:rPr>
                <w:rFonts w:eastAsia="Times New Roman" w:cstheme="minorHAnsi"/>
                <w:noProof/>
              </w:rPr>
            </w:pPr>
            <w:r>
              <w:rPr>
                <w:noProof/>
              </w:rPr>
              <w:t xml:space="preserve"> </w:t>
            </w:r>
          </w:p>
        </w:tc>
        <w:tc>
          <w:tcPr>
            <w:tcW w:w="670" w:type="dxa"/>
            <w:shd w:val="clear" w:color="auto" w:fill="C4EFCE"/>
            <w:noWrap/>
            <w:vAlign w:val="center"/>
          </w:tcPr>
          <w:p w14:paraId="1DCC2FDC" w14:textId="47315426" w:rsidR="00DC5EC6" w:rsidRDefault="003245A4">
            <w:pPr>
              <w:pStyle w:val="P68B1DB1-Normal12"/>
              <w:spacing w:after="0" w:line="240" w:lineRule="auto"/>
              <w:jc w:val="center"/>
              <w:rPr>
                <w:rFonts w:eastAsia="Times New Roman" w:cstheme="minorHAnsi"/>
                <w:noProof/>
              </w:rPr>
            </w:pPr>
            <w:r>
              <w:rPr>
                <w:noProof/>
              </w:rPr>
              <w:t xml:space="preserve"> </w:t>
            </w:r>
          </w:p>
        </w:tc>
        <w:tc>
          <w:tcPr>
            <w:tcW w:w="542" w:type="dxa"/>
            <w:shd w:val="clear" w:color="auto" w:fill="C4EFCE"/>
            <w:noWrap/>
            <w:vAlign w:val="center"/>
          </w:tcPr>
          <w:p w14:paraId="3D54C13F" w14:textId="2CB31EF5" w:rsidR="00DC5EC6" w:rsidRDefault="00CF0219">
            <w:pPr>
              <w:pStyle w:val="P68B1DB1-Normal12"/>
              <w:spacing w:after="0" w:line="240" w:lineRule="auto"/>
              <w:jc w:val="center"/>
              <w:rPr>
                <w:rFonts w:eastAsia="Times New Roman" w:cstheme="minorHAnsi"/>
                <w:noProof/>
              </w:rPr>
            </w:pPr>
            <w:r>
              <w:rPr>
                <w:noProof/>
              </w:rPr>
              <w:t>1.</w:t>
            </w:r>
            <w:r w:rsidR="003245A4">
              <w:rPr>
                <w:noProof/>
              </w:rPr>
              <w:t xml:space="preserve">NEGYEDÉV </w:t>
            </w:r>
          </w:p>
        </w:tc>
        <w:tc>
          <w:tcPr>
            <w:tcW w:w="670" w:type="dxa"/>
            <w:shd w:val="clear" w:color="auto" w:fill="C4EFCE"/>
            <w:noWrap/>
            <w:vAlign w:val="center"/>
          </w:tcPr>
          <w:p w14:paraId="77865BCF" w14:textId="2D5D08F6" w:rsidR="00DC5EC6" w:rsidRDefault="003245A4">
            <w:pPr>
              <w:pStyle w:val="P68B1DB1-Normal12"/>
              <w:spacing w:after="0" w:line="240" w:lineRule="auto"/>
              <w:jc w:val="center"/>
              <w:rPr>
                <w:rFonts w:eastAsia="Times New Roman" w:cstheme="minorHAnsi"/>
                <w:noProof/>
              </w:rPr>
            </w:pPr>
            <w:r>
              <w:rPr>
                <w:noProof/>
              </w:rPr>
              <w:t xml:space="preserve"> 2024</w:t>
            </w:r>
          </w:p>
        </w:tc>
        <w:tc>
          <w:tcPr>
            <w:tcW w:w="4347" w:type="dxa"/>
            <w:shd w:val="clear" w:color="auto" w:fill="C4EFCE"/>
            <w:vAlign w:val="center"/>
          </w:tcPr>
          <w:p w14:paraId="787D10CD" w14:textId="30D960C1" w:rsidR="00DC5EC6" w:rsidRDefault="003245A4">
            <w:pPr>
              <w:pStyle w:val="P68B1DB1-Normal12"/>
              <w:spacing w:after="0" w:line="240" w:lineRule="auto"/>
              <w:jc w:val="both"/>
              <w:rPr>
                <w:rFonts w:eastAsia="Times New Roman" w:cstheme="minorHAnsi"/>
                <w:noProof/>
              </w:rPr>
            </w:pPr>
            <w:r>
              <w:rPr>
                <w:noProof/>
              </w:rPr>
              <w:t xml:space="preserve">A közigazgatási teljesítmény kezelésére és értékelésére szolgáló integrált rendszert (SIADAP) az intézkedés leírásában leírt jellemzőknek megfelelően felülvizsgáló jogalkotási aktus hatálybalépése. </w:t>
            </w:r>
          </w:p>
        </w:tc>
      </w:tr>
      <w:tr w:rsidR="00CF0219" w14:paraId="595052CD" w14:textId="77777777" w:rsidTr="00C009B1">
        <w:trPr>
          <w:trHeight w:val="430"/>
        </w:trPr>
        <w:tc>
          <w:tcPr>
            <w:tcW w:w="1061" w:type="dxa"/>
            <w:shd w:val="clear" w:color="auto" w:fill="C4EFCE"/>
            <w:vAlign w:val="center"/>
          </w:tcPr>
          <w:p w14:paraId="6673DA96" w14:textId="12B6BD26" w:rsidR="00CF0219" w:rsidRDefault="00CF0219" w:rsidP="00CF0219">
            <w:pPr>
              <w:pStyle w:val="P68B1DB1-Normal11"/>
              <w:spacing w:after="0" w:line="240" w:lineRule="auto"/>
              <w:jc w:val="center"/>
              <w:rPr>
                <w:rFonts w:eastAsia="Times New Roman" w:cstheme="minorHAnsi"/>
                <w:noProof/>
              </w:rPr>
            </w:pPr>
            <w:r>
              <w:rPr>
                <w:noProof/>
              </w:rPr>
              <w:t>19.32</w:t>
            </w:r>
          </w:p>
        </w:tc>
        <w:tc>
          <w:tcPr>
            <w:tcW w:w="1186" w:type="dxa"/>
            <w:shd w:val="clear" w:color="auto" w:fill="C4EFCE"/>
            <w:noWrap/>
            <w:vAlign w:val="center"/>
          </w:tcPr>
          <w:p w14:paraId="0595A2A8" w14:textId="3B184232" w:rsidR="00CF0219" w:rsidRDefault="00CF0219" w:rsidP="00CF0219">
            <w:pPr>
              <w:pStyle w:val="P68B1DB1-Normal12"/>
              <w:spacing w:after="0" w:line="240" w:lineRule="auto"/>
              <w:jc w:val="center"/>
              <w:rPr>
                <w:rFonts w:eastAsia="Times New Roman" w:cstheme="minorHAnsi"/>
                <w:noProof/>
              </w:rPr>
            </w:pPr>
            <w:r>
              <w:rPr>
                <w:noProof/>
              </w:rPr>
              <w:t>TD-C19–r42</w:t>
            </w:r>
          </w:p>
        </w:tc>
        <w:tc>
          <w:tcPr>
            <w:tcW w:w="1058" w:type="dxa"/>
            <w:shd w:val="clear" w:color="auto" w:fill="C4EFCE"/>
            <w:noWrap/>
            <w:vAlign w:val="center"/>
          </w:tcPr>
          <w:p w14:paraId="588DCBAA" w14:textId="2DD3035E" w:rsidR="00CF0219" w:rsidRDefault="00CF0219" w:rsidP="00CF0219">
            <w:pPr>
              <w:pStyle w:val="P68B1DB1-Normal12"/>
              <w:spacing w:after="0" w:line="240" w:lineRule="auto"/>
              <w:jc w:val="center"/>
              <w:rPr>
                <w:rFonts w:eastAsia="Times New Roman" w:cstheme="minorHAnsi"/>
                <w:noProof/>
              </w:rPr>
            </w:pPr>
            <w:r>
              <w:rPr>
                <w:noProof/>
              </w:rPr>
              <w:t>M</w:t>
            </w:r>
          </w:p>
        </w:tc>
        <w:tc>
          <w:tcPr>
            <w:tcW w:w="1573" w:type="dxa"/>
            <w:shd w:val="clear" w:color="auto" w:fill="C4EFCE"/>
            <w:noWrap/>
            <w:vAlign w:val="center"/>
          </w:tcPr>
          <w:p w14:paraId="52CB2148" w14:textId="13350A36" w:rsidR="00CF0219" w:rsidRDefault="00CF0219" w:rsidP="00CF0219">
            <w:pPr>
              <w:pStyle w:val="P68B1DB1-Normal12"/>
              <w:spacing w:after="0" w:line="240" w:lineRule="auto"/>
              <w:jc w:val="center"/>
              <w:rPr>
                <w:rFonts w:eastAsia="Times New Roman" w:cstheme="minorHAnsi"/>
                <w:noProof/>
              </w:rPr>
            </w:pPr>
            <w:r>
              <w:rPr>
                <w:noProof/>
              </w:rPr>
              <w:t>A közigazgatási hatáskörök profilját felülvizsgáló jogalkotási aktus hatálybalépése</w:t>
            </w:r>
          </w:p>
        </w:tc>
        <w:tc>
          <w:tcPr>
            <w:tcW w:w="1314" w:type="dxa"/>
            <w:shd w:val="clear" w:color="auto" w:fill="C4EFCE"/>
            <w:noWrap/>
            <w:vAlign w:val="center"/>
          </w:tcPr>
          <w:p w14:paraId="55C8AFE8" w14:textId="078306F1" w:rsidR="00CF0219" w:rsidRDefault="00CF0219" w:rsidP="00CF0219">
            <w:pPr>
              <w:pStyle w:val="P68B1DB1-Normal12"/>
              <w:spacing w:after="0" w:line="240" w:lineRule="auto"/>
              <w:jc w:val="center"/>
              <w:rPr>
                <w:rFonts w:eastAsia="Times New Roman" w:cstheme="minorHAnsi"/>
                <w:noProof/>
              </w:rPr>
            </w:pPr>
            <w:r>
              <w:rPr>
                <w:noProof/>
              </w:rPr>
              <w:t xml:space="preserve">A jogalkotási aktusban szereplő, a jogalkotási aktus hatálybalépésére utaló rendelkezés </w:t>
            </w:r>
          </w:p>
        </w:tc>
        <w:tc>
          <w:tcPr>
            <w:tcW w:w="1110" w:type="dxa"/>
            <w:shd w:val="clear" w:color="auto" w:fill="C4EFCE"/>
            <w:noWrap/>
            <w:vAlign w:val="center"/>
          </w:tcPr>
          <w:p w14:paraId="0F112E93" w14:textId="3E369BD1"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928" w:type="dxa"/>
            <w:shd w:val="clear" w:color="auto" w:fill="C4EFCE"/>
            <w:noWrap/>
            <w:vAlign w:val="center"/>
          </w:tcPr>
          <w:p w14:paraId="21348855" w14:textId="50047F43"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670" w:type="dxa"/>
            <w:shd w:val="clear" w:color="auto" w:fill="C4EFCE"/>
            <w:noWrap/>
            <w:vAlign w:val="center"/>
          </w:tcPr>
          <w:p w14:paraId="775EF0EE" w14:textId="5792FB1D"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542" w:type="dxa"/>
            <w:shd w:val="clear" w:color="auto" w:fill="C4EFCE"/>
            <w:noWrap/>
            <w:vAlign w:val="center"/>
          </w:tcPr>
          <w:p w14:paraId="104DC251" w14:textId="31B71FBB" w:rsidR="00CF0219" w:rsidRDefault="00CF0219" w:rsidP="00CF0219">
            <w:pPr>
              <w:pStyle w:val="P68B1DB1-Normal12"/>
              <w:spacing w:after="0" w:line="240" w:lineRule="auto"/>
              <w:jc w:val="center"/>
              <w:rPr>
                <w:rFonts w:eastAsia="Times New Roman" w:cstheme="minorHAnsi"/>
                <w:noProof/>
              </w:rPr>
            </w:pPr>
            <w:r>
              <w:rPr>
                <w:noProof/>
              </w:rPr>
              <w:t xml:space="preserve">1.NEGYEDÉV </w:t>
            </w:r>
          </w:p>
        </w:tc>
        <w:tc>
          <w:tcPr>
            <w:tcW w:w="670" w:type="dxa"/>
            <w:shd w:val="clear" w:color="auto" w:fill="C4EFCE"/>
            <w:noWrap/>
            <w:vAlign w:val="center"/>
          </w:tcPr>
          <w:p w14:paraId="1224479D" w14:textId="0B9B8D99" w:rsidR="00CF0219" w:rsidRDefault="00CF0219" w:rsidP="00CF0219">
            <w:pPr>
              <w:pStyle w:val="P68B1DB1-Normal12"/>
              <w:spacing w:after="0" w:line="240" w:lineRule="auto"/>
              <w:jc w:val="center"/>
              <w:rPr>
                <w:rFonts w:eastAsia="Times New Roman" w:cstheme="minorHAnsi"/>
                <w:noProof/>
              </w:rPr>
            </w:pPr>
            <w:r>
              <w:rPr>
                <w:noProof/>
              </w:rPr>
              <w:t>2024</w:t>
            </w:r>
          </w:p>
        </w:tc>
        <w:tc>
          <w:tcPr>
            <w:tcW w:w="4347" w:type="dxa"/>
            <w:shd w:val="clear" w:color="auto" w:fill="C4EFCE"/>
            <w:vAlign w:val="center"/>
          </w:tcPr>
          <w:p w14:paraId="14DC0FA1" w14:textId="48ADFE80" w:rsidR="00CF0219" w:rsidRDefault="00CF0219" w:rsidP="00CF0219">
            <w:pPr>
              <w:pStyle w:val="P68B1DB1-Normal12"/>
              <w:spacing w:after="0" w:line="240" w:lineRule="auto"/>
              <w:jc w:val="both"/>
              <w:rPr>
                <w:rFonts w:eastAsia="Times New Roman" w:cstheme="minorHAnsi"/>
                <w:noProof/>
              </w:rPr>
            </w:pPr>
            <w:r>
              <w:rPr>
                <w:noProof/>
              </w:rPr>
              <w:t xml:space="preserve">A felülvizsgált közigazgatási kompetenciaprofil hatályba lép. </w:t>
            </w:r>
          </w:p>
        </w:tc>
      </w:tr>
      <w:tr w:rsidR="00CF0219" w14:paraId="68DA236C" w14:textId="77777777" w:rsidTr="00C009B1">
        <w:trPr>
          <w:trHeight w:val="430"/>
        </w:trPr>
        <w:tc>
          <w:tcPr>
            <w:tcW w:w="1061" w:type="dxa"/>
            <w:shd w:val="clear" w:color="auto" w:fill="C4EFCE"/>
            <w:vAlign w:val="center"/>
          </w:tcPr>
          <w:p w14:paraId="21E8FF8C" w14:textId="4DFC5787" w:rsidR="00CF0219" w:rsidRDefault="00CF0219" w:rsidP="00CF0219">
            <w:pPr>
              <w:pStyle w:val="P68B1DB1-Normal11"/>
              <w:spacing w:after="0" w:line="240" w:lineRule="auto"/>
              <w:jc w:val="center"/>
              <w:rPr>
                <w:rFonts w:eastAsia="Times New Roman" w:cstheme="minorHAnsi"/>
                <w:noProof/>
              </w:rPr>
            </w:pPr>
            <w:r>
              <w:rPr>
                <w:noProof/>
              </w:rPr>
              <w:t>19.33</w:t>
            </w:r>
          </w:p>
        </w:tc>
        <w:tc>
          <w:tcPr>
            <w:tcW w:w="1186" w:type="dxa"/>
            <w:shd w:val="clear" w:color="auto" w:fill="C4EFCE"/>
            <w:noWrap/>
            <w:vAlign w:val="center"/>
          </w:tcPr>
          <w:p w14:paraId="02A0505D" w14:textId="6C5C6A0A" w:rsidR="00CF0219" w:rsidRDefault="00CF0219" w:rsidP="00CF0219">
            <w:pPr>
              <w:pStyle w:val="P68B1DB1-Normal12"/>
              <w:spacing w:after="0" w:line="240" w:lineRule="auto"/>
              <w:jc w:val="center"/>
              <w:rPr>
                <w:rFonts w:eastAsia="Times New Roman" w:cstheme="minorHAnsi"/>
                <w:noProof/>
              </w:rPr>
            </w:pPr>
            <w:r>
              <w:rPr>
                <w:noProof/>
              </w:rPr>
              <w:t>TD-C19–r42</w:t>
            </w:r>
          </w:p>
        </w:tc>
        <w:tc>
          <w:tcPr>
            <w:tcW w:w="1058" w:type="dxa"/>
            <w:shd w:val="clear" w:color="auto" w:fill="C4EFCE"/>
            <w:noWrap/>
            <w:vAlign w:val="center"/>
          </w:tcPr>
          <w:p w14:paraId="5B37C398" w14:textId="29DD42DF" w:rsidR="00CF0219" w:rsidRDefault="00CF0219" w:rsidP="00CF0219">
            <w:pPr>
              <w:pStyle w:val="P68B1DB1-Normal12"/>
              <w:spacing w:after="0" w:line="240" w:lineRule="auto"/>
              <w:jc w:val="center"/>
              <w:rPr>
                <w:rFonts w:eastAsia="Times New Roman" w:cstheme="minorHAnsi"/>
                <w:noProof/>
              </w:rPr>
            </w:pPr>
            <w:r>
              <w:rPr>
                <w:noProof/>
              </w:rPr>
              <w:t>T</w:t>
            </w:r>
          </w:p>
        </w:tc>
        <w:tc>
          <w:tcPr>
            <w:tcW w:w="1573" w:type="dxa"/>
            <w:shd w:val="clear" w:color="auto" w:fill="C4EFCE"/>
            <w:noWrap/>
            <w:vAlign w:val="center"/>
          </w:tcPr>
          <w:p w14:paraId="055786D3" w14:textId="285B3590" w:rsidR="00CF0219" w:rsidRDefault="00CF0219" w:rsidP="00CF0219">
            <w:pPr>
              <w:pStyle w:val="P68B1DB1-Normal12"/>
              <w:spacing w:after="0" w:line="240" w:lineRule="auto"/>
              <w:jc w:val="center"/>
              <w:rPr>
                <w:rFonts w:eastAsia="Times New Roman" w:cstheme="minorHAnsi"/>
                <w:noProof/>
              </w:rPr>
            </w:pPr>
            <w:r>
              <w:rPr>
                <w:noProof/>
              </w:rPr>
              <w:t>Az új SIADAP-rendszer üzembe helyezése</w:t>
            </w:r>
          </w:p>
        </w:tc>
        <w:tc>
          <w:tcPr>
            <w:tcW w:w="1314" w:type="dxa"/>
            <w:shd w:val="clear" w:color="auto" w:fill="C4EFCE"/>
            <w:noWrap/>
            <w:vAlign w:val="center"/>
          </w:tcPr>
          <w:p w14:paraId="09DC06A7" w14:textId="64B6C469" w:rsidR="00CF0219" w:rsidRDefault="00CF0219" w:rsidP="00CF0219">
            <w:pPr>
              <w:pStyle w:val="P68B1DB1-Normal12"/>
              <w:spacing w:after="0" w:line="240" w:lineRule="auto"/>
              <w:jc w:val="center"/>
              <w:rPr>
                <w:rFonts w:eastAsia="Times New Roman" w:cstheme="minorHAnsi"/>
                <w:noProof/>
              </w:rPr>
            </w:pPr>
            <w:r>
              <w:rPr>
                <w:noProof/>
              </w:rPr>
              <w:t xml:space="preserve">Az új SIADAP-rendszer üzembe helyezése </w:t>
            </w:r>
          </w:p>
        </w:tc>
        <w:tc>
          <w:tcPr>
            <w:tcW w:w="1110" w:type="dxa"/>
            <w:shd w:val="clear" w:color="auto" w:fill="C4EFCE"/>
            <w:noWrap/>
            <w:vAlign w:val="center"/>
          </w:tcPr>
          <w:p w14:paraId="58F7D868" w14:textId="1F6A8D99"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928" w:type="dxa"/>
            <w:shd w:val="clear" w:color="auto" w:fill="C4EFCE"/>
            <w:noWrap/>
            <w:vAlign w:val="center"/>
          </w:tcPr>
          <w:p w14:paraId="37360046" w14:textId="55C6ECB7"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670" w:type="dxa"/>
            <w:shd w:val="clear" w:color="auto" w:fill="C4EFCE"/>
            <w:noWrap/>
            <w:vAlign w:val="center"/>
          </w:tcPr>
          <w:p w14:paraId="2DB545E3" w14:textId="4B7402EB" w:rsidR="00CF0219" w:rsidRDefault="00CF0219" w:rsidP="00CF0219">
            <w:pPr>
              <w:pStyle w:val="P68B1DB1-Normal12"/>
              <w:spacing w:after="0" w:line="240" w:lineRule="auto"/>
              <w:jc w:val="center"/>
              <w:rPr>
                <w:rFonts w:eastAsia="Times New Roman" w:cstheme="minorHAnsi"/>
                <w:noProof/>
              </w:rPr>
            </w:pPr>
            <w:r>
              <w:rPr>
                <w:noProof/>
              </w:rPr>
              <w:t xml:space="preserve"> </w:t>
            </w:r>
          </w:p>
        </w:tc>
        <w:tc>
          <w:tcPr>
            <w:tcW w:w="542" w:type="dxa"/>
            <w:shd w:val="clear" w:color="auto" w:fill="C4EFCE"/>
            <w:noWrap/>
            <w:vAlign w:val="center"/>
          </w:tcPr>
          <w:p w14:paraId="1E46E1BF" w14:textId="6F68F73F" w:rsidR="00CF0219" w:rsidRDefault="00CF0219" w:rsidP="00CF0219">
            <w:pPr>
              <w:pStyle w:val="P68B1DB1-Normal12"/>
              <w:spacing w:after="0" w:line="240" w:lineRule="auto"/>
              <w:jc w:val="center"/>
              <w:rPr>
                <w:rFonts w:eastAsia="Times New Roman" w:cstheme="minorHAnsi"/>
                <w:noProof/>
              </w:rPr>
            </w:pPr>
            <w:r>
              <w:rPr>
                <w:noProof/>
              </w:rPr>
              <w:t xml:space="preserve">1.NEGYEDÉV </w:t>
            </w:r>
          </w:p>
        </w:tc>
        <w:tc>
          <w:tcPr>
            <w:tcW w:w="670" w:type="dxa"/>
            <w:shd w:val="clear" w:color="auto" w:fill="C4EFCE"/>
            <w:noWrap/>
            <w:vAlign w:val="center"/>
          </w:tcPr>
          <w:p w14:paraId="204F0C6B" w14:textId="01023863" w:rsidR="00CF0219" w:rsidRDefault="00CF0219" w:rsidP="00CF0219">
            <w:pPr>
              <w:pStyle w:val="P68B1DB1-Normal12"/>
              <w:spacing w:after="0" w:line="240" w:lineRule="auto"/>
              <w:jc w:val="center"/>
              <w:rPr>
                <w:rFonts w:eastAsia="Times New Roman" w:cstheme="minorHAnsi"/>
                <w:noProof/>
              </w:rPr>
            </w:pPr>
            <w:r>
              <w:rPr>
                <w:noProof/>
              </w:rPr>
              <w:t>2025</w:t>
            </w:r>
          </w:p>
        </w:tc>
        <w:tc>
          <w:tcPr>
            <w:tcW w:w="4347" w:type="dxa"/>
            <w:shd w:val="clear" w:color="auto" w:fill="C4EFCE"/>
            <w:vAlign w:val="center"/>
          </w:tcPr>
          <w:p w14:paraId="139C28E9" w14:textId="7E6818C1" w:rsidR="00CF0219" w:rsidRDefault="00CF0219" w:rsidP="00CF0219">
            <w:pPr>
              <w:pStyle w:val="P68B1DB1-Bodytext1013"/>
              <w:spacing w:line="240" w:lineRule="auto"/>
              <w:jc w:val="both"/>
              <w:rPr>
                <w:rFonts w:eastAsia="MS Mincho" w:cstheme="minorHAnsi"/>
                <w:noProof/>
              </w:rPr>
            </w:pPr>
            <w:r>
              <w:rPr>
                <w:noProof/>
              </w:rPr>
              <w:t>Az új SIADAP-rendszer, többek között a megfelelő informatikai platform üzembe helyezése. A SIADAP rendszer felhasználói számára külön képzést kell biztosítani az informatikai platform használatának megtanulásához.</w:t>
            </w:r>
          </w:p>
        </w:tc>
      </w:tr>
      <w:tr w:rsidR="00CF0219" w14:paraId="3BD666CA" w14:textId="77777777" w:rsidTr="00C009B1">
        <w:trPr>
          <w:trHeight w:val="430"/>
        </w:trPr>
        <w:tc>
          <w:tcPr>
            <w:tcW w:w="1061" w:type="dxa"/>
            <w:shd w:val="clear" w:color="auto" w:fill="C4EFCE"/>
            <w:vAlign w:val="center"/>
          </w:tcPr>
          <w:p w14:paraId="1A621731" w14:textId="4130020B" w:rsidR="00CF0219" w:rsidRDefault="00CF0219" w:rsidP="00CF0219">
            <w:pPr>
              <w:pStyle w:val="P68B1DB1-Normal11"/>
              <w:spacing w:after="0" w:line="240" w:lineRule="auto"/>
              <w:jc w:val="center"/>
              <w:rPr>
                <w:rFonts w:cstheme="minorHAnsi"/>
                <w:noProof/>
              </w:rPr>
            </w:pPr>
            <w:r>
              <w:rPr>
                <w:noProof/>
              </w:rPr>
              <w:t>19.34</w:t>
            </w:r>
          </w:p>
        </w:tc>
        <w:tc>
          <w:tcPr>
            <w:tcW w:w="1186" w:type="dxa"/>
            <w:shd w:val="clear" w:color="auto" w:fill="C4EFCE"/>
            <w:noWrap/>
            <w:vAlign w:val="center"/>
          </w:tcPr>
          <w:p w14:paraId="40206F7E" w14:textId="2D382AD0" w:rsidR="00CF0219" w:rsidRDefault="00CF0219" w:rsidP="00CF0219">
            <w:pPr>
              <w:pStyle w:val="P68B1DB1-Normal12"/>
              <w:spacing w:after="0" w:line="240" w:lineRule="auto"/>
              <w:jc w:val="center"/>
              <w:rPr>
                <w:rFonts w:cstheme="minorHAnsi"/>
                <w:noProof/>
              </w:rPr>
            </w:pPr>
            <w:r>
              <w:rPr>
                <w:noProof/>
              </w:rPr>
              <w:t>TD-C19-i08</w:t>
            </w:r>
          </w:p>
        </w:tc>
        <w:tc>
          <w:tcPr>
            <w:tcW w:w="1058" w:type="dxa"/>
            <w:shd w:val="clear" w:color="auto" w:fill="C4EFCE"/>
            <w:noWrap/>
            <w:vAlign w:val="center"/>
          </w:tcPr>
          <w:p w14:paraId="3762138F" w14:textId="70675931" w:rsidR="00CF0219" w:rsidRDefault="00CF0219" w:rsidP="00CF0219">
            <w:pPr>
              <w:pStyle w:val="P68B1DB1-Normal12"/>
              <w:spacing w:after="0" w:line="240" w:lineRule="auto"/>
              <w:jc w:val="center"/>
              <w:rPr>
                <w:rFonts w:cstheme="minorHAnsi"/>
                <w:noProof/>
              </w:rPr>
            </w:pPr>
            <w:r>
              <w:rPr>
                <w:noProof/>
              </w:rPr>
              <w:t xml:space="preserve"> M</w:t>
            </w:r>
          </w:p>
        </w:tc>
        <w:tc>
          <w:tcPr>
            <w:tcW w:w="1573" w:type="dxa"/>
            <w:shd w:val="clear" w:color="auto" w:fill="C4EFCE"/>
            <w:noWrap/>
            <w:vAlign w:val="center"/>
          </w:tcPr>
          <w:p w14:paraId="4895262C" w14:textId="47D5ADE7" w:rsidR="00CF0219" w:rsidRDefault="00CF0219" w:rsidP="00CF0219">
            <w:pPr>
              <w:pStyle w:val="P68B1DB1-Normal12"/>
              <w:spacing w:after="0" w:line="240" w:lineRule="auto"/>
              <w:jc w:val="center"/>
              <w:rPr>
                <w:rFonts w:cstheme="minorHAnsi"/>
                <w:noProof/>
              </w:rPr>
            </w:pPr>
            <w:r>
              <w:rPr>
                <w:noProof/>
              </w:rPr>
              <w:t>Az intelligens területek portáljának elindítása</w:t>
            </w:r>
          </w:p>
        </w:tc>
        <w:tc>
          <w:tcPr>
            <w:tcW w:w="1314" w:type="dxa"/>
            <w:shd w:val="clear" w:color="auto" w:fill="C4EFCE"/>
            <w:noWrap/>
            <w:vAlign w:val="center"/>
          </w:tcPr>
          <w:p w14:paraId="1CE63BEE" w14:textId="6B7D4F8E" w:rsidR="00CF0219" w:rsidRDefault="00CF0219" w:rsidP="00CF0219">
            <w:pPr>
              <w:pStyle w:val="P68B1DB1-Normal12"/>
              <w:spacing w:after="0" w:line="240" w:lineRule="auto"/>
              <w:jc w:val="center"/>
              <w:rPr>
                <w:rFonts w:cstheme="minorHAnsi"/>
                <w:noProof/>
              </w:rPr>
            </w:pPr>
            <w:r>
              <w:rPr>
                <w:noProof/>
              </w:rPr>
              <w:t xml:space="preserve">Az intelligens területek portáljának elindítása  </w:t>
            </w:r>
          </w:p>
        </w:tc>
        <w:tc>
          <w:tcPr>
            <w:tcW w:w="1110" w:type="dxa"/>
            <w:shd w:val="clear" w:color="auto" w:fill="C4EFCE"/>
            <w:noWrap/>
            <w:vAlign w:val="center"/>
          </w:tcPr>
          <w:p w14:paraId="4795DA0D" w14:textId="4161F638" w:rsidR="00CF0219" w:rsidRDefault="00CF0219" w:rsidP="00CF0219">
            <w:pPr>
              <w:pStyle w:val="P68B1DB1-Normal12"/>
              <w:spacing w:after="0" w:line="240" w:lineRule="auto"/>
              <w:jc w:val="center"/>
              <w:rPr>
                <w:rFonts w:cstheme="minorHAnsi"/>
                <w:noProof/>
              </w:rPr>
            </w:pPr>
            <w:r>
              <w:rPr>
                <w:noProof/>
              </w:rPr>
              <w:t xml:space="preserve"> </w:t>
            </w:r>
          </w:p>
        </w:tc>
        <w:tc>
          <w:tcPr>
            <w:tcW w:w="928" w:type="dxa"/>
            <w:shd w:val="clear" w:color="auto" w:fill="C4EFCE"/>
            <w:noWrap/>
            <w:vAlign w:val="center"/>
          </w:tcPr>
          <w:p w14:paraId="5ADAEE3A" w14:textId="662F9117" w:rsidR="00CF0219" w:rsidRDefault="00CF0219" w:rsidP="00CF0219">
            <w:pPr>
              <w:pStyle w:val="P68B1DB1-Normal12"/>
              <w:spacing w:after="0" w:line="240" w:lineRule="auto"/>
              <w:jc w:val="center"/>
              <w:rPr>
                <w:rFonts w:cstheme="minorHAnsi"/>
                <w:noProof/>
              </w:rPr>
            </w:pPr>
            <w:r>
              <w:rPr>
                <w:noProof/>
              </w:rPr>
              <w:t xml:space="preserve"> </w:t>
            </w:r>
          </w:p>
        </w:tc>
        <w:tc>
          <w:tcPr>
            <w:tcW w:w="670" w:type="dxa"/>
            <w:shd w:val="clear" w:color="auto" w:fill="C4EFCE"/>
            <w:noWrap/>
            <w:vAlign w:val="center"/>
          </w:tcPr>
          <w:p w14:paraId="1BF2082E" w14:textId="49DE1BE3" w:rsidR="00CF0219" w:rsidRDefault="00CF0219" w:rsidP="00CF0219">
            <w:pPr>
              <w:pStyle w:val="P68B1DB1-Normal12"/>
              <w:spacing w:after="0" w:line="240" w:lineRule="auto"/>
              <w:jc w:val="center"/>
              <w:rPr>
                <w:rFonts w:cstheme="minorHAnsi"/>
                <w:noProof/>
              </w:rPr>
            </w:pPr>
            <w:r>
              <w:rPr>
                <w:noProof/>
              </w:rPr>
              <w:t xml:space="preserve"> </w:t>
            </w:r>
          </w:p>
        </w:tc>
        <w:tc>
          <w:tcPr>
            <w:tcW w:w="542" w:type="dxa"/>
            <w:shd w:val="clear" w:color="auto" w:fill="C4EFCE"/>
            <w:noWrap/>
            <w:vAlign w:val="center"/>
          </w:tcPr>
          <w:p w14:paraId="2F308FC6" w14:textId="7F78F64E" w:rsidR="00CF0219" w:rsidRDefault="00CF0219" w:rsidP="00CF0219">
            <w:pPr>
              <w:pStyle w:val="P68B1DB1-Normal12"/>
              <w:spacing w:after="0" w:line="240" w:lineRule="auto"/>
              <w:jc w:val="center"/>
              <w:rPr>
                <w:rFonts w:cstheme="minorHAnsi"/>
                <w:noProof/>
              </w:rPr>
            </w:pPr>
            <w:r>
              <w:rPr>
                <w:noProof/>
              </w:rPr>
              <w:t xml:space="preserve">1.NEGYEDÉV </w:t>
            </w:r>
          </w:p>
        </w:tc>
        <w:tc>
          <w:tcPr>
            <w:tcW w:w="670" w:type="dxa"/>
            <w:shd w:val="clear" w:color="auto" w:fill="C4EFCE"/>
            <w:noWrap/>
            <w:vAlign w:val="center"/>
          </w:tcPr>
          <w:p w14:paraId="75086835" w14:textId="0DBEA283" w:rsidR="00CF0219" w:rsidRDefault="00CF0219" w:rsidP="00CF0219">
            <w:pPr>
              <w:pStyle w:val="P68B1DB1-Normal12"/>
              <w:spacing w:after="0" w:line="240" w:lineRule="auto"/>
              <w:jc w:val="center"/>
              <w:rPr>
                <w:rFonts w:cstheme="minorHAnsi"/>
                <w:noProof/>
              </w:rPr>
            </w:pPr>
            <w:r>
              <w:rPr>
                <w:noProof/>
              </w:rPr>
              <w:t>2025</w:t>
            </w:r>
          </w:p>
        </w:tc>
        <w:tc>
          <w:tcPr>
            <w:tcW w:w="4347" w:type="dxa"/>
            <w:shd w:val="clear" w:color="auto" w:fill="C4EFCE"/>
            <w:vAlign w:val="center"/>
          </w:tcPr>
          <w:p w14:paraId="5E92ABD1" w14:textId="47D500D2" w:rsidR="00CF0219" w:rsidRDefault="00CF0219" w:rsidP="00CF0219">
            <w:pPr>
              <w:pStyle w:val="P68B1DB1-Bodytext1013"/>
              <w:spacing w:after="0" w:line="240" w:lineRule="auto"/>
              <w:jc w:val="both"/>
              <w:rPr>
                <w:rFonts w:cstheme="minorHAnsi"/>
                <w:noProof/>
              </w:rPr>
            </w:pPr>
            <w:r>
              <w:rPr>
                <w:noProof/>
              </w:rPr>
              <w:t xml:space="preserve">Online honlap (azaz portál) elindítása, amely helyi, regionális és nemzeti szinten online adatbázist biztosít.  </w:t>
            </w:r>
          </w:p>
        </w:tc>
      </w:tr>
      <w:tr w:rsidR="00CF0219" w14:paraId="561E4208" w14:textId="77777777" w:rsidTr="00C009B1">
        <w:trPr>
          <w:trHeight w:val="430"/>
        </w:trPr>
        <w:tc>
          <w:tcPr>
            <w:tcW w:w="1061" w:type="dxa"/>
            <w:shd w:val="clear" w:color="auto" w:fill="C4EFCE"/>
            <w:vAlign w:val="center"/>
          </w:tcPr>
          <w:p w14:paraId="1C29C0D2" w14:textId="68CA64B4" w:rsidR="00CF0219" w:rsidRDefault="00CF0219" w:rsidP="00CF0219">
            <w:pPr>
              <w:pStyle w:val="P68B1DB1-Normal11"/>
              <w:spacing w:after="0" w:line="240" w:lineRule="auto"/>
              <w:jc w:val="center"/>
              <w:rPr>
                <w:rFonts w:cstheme="minorHAnsi"/>
                <w:noProof/>
              </w:rPr>
            </w:pPr>
            <w:r>
              <w:rPr>
                <w:noProof/>
              </w:rPr>
              <w:t>19.35</w:t>
            </w:r>
          </w:p>
        </w:tc>
        <w:tc>
          <w:tcPr>
            <w:tcW w:w="1186" w:type="dxa"/>
            <w:shd w:val="clear" w:color="auto" w:fill="C4EFCE"/>
            <w:noWrap/>
            <w:vAlign w:val="center"/>
          </w:tcPr>
          <w:p w14:paraId="08D6F6EF" w14:textId="5FBF4181" w:rsidR="00CF0219" w:rsidRDefault="00CF0219" w:rsidP="00CF0219">
            <w:pPr>
              <w:pStyle w:val="P68B1DB1-Bodytext1013"/>
              <w:spacing w:after="0"/>
              <w:jc w:val="center"/>
              <w:rPr>
                <w:rFonts w:cstheme="minorHAnsi"/>
                <w:noProof/>
              </w:rPr>
            </w:pPr>
            <w:r>
              <w:rPr>
                <w:noProof/>
              </w:rPr>
              <w:t>TD-C19-i08</w:t>
            </w:r>
          </w:p>
        </w:tc>
        <w:tc>
          <w:tcPr>
            <w:tcW w:w="1058" w:type="dxa"/>
            <w:shd w:val="clear" w:color="auto" w:fill="C4EFCE"/>
            <w:noWrap/>
            <w:vAlign w:val="center"/>
          </w:tcPr>
          <w:p w14:paraId="39CBDC9B" w14:textId="028DD878" w:rsidR="00CF0219" w:rsidRDefault="00CF0219" w:rsidP="00CF0219">
            <w:pPr>
              <w:pStyle w:val="P68B1DB1-Normal12"/>
              <w:spacing w:after="0" w:line="240" w:lineRule="auto"/>
              <w:jc w:val="center"/>
              <w:rPr>
                <w:noProof/>
              </w:rPr>
            </w:pPr>
            <w:r>
              <w:rPr>
                <w:noProof/>
              </w:rPr>
              <w:t>M</w:t>
            </w:r>
          </w:p>
        </w:tc>
        <w:tc>
          <w:tcPr>
            <w:tcW w:w="1573" w:type="dxa"/>
            <w:shd w:val="clear" w:color="auto" w:fill="C4EFCE"/>
            <w:noWrap/>
            <w:vAlign w:val="center"/>
          </w:tcPr>
          <w:p w14:paraId="5CDAFF79" w14:textId="16B612FE" w:rsidR="00CF0219" w:rsidRDefault="00CF0219" w:rsidP="00CF0219">
            <w:pPr>
              <w:pStyle w:val="P68B1DB1-Normal12"/>
              <w:spacing w:after="0" w:line="240" w:lineRule="auto"/>
              <w:jc w:val="center"/>
              <w:rPr>
                <w:noProof/>
              </w:rPr>
            </w:pPr>
            <w:r>
              <w:rPr>
                <w:noProof/>
              </w:rPr>
              <w:t>Intelligens területek: Városgazdálkodási platformok, digitális ikermodellek és közpolitikai irányítópult</w:t>
            </w:r>
          </w:p>
        </w:tc>
        <w:tc>
          <w:tcPr>
            <w:tcW w:w="1314" w:type="dxa"/>
            <w:shd w:val="clear" w:color="auto" w:fill="C4EFCE"/>
            <w:noWrap/>
            <w:vAlign w:val="center"/>
          </w:tcPr>
          <w:p w14:paraId="5887A4A4" w14:textId="04AD0981" w:rsidR="00CF0219" w:rsidRDefault="00CF0219" w:rsidP="00CF0219">
            <w:pPr>
              <w:pStyle w:val="P68B1DB1-Normal8"/>
              <w:spacing w:after="0" w:line="240" w:lineRule="auto"/>
              <w:jc w:val="center"/>
              <w:rPr>
                <w:rFonts w:eastAsia="Calibri" w:cs="Calibri"/>
                <w:noProof/>
              </w:rPr>
            </w:pPr>
            <w:r>
              <w:rPr>
                <w:noProof/>
              </w:rPr>
              <w:t>Települések városgazdálkodási platformokkal, digitális ikermodellek létrehozása és a közpolitikai irányítópult elindítása</w:t>
            </w:r>
          </w:p>
        </w:tc>
        <w:tc>
          <w:tcPr>
            <w:tcW w:w="1110" w:type="dxa"/>
            <w:shd w:val="clear" w:color="auto" w:fill="C4EFCE"/>
            <w:noWrap/>
            <w:vAlign w:val="center"/>
          </w:tcPr>
          <w:p w14:paraId="66C3FFB1" w14:textId="620351DF" w:rsidR="00CF0219" w:rsidRDefault="00CF0219" w:rsidP="00CF0219">
            <w:pPr>
              <w:spacing w:after="0" w:line="240" w:lineRule="auto"/>
              <w:jc w:val="center"/>
              <w:rPr>
                <w:rFonts w:cstheme="minorHAnsi"/>
                <w:noProof/>
                <w:sz w:val="16"/>
              </w:rPr>
            </w:pPr>
          </w:p>
        </w:tc>
        <w:tc>
          <w:tcPr>
            <w:tcW w:w="928" w:type="dxa"/>
            <w:shd w:val="clear" w:color="auto" w:fill="C4EFCE"/>
            <w:noWrap/>
            <w:vAlign w:val="center"/>
          </w:tcPr>
          <w:p w14:paraId="08351A85" w14:textId="3468C050" w:rsidR="00CF0219" w:rsidRDefault="00CF0219" w:rsidP="00CF0219">
            <w:pPr>
              <w:spacing w:after="0" w:line="240" w:lineRule="auto"/>
              <w:jc w:val="center"/>
              <w:rPr>
                <w:noProof/>
                <w:sz w:val="16"/>
              </w:rPr>
            </w:pPr>
          </w:p>
        </w:tc>
        <w:tc>
          <w:tcPr>
            <w:tcW w:w="670" w:type="dxa"/>
            <w:shd w:val="clear" w:color="auto" w:fill="C4EFCE"/>
            <w:noWrap/>
            <w:vAlign w:val="center"/>
          </w:tcPr>
          <w:p w14:paraId="78472566" w14:textId="31A690E9" w:rsidR="00CF0219" w:rsidRDefault="00CF0219" w:rsidP="00CF0219">
            <w:pPr>
              <w:spacing w:after="0" w:line="240" w:lineRule="auto"/>
              <w:jc w:val="center"/>
              <w:rPr>
                <w:noProof/>
                <w:sz w:val="16"/>
              </w:rPr>
            </w:pPr>
          </w:p>
        </w:tc>
        <w:tc>
          <w:tcPr>
            <w:tcW w:w="542" w:type="dxa"/>
            <w:shd w:val="clear" w:color="auto" w:fill="C4EFCE"/>
            <w:noWrap/>
            <w:vAlign w:val="center"/>
          </w:tcPr>
          <w:p w14:paraId="5C72A606" w14:textId="7B382BF3" w:rsidR="00CF0219" w:rsidRDefault="00CF0219" w:rsidP="00CF0219">
            <w:pPr>
              <w:pStyle w:val="P68B1DB1-Normal12"/>
              <w:spacing w:after="0" w:line="240" w:lineRule="auto"/>
              <w:jc w:val="center"/>
              <w:rPr>
                <w:noProof/>
              </w:rPr>
            </w:pPr>
            <w:r>
              <w:rPr>
                <w:noProof/>
              </w:rPr>
              <w:t xml:space="preserve">1.NEGYEDÉV </w:t>
            </w:r>
          </w:p>
        </w:tc>
        <w:tc>
          <w:tcPr>
            <w:tcW w:w="670" w:type="dxa"/>
            <w:shd w:val="clear" w:color="auto" w:fill="C4EFCE"/>
            <w:noWrap/>
            <w:vAlign w:val="center"/>
          </w:tcPr>
          <w:p w14:paraId="35582AA4" w14:textId="7E5EFB41" w:rsidR="00CF0219" w:rsidRDefault="00CF0219" w:rsidP="00CF0219">
            <w:pPr>
              <w:pStyle w:val="P68B1DB1-Normal12"/>
              <w:spacing w:after="0" w:line="240" w:lineRule="auto"/>
              <w:jc w:val="center"/>
              <w:rPr>
                <w:rFonts w:cstheme="minorHAnsi"/>
                <w:noProof/>
              </w:rPr>
            </w:pPr>
            <w:r>
              <w:rPr>
                <w:noProof/>
              </w:rPr>
              <w:t>2026</w:t>
            </w:r>
          </w:p>
        </w:tc>
        <w:tc>
          <w:tcPr>
            <w:tcW w:w="4347" w:type="dxa"/>
            <w:shd w:val="clear" w:color="auto" w:fill="C4EFCE"/>
            <w:vAlign w:val="center"/>
          </w:tcPr>
          <w:p w14:paraId="1A3A289D" w14:textId="7D525C8C" w:rsidR="00CF0219" w:rsidRDefault="00CF0219" w:rsidP="00CF0219">
            <w:pPr>
              <w:pStyle w:val="P68B1DB1-Bodytext1013"/>
              <w:spacing w:after="0" w:line="240" w:lineRule="auto"/>
              <w:jc w:val="both"/>
              <w:rPr>
                <w:rFonts w:cstheme="minorBidi"/>
                <w:noProof/>
              </w:rPr>
            </w:pPr>
            <w:r>
              <w:rPr>
                <w:noProof/>
              </w:rPr>
              <w:t>75 településen és Comunidades Intermunicipais/Areas Metropolitanas településen városfejlesztési platformot kell létrehozni vagy fejleszteni.</w:t>
            </w:r>
          </w:p>
          <w:p w14:paraId="5DF67326" w14:textId="15FAAA70" w:rsidR="00CF0219" w:rsidRDefault="00CF0219" w:rsidP="00CF0219">
            <w:pPr>
              <w:pStyle w:val="Bodytext10"/>
              <w:spacing w:after="0" w:line="240" w:lineRule="auto"/>
              <w:jc w:val="both"/>
              <w:rPr>
                <w:rFonts w:asciiTheme="minorHAnsi" w:hAnsiTheme="minorHAnsi" w:cstheme="minorBidi"/>
                <w:noProof/>
                <w:sz w:val="16"/>
              </w:rPr>
            </w:pPr>
          </w:p>
          <w:p w14:paraId="0EC040A8" w14:textId="2E07BB19" w:rsidR="00CF0219" w:rsidRDefault="00CF0219" w:rsidP="00CF0219">
            <w:pPr>
              <w:pStyle w:val="P68B1DB1-Bodytext1013"/>
              <w:spacing w:after="0" w:line="240" w:lineRule="auto"/>
              <w:jc w:val="both"/>
              <w:rPr>
                <w:rFonts w:cstheme="minorBidi"/>
                <w:noProof/>
              </w:rPr>
            </w:pPr>
            <w:r>
              <w:rPr>
                <w:noProof/>
              </w:rPr>
              <w:t>Öt digitális ikermodellt kell létrehozni az olyan nemzeti kiemelt területeken, mint a víz és a mezőgazdaság, az éghajlatváltozás hatásaival szembeni reziliencia, a mobilitás és a dekarbonizáció, az egészségügy, az energia, az idegenforgalom és a polgári védelem.</w:t>
            </w:r>
          </w:p>
          <w:p w14:paraId="59ADF51D" w14:textId="15FAAA70" w:rsidR="00CF0219" w:rsidRDefault="00CF0219" w:rsidP="00CF0219">
            <w:pPr>
              <w:pStyle w:val="Bodytext10"/>
              <w:spacing w:after="0" w:line="240" w:lineRule="auto"/>
              <w:jc w:val="both"/>
              <w:rPr>
                <w:rFonts w:asciiTheme="minorHAnsi" w:hAnsiTheme="minorHAnsi" w:cstheme="minorBidi"/>
                <w:noProof/>
                <w:sz w:val="16"/>
              </w:rPr>
            </w:pPr>
          </w:p>
          <w:p w14:paraId="1268B617" w14:textId="574B7910" w:rsidR="00CF0219" w:rsidRDefault="00CF0219" w:rsidP="00CF0219">
            <w:pPr>
              <w:pStyle w:val="P68B1DB1-Bodytext1013"/>
              <w:spacing w:after="0" w:line="240" w:lineRule="auto"/>
              <w:jc w:val="both"/>
              <w:rPr>
                <w:rFonts w:cstheme="minorBidi"/>
                <w:noProof/>
              </w:rPr>
            </w:pPr>
            <w:r>
              <w:rPr>
                <w:noProof/>
              </w:rPr>
              <w:t>Az elindított irányítópultnak a központi és regionális szereplők rendelkezésére kell állnia.</w:t>
            </w:r>
          </w:p>
        </w:tc>
      </w:tr>
      <w:tr w:rsidR="00DC5EC6" w14:paraId="1F719612" w14:textId="77777777" w:rsidTr="00C009B1">
        <w:trPr>
          <w:trHeight w:val="430"/>
        </w:trPr>
        <w:tc>
          <w:tcPr>
            <w:tcW w:w="1061" w:type="dxa"/>
            <w:shd w:val="clear" w:color="auto" w:fill="C4EFCE"/>
            <w:vAlign w:val="center"/>
          </w:tcPr>
          <w:p w14:paraId="628865B2" w14:textId="55E9CCCC" w:rsidR="00DC5EC6" w:rsidRDefault="003245A4">
            <w:pPr>
              <w:pStyle w:val="P68B1DB1-Normal11"/>
              <w:spacing w:after="0" w:line="240" w:lineRule="auto"/>
              <w:jc w:val="center"/>
              <w:rPr>
                <w:rFonts w:cstheme="minorHAnsi"/>
                <w:noProof/>
              </w:rPr>
            </w:pPr>
            <w:r>
              <w:rPr>
                <w:noProof/>
              </w:rPr>
              <w:t>19.36</w:t>
            </w:r>
          </w:p>
        </w:tc>
        <w:tc>
          <w:tcPr>
            <w:tcW w:w="1186" w:type="dxa"/>
            <w:shd w:val="clear" w:color="auto" w:fill="C4EFCE"/>
            <w:noWrap/>
            <w:vAlign w:val="center"/>
          </w:tcPr>
          <w:p w14:paraId="25B23B67" w14:textId="600B4833" w:rsidR="00DC5EC6" w:rsidRDefault="003245A4">
            <w:pPr>
              <w:pStyle w:val="P68B1DB1-Bodytext1013"/>
              <w:spacing w:after="0"/>
              <w:jc w:val="center"/>
              <w:rPr>
                <w:rFonts w:cstheme="minorHAnsi"/>
                <w:noProof/>
              </w:rPr>
            </w:pPr>
            <w:r>
              <w:rPr>
                <w:noProof/>
              </w:rPr>
              <w:t>TD-C19-i08</w:t>
            </w:r>
          </w:p>
        </w:tc>
        <w:tc>
          <w:tcPr>
            <w:tcW w:w="1058" w:type="dxa"/>
            <w:shd w:val="clear" w:color="auto" w:fill="C4EFCE"/>
            <w:noWrap/>
            <w:vAlign w:val="center"/>
          </w:tcPr>
          <w:p w14:paraId="419D9ACF" w14:textId="2C9A2317" w:rsidR="00DC5EC6" w:rsidRDefault="003245A4">
            <w:pPr>
              <w:pStyle w:val="P68B1DB1-Normal12"/>
              <w:spacing w:after="0" w:line="240" w:lineRule="auto"/>
              <w:jc w:val="center"/>
              <w:rPr>
                <w:rFonts w:cstheme="minorHAnsi"/>
                <w:noProof/>
              </w:rPr>
            </w:pPr>
            <w:r>
              <w:rPr>
                <w:noProof/>
              </w:rPr>
              <w:t>M</w:t>
            </w:r>
          </w:p>
        </w:tc>
        <w:tc>
          <w:tcPr>
            <w:tcW w:w="1573" w:type="dxa"/>
            <w:shd w:val="clear" w:color="auto" w:fill="C4EFCE"/>
            <w:noWrap/>
            <w:vAlign w:val="center"/>
          </w:tcPr>
          <w:p w14:paraId="5648E079" w14:textId="3040F5A3" w:rsidR="00DC5EC6" w:rsidRDefault="003245A4">
            <w:pPr>
              <w:pStyle w:val="P68B1DB1-Normal12"/>
              <w:spacing w:after="0" w:line="240" w:lineRule="auto"/>
              <w:jc w:val="center"/>
              <w:rPr>
                <w:rFonts w:cstheme="minorHAnsi"/>
                <w:noProof/>
              </w:rPr>
            </w:pPr>
            <w:r>
              <w:rPr>
                <w:noProof/>
              </w:rPr>
              <w:t>Intelligens területekkel kapcsolatos képzés</w:t>
            </w:r>
          </w:p>
        </w:tc>
        <w:tc>
          <w:tcPr>
            <w:tcW w:w="1314" w:type="dxa"/>
            <w:shd w:val="clear" w:color="auto" w:fill="C4EFCE"/>
            <w:noWrap/>
            <w:vAlign w:val="center"/>
          </w:tcPr>
          <w:p w14:paraId="44D863AA" w14:textId="77777777" w:rsidR="00DC5EC6" w:rsidRDefault="00DC5EC6">
            <w:pPr>
              <w:spacing w:after="0" w:line="240" w:lineRule="auto"/>
              <w:jc w:val="center"/>
              <w:rPr>
                <w:rFonts w:cstheme="minorHAnsi"/>
                <w:noProof/>
                <w:sz w:val="16"/>
              </w:rPr>
            </w:pPr>
          </w:p>
        </w:tc>
        <w:tc>
          <w:tcPr>
            <w:tcW w:w="1110" w:type="dxa"/>
            <w:shd w:val="clear" w:color="auto" w:fill="C4EFCE"/>
            <w:noWrap/>
            <w:vAlign w:val="center"/>
          </w:tcPr>
          <w:p w14:paraId="3C744534" w14:textId="471C353F" w:rsidR="00DC5EC6" w:rsidRDefault="003245A4">
            <w:pPr>
              <w:pStyle w:val="P68B1DB1-Normal12"/>
              <w:spacing w:after="0" w:line="240" w:lineRule="auto"/>
              <w:jc w:val="center"/>
              <w:rPr>
                <w:rFonts w:cstheme="minorHAnsi"/>
                <w:noProof/>
              </w:rPr>
            </w:pPr>
            <w:r>
              <w:rPr>
                <w:noProof/>
              </w:rPr>
              <w:t>Szám</w:t>
            </w:r>
          </w:p>
        </w:tc>
        <w:tc>
          <w:tcPr>
            <w:tcW w:w="928" w:type="dxa"/>
            <w:shd w:val="clear" w:color="auto" w:fill="C4EFCE"/>
            <w:noWrap/>
            <w:vAlign w:val="center"/>
          </w:tcPr>
          <w:p w14:paraId="538FAA91" w14:textId="20339339" w:rsidR="00DC5EC6" w:rsidRDefault="003245A4">
            <w:pPr>
              <w:pStyle w:val="P68B1DB1-Normal12"/>
              <w:spacing w:after="0" w:line="240" w:lineRule="auto"/>
              <w:jc w:val="center"/>
              <w:rPr>
                <w:rFonts w:cstheme="minorHAnsi"/>
                <w:noProof/>
              </w:rPr>
            </w:pPr>
            <w:r>
              <w:rPr>
                <w:noProof/>
              </w:rPr>
              <w:t>0</w:t>
            </w:r>
          </w:p>
        </w:tc>
        <w:tc>
          <w:tcPr>
            <w:tcW w:w="670" w:type="dxa"/>
            <w:shd w:val="clear" w:color="auto" w:fill="C4EFCE"/>
            <w:noWrap/>
            <w:vAlign w:val="center"/>
          </w:tcPr>
          <w:p w14:paraId="498F4BE0" w14:textId="75A3A34E" w:rsidR="00DC5EC6" w:rsidRDefault="003245A4">
            <w:pPr>
              <w:pStyle w:val="P68B1DB1-Normal12"/>
              <w:spacing w:after="0" w:line="240" w:lineRule="auto"/>
              <w:jc w:val="center"/>
              <w:rPr>
                <w:rFonts w:cstheme="minorHAnsi"/>
                <w:noProof/>
              </w:rPr>
            </w:pPr>
            <w:r>
              <w:rPr>
                <w:noProof/>
              </w:rPr>
              <w:t>650</w:t>
            </w:r>
          </w:p>
        </w:tc>
        <w:tc>
          <w:tcPr>
            <w:tcW w:w="542" w:type="dxa"/>
            <w:shd w:val="clear" w:color="auto" w:fill="C4EFCE"/>
            <w:noWrap/>
            <w:vAlign w:val="center"/>
          </w:tcPr>
          <w:p w14:paraId="195EA9FE" w14:textId="098CCADD" w:rsidR="00DC5EC6" w:rsidRDefault="00CF0219">
            <w:pPr>
              <w:pStyle w:val="P68B1DB1-Normal12"/>
              <w:spacing w:after="0" w:line="240" w:lineRule="auto"/>
              <w:jc w:val="center"/>
              <w:rPr>
                <w:rFonts w:cstheme="minorHAnsi"/>
                <w:noProof/>
              </w:rPr>
            </w:pPr>
            <w:r>
              <w:rPr>
                <w:noProof/>
              </w:rPr>
              <w:t xml:space="preserve">4. </w:t>
            </w:r>
            <w:r w:rsidR="003245A4">
              <w:rPr>
                <w:noProof/>
              </w:rPr>
              <w:t>NEGYEDÉV</w:t>
            </w:r>
          </w:p>
        </w:tc>
        <w:tc>
          <w:tcPr>
            <w:tcW w:w="670" w:type="dxa"/>
            <w:shd w:val="clear" w:color="auto" w:fill="C4EFCE"/>
            <w:noWrap/>
            <w:vAlign w:val="center"/>
          </w:tcPr>
          <w:p w14:paraId="5FAC320A" w14:textId="68759A95" w:rsidR="00DC5EC6" w:rsidRDefault="003245A4">
            <w:pPr>
              <w:pStyle w:val="P68B1DB1-Normal12"/>
              <w:spacing w:after="0" w:line="240" w:lineRule="auto"/>
              <w:jc w:val="center"/>
              <w:rPr>
                <w:rFonts w:cstheme="minorHAnsi"/>
                <w:noProof/>
              </w:rPr>
            </w:pPr>
            <w:r>
              <w:rPr>
                <w:noProof/>
              </w:rPr>
              <w:t>2025</w:t>
            </w:r>
          </w:p>
        </w:tc>
        <w:tc>
          <w:tcPr>
            <w:tcW w:w="4347" w:type="dxa"/>
            <w:shd w:val="clear" w:color="auto" w:fill="C4EFCE"/>
            <w:vAlign w:val="center"/>
          </w:tcPr>
          <w:p w14:paraId="6C088F62" w14:textId="48E68E5E" w:rsidR="00DC5EC6" w:rsidRDefault="003245A4">
            <w:pPr>
              <w:pStyle w:val="P68B1DB1-Bodytext1013"/>
              <w:spacing w:after="0" w:line="240" w:lineRule="auto"/>
              <w:jc w:val="both"/>
              <w:rPr>
                <w:rFonts w:cstheme="minorHAnsi"/>
                <w:noProof/>
              </w:rPr>
            </w:pPr>
            <w:r>
              <w:rPr>
                <w:noProof/>
              </w:rPr>
              <w:t>Az adatgyűjtéssel és -kezeléssel, valamint az intelligens városokhoz és épületekhez kapcsolódó egyéb tartalmakkal, valamint a fenntarthatósággal kapcsolatos képzésben részt vevő közalkalmazottak száma.</w:t>
            </w:r>
          </w:p>
        </w:tc>
      </w:tr>
    </w:tbl>
    <w:p w14:paraId="7E5600AA" w14:textId="77777777" w:rsidR="00DC5EC6" w:rsidRDefault="00DC5EC6">
      <w:pPr>
        <w:keepNext/>
        <w:spacing w:before="40" w:after="0" w:line="259" w:lineRule="auto"/>
        <w:jc w:val="both"/>
        <w:rPr>
          <w:rFonts w:ascii="Times New Roman" w:eastAsiaTheme="minorEastAsia" w:hAnsi="Times New Roman" w:cs="Times New Roman"/>
          <w:noProof/>
          <w:sz w:val="24"/>
          <w:u w:val="single"/>
        </w:rPr>
      </w:pPr>
    </w:p>
    <w:p w14:paraId="24A85F36"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E00EDD">
          <w:headerReference w:type="even" r:id="rId350"/>
          <w:headerReference w:type="default" r:id="rId351"/>
          <w:footerReference w:type="even" r:id="rId352"/>
          <w:footerReference w:type="default" r:id="rId353"/>
          <w:headerReference w:type="first" r:id="rId354"/>
          <w:footerReference w:type="first" r:id="rId355"/>
          <w:pgSz w:w="16839" w:h="11907" w:orient="landscape"/>
          <w:pgMar w:top="1134" w:right="1134" w:bottom="1134" w:left="1134" w:header="567" w:footer="567" w:gutter="0"/>
          <w:cols w:space="720"/>
          <w:docGrid w:linePitch="360"/>
        </w:sectPr>
      </w:pPr>
    </w:p>
    <w:p w14:paraId="6A596265" w14:textId="405B5844"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T.</w:t>
      </w:r>
      <w:r w:rsidR="00CF0219">
        <w:rPr>
          <w:noProof/>
        </w:rPr>
        <w:t xml:space="preserve">20. </w:t>
      </w:r>
      <w:r w:rsidR="00342815">
        <w:rPr>
          <w:noProof/>
        </w:rPr>
        <w:t>KOMPONENS</w:t>
      </w:r>
      <w:r>
        <w:rPr>
          <w:noProof/>
        </w:rPr>
        <w:t>: Digitális Iskola</w:t>
      </w:r>
    </w:p>
    <w:p w14:paraId="0220BD59"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Portugáliában 2019-ben az európai átlag alatti értékek voltak az internet napi használata (65%), az online közszolgáltatások (41%) és az IKT-szakemberek (2,4%) tekintetében (Eurostati adatok/Digitális Készségek Megfigyelőközpontja), és 2025-re ambiciózus célokat tűzött ki ezekre a mutatókra (80%, 75%, illetve 5%). A munkaerőpiacon jelen lévő IKT-szakemberek körében a nők aránya 18,3%, a férfiaké pedig 81,7% (Eurostat-adatok). </w:t>
      </w:r>
    </w:p>
    <w:p w14:paraId="3D0CAE16" w14:textId="77777777" w:rsidR="00DC5EC6" w:rsidRDefault="003245A4">
      <w:pPr>
        <w:pStyle w:val="P68B1DB1-Normal4"/>
        <w:keepNext/>
        <w:spacing w:before="40" w:after="0" w:line="259" w:lineRule="auto"/>
        <w:jc w:val="both"/>
        <w:rPr>
          <w:rFonts w:eastAsiaTheme="minorEastAsia" w:cs="Times New Roman"/>
          <w:noProof/>
        </w:rPr>
      </w:pPr>
      <w:r>
        <w:rPr>
          <w:noProof/>
        </w:rPr>
        <w:t>A komponens célja, hogy megteremtse a portugál alap- és középfokú oktatási rendszer oktatási, pedagógiai és vezetői innovációjának feltételeit. Ezt a tanárok, a diákok és az iskolai személyzet digitális készségeinek fejlesztésével, a digitális technológiáknak a különböző tantervi területekbe való integrálásával és a megfelelő berendezések biztosításával kell elérni. Ez pedig várhatóan hozzájárul a digitális átálláshoz, valamint a gazdaság inkluzív és fenntartható növekedéséhez.</w:t>
      </w:r>
    </w:p>
    <w:p w14:paraId="2A7F6906" w14:textId="77777777" w:rsidR="00DC5EC6" w:rsidRDefault="003245A4">
      <w:pPr>
        <w:pStyle w:val="P68B1DB1-Normal4"/>
        <w:keepNext/>
        <w:spacing w:before="40" w:after="0" w:line="259" w:lineRule="auto"/>
        <w:jc w:val="both"/>
        <w:rPr>
          <w:rFonts w:eastAsiaTheme="minorEastAsia" w:cs="Times New Roman"/>
          <w:noProof/>
        </w:rPr>
      </w:pPr>
      <w:r>
        <w:rPr>
          <w:noProof/>
        </w:rPr>
        <w:t>A komponens hozzájárul a lakosság készségszintjének, különösen a digitális jártasságának javítását célzó országspecifikus ajánlás (2019. évi 2. országspecifikus ajánlás) végrehajtásához, valamint a digitális technológiák használatának támogatásához a minőségi oktatáshoz és képzéshez való egyenlő hozzáférés biztosítása érdekében (2020. évi 2. országspecifikus ajánlás).</w:t>
      </w:r>
    </w:p>
    <w:p w14:paraId="74ECCC4A" w14:textId="77777777" w:rsidR="00DC5EC6" w:rsidRDefault="003245A4">
      <w:pPr>
        <w:pStyle w:val="P68B1DB1-Normal4"/>
        <w:keepNext/>
        <w:spacing w:before="40" w:after="0" w:line="259" w:lineRule="auto"/>
        <w:jc w:val="both"/>
        <w:outlineLvl w:val="1"/>
        <w:rPr>
          <w:rFonts w:eastAsiaTheme="minorEastAsia" w:cs="Times New Roman"/>
          <w:noProof/>
        </w:rPr>
      </w:pPr>
      <w:r>
        <w:rPr>
          <w:noProof/>
        </w:rPr>
        <w:t xml:space="preserve">Ebben a komponensben várhatóan egyetlen intézkedés sem sérti jelentősen a környezeti célkitűzéseket az (EU) 2020/852 rendelet 17. cikke értelmében, figyelembe véve az intézkedéseknek és az enyhítő lépéseknek a tervben a DNSH technikai iránymutatással (2021/C58/01) összhangban meghatározott leírását. </w:t>
      </w:r>
    </w:p>
    <w:p w14:paraId="3B662D2B"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noProof/>
          <w:sz w:val="24"/>
        </w:rPr>
      </w:pPr>
    </w:p>
    <w:p w14:paraId="59DF8EE1"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T.1. Vissza nem térítendő pénzügyi támogatás – a reformok és beruházások ismertetése</w:t>
      </w:r>
    </w:p>
    <w:p w14:paraId="707939C8"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TD-r37 reform: Digitális oktatási reform</w:t>
      </w:r>
    </w:p>
    <w:p w14:paraId="75AAAB0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az oktatás új digitális megközelítésének kidolgozása, kihasználva a meglévő közoktatási politikákat, különösen a tantervek autonómiájának és rugalmasságának rendszerét. Ennek a reformnak az a célja, hogy minőségi ugrást vezessen be a digitális technológiák pedagógiai felhasználásában, és hogyan kell azokat integrálni a tudásszerzés folyamatába. A reform célja továbbá, hogy a digitális technológiákhoz való hozzáférés terén fennálló társadalmi és oktatási egyenlőtlenségek csökkentése révén csökkentse a kirekesztés és a hátrány kockázatát a tanulási folyamatokban. A digitális oktatási reform az oktatási közösséget (tanulókat, oktatókat és nem tanárokat) célozza meg. </w:t>
      </w:r>
    </w:p>
    <w:p w14:paraId="2F6F6796"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 reformnak olyan intézkedésekből kell állnia, amelyek biztosítják, hogy a közoktatási hálózat tanárainak 95%-a alap- vagy magasabb szintű digitális készségekkel kapcsolatos képzésben részesüljön, beleértve a digitális technológiák tantervbe való integrálását is. </w:t>
      </w:r>
    </w:p>
    <w:p w14:paraId="5FE5A2B5" w14:textId="77777777" w:rsidR="00DC5EC6" w:rsidRDefault="003245A4">
      <w:pPr>
        <w:pStyle w:val="P68B1DB1-Normal4"/>
        <w:keepNext/>
        <w:spacing w:before="40" w:after="0" w:line="259" w:lineRule="auto"/>
        <w:jc w:val="both"/>
        <w:rPr>
          <w:rFonts w:eastAsiaTheme="minorEastAsia" w:cs="Times New Roman"/>
          <w:noProof/>
        </w:rPr>
      </w:pPr>
      <w:r>
        <w:rPr>
          <w:noProof/>
        </w:rPr>
        <w:t>A reform végrehajtását 2025. december 31-ig be kell fejezni.</w:t>
      </w:r>
    </w:p>
    <w:p w14:paraId="079FE2F5"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TD-C20-i01: Digitális átállás az oktatásban</w:t>
      </w:r>
    </w:p>
    <w:p w14:paraId="1BD28562" w14:textId="77777777" w:rsidR="00DC5EC6" w:rsidRDefault="003245A4">
      <w:pPr>
        <w:pStyle w:val="P68B1DB1-Normal4"/>
        <w:keepNext/>
        <w:spacing w:before="40" w:after="0" w:line="259" w:lineRule="auto"/>
        <w:jc w:val="both"/>
        <w:rPr>
          <w:rFonts w:eastAsiaTheme="minorEastAsia" w:cs="Times New Roman"/>
          <w:noProof/>
        </w:rPr>
      </w:pPr>
      <w:r>
        <w:rPr>
          <w:noProof/>
        </w:rPr>
        <w:t>A beruházás célkitűzései a következők: a minőségi internethez való hozzáférés akadályainak felszámolása az iskolai környezetben; a technológiai és digitális berendezések integrált használatára vonatkozó korlátozások megszüntetése, valamint a digitális készségek fejlesztéséhez szükséges speciális berendezések hiányának megszüntetése és a STEAM-pályák folytatásának ösztönzése, a lányok és fiúk egyenlő részvételének előmozdítása érdekében; a digitális oktatási erőforrások tanulási folyamatban és értékelési folyamatban való elégtelen felhasználásának leküzdése; és iv. az oktatási rendszer irányítási és információs rendszereinek szétszóródásának és hatékonyságának hiánya leküzdése az iskolairányítási és igazgatási módszerek és folyamatok felülvizsgálata és aktualizálása révén.</w:t>
      </w:r>
    </w:p>
    <w:p w14:paraId="7653B2CD" w14:textId="77777777" w:rsidR="00DC5EC6" w:rsidRDefault="003245A4">
      <w:pPr>
        <w:pStyle w:val="P68B1DB1-Normal4"/>
        <w:keepNext/>
        <w:spacing w:before="40" w:after="0" w:line="259" w:lineRule="auto"/>
        <w:jc w:val="both"/>
        <w:rPr>
          <w:rFonts w:eastAsiaTheme="minorEastAsia" w:cs="Times New Roman"/>
          <w:noProof/>
        </w:rPr>
      </w:pPr>
      <w:r>
        <w:rPr>
          <w:noProof/>
        </w:rPr>
        <w:t>Ez a beruházás a következőkből áll:</w:t>
      </w:r>
    </w:p>
    <w:p w14:paraId="03FF5724" w14:textId="6EAC7F20"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Az iskolák összekapcsoltságának növelése a kibővített oktatási hálózat internetkapcsolatának 40 Gbps-ról 300 Gbps-ra való kiterjesztésével, az általános és középiskoláknak a kiterjesztett oktatási hálózattal való összekapcsolásával, legalább 1 Gbps sebességű internetkapcsolat biztosításával, valamint a helyi hálózat átlagosan 40 új hozzáférési ponttal való kibővítésével minden iskolában.</w:t>
      </w:r>
    </w:p>
    <w:p w14:paraId="75BEAC82" w14:textId="10913F76"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600000 számítógép biztosítása diákok és tanárok számára, az osztálytermi vetítőberendezések korszerűsítése (40000 vetítő), valamint az iskolák digitális oktatási laboratóriumokkal való ellátása fejlett digitális technológiákkal, például 3D nyomtatókkal és oktatási robotokkal (1300).</w:t>
      </w:r>
    </w:p>
    <w:p w14:paraId="2EECEC6A" w14:textId="77777777"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Új digitális oktatási segédanyagok kidolgozása és elfogadása (az alap- és középfokú oktatási tantervekben szereplő tantárgyak 95%-a, beleértve a testnevelést és a sportot is), beleértve az értékelő tesztek digitalizálását is.</w:t>
      </w:r>
    </w:p>
    <w:p w14:paraId="52367BA5" w14:textId="77777777"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„Egységes személyazonossági rendszer” biztosítása az iskolák számára az iskolai közösség irányítására, az oktatásirányítási információs rendszerek összehangolására és integrálására, valamint a megfelelő informatikai megoldások, 15000 különböző berendezés (számítógépek, szkennerek és nyomtatók közötti) rendelkezésre bocsátása az oktatási rendszer hatékonyabb és átláthatóbb működése érdekében, beleértve az iskolák kiadásainak racionalizálását is.</w:t>
      </w:r>
    </w:p>
    <w:p w14:paraId="0F323A51"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14F3F2F2" w14:textId="7777777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TD-C20i02-RAA: Digitális oktatás (Azori-szigetek)</w:t>
      </w:r>
    </w:p>
    <w:p w14:paraId="6DBBE642"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Az intézkedés célja, hogy az Európai Unió digitális oktatási cselekvési tervével összhangban biztosítsa a digitális technológiák használatához való hozzáférést, előmozdítsa az esélyegyenlőséget és jelentős javulást érjen el a tanulási eszközök terén. </w:t>
      </w:r>
    </w:p>
    <w:p w14:paraId="5C7D6298" w14:textId="325E0E33" w:rsidR="00DC5EC6" w:rsidRDefault="003245A4">
      <w:pPr>
        <w:pStyle w:val="P68B1DB1-Normal4"/>
        <w:keepNext/>
        <w:spacing w:before="40" w:after="0" w:line="259" w:lineRule="auto"/>
        <w:jc w:val="both"/>
        <w:rPr>
          <w:rFonts w:eastAsiaTheme="minorEastAsia" w:cs="Times New Roman"/>
          <w:noProof/>
        </w:rPr>
      </w:pPr>
      <w:r>
        <w:rPr>
          <w:noProof/>
        </w:rPr>
        <w:t>Ez a beruházás a diákokat, szüleiket és tanáraikat egyaránt célzó oktatási közösség digitális készségeinek fejlesztésére irányul, és célzott intézkedéseket foglal magában a következő területeken:</w:t>
      </w:r>
    </w:p>
    <w:p w14:paraId="513C3B5B" w14:textId="36FC7C89"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Berendezés: 31900 új mobil informatikai berendezés az iskola előtti nevelésben, az alapfokú és a középfokú oktatásban, beleértve a frissítések és szoftverek nyomon követését, valamint az iskolai berendezések biztosítását, legalább 1080 új interaktív képernyővel, 100 új laboratóriumi berendezéssel, 100 új 3D nyomtatóval és 150 új oktatási robottal;</w:t>
      </w:r>
    </w:p>
    <w:p w14:paraId="0EBDFF9B" w14:textId="77777777"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Digitális oktatási segédanyagok: az oktatási segédanyagok digitalizálása azzal a céllal, hogy az Azori-szigetek autonóm régióban a tanulók 100%-át digitális kézikönyvek használatával érjék el;</w:t>
      </w:r>
    </w:p>
    <w:p w14:paraId="2A03A637" w14:textId="0F426A51"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Digitális kompetenciák: 24 képzési modul a tanárok és a diákok szülei számára; </w:t>
      </w:r>
    </w:p>
    <w:p w14:paraId="690C5BB4" w14:textId="7315D772" w:rsidR="00DC5EC6" w:rsidRDefault="003245A4">
      <w:pPr>
        <w:pStyle w:val="P68B1DB1-Normal4"/>
        <w:keepNext/>
        <w:numPr>
          <w:ilvl w:val="0"/>
          <w:numId w:val="38"/>
        </w:numPr>
        <w:spacing w:before="40" w:after="160" w:line="259" w:lineRule="auto"/>
        <w:contextualSpacing/>
        <w:jc w:val="both"/>
        <w:rPr>
          <w:rFonts w:eastAsiaTheme="minorEastAsia" w:cs="Times New Roman"/>
          <w:noProof/>
        </w:rPr>
      </w:pPr>
      <w:r>
        <w:rPr>
          <w:noProof/>
        </w:rPr>
        <w:t xml:space="preserve">Konnektivitás: az Azori-szigetek Autonóm Régió iskoláinak legalább 1 Gbps sebességű összeköttetését javító intézkedések. 1500 kapcsoló és APS beszerzése és üzembe helyezése. </w:t>
      </w:r>
    </w:p>
    <w:p w14:paraId="1A26EC6C" w14:textId="77777777" w:rsidR="00DC5EC6" w:rsidRDefault="003245A4">
      <w:pPr>
        <w:pStyle w:val="P68B1DB1-Normal4"/>
        <w:keepNext/>
        <w:spacing w:before="40" w:after="0" w:line="259" w:lineRule="auto"/>
        <w:jc w:val="both"/>
        <w:rPr>
          <w:rFonts w:eastAsiaTheme="minorEastAsia" w:cs="Times New Roman"/>
          <w:noProof/>
        </w:rPr>
      </w:pPr>
      <w:r>
        <w:rPr>
          <w:noProof/>
        </w:rPr>
        <w:t>A beruházás végrehajtását 2025. december 31-ig be kell fejezni.</w:t>
      </w:r>
    </w:p>
    <w:p w14:paraId="6248B184" w14:textId="4041F786"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Beruházás TD-C20i03-RAM: Az ARM-oktatás digitalizálásának felgyorsítása</w:t>
      </w:r>
    </w:p>
    <w:p w14:paraId="19CEFD55" w14:textId="7C0999F4" w:rsidR="00DC5EC6" w:rsidRDefault="003245A4">
      <w:pPr>
        <w:pStyle w:val="P68B1DB1-Normal4"/>
        <w:keepNext/>
        <w:spacing w:before="40" w:after="0" w:line="259" w:lineRule="auto"/>
        <w:jc w:val="both"/>
        <w:rPr>
          <w:rFonts w:eastAsiaTheme="minorEastAsia" w:cs="Times New Roman"/>
          <w:noProof/>
        </w:rPr>
      </w:pPr>
      <w:r>
        <w:rPr>
          <w:noProof/>
        </w:rPr>
        <w:t>Az intézkedés célja egy proaktívabb, innovatívabb, inkluzívabb, autonómabb, tisztességes és nyitottabb oktatási rendszer létrehozása Madeira autonóm régióban az állami és magániskolákban.</w:t>
      </w:r>
    </w:p>
    <w:p w14:paraId="34D95A54" w14:textId="77777777" w:rsidR="00DC5EC6" w:rsidRDefault="003245A4">
      <w:pPr>
        <w:pStyle w:val="P68B1DB1-Normal4"/>
        <w:keepNext/>
        <w:spacing w:before="40" w:after="0" w:line="259" w:lineRule="auto"/>
        <w:jc w:val="both"/>
        <w:rPr>
          <w:rFonts w:eastAsiaTheme="minorEastAsia" w:cs="Times New Roman"/>
          <w:noProof/>
        </w:rPr>
      </w:pPr>
      <w:r>
        <w:rPr>
          <w:noProof/>
        </w:rPr>
        <w:t>A beruházásnak minőségi tanulást, képzést és képesítést kell biztosítania, fel kell készítenie a gyermekeket és a tanulókat arra, hogy megfeleljenek a 21. század kihívásainak, beleértve a digitális átállást is, konkrét intézkedésekkel a következő területeken:</w:t>
      </w:r>
    </w:p>
    <w:p w14:paraId="6E749B90" w14:textId="3B32952B" w:rsidR="00DC5EC6" w:rsidRDefault="003245A4">
      <w:pPr>
        <w:pStyle w:val="P68B1DB1-Normal4"/>
        <w:keepNext/>
        <w:numPr>
          <w:ilvl w:val="0"/>
          <w:numId w:val="39"/>
        </w:numPr>
        <w:spacing w:before="40" w:after="160" w:line="259" w:lineRule="auto"/>
        <w:contextualSpacing/>
        <w:jc w:val="both"/>
        <w:rPr>
          <w:rFonts w:eastAsiaTheme="minorEastAsia" w:cs="Times New Roman"/>
          <w:noProof/>
        </w:rPr>
      </w:pPr>
      <w:r>
        <w:rPr>
          <w:noProof/>
        </w:rPr>
        <w:t>Digitális oktatási segédanyagok és berendezések: A „Digitális kézikönyvek” projektjének célja, hogy többféle digitális oktatási erőforrást biztosítson különböző formátumokban és tipológiákban (animációk, szimulációk, háromdimenziós videók vagy egyéb), berendezések (tabletták vagy laptopok, az iskoláztatás évétől függően) és hozzáférést biztosítson a digitális tankönyvekhez annak biztosítása érdekében, hogy az oktatási közösség (tanulók, tanárok, felsőoktatási technikusok, műszaki segítségnyújtási technikusok, oktatási szolgáltatók) az oktatás digitalizálása révén biztonságosan hozzáférjen a rendelkezésre álló tartalmakhoz. Minden tanuló (15910 tanuló) esetében magában foglalja a következőket: 1 táblagép vagy laptop, az iskoláztatás évétől függően, 1 virtuális iskola-hozzáférési engedély, amely minden tanévre érvényes; 1 Az egyes iskolai kézikönyvek iskoláztatásra elfogadott digitális változatának személyi és át nem ruházható engedélye.</w:t>
      </w:r>
    </w:p>
    <w:p w14:paraId="56EC44E7" w14:textId="4D84A1D3" w:rsidR="00DC5EC6" w:rsidRDefault="003245A4">
      <w:pPr>
        <w:pStyle w:val="P68B1DB1-Normal4"/>
        <w:keepNext/>
        <w:numPr>
          <w:ilvl w:val="0"/>
          <w:numId w:val="39"/>
        </w:numPr>
        <w:spacing w:before="40" w:after="160" w:line="259" w:lineRule="auto"/>
        <w:contextualSpacing/>
        <w:jc w:val="both"/>
        <w:rPr>
          <w:rFonts w:eastAsiaTheme="minorEastAsia" w:cs="Times New Roman"/>
          <w:noProof/>
        </w:rPr>
      </w:pPr>
      <w:r>
        <w:rPr>
          <w:noProof/>
        </w:rPr>
        <w:t>Az iskolák összeköttetése és felszerelése: azzal a céllal, hogy az iskolákat „Innovatív tanulási környezetekkel” (34 „Innovatív környezetvédelmi tanulószerződéses gyakorlati képzés” terekkel lássák el; 22’Makerspace’labs; 15 tér a gyermekgondozási tanulásra; 20’Innovatív terek’ – a Snoezelen terem koncepciója alapján</w:t>
      </w:r>
      <w:r>
        <w:rPr>
          <w:noProof/>
        </w:rPr>
        <w:footnoteReference w:id="77"/>
      </w:r>
      <w:r>
        <w:rPr>
          <w:noProof/>
        </w:rPr>
        <w:t xml:space="preserve">– az inkluzivitás és a digitális jártasság előmozdítása, a programozással és a robotizálással foglalkozó oktatási innovációs központokkal, minden iskolának egyet, </w:t>
      </w:r>
    </w:p>
    <w:p w14:paraId="6FC4CEC9" w14:textId="62347127" w:rsidR="00DC5EC6" w:rsidRDefault="003245A4">
      <w:pPr>
        <w:pStyle w:val="P68B1DB1-Normal4"/>
        <w:keepNext/>
        <w:numPr>
          <w:ilvl w:val="0"/>
          <w:numId w:val="39"/>
        </w:numPr>
        <w:spacing w:before="40" w:after="160" w:line="259" w:lineRule="auto"/>
        <w:contextualSpacing/>
        <w:jc w:val="both"/>
        <w:rPr>
          <w:rFonts w:eastAsiaTheme="minorEastAsia" w:cs="Times New Roman"/>
          <w:noProof/>
        </w:rPr>
      </w:pPr>
      <w:r>
        <w:rPr>
          <w:noProof/>
        </w:rPr>
        <w:t xml:space="preserve">Digitális kompetenciák: a tanárok és a nem oktató személyzet (felsőoktatási technikusok, műszaki asszisztensek) számára kínált képzési tevékenységek. </w:t>
      </w:r>
    </w:p>
    <w:p w14:paraId="116BAADB" w14:textId="77777777" w:rsidR="00DC5EC6" w:rsidRDefault="003245A4">
      <w:pPr>
        <w:pStyle w:val="P68B1DB1-Normal4"/>
        <w:keepNext/>
        <w:spacing w:before="40" w:after="0" w:line="259" w:lineRule="auto"/>
        <w:jc w:val="both"/>
        <w:rPr>
          <w:rFonts w:eastAsiaTheme="minorEastAsia" w:cs="Times New Roman"/>
          <w:noProof/>
        </w:rPr>
        <w:sectPr w:rsidR="00DC5EC6" w:rsidSect="00E00EDD">
          <w:headerReference w:type="even" r:id="rId356"/>
          <w:headerReference w:type="default" r:id="rId357"/>
          <w:footerReference w:type="even" r:id="rId358"/>
          <w:footerReference w:type="default" r:id="rId359"/>
          <w:headerReference w:type="first" r:id="rId360"/>
          <w:footerReference w:type="first" r:id="rId361"/>
          <w:pgSz w:w="11907" w:h="16839"/>
          <w:pgMar w:top="1134" w:right="1134" w:bottom="1134" w:left="1134" w:header="567" w:footer="567" w:gutter="0"/>
          <w:cols w:space="720"/>
          <w:docGrid w:linePitch="360"/>
        </w:sectPr>
      </w:pPr>
      <w:r>
        <w:rPr>
          <w:noProof/>
        </w:rPr>
        <w:t>A beruházás végrehajtását 2025. december 31-ig be kell fejezni.</w:t>
      </w:r>
    </w:p>
    <w:p w14:paraId="6A865438" w14:textId="77777777"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T.2. Vissza nem térítendő pénzügyi támogatás – a végrehajtáshoz és a nyomon követéshez kapcsolódó mérföldkövek, célok, mutatók és ütemterv</w:t>
      </w:r>
    </w:p>
    <w:p w14:paraId="3E59DF2E"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DC5EC6" w14:paraId="161579D1" w14:textId="77777777">
        <w:trPr>
          <w:trHeight w:val="910"/>
          <w:tblHeader/>
        </w:trPr>
        <w:tc>
          <w:tcPr>
            <w:tcW w:w="1135" w:type="dxa"/>
            <w:vMerge w:val="restart"/>
            <w:shd w:val="clear" w:color="auto" w:fill="BDD6EE"/>
            <w:vAlign w:val="center"/>
            <w:hideMark/>
          </w:tcPr>
          <w:p w14:paraId="18D3C4B3"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0F2DCA77"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6ABCFCFD" w14:textId="4ED9A5A5"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6F4253DE"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5E98634F"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77" w:type="dxa"/>
            <w:gridSpan w:val="3"/>
            <w:shd w:val="clear" w:color="auto" w:fill="BDD6EE"/>
            <w:vAlign w:val="center"/>
            <w:hideMark/>
          </w:tcPr>
          <w:p w14:paraId="1726AAB0"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416EE560"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566259A2"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624748BC" w14:textId="77777777">
        <w:trPr>
          <w:trHeight w:val="470"/>
          <w:tblHeader/>
        </w:trPr>
        <w:tc>
          <w:tcPr>
            <w:tcW w:w="1135" w:type="dxa"/>
            <w:vMerge/>
            <w:vAlign w:val="center"/>
            <w:hideMark/>
          </w:tcPr>
          <w:p w14:paraId="50EEF1DC"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79C161D4"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0AD30B37" w14:textId="1F95A1E3"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5D61E092" w14:textId="77777777" w:rsidR="00DC5EC6" w:rsidRDefault="00DC5EC6">
            <w:pPr>
              <w:spacing w:after="0" w:line="240" w:lineRule="auto"/>
              <w:rPr>
                <w:rFonts w:ascii="Times New Roman" w:eastAsia="Times New Roman" w:hAnsi="Times New Roman" w:cs="Times New Roman"/>
                <w:b/>
                <w:noProof/>
                <w:sz w:val="18"/>
              </w:rPr>
            </w:pPr>
          </w:p>
        </w:tc>
        <w:tc>
          <w:tcPr>
            <w:tcW w:w="1275" w:type="dxa"/>
            <w:vMerge/>
            <w:vAlign w:val="center"/>
            <w:hideMark/>
          </w:tcPr>
          <w:p w14:paraId="0EF12599"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543C08EA"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1E2EEAE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992" w:type="dxa"/>
            <w:shd w:val="clear" w:color="auto" w:fill="BDD6EE"/>
            <w:vAlign w:val="center"/>
            <w:hideMark/>
          </w:tcPr>
          <w:p w14:paraId="08F656FE"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6D741527" w14:textId="41708205" w:rsidR="00DC5EC6" w:rsidRDefault="003245A4">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195C72EE" w14:textId="1438CB1E"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0AB1CE62" w14:textId="77777777" w:rsidR="00DC5EC6" w:rsidRDefault="00DC5EC6">
            <w:pPr>
              <w:spacing w:after="0" w:line="240" w:lineRule="auto"/>
              <w:rPr>
                <w:rFonts w:ascii="Times New Roman" w:eastAsia="Times New Roman" w:hAnsi="Times New Roman" w:cs="Times New Roman"/>
                <w:b/>
                <w:noProof/>
                <w:sz w:val="18"/>
              </w:rPr>
            </w:pPr>
          </w:p>
        </w:tc>
      </w:tr>
      <w:tr w:rsidR="00DC5EC6" w14:paraId="72498156" w14:textId="77777777">
        <w:trPr>
          <w:trHeight w:val="430"/>
        </w:trPr>
        <w:tc>
          <w:tcPr>
            <w:tcW w:w="1135" w:type="dxa"/>
            <w:shd w:val="clear" w:color="auto" w:fill="C4EFCE"/>
            <w:vAlign w:val="center"/>
            <w:hideMark/>
          </w:tcPr>
          <w:p w14:paraId="63BE4AE8" w14:textId="77777777" w:rsidR="00DC5EC6" w:rsidRDefault="003245A4">
            <w:pPr>
              <w:pStyle w:val="P68B1DB1-Normal7"/>
              <w:spacing w:after="0" w:line="240" w:lineRule="auto"/>
              <w:jc w:val="center"/>
              <w:rPr>
                <w:rFonts w:eastAsia="Times New Roman" w:cs="Calibri"/>
                <w:noProof/>
              </w:rPr>
            </w:pPr>
            <w:r>
              <w:rPr>
                <w:noProof/>
              </w:rPr>
              <w:t>20.1</w:t>
            </w:r>
          </w:p>
        </w:tc>
        <w:tc>
          <w:tcPr>
            <w:tcW w:w="1276" w:type="dxa"/>
            <w:shd w:val="clear" w:color="auto" w:fill="C4EFCE"/>
            <w:noWrap/>
            <w:vAlign w:val="center"/>
            <w:hideMark/>
          </w:tcPr>
          <w:p w14:paraId="164C94BA" w14:textId="77777777" w:rsidR="00DC5EC6" w:rsidRDefault="003245A4">
            <w:pPr>
              <w:pStyle w:val="P68B1DB1-Normal8"/>
              <w:spacing w:after="0" w:line="240" w:lineRule="auto"/>
              <w:jc w:val="center"/>
              <w:rPr>
                <w:rFonts w:eastAsia="Times New Roman" w:cs="Calibri"/>
                <w:noProof/>
              </w:rPr>
            </w:pPr>
            <w:r>
              <w:rPr>
                <w:noProof/>
              </w:rPr>
              <w:t>TD-C20-r37</w:t>
            </w:r>
          </w:p>
        </w:tc>
        <w:tc>
          <w:tcPr>
            <w:tcW w:w="1134" w:type="dxa"/>
            <w:shd w:val="clear" w:color="auto" w:fill="C4EFCE"/>
            <w:noWrap/>
            <w:vAlign w:val="center"/>
            <w:hideMark/>
          </w:tcPr>
          <w:p w14:paraId="12F2735F" w14:textId="77777777" w:rsidR="00DC5EC6" w:rsidRDefault="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0C825" w14:textId="77777777" w:rsidR="00DC5EC6" w:rsidRDefault="003245A4">
            <w:pPr>
              <w:pStyle w:val="P68B1DB1-Normal8"/>
              <w:spacing w:after="0" w:line="240" w:lineRule="auto"/>
              <w:jc w:val="center"/>
              <w:rPr>
                <w:rFonts w:eastAsia="Times New Roman" w:cs="Calibri"/>
                <w:noProof/>
              </w:rPr>
            </w:pPr>
            <w:r>
              <w:rPr>
                <w:noProof/>
              </w:rPr>
              <w:t>Digitális készségekkel kapcsolatos képzés a közoktatási hálózat tanárai és nem oktatói személyzete számára</w:t>
            </w:r>
          </w:p>
        </w:tc>
        <w:tc>
          <w:tcPr>
            <w:tcW w:w="1275" w:type="dxa"/>
            <w:shd w:val="clear" w:color="auto" w:fill="C4EFCE"/>
            <w:noWrap/>
            <w:vAlign w:val="center"/>
            <w:hideMark/>
          </w:tcPr>
          <w:p w14:paraId="224B1BF8" w14:textId="77777777" w:rsidR="00DC5EC6" w:rsidRDefault="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67CBB8E" w14:textId="77777777" w:rsidR="00DC5EC6" w:rsidRDefault="003245A4">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6A3414D8" w14:textId="77777777" w:rsidR="00DC5EC6" w:rsidRDefault="003245A4">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B108FA3" w14:textId="77777777" w:rsidR="00DC5EC6" w:rsidRDefault="003245A4">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75635301" w14:textId="084332AA" w:rsidR="00DC5EC6" w:rsidRDefault="00D0328C">
            <w:pPr>
              <w:pStyle w:val="P68B1DB1-Normal8"/>
              <w:spacing w:after="0" w:line="240" w:lineRule="auto"/>
              <w:jc w:val="center"/>
              <w:rPr>
                <w:rFonts w:eastAsia="Times New Roman" w:cs="Calibri"/>
                <w:noProof/>
              </w:rPr>
            </w:pPr>
            <w:r>
              <w:rPr>
                <w:noProof/>
              </w:rPr>
              <w:t xml:space="preserve">4. </w:t>
            </w:r>
            <w:r w:rsidR="003245A4">
              <w:rPr>
                <w:noProof/>
              </w:rPr>
              <w:t>NEGYEDÉV</w:t>
            </w:r>
          </w:p>
        </w:tc>
        <w:tc>
          <w:tcPr>
            <w:tcW w:w="708" w:type="dxa"/>
            <w:shd w:val="clear" w:color="auto" w:fill="C4EFCE"/>
            <w:noWrap/>
            <w:vAlign w:val="center"/>
            <w:hideMark/>
          </w:tcPr>
          <w:p w14:paraId="7E7431B0" w14:textId="77777777" w:rsidR="00DC5EC6" w:rsidRDefault="003245A4">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AA33588" w14:textId="77777777" w:rsidR="00DC5EC6" w:rsidRDefault="003245A4">
            <w:pPr>
              <w:pStyle w:val="P68B1DB1-Normal8"/>
              <w:spacing w:after="0" w:line="240" w:lineRule="auto"/>
              <w:jc w:val="both"/>
              <w:rPr>
                <w:rFonts w:eastAsia="Times New Roman" w:cs="Calibri"/>
                <w:noProof/>
              </w:rPr>
            </w:pPr>
            <w:r>
              <w:rPr>
                <w:noProof/>
              </w:rPr>
              <w:t xml:space="preserve">A közoktatási hálózat azon tanárainak százalékos aránya, akik alap- vagy magasabb szintű digitális készségekkel kapcsolatos képzésben részesültek, beleértve (a tanárok esetében) a digitális technológiák tantervbe való integrálásáról szóló képzést </w:t>
            </w:r>
          </w:p>
        </w:tc>
      </w:tr>
      <w:tr w:rsidR="00D0328C" w14:paraId="7114F95D" w14:textId="77777777">
        <w:trPr>
          <w:trHeight w:val="300"/>
        </w:trPr>
        <w:tc>
          <w:tcPr>
            <w:tcW w:w="1135" w:type="dxa"/>
            <w:shd w:val="clear" w:color="auto" w:fill="C4EFCE"/>
            <w:vAlign w:val="center"/>
          </w:tcPr>
          <w:p w14:paraId="08F3C5C5" w14:textId="77777777" w:rsidR="00D0328C" w:rsidRDefault="00D0328C" w:rsidP="00D0328C">
            <w:pPr>
              <w:pStyle w:val="P68B1DB1-Normal7"/>
              <w:spacing w:after="0" w:line="240" w:lineRule="auto"/>
              <w:jc w:val="center"/>
              <w:rPr>
                <w:rFonts w:eastAsia="Times New Roman" w:cs="Calibri"/>
                <w:noProof/>
              </w:rPr>
            </w:pPr>
            <w:r>
              <w:rPr>
                <w:noProof/>
              </w:rPr>
              <w:t>20.2</w:t>
            </w:r>
          </w:p>
        </w:tc>
        <w:tc>
          <w:tcPr>
            <w:tcW w:w="1276" w:type="dxa"/>
            <w:shd w:val="clear" w:color="auto" w:fill="C4EFCE"/>
            <w:noWrap/>
            <w:vAlign w:val="center"/>
          </w:tcPr>
          <w:p w14:paraId="0AF6BE0F"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tcPr>
          <w:p w14:paraId="36E5EE5C" w14:textId="77777777" w:rsidR="00D0328C" w:rsidRDefault="00D0328C" w:rsidP="00D0328C">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tcPr>
          <w:p w14:paraId="2DF62002" w14:textId="77777777" w:rsidR="00D0328C" w:rsidRDefault="00D0328C" w:rsidP="00D0328C">
            <w:pPr>
              <w:pStyle w:val="P68B1DB1-Normal8"/>
              <w:spacing w:after="0" w:line="240" w:lineRule="auto"/>
              <w:jc w:val="center"/>
              <w:rPr>
                <w:rFonts w:eastAsia="Times New Roman" w:cs="Calibri"/>
                <w:noProof/>
              </w:rPr>
            </w:pPr>
            <w:r>
              <w:rPr>
                <w:noProof/>
              </w:rPr>
              <w:t>Egyedi számítógépek tanulók és tanárok számára történő megvásárlására vonatkozó szerződések aláírása</w:t>
            </w:r>
          </w:p>
        </w:tc>
        <w:tc>
          <w:tcPr>
            <w:tcW w:w="1275" w:type="dxa"/>
            <w:shd w:val="clear" w:color="auto" w:fill="C4EFCE"/>
            <w:noWrap/>
            <w:vAlign w:val="center"/>
          </w:tcPr>
          <w:p w14:paraId="5636A55F" w14:textId="77777777" w:rsidR="00D0328C" w:rsidRDefault="00D0328C" w:rsidP="00D0328C">
            <w:pPr>
              <w:pStyle w:val="P68B1DB1-Normal8"/>
              <w:spacing w:after="0" w:line="240" w:lineRule="auto"/>
              <w:jc w:val="center"/>
              <w:rPr>
                <w:rFonts w:eastAsia="Times New Roman" w:cs="Calibri"/>
                <w:noProof/>
              </w:rPr>
            </w:pPr>
            <w:r>
              <w:rPr>
                <w:noProof/>
              </w:rPr>
              <w:t>Aláírt szerződés </w:t>
            </w:r>
          </w:p>
        </w:tc>
        <w:tc>
          <w:tcPr>
            <w:tcW w:w="993" w:type="dxa"/>
            <w:shd w:val="clear" w:color="auto" w:fill="C4EFCE"/>
            <w:noWrap/>
            <w:vAlign w:val="center"/>
          </w:tcPr>
          <w:p w14:paraId="097313A5" w14:textId="77777777" w:rsidR="00D0328C" w:rsidRDefault="00D0328C" w:rsidP="00D0328C">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EC54429" w14:textId="77777777" w:rsidR="00D0328C" w:rsidRDefault="00D0328C" w:rsidP="00D0328C">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10D49A9C" w14:textId="77777777" w:rsidR="00D0328C" w:rsidRDefault="00D0328C" w:rsidP="00D0328C">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473C119D" w14:textId="038DB8E2"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tcPr>
          <w:p w14:paraId="667C7DB0" w14:textId="77777777" w:rsidR="00D0328C" w:rsidRDefault="00D0328C" w:rsidP="00D0328C">
            <w:pPr>
              <w:pStyle w:val="P68B1DB1-Normal8"/>
              <w:spacing w:after="0" w:line="240" w:lineRule="auto"/>
              <w:jc w:val="center"/>
              <w:rPr>
                <w:rFonts w:eastAsia="Times New Roman" w:cs="Calibri"/>
                <w:noProof/>
              </w:rPr>
            </w:pPr>
            <w:r>
              <w:rPr>
                <w:noProof/>
              </w:rPr>
              <w:t>2021</w:t>
            </w:r>
          </w:p>
        </w:tc>
        <w:tc>
          <w:tcPr>
            <w:tcW w:w="3969" w:type="dxa"/>
            <w:shd w:val="clear" w:color="auto" w:fill="C4EFCE"/>
            <w:vAlign w:val="center"/>
          </w:tcPr>
          <w:p w14:paraId="50EEB7FB" w14:textId="77777777" w:rsidR="00D0328C" w:rsidRDefault="00D0328C" w:rsidP="00D0328C">
            <w:pPr>
              <w:pStyle w:val="P68B1DB1-Normal8"/>
              <w:spacing w:after="0" w:line="240" w:lineRule="auto"/>
              <w:jc w:val="both"/>
              <w:rPr>
                <w:rFonts w:eastAsia="Times New Roman" w:cs="Calibri"/>
                <w:noProof/>
              </w:rPr>
            </w:pPr>
            <w:r>
              <w:rPr>
                <w:noProof/>
              </w:rPr>
              <w:t>600000 új laptop megvásárlására vonatkozó szerződések aláírása tanároknak és tanulóknak történő hitelnyújtás céljából</w:t>
            </w:r>
          </w:p>
        </w:tc>
      </w:tr>
      <w:tr w:rsidR="00D0328C" w14:paraId="085E7F63" w14:textId="77777777">
        <w:trPr>
          <w:trHeight w:val="300"/>
        </w:trPr>
        <w:tc>
          <w:tcPr>
            <w:tcW w:w="1135" w:type="dxa"/>
            <w:shd w:val="clear" w:color="auto" w:fill="C4EFCE"/>
            <w:vAlign w:val="center"/>
            <w:hideMark/>
          </w:tcPr>
          <w:p w14:paraId="4CAF552D" w14:textId="77777777" w:rsidR="00D0328C" w:rsidRDefault="00D0328C" w:rsidP="00D0328C">
            <w:pPr>
              <w:pStyle w:val="P68B1DB1-Normal7"/>
              <w:spacing w:after="0" w:line="240" w:lineRule="auto"/>
              <w:jc w:val="center"/>
              <w:rPr>
                <w:rFonts w:eastAsia="Times New Roman" w:cs="Calibri"/>
                <w:noProof/>
              </w:rPr>
            </w:pPr>
            <w:r>
              <w:rPr>
                <w:noProof/>
              </w:rPr>
              <w:t>20.3</w:t>
            </w:r>
          </w:p>
        </w:tc>
        <w:tc>
          <w:tcPr>
            <w:tcW w:w="1276" w:type="dxa"/>
            <w:shd w:val="clear" w:color="auto" w:fill="C4EFCE"/>
            <w:noWrap/>
            <w:vAlign w:val="center"/>
            <w:hideMark/>
          </w:tcPr>
          <w:p w14:paraId="7D638ADE"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6ED35996"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D20C1E8" w14:textId="77777777" w:rsidR="00D0328C" w:rsidRDefault="00D0328C" w:rsidP="00D0328C">
            <w:pPr>
              <w:pStyle w:val="P68B1DB1-Normal8"/>
              <w:spacing w:after="0" w:line="240" w:lineRule="auto"/>
              <w:jc w:val="center"/>
              <w:rPr>
                <w:rFonts w:eastAsia="Times New Roman" w:cs="Calibri"/>
                <w:noProof/>
              </w:rPr>
            </w:pPr>
            <w:r>
              <w:rPr>
                <w:noProof/>
              </w:rPr>
              <w:t>A tanulók és tanárok egyéni használatára szolgáló számítógépek</w:t>
            </w:r>
          </w:p>
        </w:tc>
        <w:tc>
          <w:tcPr>
            <w:tcW w:w="1275" w:type="dxa"/>
            <w:shd w:val="clear" w:color="auto" w:fill="C4EFCE"/>
            <w:noWrap/>
            <w:vAlign w:val="center"/>
            <w:hideMark/>
          </w:tcPr>
          <w:p w14:paraId="2CBBC935"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B22CD9F"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41371EA9" w14:textId="77777777" w:rsidR="00D0328C" w:rsidRDefault="00D0328C" w:rsidP="00D0328C">
            <w:pPr>
              <w:pStyle w:val="P68B1DB1-Normal8"/>
              <w:spacing w:after="0" w:line="240" w:lineRule="auto"/>
              <w:jc w:val="center"/>
              <w:rPr>
                <w:rFonts w:eastAsia="Times New Roman" w:cs="Calibri"/>
                <w:noProof/>
              </w:rPr>
            </w:pPr>
            <w:r>
              <w:rPr>
                <w:noProof/>
              </w:rPr>
              <w:t>450 000</w:t>
            </w:r>
          </w:p>
        </w:tc>
        <w:tc>
          <w:tcPr>
            <w:tcW w:w="992" w:type="dxa"/>
            <w:shd w:val="clear" w:color="auto" w:fill="C4EFCE"/>
            <w:noWrap/>
            <w:vAlign w:val="center"/>
            <w:hideMark/>
          </w:tcPr>
          <w:p w14:paraId="7AA00153" w14:textId="77777777" w:rsidR="00D0328C" w:rsidRDefault="00D0328C" w:rsidP="00D0328C">
            <w:pPr>
              <w:pStyle w:val="P68B1DB1-Normal8"/>
              <w:spacing w:after="0" w:line="240" w:lineRule="auto"/>
              <w:jc w:val="center"/>
              <w:rPr>
                <w:rFonts w:eastAsia="Times New Roman" w:cs="Calibri"/>
                <w:noProof/>
              </w:rPr>
            </w:pPr>
            <w:r>
              <w:rPr>
                <w:noProof/>
              </w:rPr>
              <w:t>1 050 000</w:t>
            </w:r>
          </w:p>
        </w:tc>
        <w:tc>
          <w:tcPr>
            <w:tcW w:w="567" w:type="dxa"/>
            <w:shd w:val="clear" w:color="auto" w:fill="C4EFCE"/>
            <w:noWrap/>
            <w:vAlign w:val="center"/>
            <w:hideMark/>
          </w:tcPr>
          <w:p w14:paraId="675FB560" w14:textId="644D31ED"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5DBE1730" w14:textId="77777777" w:rsidR="00D0328C" w:rsidRDefault="00D0328C" w:rsidP="00D0328C">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608C7B2E" w14:textId="16A5EDB1" w:rsidR="00D0328C" w:rsidRDefault="00D0328C" w:rsidP="00D0328C">
            <w:pPr>
              <w:pStyle w:val="P68B1DB1-Normal8"/>
              <w:spacing w:after="0" w:line="240" w:lineRule="auto"/>
              <w:jc w:val="both"/>
              <w:rPr>
                <w:rFonts w:eastAsia="Times New Roman" w:cs="Calibri"/>
                <w:noProof/>
              </w:rPr>
            </w:pPr>
            <w:r>
              <w:rPr>
                <w:noProof/>
              </w:rPr>
              <w:t>Az általános és középiskolai tanároknak és diákoknak kölcsönözendő laptopok száma</w:t>
            </w:r>
          </w:p>
        </w:tc>
      </w:tr>
      <w:tr w:rsidR="00D0328C" w14:paraId="73850E68" w14:textId="77777777">
        <w:trPr>
          <w:trHeight w:val="640"/>
        </w:trPr>
        <w:tc>
          <w:tcPr>
            <w:tcW w:w="1135" w:type="dxa"/>
            <w:shd w:val="clear" w:color="auto" w:fill="C4EFCE"/>
            <w:vAlign w:val="center"/>
            <w:hideMark/>
          </w:tcPr>
          <w:p w14:paraId="2C49AD1E" w14:textId="77777777" w:rsidR="00D0328C" w:rsidRDefault="00D0328C" w:rsidP="00D0328C">
            <w:pPr>
              <w:pStyle w:val="P68B1DB1-Normal7"/>
              <w:spacing w:after="0" w:line="240" w:lineRule="auto"/>
              <w:jc w:val="center"/>
              <w:rPr>
                <w:rFonts w:eastAsia="Times New Roman" w:cs="Calibri"/>
                <w:noProof/>
              </w:rPr>
            </w:pPr>
            <w:r>
              <w:rPr>
                <w:noProof/>
              </w:rPr>
              <w:t>20.4</w:t>
            </w:r>
          </w:p>
        </w:tc>
        <w:tc>
          <w:tcPr>
            <w:tcW w:w="1276" w:type="dxa"/>
            <w:shd w:val="clear" w:color="auto" w:fill="C4EFCE"/>
            <w:noWrap/>
            <w:vAlign w:val="center"/>
            <w:hideMark/>
          </w:tcPr>
          <w:p w14:paraId="21831B90"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DC5179D"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D27B3A2" w14:textId="77777777" w:rsidR="00D0328C" w:rsidRDefault="00D0328C" w:rsidP="00D0328C">
            <w:pPr>
              <w:pStyle w:val="P68B1DB1-Normal8"/>
              <w:spacing w:after="0" w:line="240" w:lineRule="auto"/>
              <w:jc w:val="center"/>
              <w:rPr>
                <w:rFonts w:eastAsia="Times New Roman" w:cs="Calibri"/>
                <w:noProof/>
              </w:rPr>
            </w:pPr>
            <w:r>
              <w:rPr>
                <w:noProof/>
              </w:rPr>
              <w:t>Az általános és középiskolák összeköttetésének korszerűsítése</w:t>
            </w:r>
          </w:p>
        </w:tc>
        <w:tc>
          <w:tcPr>
            <w:tcW w:w="1275" w:type="dxa"/>
            <w:shd w:val="clear" w:color="auto" w:fill="C4EFCE"/>
            <w:noWrap/>
            <w:vAlign w:val="center"/>
            <w:hideMark/>
          </w:tcPr>
          <w:p w14:paraId="07232047"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999EFC6" w14:textId="77777777" w:rsidR="00D0328C" w:rsidRDefault="00D0328C" w:rsidP="00D0328C">
            <w:pPr>
              <w:pStyle w:val="P68B1DB1-Normal8"/>
              <w:spacing w:after="0" w:line="240" w:lineRule="auto"/>
              <w:jc w:val="center"/>
              <w:rPr>
                <w:rFonts w:eastAsia="Times New Roman" w:cs="Calibri"/>
                <w:noProof/>
              </w:rPr>
            </w:pPr>
            <w:r>
              <w:rPr>
                <w:noProof/>
              </w:rPr>
              <w:t xml:space="preserve">% </w:t>
            </w:r>
          </w:p>
        </w:tc>
        <w:tc>
          <w:tcPr>
            <w:tcW w:w="992" w:type="dxa"/>
            <w:shd w:val="clear" w:color="auto" w:fill="C4EFCE"/>
            <w:noWrap/>
            <w:vAlign w:val="center"/>
            <w:hideMark/>
          </w:tcPr>
          <w:p w14:paraId="519070AC"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2D3F45FC"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F6CA3AB" w14:textId="34039CD3"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5CFD022" w14:textId="10E5C0BC"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00706952" w14:textId="2D0D82EE" w:rsidR="00D0328C" w:rsidRDefault="00D0328C" w:rsidP="00D0328C">
            <w:pPr>
              <w:pStyle w:val="P68B1DB1-Normal8"/>
              <w:spacing w:after="0" w:line="240" w:lineRule="auto"/>
              <w:jc w:val="both"/>
              <w:rPr>
                <w:rFonts w:eastAsia="Times New Roman" w:cs="Calibri"/>
                <w:noProof/>
              </w:rPr>
            </w:pPr>
            <w:r>
              <w:rPr>
                <w:noProof/>
              </w:rPr>
              <w:t xml:space="preserve">Azon általános és középiskolák százalékos aránya a kontinentális Portugáliában, amelyek 1) legalább 1 Gbps sebességű, kiterjesztett oktatási hálózathoz kapcsolódnak; és 2) helyi iskolai hálózattal rendelkeznek, átlagosan 40 wifi-hozzáférési ponttal. </w:t>
            </w:r>
          </w:p>
        </w:tc>
      </w:tr>
      <w:tr w:rsidR="00D0328C" w14:paraId="28357C41" w14:textId="77777777">
        <w:trPr>
          <w:trHeight w:val="1060"/>
        </w:trPr>
        <w:tc>
          <w:tcPr>
            <w:tcW w:w="1135" w:type="dxa"/>
            <w:shd w:val="clear" w:color="auto" w:fill="C4EFCE"/>
            <w:vAlign w:val="center"/>
            <w:hideMark/>
          </w:tcPr>
          <w:p w14:paraId="52869EA6" w14:textId="77777777" w:rsidR="00D0328C" w:rsidRDefault="00D0328C" w:rsidP="00D0328C">
            <w:pPr>
              <w:pStyle w:val="P68B1DB1-Normal7"/>
              <w:spacing w:after="0" w:line="240" w:lineRule="auto"/>
              <w:jc w:val="center"/>
              <w:rPr>
                <w:rFonts w:eastAsia="Times New Roman" w:cs="Calibri"/>
                <w:noProof/>
              </w:rPr>
            </w:pPr>
            <w:r>
              <w:rPr>
                <w:noProof/>
              </w:rPr>
              <w:t>20.5</w:t>
            </w:r>
          </w:p>
        </w:tc>
        <w:tc>
          <w:tcPr>
            <w:tcW w:w="1276" w:type="dxa"/>
            <w:shd w:val="clear" w:color="auto" w:fill="C4EFCE"/>
            <w:noWrap/>
            <w:vAlign w:val="center"/>
            <w:hideMark/>
          </w:tcPr>
          <w:p w14:paraId="118116DB"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0568D27"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371D07C" w14:textId="77777777" w:rsidR="00D0328C" w:rsidRDefault="00D0328C" w:rsidP="00D0328C">
            <w:pPr>
              <w:pStyle w:val="P68B1DB1-Normal8"/>
              <w:spacing w:after="0" w:line="240" w:lineRule="auto"/>
              <w:jc w:val="center"/>
              <w:rPr>
                <w:rFonts w:eastAsia="Times New Roman" w:cs="Calibri"/>
                <w:noProof/>
              </w:rPr>
            </w:pPr>
            <w:r>
              <w:rPr>
                <w:noProof/>
              </w:rPr>
              <w:t>Digitális oktatási laboratóriumok telepítése</w:t>
            </w:r>
          </w:p>
        </w:tc>
        <w:tc>
          <w:tcPr>
            <w:tcW w:w="1275" w:type="dxa"/>
            <w:shd w:val="clear" w:color="auto" w:fill="C4EFCE"/>
            <w:noWrap/>
            <w:vAlign w:val="center"/>
            <w:hideMark/>
          </w:tcPr>
          <w:p w14:paraId="3057EB2E"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37E61E26"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21F7ADD"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5CB928B4" w14:textId="77777777" w:rsidR="00D0328C" w:rsidRDefault="00D0328C" w:rsidP="00D0328C">
            <w:pPr>
              <w:pStyle w:val="P68B1DB1-Normal8"/>
              <w:spacing w:after="0" w:line="240" w:lineRule="auto"/>
              <w:jc w:val="center"/>
              <w:rPr>
                <w:rFonts w:eastAsia="Times New Roman" w:cs="Calibri"/>
                <w:noProof/>
              </w:rPr>
            </w:pPr>
            <w:r>
              <w:rPr>
                <w:noProof/>
              </w:rPr>
              <w:t>1 300</w:t>
            </w:r>
          </w:p>
        </w:tc>
        <w:tc>
          <w:tcPr>
            <w:tcW w:w="567" w:type="dxa"/>
            <w:shd w:val="clear" w:color="auto" w:fill="C4EFCE"/>
            <w:noWrap/>
            <w:vAlign w:val="center"/>
            <w:hideMark/>
          </w:tcPr>
          <w:p w14:paraId="465B78FA" w14:textId="4785DD64"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3E3CE4C3" w14:textId="7A64BB4D"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4120F3CB" w14:textId="77777777" w:rsidR="00D0328C" w:rsidRDefault="00D0328C" w:rsidP="00D0328C">
            <w:pPr>
              <w:pStyle w:val="P68B1DB1-Normal8"/>
              <w:spacing w:after="0" w:line="240" w:lineRule="auto"/>
              <w:jc w:val="both"/>
              <w:rPr>
                <w:rFonts w:eastAsia="Times New Roman" w:cs="Calibri"/>
                <w:noProof/>
              </w:rPr>
            </w:pPr>
            <w:r>
              <w:rPr>
                <w:noProof/>
              </w:rPr>
              <w:t>A kontinentális portugáliai általános és középiskolákban speciális projektberendezésekkel, például robotikai készletekkel, háromdimenziós nyomtatókkal, mérő- és tesztelő berendezésekkel, különféle szerszámokkal, fejlesztési és szimulációs modulokkal, elektronikus alkatrészekkel, lézerfelvevő és vágógépekkel vagy egyebekkel felszerelt új digitális oktatási laboratóriumok száma a kísérleti számítástechnikai, programozási és robotklubok fejlesztésére és megsokszorozására.</w:t>
            </w:r>
          </w:p>
        </w:tc>
      </w:tr>
      <w:tr w:rsidR="003245A4" w14:paraId="39151C53" w14:textId="77777777">
        <w:trPr>
          <w:trHeight w:val="300"/>
        </w:trPr>
        <w:tc>
          <w:tcPr>
            <w:tcW w:w="1135" w:type="dxa"/>
            <w:shd w:val="clear" w:color="auto" w:fill="C4EFCE"/>
            <w:vAlign w:val="center"/>
            <w:hideMark/>
          </w:tcPr>
          <w:p w14:paraId="26EC845C" w14:textId="77777777" w:rsidR="003245A4" w:rsidRDefault="003245A4" w:rsidP="003245A4">
            <w:pPr>
              <w:pStyle w:val="P68B1DB1-Normal7"/>
              <w:spacing w:after="0" w:line="240" w:lineRule="auto"/>
              <w:jc w:val="center"/>
              <w:rPr>
                <w:rFonts w:eastAsia="Times New Roman" w:cs="Calibri"/>
                <w:noProof/>
              </w:rPr>
            </w:pPr>
            <w:r>
              <w:rPr>
                <w:noProof/>
              </w:rPr>
              <w:t>20.6</w:t>
            </w:r>
          </w:p>
        </w:tc>
        <w:tc>
          <w:tcPr>
            <w:tcW w:w="1276" w:type="dxa"/>
            <w:shd w:val="clear" w:color="auto" w:fill="C4EFCE"/>
            <w:noWrap/>
            <w:vAlign w:val="center"/>
            <w:hideMark/>
          </w:tcPr>
          <w:p w14:paraId="5A9E807B" w14:textId="77777777" w:rsidR="003245A4" w:rsidRDefault="003245A4" w:rsidP="003245A4">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0DB3DE55" w14:textId="77777777" w:rsidR="003245A4" w:rsidRDefault="003245A4" w:rsidP="003245A4">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86508B8" w14:textId="77777777" w:rsidR="003245A4" w:rsidRDefault="003245A4" w:rsidP="003245A4">
            <w:pPr>
              <w:pStyle w:val="P68B1DB1-Normal8"/>
              <w:spacing w:after="0" w:line="240" w:lineRule="auto"/>
              <w:jc w:val="center"/>
              <w:rPr>
                <w:rFonts w:eastAsia="Times New Roman" w:cs="Calibri"/>
                <w:noProof/>
              </w:rPr>
            </w:pPr>
            <w:r>
              <w:rPr>
                <w:noProof/>
              </w:rPr>
              <w:t>Osztálytermek új vetítőberendezéssel</w:t>
            </w:r>
          </w:p>
        </w:tc>
        <w:tc>
          <w:tcPr>
            <w:tcW w:w="1275" w:type="dxa"/>
            <w:shd w:val="clear" w:color="auto" w:fill="C4EFCE"/>
            <w:noWrap/>
            <w:vAlign w:val="center"/>
            <w:hideMark/>
          </w:tcPr>
          <w:p w14:paraId="670C4A44" w14:textId="77777777" w:rsidR="003245A4" w:rsidRDefault="003245A4" w:rsidP="003245A4">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D8A0139" w14:textId="77777777" w:rsidR="003245A4" w:rsidRDefault="003245A4" w:rsidP="003245A4">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125DBE7A" w14:textId="77777777" w:rsidR="003245A4" w:rsidRDefault="003245A4" w:rsidP="003245A4">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31610ED6" w14:textId="77777777" w:rsidR="003245A4" w:rsidRDefault="003245A4" w:rsidP="003245A4">
            <w:pPr>
              <w:pStyle w:val="P68B1DB1-Normal8"/>
              <w:spacing w:after="0" w:line="240" w:lineRule="auto"/>
              <w:jc w:val="center"/>
              <w:rPr>
                <w:rFonts w:eastAsia="Times New Roman" w:cs="Calibri"/>
                <w:noProof/>
              </w:rPr>
            </w:pPr>
            <w:r>
              <w:rPr>
                <w:noProof/>
              </w:rPr>
              <w:t>40 000</w:t>
            </w:r>
          </w:p>
        </w:tc>
        <w:tc>
          <w:tcPr>
            <w:tcW w:w="567" w:type="dxa"/>
            <w:shd w:val="clear" w:color="auto" w:fill="C4EFCE"/>
            <w:noWrap/>
            <w:vAlign w:val="center"/>
            <w:hideMark/>
          </w:tcPr>
          <w:p w14:paraId="7382EA47" w14:textId="586581EA" w:rsidR="003245A4" w:rsidRDefault="003245A4" w:rsidP="003245A4">
            <w:pPr>
              <w:pStyle w:val="P68B1DB1-Normal8"/>
              <w:spacing w:after="0" w:line="240" w:lineRule="auto"/>
              <w:jc w:val="center"/>
              <w:rPr>
                <w:rFonts w:eastAsia="Times New Roman" w:cs="Calibri"/>
                <w:noProof/>
              </w:rPr>
            </w:pPr>
            <w:r>
              <w:rPr>
                <w:noProof/>
              </w:rPr>
              <w:t>2. NEGYEDÉV</w:t>
            </w:r>
          </w:p>
        </w:tc>
        <w:tc>
          <w:tcPr>
            <w:tcW w:w="708" w:type="dxa"/>
            <w:shd w:val="clear" w:color="auto" w:fill="C4EFCE"/>
            <w:noWrap/>
            <w:vAlign w:val="center"/>
            <w:hideMark/>
          </w:tcPr>
          <w:p w14:paraId="00628B06" w14:textId="10DF44DB" w:rsidR="003245A4" w:rsidRDefault="003245A4" w:rsidP="003245A4">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5F7C27F0" w14:textId="77777777" w:rsidR="003245A4" w:rsidRDefault="003245A4" w:rsidP="003245A4">
            <w:pPr>
              <w:pStyle w:val="P68B1DB1-Normal8"/>
              <w:spacing w:after="0" w:line="240" w:lineRule="auto"/>
              <w:jc w:val="both"/>
              <w:rPr>
                <w:rFonts w:eastAsia="Times New Roman" w:cs="Calibri"/>
                <w:noProof/>
              </w:rPr>
            </w:pPr>
            <w:r>
              <w:rPr>
                <w:noProof/>
              </w:rPr>
              <w:t xml:space="preserve">Az általános és középiskolák új vetítőberendezéssel rendelkező osztálytermeinek száma </w:t>
            </w:r>
          </w:p>
        </w:tc>
      </w:tr>
      <w:tr w:rsidR="00D0328C" w14:paraId="651A2DB2" w14:textId="77777777">
        <w:trPr>
          <w:trHeight w:val="850"/>
        </w:trPr>
        <w:tc>
          <w:tcPr>
            <w:tcW w:w="1135" w:type="dxa"/>
            <w:shd w:val="clear" w:color="auto" w:fill="C4EFCE"/>
            <w:vAlign w:val="center"/>
            <w:hideMark/>
          </w:tcPr>
          <w:p w14:paraId="79EC60DC" w14:textId="77777777" w:rsidR="00D0328C" w:rsidRDefault="00D0328C" w:rsidP="00D0328C">
            <w:pPr>
              <w:pStyle w:val="P68B1DB1-Normal7"/>
              <w:spacing w:after="0" w:line="240" w:lineRule="auto"/>
              <w:jc w:val="center"/>
              <w:rPr>
                <w:rFonts w:eastAsia="Times New Roman" w:cs="Calibri"/>
                <w:noProof/>
              </w:rPr>
            </w:pPr>
            <w:r>
              <w:rPr>
                <w:noProof/>
              </w:rPr>
              <w:t>20.7</w:t>
            </w:r>
          </w:p>
        </w:tc>
        <w:tc>
          <w:tcPr>
            <w:tcW w:w="1276" w:type="dxa"/>
            <w:shd w:val="clear" w:color="auto" w:fill="C4EFCE"/>
            <w:noWrap/>
            <w:vAlign w:val="center"/>
            <w:hideMark/>
          </w:tcPr>
          <w:p w14:paraId="7C4CC769"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288B1223"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A43A074" w14:textId="77777777" w:rsidR="00D0328C" w:rsidRDefault="00D0328C" w:rsidP="00D0328C">
            <w:pPr>
              <w:pStyle w:val="P68B1DB1-Normal8"/>
              <w:spacing w:after="0" w:line="240" w:lineRule="auto"/>
              <w:jc w:val="center"/>
              <w:rPr>
                <w:rFonts w:eastAsia="Times New Roman" w:cs="Calibri"/>
                <w:noProof/>
              </w:rPr>
            </w:pPr>
            <w:r>
              <w:rPr>
                <w:noProof/>
              </w:rPr>
              <w:t>Az iskolaigazgatás szerepének erősítése</w:t>
            </w:r>
          </w:p>
        </w:tc>
        <w:tc>
          <w:tcPr>
            <w:tcW w:w="1275" w:type="dxa"/>
            <w:shd w:val="clear" w:color="auto" w:fill="C4EFCE"/>
            <w:noWrap/>
            <w:vAlign w:val="center"/>
            <w:hideMark/>
          </w:tcPr>
          <w:p w14:paraId="0F6F76E2"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42306F94"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57355270" w14:textId="77777777" w:rsidR="00D0328C" w:rsidRDefault="00D0328C" w:rsidP="00D0328C">
            <w:pPr>
              <w:pStyle w:val="P68B1DB1-Normal8"/>
              <w:spacing w:after="0" w:line="240" w:lineRule="auto"/>
              <w:jc w:val="center"/>
              <w:rPr>
                <w:rFonts w:eastAsia="Times New Roman" w:cs="Calibri"/>
                <w:noProof/>
              </w:rPr>
            </w:pPr>
            <w:r>
              <w:rPr>
                <w:noProof/>
              </w:rPr>
              <w:t>30</w:t>
            </w:r>
          </w:p>
        </w:tc>
        <w:tc>
          <w:tcPr>
            <w:tcW w:w="992" w:type="dxa"/>
            <w:shd w:val="clear" w:color="auto" w:fill="C4EFCE"/>
            <w:noWrap/>
            <w:vAlign w:val="center"/>
            <w:hideMark/>
          </w:tcPr>
          <w:p w14:paraId="33A86C14"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5F47097D" w14:textId="01C4D3CA"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343F287" w14:textId="77777777"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0BBF106" w14:textId="71A22BCD" w:rsidR="00D0328C" w:rsidRDefault="00D0328C" w:rsidP="00D0328C">
            <w:pPr>
              <w:pStyle w:val="P68B1DB1-Normal8"/>
              <w:spacing w:after="0" w:line="240" w:lineRule="auto"/>
              <w:jc w:val="both"/>
              <w:rPr>
                <w:rFonts w:eastAsia="Times New Roman" w:cs="Calibri"/>
                <w:noProof/>
              </w:rPr>
            </w:pPr>
            <w:r>
              <w:rPr>
                <w:noProof/>
              </w:rPr>
              <w:t>Azon általános és középiskolák százalékos aránya a kontinentális Portugáliában, amelyek 1) elfogadták az egységes identitásrendszert; 2) az Oktatási Minisztérium oktatásirányítási információs rendszeréhez kapcsolódott, és 3) elfogadta a 360-as iskolarendszert, beleértve 15000 számítógép rendelkezésre bocsátását az iskolavezetési tevékenységekhez.</w:t>
            </w:r>
          </w:p>
        </w:tc>
      </w:tr>
      <w:tr w:rsidR="00D0328C" w14:paraId="3EE0A428" w14:textId="77777777">
        <w:trPr>
          <w:trHeight w:val="430"/>
        </w:trPr>
        <w:tc>
          <w:tcPr>
            <w:tcW w:w="1135" w:type="dxa"/>
            <w:shd w:val="clear" w:color="auto" w:fill="C4EFCE"/>
            <w:vAlign w:val="center"/>
            <w:hideMark/>
          </w:tcPr>
          <w:p w14:paraId="3858008C" w14:textId="77777777" w:rsidR="00D0328C" w:rsidRDefault="00D0328C" w:rsidP="00D0328C">
            <w:pPr>
              <w:pStyle w:val="P68B1DB1-Normal7"/>
              <w:spacing w:after="0" w:line="240" w:lineRule="auto"/>
              <w:jc w:val="center"/>
              <w:rPr>
                <w:rFonts w:eastAsia="Times New Roman" w:cs="Calibri"/>
                <w:noProof/>
              </w:rPr>
            </w:pPr>
            <w:r>
              <w:rPr>
                <w:noProof/>
              </w:rPr>
              <w:t>20.8</w:t>
            </w:r>
          </w:p>
        </w:tc>
        <w:tc>
          <w:tcPr>
            <w:tcW w:w="1276" w:type="dxa"/>
            <w:shd w:val="clear" w:color="auto" w:fill="C4EFCE"/>
            <w:noWrap/>
            <w:vAlign w:val="center"/>
            <w:hideMark/>
          </w:tcPr>
          <w:p w14:paraId="2319D081"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3060AFF1"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084A8A8B" w14:textId="77777777" w:rsidR="00D0328C" w:rsidRDefault="00D0328C" w:rsidP="00D0328C">
            <w:pPr>
              <w:pStyle w:val="P68B1DB1-Normal8"/>
              <w:spacing w:after="0" w:line="240" w:lineRule="auto"/>
              <w:jc w:val="center"/>
              <w:rPr>
                <w:rFonts w:eastAsia="Times New Roman" w:cs="Calibri"/>
                <w:noProof/>
              </w:rPr>
            </w:pPr>
            <w:r>
              <w:rPr>
                <w:noProof/>
              </w:rPr>
              <w:t>Digitális oktatási segédanyagok</w:t>
            </w:r>
          </w:p>
        </w:tc>
        <w:tc>
          <w:tcPr>
            <w:tcW w:w="1275" w:type="dxa"/>
            <w:shd w:val="clear" w:color="auto" w:fill="C4EFCE"/>
            <w:noWrap/>
            <w:vAlign w:val="center"/>
            <w:hideMark/>
          </w:tcPr>
          <w:p w14:paraId="2EB1AFBE"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1AFDD2B"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02C4AFF6"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4E9F353A"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4CC9C924" w14:textId="6C838F98"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436371A"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EECD628" w14:textId="77777777" w:rsidR="00D0328C" w:rsidRDefault="00D0328C" w:rsidP="00D0328C">
            <w:pPr>
              <w:pStyle w:val="P68B1DB1-Normal8"/>
              <w:spacing w:after="0" w:line="240" w:lineRule="auto"/>
              <w:jc w:val="both"/>
              <w:rPr>
                <w:rFonts w:eastAsia="Times New Roman" w:cs="Calibri"/>
                <w:noProof/>
              </w:rPr>
            </w:pPr>
            <w:r>
              <w:rPr>
                <w:noProof/>
              </w:rPr>
              <w:t>Azon tantárgyak százalékos aránya az alap- és középfokú oktatási tantervekben, beleértve a testnevelést és a sportot is, amelyek esetében befejeződött a digitális oktatási segédanyagok előállítása.</w:t>
            </w:r>
          </w:p>
        </w:tc>
      </w:tr>
      <w:tr w:rsidR="00D0328C" w14:paraId="6583B735" w14:textId="77777777">
        <w:trPr>
          <w:trHeight w:val="300"/>
        </w:trPr>
        <w:tc>
          <w:tcPr>
            <w:tcW w:w="1135" w:type="dxa"/>
            <w:shd w:val="clear" w:color="auto" w:fill="C4EFCE"/>
            <w:vAlign w:val="center"/>
            <w:hideMark/>
          </w:tcPr>
          <w:p w14:paraId="4B067463" w14:textId="77777777" w:rsidR="00D0328C" w:rsidRDefault="00D0328C" w:rsidP="00D0328C">
            <w:pPr>
              <w:pStyle w:val="P68B1DB1-Normal7"/>
              <w:spacing w:after="0" w:line="240" w:lineRule="auto"/>
              <w:jc w:val="center"/>
              <w:rPr>
                <w:rFonts w:eastAsia="Times New Roman" w:cs="Calibri"/>
                <w:noProof/>
              </w:rPr>
            </w:pPr>
            <w:r>
              <w:rPr>
                <w:noProof/>
              </w:rPr>
              <w:t>20.9</w:t>
            </w:r>
          </w:p>
        </w:tc>
        <w:tc>
          <w:tcPr>
            <w:tcW w:w="1276" w:type="dxa"/>
            <w:shd w:val="clear" w:color="auto" w:fill="C4EFCE"/>
            <w:noWrap/>
            <w:vAlign w:val="center"/>
            <w:hideMark/>
          </w:tcPr>
          <w:p w14:paraId="51ABDC58" w14:textId="77777777" w:rsidR="00D0328C" w:rsidRDefault="00D0328C" w:rsidP="00D0328C">
            <w:pPr>
              <w:pStyle w:val="P68B1DB1-Normal8"/>
              <w:spacing w:after="0" w:line="240" w:lineRule="auto"/>
              <w:jc w:val="center"/>
              <w:rPr>
                <w:rFonts w:eastAsia="Times New Roman" w:cs="Calibri"/>
                <w:noProof/>
              </w:rPr>
            </w:pPr>
            <w:r>
              <w:rPr>
                <w:noProof/>
              </w:rPr>
              <w:t>TD-C20-i01</w:t>
            </w:r>
          </w:p>
        </w:tc>
        <w:tc>
          <w:tcPr>
            <w:tcW w:w="1134" w:type="dxa"/>
            <w:shd w:val="clear" w:color="auto" w:fill="C4EFCE"/>
            <w:noWrap/>
            <w:vAlign w:val="center"/>
            <w:hideMark/>
          </w:tcPr>
          <w:p w14:paraId="493108C4"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92A1726" w14:textId="77777777" w:rsidR="00D0328C" w:rsidRDefault="00D0328C" w:rsidP="00D0328C">
            <w:pPr>
              <w:pStyle w:val="P68B1DB1-Normal8"/>
              <w:spacing w:after="0" w:line="240" w:lineRule="auto"/>
              <w:jc w:val="center"/>
              <w:rPr>
                <w:rFonts w:eastAsia="Times New Roman" w:cs="Calibri"/>
                <w:noProof/>
              </w:rPr>
            </w:pPr>
            <w:r>
              <w:rPr>
                <w:noProof/>
              </w:rPr>
              <w:t xml:space="preserve">Digitális tesztek és vizsgák az iskolákban </w:t>
            </w:r>
          </w:p>
        </w:tc>
        <w:tc>
          <w:tcPr>
            <w:tcW w:w="1275" w:type="dxa"/>
            <w:shd w:val="clear" w:color="auto" w:fill="C4EFCE"/>
            <w:noWrap/>
            <w:vAlign w:val="center"/>
            <w:hideMark/>
          </w:tcPr>
          <w:p w14:paraId="5EC705BD"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14340419"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2A8DDDCB" w14:textId="77777777" w:rsidR="00D0328C" w:rsidRDefault="00D0328C" w:rsidP="00D0328C">
            <w:pPr>
              <w:pStyle w:val="P68B1DB1-Normal8"/>
              <w:spacing w:after="0" w:line="240" w:lineRule="auto"/>
              <w:jc w:val="center"/>
              <w:rPr>
                <w:rFonts w:eastAsia="Times New Roman" w:cs="Calibri"/>
                <w:noProof/>
              </w:rPr>
            </w:pPr>
            <w:r>
              <w:rPr>
                <w:noProof/>
              </w:rPr>
              <w:t>0</w:t>
            </w:r>
          </w:p>
        </w:tc>
        <w:tc>
          <w:tcPr>
            <w:tcW w:w="992" w:type="dxa"/>
            <w:shd w:val="clear" w:color="auto" w:fill="C4EFCE"/>
            <w:noWrap/>
            <w:vAlign w:val="center"/>
            <w:hideMark/>
          </w:tcPr>
          <w:p w14:paraId="1F827CC1" w14:textId="77777777"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6BF8C0F1" w14:textId="496FED3F"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10ECCAB"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6FCEA458" w14:textId="77777777" w:rsidR="00D0328C" w:rsidRDefault="00D0328C" w:rsidP="00D0328C">
            <w:pPr>
              <w:pStyle w:val="P68B1DB1-Normal8"/>
              <w:spacing w:after="0" w:line="240" w:lineRule="auto"/>
              <w:jc w:val="both"/>
              <w:rPr>
                <w:rFonts w:eastAsia="Times New Roman" w:cs="Calibri"/>
                <w:noProof/>
              </w:rPr>
            </w:pPr>
            <w:r>
              <w:rPr>
                <w:noProof/>
              </w:rPr>
              <w:t>A digitalizált zárópontozási tesztek és vizsgák százalékos aránya.</w:t>
            </w:r>
          </w:p>
        </w:tc>
      </w:tr>
      <w:tr w:rsidR="00D0328C" w14:paraId="1835F478" w14:textId="77777777">
        <w:trPr>
          <w:trHeight w:val="640"/>
        </w:trPr>
        <w:tc>
          <w:tcPr>
            <w:tcW w:w="1135" w:type="dxa"/>
            <w:shd w:val="clear" w:color="auto" w:fill="C4EFCE"/>
            <w:vAlign w:val="center"/>
            <w:hideMark/>
          </w:tcPr>
          <w:p w14:paraId="0918542F" w14:textId="77777777" w:rsidR="00D0328C" w:rsidRDefault="00D0328C" w:rsidP="00D0328C">
            <w:pPr>
              <w:pStyle w:val="P68B1DB1-Normal7"/>
              <w:spacing w:after="0" w:line="240" w:lineRule="auto"/>
              <w:jc w:val="center"/>
              <w:rPr>
                <w:rFonts w:eastAsia="Times New Roman" w:cs="Calibri"/>
                <w:noProof/>
              </w:rPr>
            </w:pPr>
            <w:r>
              <w:rPr>
                <w:noProof/>
              </w:rPr>
              <w:t>20.10</w:t>
            </w:r>
          </w:p>
        </w:tc>
        <w:tc>
          <w:tcPr>
            <w:tcW w:w="1276" w:type="dxa"/>
            <w:shd w:val="clear" w:color="auto" w:fill="C4EFCE"/>
            <w:noWrap/>
            <w:vAlign w:val="center"/>
            <w:hideMark/>
          </w:tcPr>
          <w:p w14:paraId="05624015"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2541112A"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4C3C4030" w14:textId="77777777" w:rsidR="00D0328C" w:rsidRDefault="00D0328C" w:rsidP="00D0328C">
            <w:pPr>
              <w:pStyle w:val="P68B1DB1-Normal8"/>
              <w:spacing w:after="0" w:line="240" w:lineRule="auto"/>
              <w:jc w:val="center"/>
              <w:rPr>
                <w:rFonts w:eastAsia="Times New Roman" w:cs="Calibri"/>
                <w:noProof/>
              </w:rPr>
            </w:pPr>
            <w:r>
              <w:rPr>
                <w:noProof/>
              </w:rPr>
              <w:t>Tömeges nyílt online tanfolyamok tanárok és szülők számára az ARA-ban</w:t>
            </w:r>
          </w:p>
        </w:tc>
        <w:tc>
          <w:tcPr>
            <w:tcW w:w="1275" w:type="dxa"/>
            <w:shd w:val="clear" w:color="auto" w:fill="C4EFCE"/>
            <w:noWrap/>
            <w:vAlign w:val="center"/>
            <w:hideMark/>
          </w:tcPr>
          <w:p w14:paraId="3E7759AA"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03B79BA3" w14:textId="77777777" w:rsidR="00D0328C" w:rsidRDefault="00D0328C" w:rsidP="00D0328C">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35DA7DA1"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1A1252EC" w14:textId="77777777" w:rsidR="00D0328C" w:rsidRDefault="00D0328C" w:rsidP="00D0328C">
            <w:pPr>
              <w:pStyle w:val="P68B1DB1-Normal8"/>
              <w:spacing w:after="0" w:line="240" w:lineRule="auto"/>
              <w:jc w:val="center"/>
              <w:rPr>
                <w:rFonts w:eastAsia="Times New Roman" w:cs="Calibri"/>
                <w:noProof/>
              </w:rPr>
            </w:pPr>
            <w:r>
              <w:rPr>
                <w:noProof/>
              </w:rPr>
              <w:t>4 </w:t>
            </w:r>
          </w:p>
        </w:tc>
        <w:tc>
          <w:tcPr>
            <w:tcW w:w="567" w:type="dxa"/>
            <w:shd w:val="clear" w:color="auto" w:fill="C4EFCE"/>
            <w:noWrap/>
            <w:vAlign w:val="center"/>
            <w:hideMark/>
          </w:tcPr>
          <w:p w14:paraId="4C03DB82" w14:textId="4B0AA046"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B08F7C5" w14:textId="77777777" w:rsidR="00D0328C" w:rsidRDefault="00D0328C" w:rsidP="00D0328C">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32162FD6" w14:textId="1657A217" w:rsidR="00D0328C" w:rsidRDefault="00D0328C" w:rsidP="00D0328C">
            <w:pPr>
              <w:pStyle w:val="P68B1DB1-Normal8"/>
              <w:spacing w:after="0" w:line="240" w:lineRule="auto"/>
              <w:jc w:val="both"/>
              <w:rPr>
                <w:rFonts w:eastAsia="Times New Roman" w:cs="Calibri"/>
                <w:noProof/>
              </w:rPr>
            </w:pPr>
            <w:r>
              <w:rPr>
                <w:noProof/>
              </w:rPr>
              <w:t>A tantermi oktatáshoz és a távoktatáshoz szükséges digitális készségek fejlesztésének előmozdítása érdekében létrehozott tömeges nyílt online tanfolyamok száma, beleértve az oktatóanyagok és a digitális kompetenciák beszerzési portáljának biztosítását is. A virtuális szabadegyetemek online elérhetők és ingyenesen hozzáférhetők a tanárok és a diákok szülei számára.</w:t>
            </w:r>
          </w:p>
        </w:tc>
      </w:tr>
      <w:tr w:rsidR="00D0328C" w14:paraId="460A159F" w14:textId="77777777">
        <w:trPr>
          <w:trHeight w:val="430"/>
        </w:trPr>
        <w:tc>
          <w:tcPr>
            <w:tcW w:w="1135" w:type="dxa"/>
            <w:shd w:val="clear" w:color="auto" w:fill="C4EFCE"/>
            <w:vAlign w:val="center"/>
            <w:hideMark/>
          </w:tcPr>
          <w:p w14:paraId="68F05D42" w14:textId="77777777" w:rsidR="00D0328C" w:rsidRDefault="00D0328C" w:rsidP="00D0328C">
            <w:pPr>
              <w:pStyle w:val="P68B1DB1-Normal7"/>
              <w:spacing w:after="0" w:line="240" w:lineRule="auto"/>
              <w:jc w:val="center"/>
              <w:rPr>
                <w:rFonts w:eastAsia="Times New Roman" w:cs="Calibri"/>
                <w:noProof/>
              </w:rPr>
            </w:pPr>
            <w:r>
              <w:rPr>
                <w:noProof/>
              </w:rPr>
              <w:t>20.11</w:t>
            </w:r>
          </w:p>
        </w:tc>
        <w:tc>
          <w:tcPr>
            <w:tcW w:w="1276" w:type="dxa"/>
            <w:shd w:val="clear" w:color="auto" w:fill="C4EFCE"/>
            <w:noWrap/>
            <w:vAlign w:val="center"/>
            <w:hideMark/>
          </w:tcPr>
          <w:p w14:paraId="6836999F"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11B05124"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34258687" w14:textId="77777777" w:rsidR="00D0328C" w:rsidRDefault="00D0328C" w:rsidP="00D0328C">
            <w:pPr>
              <w:pStyle w:val="P68B1DB1-Normal8"/>
              <w:spacing w:after="0" w:line="240" w:lineRule="auto"/>
              <w:jc w:val="center"/>
              <w:rPr>
                <w:rFonts w:eastAsia="Times New Roman" w:cs="Calibri"/>
                <w:noProof/>
              </w:rPr>
            </w:pPr>
            <w:r>
              <w:rPr>
                <w:noProof/>
              </w:rPr>
              <w:t>Új laptopok és táblagépek az ARA iskolái számára</w:t>
            </w:r>
          </w:p>
        </w:tc>
        <w:tc>
          <w:tcPr>
            <w:tcW w:w="1275" w:type="dxa"/>
            <w:shd w:val="clear" w:color="auto" w:fill="C4EFCE"/>
            <w:noWrap/>
            <w:vAlign w:val="center"/>
            <w:hideMark/>
          </w:tcPr>
          <w:p w14:paraId="1EA6C894"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7F699FF1" w14:textId="77777777" w:rsidR="00D0328C" w:rsidRDefault="00D0328C" w:rsidP="00D0328C">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1229DA03"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6A9D697F" w14:textId="606152BC" w:rsidR="00D0328C" w:rsidRDefault="00D0328C" w:rsidP="00D0328C">
            <w:pPr>
              <w:pStyle w:val="P68B1DB1-Normal8"/>
              <w:spacing w:after="0" w:line="240" w:lineRule="auto"/>
              <w:jc w:val="center"/>
              <w:rPr>
                <w:rFonts w:eastAsia="Times New Roman" w:cs="Calibri"/>
                <w:noProof/>
              </w:rPr>
            </w:pPr>
            <w:r>
              <w:rPr>
                <w:noProof/>
              </w:rPr>
              <w:t>31 900 </w:t>
            </w:r>
          </w:p>
        </w:tc>
        <w:tc>
          <w:tcPr>
            <w:tcW w:w="567" w:type="dxa"/>
            <w:shd w:val="clear" w:color="auto" w:fill="C4EFCE"/>
            <w:noWrap/>
            <w:vAlign w:val="center"/>
            <w:hideMark/>
          </w:tcPr>
          <w:p w14:paraId="33E5271F" w14:textId="52B462BA"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91A9F02"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D530C43" w14:textId="4454DA70" w:rsidR="00D0328C" w:rsidRDefault="00D0328C" w:rsidP="00D0328C">
            <w:pPr>
              <w:pStyle w:val="P68B1DB1-Normal8"/>
              <w:spacing w:after="0" w:line="240" w:lineRule="auto"/>
              <w:jc w:val="both"/>
              <w:rPr>
                <w:rFonts w:eastAsia="Times New Roman" w:cs="Calibri"/>
                <w:noProof/>
                <w:highlight w:val="yellow"/>
              </w:rPr>
            </w:pPr>
            <w:r>
              <w:rPr>
                <w:noProof/>
              </w:rPr>
              <w:t xml:space="preserve">Új laptopok és táblagépek száma az iskola előtti nevelésben, az 1. és a 2. ciklusban, valamint a középfokú oktatásban, </w:t>
            </w:r>
          </w:p>
        </w:tc>
      </w:tr>
      <w:tr w:rsidR="00D0328C" w14:paraId="717DE77B" w14:textId="77777777">
        <w:trPr>
          <w:trHeight w:val="420"/>
        </w:trPr>
        <w:tc>
          <w:tcPr>
            <w:tcW w:w="1135" w:type="dxa"/>
            <w:shd w:val="clear" w:color="auto" w:fill="C4EFCE"/>
            <w:vAlign w:val="center"/>
            <w:hideMark/>
          </w:tcPr>
          <w:p w14:paraId="0BEC3FD8" w14:textId="77777777" w:rsidR="00D0328C" w:rsidRDefault="00D0328C" w:rsidP="00D0328C">
            <w:pPr>
              <w:pStyle w:val="P68B1DB1-Normal7"/>
              <w:spacing w:after="0" w:line="240" w:lineRule="auto"/>
              <w:jc w:val="center"/>
              <w:rPr>
                <w:rFonts w:eastAsia="Times New Roman" w:cs="Calibri"/>
                <w:noProof/>
              </w:rPr>
            </w:pPr>
            <w:r>
              <w:rPr>
                <w:noProof/>
              </w:rPr>
              <w:t>20.12</w:t>
            </w:r>
          </w:p>
        </w:tc>
        <w:tc>
          <w:tcPr>
            <w:tcW w:w="1276" w:type="dxa"/>
            <w:shd w:val="clear" w:color="auto" w:fill="C4EFCE"/>
            <w:noWrap/>
            <w:vAlign w:val="center"/>
            <w:hideMark/>
          </w:tcPr>
          <w:p w14:paraId="0159F519"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1C7953" w14:textId="77777777" w:rsidR="00D0328C" w:rsidRDefault="00D0328C" w:rsidP="00D0328C">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26675CAB" w14:textId="77777777" w:rsidR="00D0328C" w:rsidRDefault="00D0328C" w:rsidP="00D0328C">
            <w:pPr>
              <w:pStyle w:val="P68B1DB1-Normal8"/>
              <w:spacing w:after="0" w:line="240" w:lineRule="auto"/>
              <w:jc w:val="center"/>
              <w:rPr>
                <w:rFonts w:eastAsia="Times New Roman" w:cs="Calibri"/>
                <w:noProof/>
              </w:rPr>
            </w:pPr>
            <w:r>
              <w:rPr>
                <w:noProof/>
              </w:rPr>
              <w:t>Az ARA-ban részt vevő iskolák digitális berendezései és digitális oktatási erőforrásai</w:t>
            </w:r>
          </w:p>
        </w:tc>
        <w:tc>
          <w:tcPr>
            <w:tcW w:w="1275" w:type="dxa"/>
            <w:shd w:val="clear" w:color="auto" w:fill="C4EFCE"/>
            <w:noWrap/>
            <w:vAlign w:val="center"/>
            <w:hideMark/>
          </w:tcPr>
          <w:p w14:paraId="665AC058" w14:textId="77777777" w:rsidR="00D0328C" w:rsidRDefault="00D0328C" w:rsidP="00D0328C">
            <w:pPr>
              <w:pStyle w:val="P68B1DB1-Normal8"/>
              <w:spacing w:after="0" w:line="240" w:lineRule="auto"/>
              <w:jc w:val="center"/>
              <w:rPr>
                <w:rFonts w:eastAsia="Times New Roman" w:cs="Calibri"/>
                <w:noProof/>
              </w:rPr>
            </w:pPr>
            <w:r>
              <w:rPr>
                <w:noProof/>
              </w:rPr>
              <w:t>Digitális berendezések és digitális oktatási segédanyagok biztosítása az ARA iskolái számára </w:t>
            </w:r>
          </w:p>
        </w:tc>
        <w:tc>
          <w:tcPr>
            <w:tcW w:w="993" w:type="dxa"/>
            <w:shd w:val="clear" w:color="auto" w:fill="C4EFCE"/>
            <w:noWrap/>
            <w:vAlign w:val="center"/>
            <w:hideMark/>
          </w:tcPr>
          <w:p w14:paraId="4291E0F6"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17013E8"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73B8A39D"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567" w:type="dxa"/>
            <w:shd w:val="clear" w:color="auto" w:fill="C4EFCE"/>
            <w:noWrap/>
            <w:vAlign w:val="center"/>
            <w:hideMark/>
          </w:tcPr>
          <w:p w14:paraId="0D69B374" w14:textId="3F997520"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B160E88"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5FB45933" w14:textId="4CC70D9C" w:rsidR="00D0328C" w:rsidRDefault="00D0328C" w:rsidP="00D0328C">
            <w:pPr>
              <w:pStyle w:val="P68B1DB1-Normal8"/>
              <w:spacing w:after="0" w:line="240" w:lineRule="auto"/>
              <w:jc w:val="both"/>
              <w:rPr>
                <w:rFonts w:eastAsia="Times New Roman" w:cs="Calibri"/>
                <w:noProof/>
              </w:rPr>
            </w:pPr>
            <w:r>
              <w:rPr>
                <w:noProof/>
              </w:rPr>
              <w:t xml:space="preserve">A következő digitális berendezések kiosztásának befejezése az Azori-szigetek autonóm régió iskolái számára: legalább 1Gbps internetkapcsolat az iskolák 95%-ában, 1080 új interaktív képernyő, 100 új speciális laboratóriumi berendezés, 100 új 3D nyomtató, 150 új oktatási robot. Emellett valamennyi állami iskolának és négy magániskolának digitális kézikönyveket kell biztosítania valamennyi diák számára. 1500 kapcsolót és APS-t vásárolnak és szerelnek fel. </w:t>
            </w:r>
          </w:p>
          <w:p w14:paraId="08384363" w14:textId="6F1DA79E" w:rsidR="00D0328C" w:rsidRDefault="00D0328C" w:rsidP="00D0328C">
            <w:pPr>
              <w:spacing w:after="0" w:line="240" w:lineRule="auto"/>
              <w:jc w:val="both"/>
              <w:rPr>
                <w:rFonts w:ascii="Calibri" w:eastAsia="Times New Roman" w:hAnsi="Calibri" w:cs="Calibri"/>
                <w:noProof/>
                <w:sz w:val="16"/>
              </w:rPr>
            </w:pPr>
          </w:p>
        </w:tc>
      </w:tr>
      <w:tr w:rsidR="00D0328C" w14:paraId="10C91F97" w14:textId="77777777">
        <w:trPr>
          <w:trHeight w:val="640"/>
        </w:trPr>
        <w:tc>
          <w:tcPr>
            <w:tcW w:w="1135" w:type="dxa"/>
            <w:shd w:val="clear" w:color="auto" w:fill="C4EFCE"/>
            <w:vAlign w:val="center"/>
            <w:hideMark/>
          </w:tcPr>
          <w:p w14:paraId="7E9B20A9" w14:textId="77777777" w:rsidR="00D0328C" w:rsidRDefault="00D0328C" w:rsidP="00D0328C">
            <w:pPr>
              <w:pStyle w:val="P68B1DB1-Normal7"/>
              <w:spacing w:after="0" w:line="240" w:lineRule="auto"/>
              <w:jc w:val="center"/>
              <w:rPr>
                <w:rFonts w:eastAsia="Times New Roman" w:cs="Calibri"/>
                <w:noProof/>
              </w:rPr>
            </w:pPr>
            <w:r>
              <w:rPr>
                <w:noProof/>
              </w:rPr>
              <w:t>20.13</w:t>
            </w:r>
          </w:p>
        </w:tc>
        <w:tc>
          <w:tcPr>
            <w:tcW w:w="1276" w:type="dxa"/>
            <w:shd w:val="clear" w:color="auto" w:fill="C4EFCE"/>
            <w:noWrap/>
            <w:vAlign w:val="center"/>
            <w:hideMark/>
          </w:tcPr>
          <w:p w14:paraId="2040DD1F" w14:textId="77777777" w:rsidR="00D0328C" w:rsidRDefault="00D0328C" w:rsidP="00D0328C">
            <w:pPr>
              <w:pStyle w:val="P68B1DB1-Normal8"/>
              <w:spacing w:after="0" w:line="240" w:lineRule="auto"/>
              <w:jc w:val="center"/>
              <w:rPr>
                <w:rFonts w:eastAsia="Times New Roman" w:cs="Calibri"/>
                <w:noProof/>
              </w:rPr>
            </w:pPr>
            <w:r>
              <w:rPr>
                <w:noProof/>
              </w:rPr>
              <w:t>TD-C20i02-RAA</w:t>
            </w:r>
          </w:p>
        </w:tc>
        <w:tc>
          <w:tcPr>
            <w:tcW w:w="1134" w:type="dxa"/>
            <w:shd w:val="clear" w:color="auto" w:fill="C4EFCE"/>
            <w:noWrap/>
            <w:vAlign w:val="center"/>
            <w:hideMark/>
          </w:tcPr>
          <w:p w14:paraId="736FAD20"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518DAD" w14:textId="77777777" w:rsidR="00D0328C" w:rsidRDefault="00D0328C" w:rsidP="00D0328C">
            <w:pPr>
              <w:pStyle w:val="P68B1DB1-Normal8"/>
              <w:spacing w:after="0" w:line="240" w:lineRule="auto"/>
              <w:jc w:val="center"/>
              <w:rPr>
                <w:rFonts w:eastAsia="Times New Roman" w:cs="Calibri"/>
                <w:noProof/>
              </w:rPr>
            </w:pPr>
            <w:r>
              <w:rPr>
                <w:noProof/>
              </w:rPr>
              <w:t>Tömeges nyílt online tanfolyamok tanárok és szülők számára az ARA-ban</w:t>
            </w:r>
          </w:p>
        </w:tc>
        <w:tc>
          <w:tcPr>
            <w:tcW w:w="1275" w:type="dxa"/>
            <w:shd w:val="clear" w:color="auto" w:fill="C4EFCE"/>
            <w:noWrap/>
            <w:vAlign w:val="center"/>
            <w:hideMark/>
          </w:tcPr>
          <w:p w14:paraId="39B4F2CD"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DD36ADA" w14:textId="77777777" w:rsidR="00D0328C" w:rsidRDefault="00D0328C" w:rsidP="00D0328C">
            <w:pPr>
              <w:pStyle w:val="P68B1DB1-Normal8"/>
              <w:spacing w:after="0" w:line="240" w:lineRule="auto"/>
              <w:jc w:val="center"/>
              <w:rPr>
                <w:rFonts w:eastAsia="Times New Roman" w:cs="Calibri"/>
                <w:noProof/>
              </w:rPr>
            </w:pPr>
            <w:r>
              <w:rPr>
                <w:noProof/>
              </w:rPr>
              <w:t> Szám</w:t>
            </w:r>
          </w:p>
        </w:tc>
        <w:tc>
          <w:tcPr>
            <w:tcW w:w="992" w:type="dxa"/>
            <w:shd w:val="clear" w:color="auto" w:fill="C4EFCE"/>
            <w:noWrap/>
            <w:vAlign w:val="center"/>
            <w:hideMark/>
          </w:tcPr>
          <w:p w14:paraId="62B718DE" w14:textId="77777777" w:rsidR="00D0328C" w:rsidRDefault="00D0328C" w:rsidP="00D0328C">
            <w:pPr>
              <w:pStyle w:val="P68B1DB1-Normal8"/>
              <w:spacing w:after="0" w:line="240" w:lineRule="auto"/>
              <w:jc w:val="center"/>
              <w:rPr>
                <w:rFonts w:eastAsia="Times New Roman" w:cs="Calibri"/>
                <w:noProof/>
              </w:rPr>
            </w:pPr>
            <w:r>
              <w:rPr>
                <w:noProof/>
              </w:rPr>
              <w:t>4 </w:t>
            </w:r>
          </w:p>
        </w:tc>
        <w:tc>
          <w:tcPr>
            <w:tcW w:w="992" w:type="dxa"/>
            <w:shd w:val="clear" w:color="auto" w:fill="C4EFCE"/>
            <w:noWrap/>
            <w:vAlign w:val="center"/>
            <w:hideMark/>
          </w:tcPr>
          <w:p w14:paraId="2541D73D" w14:textId="77777777" w:rsidR="00D0328C" w:rsidRDefault="00D0328C" w:rsidP="00D0328C">
            <w:pPr>
              <w:pStyle w:val="P68B1DB1-Normal8"/>
              <w:spacing w:after="0" w:line="240" w:lineRule="auto"/>
              <w:jc w:val="center"/>
              <w:rPr>
                <w:rFonts w:eastAsia="Times New Roman" w:cs="Calibri"/>
                <w:noProof/>
              </w:rPr>
            </w:pPr>
            <w:r>
              <w:rPr>
                <w:noProof/>
              </w:rPr>
              <w:t>24 </w:t>
            </w:r>
          </w:p>
        </w:tc>
        <w:tc>
          <w:tcPr>
            <w:tcW w:w="567" w:type="dxa"/>
            <w:shd w:val="clear" w:color="auto" w:fill="C4EFCE"/>
            <w:noWrap/>
            <w:vAlign w:val="center"/>
            <w:hideMark/>
          </w:tcPr>
          <w:p w14:paraId="69EB09C9" w14:textId="0B0A951E"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8E360EC"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460A3612" w14:textId="32C24508" w:rsidR="00D0328C" w:rsidRDefault="00D0328C" w:rsidP="00D0328C">
            <w:pPr>
              <w:pStyle w:val="P68B1DB1-Normal8"/>
              <w:spacing w:after="0" w:line="240" w:lineRule="auto"/>
              <w:jc w:val="both"/>
              <w:rPr>
                <w:rFonts w:eastAsia="Times New Roman" w:cs="Calibri"/>
                <w:noProof/>
              </w:rPr>
            </w:pPr>
            <w:r>
              <w:rPr>
                <w:noProof/>
              </w:rPr>
              <w:t>A tantermi oktatáshoz és a távoktatáshoz szükséges digitális készségek fejlesztésének előmozdítása érdekében létrehozott tömeges nyílt online tanfolyamok száma, beleértve az oktatóanyagok és a digitális kompetenciák beszerzési portáljának biztosítását is. A virtuális szabadegyetemek online elérhetők és ingyenesen hozzáférhetők a tanárok és a diákok szülei számára.</w:t>
            </w:r>
          </w:p>
        </w:tc>
      </w:tr>
      <w:tr w:rsidR="00D0328C" w14:paraId="1D223056" w14:textId="77777777">
        <w:trPr>
          <w:trHeight w:val="430"/>
        </w:trPr>
        <w:tc>
          <w:tcPr>
            <w:tcW w:w="1135" w:type="dxa"/>
            <w:shd w:val="clear" w:color="auto" w:fill="C4EFCE"/>
            <w:vAlign w:val="center"/>
            <w:hideMark/>
          </w:tcPr>
          <w:p w14:paraId="0ECDAF89" w14:textId="77777777" w:rsidR="00D0328C" w:rsidRDefault="00D0328C" w:rsidP="00D0328C">
            <w:pPr>
              <w:pStyle w:val="P68B1DB1-Normal7"/>
              <w:spacing w:after="0" w:line="240" w:lineRule="auto"/>
              <w:jc w:val="center"/>
              <w:rPr>
                <w:rFonts w:eastAsia="Times New Roman" w:cs="Calibri"/>
                <w:noProof/>
              </w:rPr>
            </w:pPr>
            <w:r>
              <w:rPr>
                <w:noProof/>
              </w:rPr>
              <w:t>20.14</w:t>
            </w:r>
          </w:p>
        </w:tc>
        <w:tc>
          <w:tcPr>
            <w:tcW w:w="1276" w:type="dxa"/>
            <w:shd w:val="clear" w:color="auto" w:fill="C4EFCE"/>
            <w:noWrap/>
            <w:vAlign w:val="center"/>
            <w:hideMark/>
          </w:tcPr>
          <w:p w14:paraId="03D3DFC8"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23CBA4B"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1EC3C9C2" w14:textId="77777777" w:rsidR="00D0328C" w:rsidRDefault="00D0328C" w:rsidP="00D0328C">
            <w:pPr>
              <w:pStyle w:val="P68B1DB1-Normal8"/>
              <w:spacing w:after="0" w:line="240" w:lineRule="auto"/>
              <w:jc w:val="center"/>
              <w:rPr>
                <w:rFonts w:eastAsia="Times New Roman" w:cs="Calibri"/>
                <w:noProof/>
              </w:rPr>
            </w:pPr>
            <w:r>
              <w:rPr>
                <w:noProof/>
              </w:rPr>
              <w:t>Digitális kézikönyvek a 2. és 3. ciklusban részt vevő tanulók és a középiskolások számára</w:t>
            </w:r>
          </w:p>
        </w:tc>
        <w:tc>
          <w:tcPr>
            <w:tcW w:w="1275" w:type="dxa"/>
            <w:shd w:val="clear" w:color="auto" w:fill="C4EFCE"/>
            <w:noWrap/>
            <w:vAlign w:val="center"/>
            <w:hideMark/>
          </w:tcPr>
          <w:p w14:paraId="581FCA5A"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56A2C559"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D79BB54"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021450BF" w14:textId="77777777" w:rsidR="00D0328C" w:rsidRDefault="00D0328C" w:rsidP="00D0328C">
            <w:pPr>
              <w:pStyle w:val="P68B1DB1-Normal8"/>
              <w:spacing w:after="0" w:line="240" w:lineRule="auto"/>
              <w:jc w:val="center"/>
              <w:rPr>
                <w:rFonts w:eastAsia="Times New Roman" w:cs="Calibri"/>
                <w:noProof/>
              </w:rPr>
            </w:pPr>
            <w:r>
              <w:rPr>
                <w:noProof/>
              </w:rPr>
              <w:t>5 120</w:t>
            </w:r>
          </w:p>
        </w:tc>
        <w:tc>
          <w:tcPr>
            <w:tcW w:w="567" w:type="dxa"/>
            <w:shd w:val="clear" w:color="auto" w:fill="C4EFCE"/>
            <w:noWrap/>
            <w:vAlign w:val="center"/>
            <w:hideMark/>
          </w:tcPr>
          <w:p w14:paraId="606A70F3" w14:textId="6D884856"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6E7BF1A5" w14:textId="77777777" w:rsidR="00D0328C" w:rsidRDefault="00D0328C" w:rsidP="00D0328C">
            <w:pPr>
              <w:pStyle w:val="P68B1DB1-Normal8"/>
              <w:spacing w:after="0" w:line="240" w:lineRule="auto"/>
              <w:jc w:val="center"/>
              <w:rPr>
                <w:rFonts w:eastAsia="Times New Roman" w:cs="Calibri"/>
                <w:noProof/>
              </w:rPr>
            </w:pPr>
            <w:r>
              <w:rPr>
                <w:noProof/>
              </w:rPr>
              <w:t>2022</w:t>
            </w:r>
          </w:p>
        </w:tc>
        <w:tc>
          <w:tcPr>
            <w:tcW w:w="3969" w:type="dxa"/>
            <w:shd w:val="clear" w:color="auto" w:fill="C4EFCE"/>
            <w:vAlign w:val="center"/>
            <w:hideMark/>
          </w:tcPr>
          <w:p w14:paraId="23F22FD8" w14:textId="77777777" w:rsidR="00D0328C" w:rsidRDefault="00D0328C" w:rsidP="00D0328C">
            <w:pPr>
              <w:pStyle w:val="P68B1DB1-Normal8"/>
              <w:spacing w:after="0" w:line="240" w:lineRule="auto"/>
              <w:jc w:val="both"/>
              <w:rPr>
                <w:rFonts w:eastAsia="Times New Roman" w:cs="Calibri"/>
                <w:noProof/>
              </w:rPr>
            </w:pPr>
            <w:r>
              <w:rPr>
                <w:noProof/>
              </w:rPr>
              <w:t>Az alap- és középfokú oktatás második és harmadik ciklusában részt vevő azon tanulók száma, akik a tanév során hozzáfértek az ARM digitális kézikönyvkészletéhez és használták azt.</w:t>
            </w:r>
          </w:p>
        </w:tc>
      </w:tr>
      <w:tr w:rsidR="00D0328C" w14:paraId="1D717255" w14:textId="77777777">
        <w:trPr>
          <w:trHeight w:val="430"/>
        </w:trPr>
        <w:tc>
          <w:tcPr>
            <w:tcW w:w="1135" w:type="dxa"/>
            <w:shd w:val="clear" w:color="auto" w:fill="C4EFCE"/>
            <w:vAlign w:val="center"/>
            <w:hideMark/>
          </w:tcPr>
          <w:p w14:paraId="43A515EE" w14:textId="77777777" w:rsidR="00D0328C" w:rsidRDefault="00D0328C" w:rsidP="00D0328C">
            <w:pPr>
              <w:pStyle w:val="P68B1DB1-Normal7"/>
              <w:spacing w:after="0" w:line="240" w:lineRule="auto"/>
              <w:jc w:val="center"/>
              <w:rPr>
                <w:rFonts w:eastAsia="Times New Roman" w:cs="Calibri"/>
                <w:noProof/>
              </w:rPr>
            </w:pPr>
            <w:r>
              <w:rPr>
                <w:noProof/>
              </w:rPr>
              <w:t>20.15</w:t>
            </w:r>
          </w:p>
        </w:tc>
        <w:tc>
          <w:tcPr>
            <w:tcW w:w="1276" w:type="dxa"/>
            <w:shd w:val="clear" w:color="auto" w:fill="C4EFCE"/>
            <w:noWrap/>
            <w:vAlign w:val="center"/>
            <w:hideMark/>
          </w:tcPr>
          <w:p w14:paraId="2F471844"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557AA325"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CD1B65B" w14:textId="77777777" w:rsidR="00D0328C" w:rsidRDefault="00D0328C" w:rsidP="00D0328C">
            <w:pPr>
              <w:pStyle w:val="P68B1DB1-Normal8"/>
              <w:spacing w:after="0" w:line="240" w:lineRule="auto"/>
              <w:jc w:val="center"/>
              <w:rPr>
                <w:rFonts w:eastAsia="Times New Roman" w:cs="Calibri"/>
                <w:noProof/>
              </w:rPr>
            </w:pPr>
            <w:r>
              <w:rPr>
                <w:noProof/>
              </w:rPr>
              <w:t>Iskolai kapcsolat az ARM-ben</w:t>
            </w:r>
          </w:p>
        </w:tc>
        <w:tc>
          <w:tcPr>
            <w:tcW w:w="1275" w:type="dxa"/>
            <w:shd w:val="clear" w:color="auto" w:fill="C4EFCE"/>
            <w:noWrap/>
            <w:vAlign w:val="center"/>
            <w:hideMark/>
          </w:tcPr>
          <w:p w14:paraId="744D9AD2"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60395B5B" w14:textId="77777777" w:rsidR="00D0328C" w:rsidRDefault="00D0328C" w:rsidP="00D0328C">
            <w:pPr>
              <w:pStyle w:val="P68B1DB1-Normal8"/>
              <w:spacing w:after="0" w:line="240" w:lineRule="auto"/>
              <w:jc w:val="center"/>
              <w:rPr>
                <w:rFonts w:eastAsia="Times New Roman" w:cs="Calibri"/>
                <w:noProof/>
              </w:rPr>
            </w:pPr>
            <w:r>
              <w:rPr>
                <w:noProof/>
              </w:rPr>
              <w:t>%</w:t>
            </w:r>
          </w:p>
        </w:tc>
        <w:tc>
          <w:tcPr>
            <w:tcW w:w="992" w:type="dxa"/>
            <w:shd w:val="clear" w:color="auto" w:fill="C4EFCE"/>
            <w:noWrap/>
            <w:vAlign w:val="center"/>
            <w:hideMark/>
          </w:tcPr>
          <w:p w14:paraId="13728FA6"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2CFD81C3" w14:textId="53F859A1" w:rsidR="00D0328C" w:rsidRDefault="00D0328C" w:rsidP="00D0328C">
            <w:pPr>
              <w:pStyle w:val="P68B1DB1-Normal8"/>
              <w:spacing w:after="0" w:line="240" w:lineRule="auto"/>
              <w:jc w:val="center"/>
              <w:rPr>
                <w:rFonts w:eastAsia="Times New Roman" w:cs="Calibri"/>
                <w:noProof/>
              </w:rPr>
            </w:pPr>
            <w:r>
              <w:rPr>
                <w:noProof/>
              </w:rPr>
              <w:t>95</w:t>
            </w:r>
          </w:p>
        </w:tc>
        <w:tc>
          <w:tcPr>
            <w:tcW w:w="567" w:type="dxa"/>
            <w:shd w:val="clear" w:color="auto" w:fill="C4EFCE"/>
            <w:noWrap/>
            <w:vAlign w:val="center"/>
            <w:hideMark/>
          </w:tcPr>
          <w:p w14:paraId="1467E0FF" w14:textId="3E203484"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702F513A" w14:textId="77777777" w:rsidR="00D0328C" w:rsidRDefault="00D0328C" w:rsidP="00D0328C">
            <w:pPr>
              <w:pStyle w:val="P68B1DB1-Normal8"/>
              <w:spacing w:after="0" w:line="240" w:lineRule="auto"/>
              <w:jc w:val="center"/>
              <w:rPr>
                <w:rFonts w:eastAsia="Times New Roman" w:cs="Calibri"/>
                <w:noProof/>
              </w:rPr>
            </w:pPr>
            <w:r>
              <w:rPr>
                <w:noProof/>
              </w:rPr>
              <w:t>2024</w:t>
            </w:r>
          </w:p>
        </w:tc>
        <w:tc>
          <w:tcPr>
            <w:tcW w:w="3969" w:type="dxa"/>
            <w:shd w:val="clear" w:color="auto" w:fill="C4EFCE"/>
            <w:vAlign w:val="center"/>
            <w:hideMark/>
          </w:tcPr>
          <w:p w14:paraId="22DA9518" w14:textId="77777777" w:rsidR="00D0328C" w:rsidRDefault="00D0328C" w:rsidP="00D0328C">
            <w:pPr>
              <w:pStyle w:val="P68B1DB1-Normal8"/>
              <w:spacing w:after="0" w:line="240" w:lineRule="auto"/>
              <w:jc w:val="both"/>
              <w:rPr>
                <w:rFonts w:eastAsia="Times New Roman" w:cs="Calibri"/>
                <w:noProof/>
              </w:rPr>
            </w:pPr>
            <w:r>
              <w:rPr>
                <w:noProof/>
              </w:rPr>
              <w:t xml:space="preserve">Az ARM-en belül azon általános és középiskolák százalékos aránya, amelyek az ARM strukturált wifi-hálózathoz kapcsolódnak, és iskolánként legalább 1 Gbps internetkapcsolattal rendelkeznek. </w:t>
            </w:r>
          </w:p>
          <w:p w14:paraId="3A29FC8E" w14:textId="4CC450DC" w:rsidR="00D0328C" w:rsidRDefault="00D0328C" w:rsidP="00D0328C">
            <w:pPr>
              <w:pStyle w:val="P68B1DB1-Normal8"/>
              <w:spacing w:after="0" w:line="240" w:lineRule="auto"/>
              <w:jc w:val="both"/>
              <w:rPr>
                <w:rFonts w:eastAsia="Times New Roman" w:cs="Calibri"/>
                <w:noProof/>
              </w:rPr>
            </w:pPr>
            <w:r>
              <w:rPr>
                <w:noProof/>
              </w:rPr>
              <w:t xml:space="preserve">Emellett tíz rendes magániskolát, valamint magán- és állami szakiskolát kell csatlakoztatni az ARM strukturált wifi-hálózathoz, iskolánként legalább 1 Gbps internetkapcsolattal. </w:t>
            </w:r>
          </w:p>
          <w:p w14:paraId="624C1FEB" w14:textId="77CAAEB2" w:rsidR="00D0328C" w:rsidRDefault="00D0328C" w:rsidP="00D0328C">
            <w:pPr>
              <w:spacing w:after="0" w:line="240" w:lineRule="auto"/>
              <w:jc w:val="both"/>
              <w:rPr>
                <w:rFonts w:ascii="Calibri" w:eastAsia="Times New Roman" w:hAnsi="Calibri" w:cs="Calibri"/>
                <w:noProof/>
                <w:sz w:val="16"/>
              </w:rPr>
            </w:pPr>
          </w:p>
        </w:tc>
      </w:tr>
      <w:tr w:rsidR="00D0328C" w14:paraId="1ED02672" w14:textId="77777777">
        <w:trPr>
          <w:trHeight w:val="430"/>
        </w:trPr>
        <w:tc>
          <w:tcPr>
            <w:tcW w:w="1135" w:type="dxa"/>
            <w:shd w:val="clear" w:color="auto" w:fill="C4EFCE"/>
            <w:vAlign w:val="center"/>
            <w:hideMark/>
          </w:tcPr>
          <w:p w14:paraId="243BF94D" w14:textId="77777777" w:rsidR="00D0328C" w:rsidRDefault="00D0328C" w:rsidP="00D0328C">
            <w:pPr>
              <w:pStyle w:val="P68B1DB1-Normal7"/>
              <w:spacing w:after="0" w:line="240" w:lineRule="auto"/>
              <w:jc w:val="center"/>
              <w:rPr>
                <w:rFonts w:eastAsia="Times New Roman" w:cs="Calibri"/>
                <w:noProof/>
              </w:rPr>
            </w:pPr>
            <w:r>
              <w:rPr>
                <w:noProof/>
              </w:rPr>
              <w:t>20.16</w:t>
            </w:r>
          </w:p>
        </w:tc>
        <w:tc>
          <w:tcPr>
            <w:tcW w:w="1276" w:type="dxa"/>
            <w:shd w:val="clear" w:color="auto" w:fill="C4EFCE"/>
            <w:noWrap/>
            <w:vAlign w:val="center"/>
            <w:hideMark/>
          </w:tcPr>
          <w:p w14:paraId="2BD7D152"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1186022C"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5D0DFB1E" w14:textId="77777777" w:rsidR="00D0328C" w:rsidRDefault="00D0328C" w:rsidP="00D0328C">
            <w:pPr>
              <w:pStyle w:val="P68B1DB1-Normal8"/>
              <w:spacing w:after="0" w:line="240" w:lineRule="auto"/>
              <w:jc w:val="center"/>
              <w:rPr>
                <w:rFonts w:eastAsia="Times New Roman" w:cs="Calibri"/>
                <w:noProof/>
              </w:rPr>
            </w:pPr>
            <w:r>
              <w:rPr>
                <w:noProof/>
              </w:rPr>
              <w:t>Digitális kézikönyvek diákok számára a 2. és 3. ciklusban, középiskolás diákok számára az ARM-ben</w:t>
            </w:r>
          </w:p>
        </w:tc>
        <w:tc>
          <w:tcPr>
            <w:tcW w:w="1275" w:type="dxa"/>
            <w:shd w:val="clear" w:color="auto" w:fill="C4EFCE"/>
            <w:noWrap/>
            <w:vAlign w:val="center"/>
            <w:hideMark/>
          </w:tcPr>
          <w:p w14:paraId="7C67A362"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EF3DF9D"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5CD64AFF" w14:textId="77777777" w:rsidR="00D0328C" w:rsidRDefault="00D0328C" w:rsidP="00D0328C">
            <w:pPr>
              <w:pStyle w:val="P68B1DB1-Normal8"/>
              <w:spacing w:after="0" w:line="240" w:lineRule="auto"/>
              <w:jc w:val="center"/>
              <w:rPr>
                <w:rFonts w:eastAsia="Times New Roman" w:cs="Calibri"/>
                <w:noProof/>
              </w:rPr>
            </w:pPr>
            <w:r>
              <w:rPr>
                <w:noProof/>
              </w:rPr>
              <w:t> 5 120</w:t>
            </w:r>
          </w:p>
        </w:tc>
        <w:tc>
          <w:tcPr>
            <w:tcW w:w="992" w:type="dxa"/>
            <w:shd w:val="clear" w:color="auto" w:fill="C4EFCE"/>
            <w:noWrap/>
            <w:vAlign w:val="center"/>
            <w:hideMark/>
          </w:tcPr>
          <w:p w14:paraId="240804FC" w14:textId="0B620340" w:rsidR="00D0328C" w:rsidRDefault="00D0328C" w:rsidP="00D0328C">
            <w:pPr>
              <w:pStyle w:val="P68B1DB1-Normal8"/>
              <w:spacing w:after="0" w:line="240" w:lineRule="auto"/>
              <w:jc w:val="center"/>
              <w:rPr>
                <w:rFonts w:eastAsia="Times New Roman" w:cs="Calibri"/>
                <w:noProof/>
              </w:rPr>
            </w:pPr>
            <w:r>
              <w:rPr>
                <w:noProof/>
              </w:rPr>
              <w:t>15 910</w:t>
            </w:r>
          </w:p>
        </w:tc>
        <w:tc>
          <w:tcPr>
            <w:tcW w:w="567" w:type="dxa"/>
            <w:shd w:val="clear" w:color="auto" w:fill="C4EFCE"/>
            <w:noWrap/>
            <w:vAlign w:val="center"/>
            <w:hideMark/>
          </w:tcPr>
          <w:p w14:paraId="62B4040C" w14:textId="09DCD05C"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F0C2BA8"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00F3AA12" w14:textId="77777777" w:rsidR="00D0328C" w:rsidRDefault="00D0328C" w:rsidP="00D0328C">
            <w:pPr>
              <w:pStyle w:val="P68B1DB1-Normal8"/>
              <w:spacing w:after="0" w:line="240" w:lineRule="auto"/>
              <w:jc w:val="both"/>
              <w:rPr>
                <w:rFonts w:eastAsia="Times New Roman" w:cs="Calibri"/>
                <w:noProof/>
              </w:rPr>
            </w:pPr>
            <w:r>
              <w:rPr>
                <w:noProof/>
              </w:rPr>
              <w:t>Az alap- és középfokú oktatás második és harmadik ciklusában részt vevő azon tanulók száma, akik a tanév során hozzáfértek az ARM digitális kézikönyvkészletéhez és használták azt.</w:t>
            </w:r>
          </w:p>
        </w:tc>
      </w:tr>
      <w:tr w:rsidR="00D0328C" w14:paraId="7660D0EB" w14:textId="77777777">
        <w:trPr>
          <w:trHeight w:val="430"/>
        </w:trPr>
        <w:tc>
          <w:tcPr>
            <w:tcW w:w="1135" w:type="dxa"/>
            <w:shd w:val="clear" w:color="auto" w:fill="C4EFCE"/>
            <w:vAlign w:val="center"/>
            <w:hideMark/>
          </w:tcPr>
          <w:p w14:paraId="325F95D8" w14:textId="77777777" w:rsidR="00D0328C" w:rsidRDefault="00D0328C" w:rsidP="00D0328C">
            <w:pPr>
              <w:pStyle w:val="P68B1DB1-Normal7"/>
              <w:spacing w:after="0" w:line="240" w:lineRule="auto"/>
              <w:jc w:val="center"/>
              <w:rPr>
                <w:rFonts w:eastAsia="Times New Roman" w:cs="Calibri"/>
                <w:noProof/>
              </w:rPr>
            </w:pPr>
            <w:r>
              <w:rPr>
                <w:noProof/>
              </w:rPr>
              <w:t>20.17</w:t>
            </w:r>
          </w:p>
        </w:tc>
        <w:tc>
          <w:tcPr>
            <w:tcW w:w="1276" w:type="dxa"/>
            <w:shd w:val="clear" w:color="auto" w:fill="C4EFCE"/>
            <w:noWrap/>
            <w:vAlign w:val="center"/>
            <w:hideMark/>
          </w:tcPr>
          <w:p w14:paraId="180447D1"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7743CB91" w14:textId="77777777" w:rsidR="00D0328C" w:rsidRDefault="00D0328C" w:rsidP="00D0328C">
            <w:pPr>
              <w:pStyle w:val="P68B1DB1-Normal8"/>
              <w:spacing w:after="0" w:line="240" w:lineRule="auto"/>
              <w:jc w:val="center"/>
              <w:rPr>
                <w:rFonts w:eastAsia="Times New Roman" w:cs="Calibri"/>
                <w:noProof/>
              </w:rPr>
            </w:pPr>
            <w:r>
              <w:rPr>
                <w:noProof/>
              </w:rPr>
              <w:t>T</w:t>
            </w:r>
          </w:p>
        </w:tc>
        <w:tc>
          <w:tcPr>
            <w:tcW w:w="1701" w:type="dxa"/>
            <w:shd w:val="clear" w:color="auto" w:fill="C4EFCE"/>
            <w:noWrap/>
            <w:vAlign w:val="center"/>
            <w:hideMark/>
          </w:tcPr>
          <w:p w14:paraId="7EE5696E" w14:textId="74CF1BE8" w:rsidR="00D0328C" w:rsidRDefault="00D0328C" w:rsidP="00D0328C">
            <w:pPr>
              <w:pStyle w:val="P68B1DB1-Normal8"/>
              <w:spacing w:after="0" w:line="240" w:lineRule="auto"/>
              <w:jc w:val="center"/>
              <w:rPr>
                <w:rFonts w:eastAsia="Times New Roman" w:cs="Calibri"/>
                <w:noProof/>
              </w:rPr>
            </w:pPr>
            <w:r>
              <w:rPr>
                <w:noProof/>
              </w:rPr>
              <w:t>Tanárok és nem oktató személyzet képzése az ARM digitális kompetenciáiról</w:t>
            </w:r>
          </w:p>
        </w:tc>
        <w:tc>
          <w:tcPr>
            <w:tcW w:w="1275" w:type="dxa"/>
            <w:shd w:val="clear" w:color="auto" w:fill="C4EFCE"/>
            <w:noWrap/>
            <w:vAlign w:val="center"/>
            <w:hideMark/>
          </w:tcPr>
          <w:p w14:paraId="420A8AD6"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3" w:type="dxa"/>
            <w:shd w:val="clear" w:color="auto" w:fill="C4EFCE"/>
            <w:noWrap/>
            <w:vAlign w:val="center"/>
            <w:hideMark/>
          </w:tcPr>
          <w:p w14:paraId="297D008C" w14:textId="77777777" w:rsidR="00D0328C" w:rsidRDefault="00D0328C" w:rsidP="00D0328C">
            <w:pPr>
              <w:pStyle w:val="P68B1DB1-Normal8"/>
              <w:spacing w:after="0" w:line="240" w:lineRule="auto"/>
              <w:jc w:val="center"/>
              <w:rPr>
                <w:rFonts w:eastAsia="Times New Roman" w:cs="Calibri"/>
                <w:noProof/>
              </w:rPr>
            </w:pPr>
            <w:r>
              <w:rPr>
                <w:noProof/>
              </w:rPr>
              <w:t>Szám</w:t>
            </w:r>
          </w:p>
        </w:tc>
        <w:tc>
          <w:tcPr>
            <w:tcW w:w="992" w:type="dxa"/>
            <w:shd w:val="clear" w:color="auto" w:fill="C4EFCE"/>
            <w:noWrap/>
            <w:vAlign w:val="center"/>
            <w:hideMark/>
          </w:tcPr>
          <w:p w14:paraId="3B8AB54E" w14:textId="77777777" w:rsidR="00D0328C" w:rsidRDefault="00D0328C" w:rsidP="00D0328C">
            <w:pPr>
              <w:pStyle w:val="P68B1DB1-Normal8"/>
              <w:spacing w:after="0" w:line="240" w:lineRule="auto"/>
              <w:jc w:val="center"/>
              <w:rPr>
                <w:rFonts w:eastAsia="Times New Roman" w:cs="Calibri"/>
                <w:noProof/>
              </w:rPr>
            </w:pPr>
            <w:r>
              <w:rPr>
                <w:noProof/>
              </w:rPr>
              <w:t> 0</w:t>
            </w:r>
          </w:p>
        </w:tc>
        <w:tc>
          <w:tcPr>
            <w:tcW w:w="992" w:type="dxa"/>
            <w:shd w:val="clear" w:color="auto" w:fill="C4EFCE"/>
            <w:noWrap/>
            <w:vAlign w:val="center"/>
            <w:hideMark/>
          </w:tcPr>
          <w:p w14:paraId="535A3EE3" w14:textId="41629E58" w:rsidR="00D0328C" w:rsidRDefault="00D0328C" w:rsidP="00D0328C">
            <w:pPr>
              <w:pStyle w:val="P68B1DB1-Normal8"/>
              <w:spacing w:after="0" w:line="240" w:lineRule="auto"/>
              <w:jc w:val="center"/>
              <w:rPr>
                <w:rFonts w:eastAsia="Times New Roman" w:cs="Calibri"/>
                <w:noProof/>
              </w:rPr>
            </w:pPr>
            <w:r>
              <w:rPr>
                <w:noProof/>
              </w:rPr>
              <w:t>6 500</w:t>
            </w:r>
          </w:p>
        </w:tc>
        <w:tc>
          <w:tcPr>
            <w:tcW w:w="567" w:type="dxa"/>
            <w:shd w:val="clear" w:color="auto" w:fill="C4EFCE"/>
            <w:noWrap/>
            <w:vAlign w:val="center"/>
            <w:hideMark/>
          </w:tcPr>
          <w:p w14:paraId="482B643B" w14:textId="4FF7F60A"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43B0F623"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6DF7A39" w14:textId="4A0452C5" w:rsidR="00D0328C" w:rsidRDefault="00D0328C" w:rsidP="00D0328C">
            <w:pPr>
              <w:pStyle w:val="P68B1DB1-Normal8"/>
              <w:spacing w:after="0" w:line="240" w:lineRule="auto"/>
              <w:jc w:val="both"/>
              <w:rPr>
                <w:rFonts w:eastAsia="Times New Roman" w:cs="Calibri"/>
                <w:noProof/>
              </w:rPr>
            </w:pPr>
            <w:r>
              <w:rPr>
                <w:noProof/>
              </w:rPr>
              <w:t>A digitális és technológiai készségekkel kapcsolatos képzésben részt vevő tanárok és nem oktató személyzet száma az oktatás minden szintjéről (az iskola előtti neveléstől a középfokú oktatásig), akik részt vettek az ARM-en belüli digitális és technológiai készségekre vonatkozó képzésben</w:t>
            </w:r>
          </w:p>
        </w:tc>
      </w:tr>
      <w:tr w:rsidR="00D0328C" w14:paraId="55A3D1D0" w14:textId="77777777">
        <w:trPr>
          <w:trHeight w:val="1050"/>
        </w:trPr>
        <w:tc>
          <w:tcPr>
            <w:tcW w:w="1135" w:type="dxa"/>
            <w:shd w:val="clear" w:color="auto" w:fill="C4EFCE"/>
            <w:vAlign w:val="center"/>
            <w:hideMark/>
          </w:tcPr>
          <w:p w14:paraId="7B3BBD15" w14:textId="77777777" w:rsidR="00D0328C" w:rsidRDefault="00D0328C" w:rsidP="00D0328C">
            <w:pPr>
              <w:pStyle w:val="P68B1DB1-Normal7"/>
              <w:spacing w:after="0" w:line="240" w:lineRule="auto"/>
              <w:jc w:val="center"/>
              <w:rPr>
                <w:rFonts w:eastAsia="Times New Roman" w:cs="Calibri"/>
                <w:noProof/>
              </w:rPr>
            </w:pPr>
            <w:r>
              <w:rPr>
                <w:noProof/>
              </w:rPr>
              <w:t>20.18</w:t>
            </w:r>
          </w:p>
        </w:tc>
        <w:tc>
          <w:tcPr>
            <w:tcW w:w="1276" w:type="dxa"/>
            <w:shd w:val="clear" w:color="auto" w:fill="C4EFCE"/>
            <w:noWrap/>
            <w:vAlign w:val="center"/>
            <w:hideMark/>
          </w:tcPr>
          <w:p w14:paraId="3DD1B641" w14:textId="77777777" w:rsidR="00D0328C" w:rsidRDefault="00D0328C" w:rsidP="00D0328C">
            <w:pPr>
              <w:pStyle w:val="P68B1DB1-Normal8"/>
              <w:spacing w:after="0" w:line="240" w:lineRule="auto"/>
              <w:jc w:val="center"/>
              <w:rPr>
                <w:rFonts w:eastAsia="Times New Roman" w:cs="Calibri"/>
                <w:noProof/>
              </w:rPr>
            </w:pPr>
            <w:r>
              <w:rPr>
                <w:noProof/>
              </w:rPr>
              <w:t>TD-C20i03-RAM</w:t>
            </w:r>
          </w:p>
        </w:tc>
        <w:tc>
          <w:tcPr>
            <w:tcW w:w="1134" w:type="dxa"/>
            <w:shd w:val="clear" w:color="auto" w:fill="C4EFCE"/>
            <w:noWrap/>
            <w:vAlign w:val="center"/>
            <w:hideMark/>
          </w:tcPr>
          <w:p w14:paraId="3149BD8C" w14:textId="77777777" w:rsidR="00D0328C" w:rsidRDefault="00D0328C" w:rsidP="00D0328C">
            <w:pPr>
              <w:pStyle w:val="P68B1DB1-Normal8"/>
              <w:spacing w:after="0" w:line="240" w:lineRule="auto"/>
              <w:jc w:val="center"/>
              <w:rPr>
                <w:rFonts w:eastAsia="Times New Roman" w:cs="Calibri"/>
                <w:noProof/>
              </w:rPr>
            </w:pPr>
            <w:r>
              <w:rPr>
                <w:noProof/>
              </w:rPr>
              <w:t>M</w:t>
            </w:r>
          </w:p>
        </w:tc>
        <w:tc>
          <w:tcPr>
            <w:tcW w:w="1701" w:type="dxa"/>
            <w:shd w:val="clear" w:color="auto" w:fill="C4EFCE"/>
            <w:noWrap/>
            <w:vAlign w:val="center"/>
            <w:hideMark/>
          </w:tcPr>
          <w:p w14:paraId="74F966D8" w14:textId="77777777" w:rsidR="00D0328C" w:rsidRDefault="00D0328C" w:rsidP="00D0328C">
            <w:pPr>
              <w:pStyle w:val="P68B1DB1-Normal8"/>
              <w:spacing w:after="0" w:line="240" w:lineRule="auto"/>
              <w:jc w:val="center"/>
              <w:rPr>
                <w:rFonts w:eastAsia="Times New Roman" w:cs="Calibri"/>
                <w:noProof/>
              </w:rPr>
            </w:pPr>
            <w:r>
              <w:rPr>
                <w:noProof/>
              </w:rPr>
              <w:t>Tudományos és technológiai berendezések szállítása az ARM iskolái számára</w:t>
            </w:r>
          </w:p>
        </w:tc>
        <w:tc>
          <w:tcPr>
            <w:tcW w:w="1275" w:type="dxa"/>
            <w:shd w:val="clear" w:color="auto" w:fill="C4EFCE"/>
            <w:noWrap/>
            <w:vAlign w:val="center"/>
            <w:hideMark/>
          </w:tcPr>
          <w:p w14:paraId="1EEB5525" w14:textId="77777777" w:rsidR="00D0328C" w:rsidRDefault="00D0328C" w:rsidP="00D0328C">
            <w:pPr>
              <w:pStyle w:val="P68B1DB1-Normal8"/>
              <w:spacing w:after="0" w:line="240" w:lineRule="auto"/>
              <w:jc w:val="center"/>
              <w:rPr>
                <w:rFonts w:eastAsia="Times New Roman" w:cs="Calibri"/>
                <w:noProof/>
              </w:rPr>
            </w:pPr>
            <w:r>
              <w:rPr>
                <w:noProof/>
              </w:rPr>
              <w:t>Tudományos és technológiai berendezések szállítása az ARM iskolái számára</w:t>
            </w:r>
          </w:p>
        </w:tc>
        <w:tc>
          <w:tcPr>
            <w:tcW w:w="993" w:type="dxa"/>
            <w:shd w:val="clear" w:color="auto" w:fill="C4EFCE"/>
            <w:noWrap/>
            <w:vAlign w:val="center"/>
            <w:hideMark/>
          </w:tcPr>
          <w:p w14:paraId="452E3CD7" w14:textId="74CDE77A" w:rsidR="00D0328C" w:rsidRDefault="00D0328C" w:rsidP="00D0328C">
            <w:pPr>
              <w:spacing w:after="0" w:line="240" w:lineRule="auto"/>
              <w:jc w:val="center"/>
              <w:rPr>
                <w:rFonts w:ascii="Calibri" w:eastAsia="Times New Roman" w:hAnsi="Calibri" w:cs="Calibri"/>
                <w:noProof/>
                <w:sz w:val="16"/>
              </w:rPr>
            </w:pPr>
          </w:p>
        </w:tc>
        <w:tc>
          <w:tcPr>
            <w:tcW w:w="992" w:type="dxa"/>
            <w:shd w:val="clear" w:color="auto" w:fill="C4EFCE"/>
            <w:noWrap/>
            <w:vAlign w:val="center"/>
            <w:hideMark/>
          </w:tcPr>
          <w:p w14:paraId="19E0DA20" w14:textId="77777777" w:rsidR="00D0328C" w:rsidRDefault="00D0328C" w:rsidP="00D0328C">
            <w:pPr>
              <w:pStyle w:val="P68B1DB1-Normal8"/>
              <w:spacing w:after="0" w:line="240" w:lineRule="auto"/>
              <w:jc w:val="center"/>
              <w:rPr>
                <w:rFonts w:eastAsia="Times New Roman" w:cs="Calibri"/>
                <w:noProof/>
              </w:rPr>
            </w:pPr>
            <w:r>
              <w:rPr>
                <w:noProof/>
              </w:rPr>
              <w:t> </w:t>
            </w:r>
          </w:p>
        </w:tc>
        <w:tc>
          <w:tcPr>
            <w:tcW w:w="992" w:type="dxa"/>
            <w:shd w:val="clear" w:color="auto" w:fill="C4EFCE"/>
            <w:noWrap/>
            <w:vAlign w:val="center"/>
            <w:hideMark/>
          </w:tcPr>
          <w:p w14:paraId="621CC52E" w14:textId="797C68A8" w:rsidR="00D0328C" w:rsidRDefault="00D0328C" w:rsidP="00D0328C">
            <w:pPr>
              <w:spacing w:after="0" w:line="240" w:lineRule="auto"/>
              <w:jc w:val="center"/>
              <w:rPr>
                <w:rFonts w:ascii="Calibri" w:eastAsia="Times New Roman" w:hAnsi="Calibri" w:cs="Calibri"/>
                <w:noProof/>
                <w:sz w:val="16"/>
              </w:rPr>
            </w:pPr>
          </w:p>
        </w:tc>
        <w:tc>
          <w:tcPr>
            <w:tcW w:w="567" w:type="dxa"/>
            <w:shd w:val="clear" w:color="auto" w:fill="C4EFCE"/>
            <w:noWrap/>
            <w:vAlign w:val="center"/>
            <w:hideMark/>
          </w:tcPr>
          <w:p w14:paraId="04C56176" w14:textId="432F4121" w:rsidR="00D0328C" w:rsidRDefault="00D0328C" w:rsidP="00D0328C">
            <w:pPr>
              <w:pStyle w:val="P68B1DB1-Normal8"/>
              <w:spacing w:after="0" w:line="240" w:lineRule="auto"/>
              <w:jc w:val="center"/>
              <w:rPr>
                <w:rFonts w:eastAsia="Times New Roman" w:cs="Calibri"/>
                <w:noProof/>
              </w:rPr>
            </w:pPr>
            <w:r>
              <w:rPr>
                <w:noProof/>
              </w:rPr>
              <w:t>4. NEGYEDÉV</w:t>
            </w:r>
          </w:p>
        </w:tc>
        <w:tc>
          <w:tcPr>
            <w:tcW w:w="708" w:type="dxa"/>
            <w:shd w:val="clear" w:color="auto" w:fill="C4EFCE"/>
            <w:noWrap/>
            <w:vAlign w:val="center"/>
            <w:hideMark/>
          </w:tcPr>
          <w:p w14:paraId="2338A6FD" w14:textId="77777777" w:rsidR="00D0328C" w:rsidRDefault="00D0328C" w:rsidP="00D0328C">
            <w:pPr>
              <w:pStyle w:val="P68B1DB1-Normal8"/>
              <w:spacing w:after="0" w:line="240" w:lineRule="auto"/>
              <w:jc w:val="center"/>
              <w:rPr>
                <w:rFonts w:eastAsia="Times New Roman" w:cs="Calibri"/>
                <w:noProof/>
              </w:rPr>
            </w:pPr>
            <w:r>
              <w:rPr>
                <w:noProof/>
              </w:rPr>
              <w:t>2025</w:t>
            </w:r>
          </w:p>
        </w:tc>
        <w:tc>
          <w:tcPr>
            <w:tcW w:w="3969" w:type="dxa"/>
            <w:shd w:val="clear" w:color="auto" w:fill="C4EFCE"/>
            <w:vAlign w:val="center"/>
            <w:hideMark/>
          </w:tcPr>
          <w:p w14:paraId="77272357" w14:textId="01FD295F" w:rsidR="00D0328C" w:rsidRDefault="00D0328C" w:rsidP="00D0328C">
            <w:pPr>
              <w:pStyle w:val="P68B1DB1-Normal8"/>
              <w:spacing w:after="0" w:line="240" w:lineRule="auto"/>
              <w:rPr>
                <w:rFonts w:eastAsia="Times New Roman" w:cs="Calibri"/>
                <w:noProof/>
              </w:rPr>
            </w:pPr>
            <w:r>
              <w:rPr>
                <w:noProof/>
              </w:rPr>
              <w:t>A RAM iskolái a következő tudományos és technológiai berendezések robotikai kísérleti készleteinek kiosztásában részesülnek (129 iskolaterem/oktatási terem az oktatás minden szintjén: elő, 1</w:t>
            </w:r>
            <w:r>
              <w:rPr>
                <w:noProof/>
                <w:vertAlign w:val="superscript"/>
              </w:rPr>
              <w:t>st</w:t>
            </w:r>
            <w:r>
              <w:rPr>
                <w:noProof/>
              </w:rPr>
              <w:t xml:space="preserve"> ciklus,</w:t>
            </w:r>
            <w:r>
              <w:rPr>
                <w:noProof/>
                <w:vertAlign w:val="superscript"/>
              </w:rPr>
              <w:t>2.</w:t>
            </w:r>
            <w:r>
              <w:rPr>
                <w:noProof/>
              </w:rPr>
              <w:t xml:space="preserve"> ciklus, 3.</w:t>
            </w:r>
            <w:r>
              <w:rPr>
                <w:noProof/>
                <w:vertAlign w:val="superscript"/>
              </w:rPr>
              <w:t>ciklus</w:t>
            </w:r>
            <w:r>
              <w:rPr>
                <w:noProof/>
              </w:rPr>
              <w:t xml:space="preserve"> és középfokú oktatás); kísérleti tudományos készletek (129 tanterem/oktatási terem); Gőzkészletek (129 iskolaterem/oktatási helyiség számára); biológia, fizika és kémiakészletek (35 iskolaterem/oktatási terem); Polivizuális/multimédia-készletek (40 iskolaterem/oktatási terem), 100 új számítástechnikai tudományos berendezés (94 iskolaterem/oktatási terem az 1. ciklusban); </w:t>
            </w:r>
          </w:p>
          <w:p w14:paraId="4F6AF773" w14:textId="6828D80F" w:rsidR="00D0328C" w:rsidRDefault="00D0328C" w:rsidP="00D0328C">
            <w:pPr>
              <w:pStyle w:val="P68B1DB1-Normal8"/>
              <w:spacing w:after="0" w:line="240" w:lineRule="auto"/>
              <w:rPr>
                <w:rFonts w:eastAsia="Times New Roman" w:cs="Calibri"/>
                <w:noProof/>
              </w:rPr>
            </w:pPr>
            <w:r>
              <w:rPr>
                <w:noProof/>
              </w:rPr>
              <w:t>Emellett 91 innovatív tanulási környezetet kell létrehozni annak érdekében, hogy új módszertani megközelítéseket lehessen alkalmazni a tanítási és tanulási folyamatban.</w:t>
            </w:r>
          </w:p>
        </w:tc>
      </w:tr>
    </w:tbl>
    <w:p w14:paraId="63F6E735"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DF53512" w14:textId="77777777" w:rsidR="00DC5EC6" w:rsidRDefault="00DC5EC6">
      <w:pPr>
        <w:keepNext/>
        <w:spacing w:before="40" w:after="0" w:line="259" w:lineRule="auto"/>
        <w:jc w:val="both"/>
        <w:rPr>
          <w:rFonts w:ascii="Times New Roman" w:eastAsiaTheme="minorEastAsia" w:hAnsi="Times New Roman" w:cs="Times New Roman"/>
          <w:noProof/>
          <w:sz w:val="24"/>
        </w:rPr>
        <w:sectPr w:rsidR="00DC5EC6" w:rsidSect="00E00EDD">
          <w:headerReference w:type="even" r:id="rId362"/>
          <w:headerReference w:type="default" r:id="rId363"/>
          <w:footerReference w:type="even" r:id="rId364"/>
          <w:footerReference w:type="default" r:id="rId365"/>
          <w:headerReference w:type="first" r:id="rId366"/>
          <w:footerReference w:type="first" r:id="rId367"/>
          <w:pgSz w:w="16839" w:h="11907" w:orient="landscape"/>
          <w:pgMar w:top="1134" w:right="1134" w:bottom="1134" w:left="1134" w:header="567" w:footer="567" w:gutter="0"/>
          <w:cols w:space="720"/>
          <w:docGrid w:linePitch="360"/>
        </w:sectPr>
      </w:pPr>
    </w:p>
    <w:p w14:paraId="581F76B7" w14:textId="7E6FD75F"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U. 21. </w:t>
      </w:r>
      <w:r w:rsidR="00342815">
        <w:rPr>
          <w:noProof/>
        </w:rPr>
        <w:t>KOMPONENS</w:t>
      </w:r>
      <w:r>
        <w:rPr>
          <w:noProof/>
        </w:rPr>
        <w:t>: REPowerEU</w:t>
      </w:r>
    </w:p>
    <w:p w14:paraId="0F35EBBE" w14:textId="77777777" w:rsidR="00DC5EC6" w:rsidRDefault="003245A4">
      <w:pPr>
        <w:pStyle w:val="P68B1DB1-Normal4"/>
        <w:spacing w:before="40" w:after="0" w:line="259" w:lineRule="auto"/>
        <w:jc w:val="both"/>
        <w:rPr>
          <w:rFonts w:cs="Times New Roman"/>
          <w:noProof/>
        </w:rPr>
      </w:pPr>
      <w:r>
        <w:rPr>
          <w:noProof/>
        </w:rPr>
        <w:t xml:space="preserve">A REPowerEU-fejezet célja Portugália energiafüggetlenséggel és zöld átállással kapcsolatos törekvéseinek támogatása az új geopolitikai és energiapiaci helyzetekkel összefüggésben. </w:t>
      </w:r>
    </w:p>
    <w:p w14:paraId="22A180DD" w14:textId="50AD9BCD" w:rsidR="00DC5EC6" w:rsidRDefault="003245A4">
      <w:pPr>
        <w:pStyle w:val="P68B1DB1-Normal4"/>
        <w:spacing w:before="40" w:after="0" w:line="259" w:lineRule="auto"/>
        <w:jc w:val="both"/>
        <w:rPr>
          <w:rFonts w:cs="Times New Roman"/>
          <w:noProof/>
        </w:rPr>
      </w:pPr>
      <w:r>
        <w:rPr>
          <w:noProof/>
        </w:rPr>
        <w:t>A REPowerEU keretében végrehajtott reformok és beruházások célja Portugália energetikai szuverenitásának megerősítése és gazdasága dekarbonizációjának felgyorsítása. A fejezet olyan reformokat tartalmaz, amelyek egyszerűsítik a megújuló energiaforrásokra vonatkozó engedélyezési eljárásokat, egyablakos rendszert hoznak létre a megújuló energiaforrásokkal kapcsolatos projektek engedélyezéséhez, valamint előmozdítják a biometán és a megújuló hidrogén elterjedését az országban. A beruházás a tengeri szélenergia hasznosítására vonatkozó műszaki tanulmányok kidolgozását foglalja magában. Portugália emellett a zöld készségek reformjával foglalkozik a munkaerőnek a zöld átállás érdekében történő átképzése jelentette kihívással, amelynek célja, hogy a következő két évben átfogó szakképzési kínálatot hozzon létre a zöld készségek fejlesztésére és 25 ezer ember képzésére.</w:t>
      </w:r>
    </w:p>
    <w:p w14:paraId="28D9518A" w14:textId="77777777" w:rsidR="00DC5EC6" w:rsidRDefault="003245A4">
      <w:pPr>
        <w:pStyle w:val="P68B1DB1-Normal4"/>
        <w:spacing w:before="40" w:after="0" w:line="259" w:lineRule="auto"/>
        <w:jc w:val="both"/>
        <w:rPr>
          <w:rFonts w:cs="Times New Roman"/>
          <w:noProof/>
        </w:rPr>
      </w:pPr>
      <w:r>
        <w:rPr>
          <w:noProof/>
        </w:rPr>
        <w:t xml:space="preserve">A fejezet tartalmazza továbbá az energiaszegénység kezelésére irányuló beruházásokat a lakóépületek, a kiszolgáló épületek és a középületek energiahatékonyságának növelésére irányuló beruházásokkal, valamint az energiaszegénységgel foglalkozó nemzeti megfigyelőközpont létrehozására és a polgárok energiahatékonysági beavatkozások végrehajtását támogató egyablakos modell kidolgozására irányuló reformokat. </w:t>
      </w:r>
    </w:p>
    <w:p w14:paraId="3419D7E7" w14:textId="54D4EF87" w:rsidR="00DC5EC6" w:rsidRDefault="003245A4">
      <w:pPr>
        <w:pStyle w:val="P68B1DB1-Normal4"/>
        <w:spacing w:before="40" w:after="0" w:line="259" w:lineRule="auto"/>
        <w:jc w:val="both"/>
        <w:rPr>
          <w:rFonts w:cs="Times New Roman"/>
          <w:noProof/>
        </w:rPr>
      </w:pPr>
      <w:r>
        <w:rPr>
          <w:noProof/>
        </w:rPr>
        <w:t>Portugália emellett növeli rezilienciáját azáltal, hogy stratégiai beruházásokat hajt végre a nettó zéró technológiák előállításának támogatása érdekében, fokozza a megújuló gázokba és a kibocsátásmentes közlekedésbe irányuló meglévő beruházásokat, valamint kiépíti a tárolási kapacitást az energiarendszer rugalmasságának növelése érdekében, miközben előmozdítja a megújuló energiaforrásokat. Számos új beruházást terveznek a kibocsátásmentes közlekedés terén, és ezek elterjesztésére is sor kerül az ország egész területén, többek között a bragai gyorsforgalmi út és egy Nazare városában található sétányút építése.”</w:t>
      </w:r>
    </w:p>
    <w:p w14:paraId="5E7C784E" w14:textId="0274E162" w:rsidR="00DC5EC6" w:rsidRDefault="003245A4">
      <w:pPr>
        <w:pStyle w:val="P68B1DB1-Normal4"/>
        <w:spacing w:before="40" w:after="0" w:line="259" w:lineRule="auto"/>
        <w:jc w:val="both"/>
        <w:rPr>
          <w:rFonts w:cs="Times New Roman"/>
          <w:noProof/>
        </w:rPr>
      </w:pPr>
      <w:r>
        <w:rPr>
          <w:noProof/>
        </w:rPr>
        <w:t>Számos intézkedés határokon átnyúló dimenzióval fog járni, amelyet nagyrészt a megújuló energiaforrásokba és az energiahatékonyságba történő beruházások révén fejlesztenek ki.</w:t>
      </w:r>
    </w:p>
    <w:p w14:paraId="053BB105" w14:textId="3BC176B9" w:rsidR="00DC5EC6" w:rsidRDefault="003245A4">
      <w:pPr>
        <w:pStyle w:val="P68B1DB1-Normal4"/>
        <w:keepNext/>
        <w:spacing w:before="40" w:after="0" w:line="259" w:lineRule="auto"/>
        <w:jc w:val="both"/>
        <w:rPr>
          <w:rFonts w:eastAsiaTheme="minorEastAsia" w:cs="Times New Roman"/>
          <w:noProof/>
        </w:rPr>
      </w:pPr>
      <w:r>
        <w:rPr>
          <w:noProof/>
        </w:rPr>
        <w:t>A komponens hozzájárul a Portugáliának a fosszilis tüzelőanyagoktól való függőség csökkentése érdekében kiadott országspecifikus ajánlás (2022. és 2023. évi 4. sz. országspecifikus ajánlás) végrehajtásához, valamint ahhoz, hogy a beruházásokat az alacsony szén-dioxid-kibocsátású és energetikai átállásra (2019. évi 3. országspecifikus ajánlás), valamint a tiszta és hatékony energiatermelésre és -felhasználásra (2020. évi 3. országspecifikus ajánlás) összpontosítsa. Különösen a megújuló energiaforrások bevezetésének felgyorsítására, az engedélyezés egyszerűsítésére, a közlekedési ágazat dekarbonizációjára, az épületek energiahatékonyságának javítására, a villamosenergia-átviteli és -elosztó hálózatok korszerűsítésére, a villamosenergia-tárolás növelésére, valamint a zöld átálláshoz szükséges zöld készségek elsajátításának megerősítésére irányuló intézkedéseket tartalmaz.</w:t>
      </w:r>
    </w:p>
    <w:p w14:paraId="68203BCC" w14:textId="77777777" w:rsidR="00DC5EC6" w:rsidRDefault="003245A4">
      <w:pPr>
        <w:pStyle w:val="P68B1DB1-Normal4"/>
        <w:spacing w:before="40" w:after="0" w:line="259" w:lineRule="auto"/>
        <w:jc w:val="both"/>
        <w:rPr>
          <w:rFonts w:cs="Times New Roman"/>
          <w:noProof/>
        </w:rPr>
      </w:pPr>
      <w:r>
        <w:rPr>
          <w:noProof/>
        </w:rPr>
        <w:t>A jelentős károkozás elkerülését célzó elvről szóló technikai iránymutatásnak (2021/C58/01) megfelelően a helyreállítási és rezilienciaépítési tervben meghatározott intézkedések leírását és a helyreállítási és rezilienciaépítési tervben meghatározott enyhítő lépéseket figyelembe véve ebben a komponensben várhatóan egyetlen intézkedés sem sérti jelentős mértékben az (EU) 2020/852 rendelet 17. cikke szerinti környezeti célkitűzéseket.</w:t>
      </w:r>
    </w:p>
    <w:p w14:paraId="40A068BA" w14:textId="77777777" w:rsidR="00DC5EC6" w:rsidRDefault="00DC5EC6">
      <w:pPr>
        <w:keepNext/>
        <w:spacing w:before="40" w:after="0" w:line="259" w:lineRule="auto"/>
        <w:jc w:val="both"/>
        <w:outlineLvl w:val="1"/>
        <w:rPr>
          <w:rFonts w:ascii="Times New Roman" w:eastAsiaTheme="majorEastAsia" w:hAnsi="Times New Roman" w:cs="Times New Roman"/>
          <w:b/>
          <w:noProof/>
          <w:sz w:val="24"/>
          <w:u w:val="single"/>
        </w:rPr>
      </w:pPr>
    </w:p>
    <w:p w14:paraId="3FDCB5A0" w14:textId="4CC2E66E"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U.1. Vissza nem térítendő pénzügyi támogatás – a reformok és beruházások ismertetése</w:t>
      </w:r>
    </w:p>
    <w:p w14:paraId="1C306676" w14:textId="6845FEE8" w:rsidR="00DC5EC6" w:rsidRDefault="003245A4">
      <w:pPr>
        <w:pStyle w:val="P68B1DB1-Normal5"/>
        <w:spacing w:before="240" w:after="0"/>
        <w:rPr>
          <w:rFonts w:eastAsiaTheme="minorEastAsia" w:cs="Times New Roman"/>
          <w:noProof/>
        </w:rPr>
      </w:pPr>
      <w:bookmarkStart w:id="33" w:name="_Toc137472477"/>
      <w:r>
        <w:rPr>
          <w:noProof/>
        </w:rPr>
        <w:t>RP-C21-i01 beruházás: Bővített intézkedés: Az ipar dekarbonizációja</w:t>
      </w:r>
      <w:bookmarkEnd w:id="33"/>
    </w:p>
    <w:p w14:paraId="07D772F8" w14:textId="59DEB25F" w:rsidR="00DC5EC6" w:rsidRDefault="003245A4">
      <w:pPr>
        <w:pStyle w:val="P68B1DB1-Normal4"/>
        <w:spacing w:before="40" w:after="0" w:line="259" w:lineRule="auto"/>
        <w:jc w:val="both"/>
        <w:rPr>
          <w:rFonts w:cs="Times New Roman"/>
          <w:noProof/>
        </w:rPr>
      </w:pPr>
      <w:r>
        <w:rPr>
          <w:noProof/>
        </w:rPr>
        <w:t>Ezen intézkedés célja a TC-C11–i01 beruházások növelése: Az ipar dekarbonizációja, a 11. elem keretében.</w:t>
      </w:r>
    </w:p>
    <w:p w14:paraId="6F624D1D" w14:textId="5DD7C54D" w:rsidR="00DC5EC6" w:rsidRDefault="003245A4">
      <w:pPr>
        <w:pStyle w:val="P68B1DB1-Normal4"/>
        <w:spacing w:before="40" w:after="0" w:line="259" w:lineRule="auto"/>
        <w:jc w:val="both"/>
        <w:rPr>
          <w:rFonts w:cs="Times New Roman"/>
          <w:noProof/>
        </w:rPr>
      </w:pPr>
      <w:r>
        <w:rPr>
          <w:noProof/>
        </w:rPr>
        <w:t>Az intézkedés kibővített részének növelnie kell a támogatott dekarbonizációs projektek számát. Az intézkedés kibővített részére nyújtott támogatás 500 kis- és középvállalkozásnak ítélhető oda három pénzügyi év alatt vállalkozásonként legfeljebb 200 000 EUR összegű projektekre (a továbbiakban: egyszerűsített projektek).</w:t>
      </w:r>
    </w:p>
    <w:p w14:paraId="29353424" w14:textId="77777777" w:rsidR="00DC5EC6" w:rsidRDefault="003245A4">
      <w:pPr>
        <w:pStyle w:val="P68B1DB1-Normal4"/>
        <w:spacing w:before="40" w:after="0" w:line="259" w:lineRule="auto"/>
        <w:jc w:val="both"/>
        <w:rPr>
          <w:rFonts w:cs="Times New Roman"/>
          <w:noProof/>
        </w:rPr>
      </w:pPr>
      <w:r>
        <w:rPr>
          <w:noProof/>
        </w:rPr>
        <w:t>A beruházás végrehajtását 2026. június 30-ig be kell fejezni.</w:t>
      </w:r>
    </w:p>
    <w:p w14:paraId="579DBFB6" w14:textId="4A98A963" w:rsidR="00DC5EC6" w:rsidRDefault="003245A4">
      <w:pPr>
        <w:pStyle w:val="P68B1DB1-Normal5"/>
        <w:keepNext/>
        <w:spacing w:before="240" w:after="0" w:line="259" w:lineRule="auto"/>
        <w:ind w:left="851"/>
        <w:jc w:val="both"/>
        <w:outlineLvl w:val="2"/>
        <w:rPr>
          <w:rFonts w:eastAsiaTheme="minorEastAsia" w:cs="Times New Roman"/>
          <w:noProof/>
        </w:rPr>
      </w:pPr>
      <w:bookmarkStart w:id="34" w:name="_Toc137472478"/>
      <w:r>
        <w:rPr>
          <w:noProof/>
        </w:rPr>
        <w:t>RP-C21–i02 beruházás: Bővített intézkedés: A lakóépületek energiahatékonysága</w:t>
      </w:r>
      <w:bookmarkEnd w:id="34"/>
    </w:p>
    <w:p w14:paraId="59D08E92" w14:textId="437238A1" w:rsidR="00DC5EC6" w:rsidRDefault="003245A4">
      <w:pPr>
        <w:pStyle w:val="P68B1DB1-Normal4"/>
        <w:spacing w:after="0"/>
        <w:jc w:val="both"/>
        <w:rPr>
          <w:rFonts w:cs="Times New Roman"/>
          <w:noProof/>
        </w:rPr>
      </w:pPr>
      <w:r>
        <w:rPr>
          <w:noProof/>
        </w:rPr>
        <w:t xml:space="preserve">Az intézkedés célja a TC-C13-i01 intézkedés kiterjesztése: A lakóépületek energiahatékonysága a 13. elem keretében. </w:t>
      </w:r>
    </w:p>
    <w:p w14:paraId="5ED787E9" w14:textId="7157997D" w:rsidR="00DC5EC6" w:rsidRDefault="003245A4">
      <w:pPr>
        <w:pStyle w:val="P68B1DB1-Normal4"/>
        <w:spacing w:after="0"/>
        <w:jc w:val="both"/>
        <w:rPr>
          <w:rFonts w:cs="Times New Roman"/>
          <w:noProof/>
        </w:rPr>
      </w:pPr>
      <w:r>
        <w:rPr>
          <w:noProof/>
        </w:rPr>
        <w:t>Az intézkedés bővítésre irányuló részének növelnie kell a felújított lakóépületek számát és a saját fogyasztásra szánt megújulóenergia-termelés számát. Az e beruházás keretében felújított alapterület 60%-át többlakásos épületekben kell elhelyezni.</w:t>
      </w:r>
    </w:p>
    <w:p w14:paraId="1A06BA32" w14:textId="0369DD0D" w:rsidR="00DC5EC6" w:rsidRDefault="003245A4">
      <w:pPr>
        <w:pStyle w:val="P68B1DB1-Normal4"/>
        <w:spacing w:after="0"/>
        <w:jc w:val="both"/>
        <w:rPr>
          <w:rFonts w:cs="Times New Roman"/>
          <w:noProof/>
        </w:rPr>
      </w:pPr>
      <w:r>
        <w:rPr>
          <w:noProof/>
        </w:rPr>
        <w:t>A beruházás végrehajtását 2025. szeptember 30-ig be kell fejezni.</w:t>
      </w:r>
    </w:p>
    <w:p w14:paraId="7450F2F2" w14:textId="64382BF4" w:rsidR="00DC5EC6" w:rsidRDefault="00DC5EC6">
      <w:pPr>
        <w:spacing w:after="0"/>
        <w:jc w:val="both"/>
        <w:rPr>
          <w:rFonts w:ascii="Times New Roman" w:hAnsi="Times New Roman" w:cs="Times New Roman"/>
          <w:noProof/>
          <w:sz w:val="24"/>
        </w:rPr>
      </w:pPr>
    </w:p>
    <w:p w14:paraId="10433ABC" w14:textId="26B19E0B" w:rsidR="00DC5EC6" w:rsidRDefault="003245A4">
      <w:pPr>
        <w:pStyle w:val="P68B1DB1-Normal5"/>
        <w:keepNext/>
        <w:spacing w:before="240" w:after="0" w:line="259" w:lineRule="auto"/>
        <w:ind w:left="851"/>
        <w:jc w:val="both"/>
        <w:outlineLvl w:val="2"/>
        <w:rPr>
          <w:rFonts w:eastAsiaTheme="minorEastAsia" w:cs="Times New Roman"/>
          <w:noProof/>
        </w:rPr>
      </w:pPr>
      <w:bookmarkStart w:id="35" w:name="_Toc137472479"/>
      <w:bookmarkStart w:id="36" w:name="_Hlk140143655"/>
      <w:r>
        <w:rPr>
          <w:noProof/>
        </w:rPr>
        <w:t>RP-C21-i03 beruházás: Bővített intézkedés: A szolgáltatási ágazat által használt épületek energiahatékonysága</w:t>
      </w:r>
      <w:bookmarkEnd w:id="35"/>
    </w:p>
    <w:bookmarkEnd w:id="36"/>
    <w:p w14:paraId="7E310686" w14:textId="29A7DFDE" w:rsidR="00DC5EC6" w:rsidRDefault="003245A4">
      <w:pPr>
        <w:pStyle w:val="P68B1DB1-Normal4"/>
        <w:spacing w:after="0"/>
        <w:jc w:val="both"/>
        <w:rPr>
          <w:rFonts w:cs="Times New Roman"/>
          <w:noProof/>
        </w:rPr>
      </w:pPr>
      <w:r>
        <w:rPr>
          <w:noProof/>
        </w:rPr>
        <w:t>Ezen intézkedés célja a TC-C13–i03 – Energiahatékonyság intézkedés kiterjesztése a szolgáltatási ágazat által használt épületekben a 13. összetevő keretében. Az intézkedés bővített részének növelnie kell a felújított magánkiszolgáló épületek területét.</w:t>
      </w:r>
    </w:p>
    <w:p w14:paraId="39D446C7" w14:textId="77777777" w:rsidR="00DC5EC6" w:rsidRDefault="003245A4">
      <w:pPr>
        <w:pStyle w:val="P68B1DB1-Normal4"/>
        <w:spacing w:after="0"/>
        <w:jc w:val="both"/>
        <w:rPr>
          <w:rFonts w:cs="Times New Roman"/>
          <w:noProof/>
        </w:rPr>
      </w:pPr>
      <w:r>
        <w:rPr>
          <w:noProof/>
        </w:rPr>
        <w:t>A beruházás végrehajtását 2026. június 30-ig be kell fejezni.</w:t>
      </w:r>
    </w:p>
    <w:p w14:paraId="09DB76BB" w14:textId="795DCBD2" w:rsidR="00DC5EC6" w:rsidRDefault="003245A4">
      <w:pPr>
        <w:pStyle w:val="P68B1DB1-Normal5"/>
        <w:keepNext/>
        <w:spacing w:before="240" w:after="0" w:line="259" w:lineRule="auto"/>
        <w:ind w:left="851"/>
        <w:jc w:val="both"/>
        <w:outlineLvl w:val="2"/>
        <w:rPr>
          <w:rFonts w:eastAsiaTheme="minorEastAsia" w:cs="Times New Roman"/>
          <w:noProof/>
        </w:rPr>
      </w:pPr>
      <w:bookmarkStart w:id="37" w:name="_Toc137472480"/>
      <w:r>
        <w:rPr>
          <w:noProof/>
        </w:rPr>
        <w:t>RP-C21–i04-RAM beruházás: Energiahatékonyság Madeirán</w:t>
      </w:r>
      <w:bookmarkEnd w:id="37"/>
      <w:r>
        <w:rPr>
          <w:noProof/>
        </w:rPr>
        <w:t xml:space="preserve"> a középületekben</w:t>
      </w:r>
    </w:p>
    <w:p w14:paraId="4366A173" w14:textId="69F8BE3B" w:rsidR="00DC5EC6" w:rsidRDefault="003245A4">
      <w:pPr>
        <w:pStyle w:val="P68B1DB1-Normal4"/>
        <w:spacing w:before="40" w:after="0" w:line="259" w:lineRule="auto"/>
        <w:jc w:val="both"/>
        <w:rPr>
          <w:rFonts w:cs="Times New Roman"/>
          <w:noProof/>
        </w:rPr>
      </w:pPr>
      <w:r>
        <w:rPr>
          <w:noProof/>
        </w:rPr>
        <w:t>E beruházás célja az energetikai felújítás előmozdítása, az energia- és erőforrás-hatékonyság előmozdítása, valamint a Madeirán található középületek saját megújulóenergia-fogyasztásának növelése.</w:t>
      </w:r>
    </w:p>
    <w:p w14:paraId="534C977C" w14:textId="236F0827" w:rsidR="00DC5EC6" w:rsidRDefault="003245A4">
      <w:pPr>
        <w:pStyle w:val="P68B1DB1-Normal4"/>
        <w:spacing w:before="40" w:after="0" w:line="259" w:lineRule="auto"/>
        <w:jc w:val="both"/>
        <w:rPr>
          <w:rFonts w:cs="Times New Roman"/>
          <w:noProof/>
        </w:rPr>
      </w:pPr>
      <w:r>
        <w:rPr>
          <w:noProof/>
        </w:rPr>
        <w:t xml:space="preserve">Ez a beruházás Madeira autonóm régióban a felújítást, az energiahatékonyságot, a dekarbonizációt, a vízhatékonyságot és a körforgásos gazdaságot előmozdító intézkedésekből áll, amelyek közepes mélységű felújításokat valósítanak meg. </w:t>
      </w:r>
    </w:p>
    <w:p w14:paraId="3C5C60AA" w14:textId="77777777" w:rsidR="00DC5EC6" w:rsidRDefault="003245A4">
      <w:pPr>
        <w:pStyle w:val="P68B1DB1-Normal4"/>
        <w:spacing w:before="40" w:after="0" w:line="259" w:lineRule="auto"/>
        <w:jc w:val="both"/>
        <w:rPr>
          <w:rFonts w:cs="Times New Roman"/>
          <w:noProof/>
        </w:rPr>
      </w:pPr>
      <w:r>
        <w:rPr>
          <w:noProof/>
        </w:rPr>
        <w:t xml:space="preserve">A beavatkozásra jogosult épületek mindegyike közhasználatú, különösen az egészségügy, az oktatás és a regionális közigazgatás területén. </w:t>
      </w:r>
    </w:p>
    <w:p w14:paraId="3EF533D2" w14:textId="5F948B86" w:rsidR="00DC5EC6" w:rsidRDefault="003245A4">
      <w:pPr>
        <w:pStyle w:val="P68B1DB1-Normal4"/>
        <w:spacing w:before="40" w:after="0" w:line="259" w:lineRule="auto"/>
        <w:jc w:val="both"/>
        <w:rPr>
          <w:rFonts w:cs="Times New Roman"/>
          <w:noProof/>
        </w:rPr>
      </w:pPr>
      <w:r>
        <w:rPr>
          <w:noProof/>
        </w:rPr>
        <w:t>A beruházás végrehajtását 2025. december 31-ig be kell fejezni.</w:t>
      </w:r>
    </w:p>
    <w:p w14:paraId="5362038B" w14:textId="78F3A9C9" w:rsidR="00DC5EC6" w:rsidRDefault="003245A4">
      <w:pPr>
        <w:pStyle w:val="P68B1DB1-Normal5"/>
        <w:keepNext/>
        <w:spacing w:before="240" w:after="0" w:line="259" w:lineRule="auto"/>
        <w:ind w:left="851"/>
        <w:jc w:val="both"/>
        <w:outlineLvl w:val="2"/>
        <w:rPr>
          <w:rFonts w:eastAsiaTheme="minorEastAsia" w:cs="Times New Roman"/>
          <w:noProof/>
        </w:rPr>
      </w:pPr>
      <w:bookmarkStart w:id="38" w:name="_Toc137472481"/>
      <w:r>
        <w:rPr>
          <w:noProof/>
        </w:rPr>
        <w:t>Reform RP-C21–r43: Nemzeti Energiaszegénységi Megfigyelőközpont</w:t>
      </w:r>
      <w:bookmarkEnd w:id="38"/>
      <w:r>
        <w:rPr>
          <w:noProof/>
        </w:rPr>
        <w:t xml:space="preserve"> </w:t>
      </w:r>
    </w:p>
    <w:p w14:paraId="722EBB4B" w14:textId="77777777" w:rsidR="00DC5EC6" w:rsidRDefault="003245A4">
      <w:pPr>
        <w:pStyle w:val="P68B1DB1-Normal4"/>
        <w:spacing w:beforeLines="40" w:before="96" w:after="0" w:line="22" w:lineRule="atLeast"/>
        <w:jc w:val="both"/>
        <w:rPr>
          <w:rFonts w:cs="Times New Roman"/>
          <w:noProof/>
        </w:rPr>
      </w:pPr>
      <w:r>
        <w:rPr>
          <w:noProof/>
        </w:rPr>
        <w:t xml:space="preserve">E reform célja egy olyan szerv létrehozása a nemzeti, regionális és helyi hatóságok számára, amely nyomon követi az energiaszegénység helyzetét, valamint elemzi és kidolgozza az energiaszegénység felszámolására irányuló közpolitikákat Portugáliában. </w:t>
      </w:r>
    </w:p>
    <w:p w14:paraId="05D42E40" w14:textId="672AEEFC" w:rsidR="00DC5EC6" w:rsidRDefault="003245A4">
      <w:pPr>
        <w:pStyle w:val="P68B1DB1-Normal4"/>
        <w:spacing w:beforeLines="40" w:before="96" w:after="0" w:line="22" w:lineRule="atLeast"/>
        <w:jc w:val="both"/>
        <w:rPr>
          <w:rFonts w:eastAsia="MS Mincho" w:cs="Times New Roman"/>
          <w:noProof/>
        </w:rPr>
      </w:pPr>
      <w:r>
        <w:rPr>
          <w:noProof/>
        </w:rPr>
        <w:t xml:space="preserve">A reform létrehozza a Nemzeti Energiaszegénységi Megfigyelőközpontot (ONPE), amely a következőkért felelős: </w:t>
      </w:r>
    </w:p>
    <w:p w14:paraId="37FF066C" w14:textId="57280600" w:rsidR="00DC5EC6" w:rsidRDefault="003245A4">
      <w:pPr>
        <w:pStyle w:val="ListParagraph"/>
        <w:keepNext w:val="0"/>
        <w:numPr>
          <w:ilvl w:val="0"/>
          <w:numId w:val="86"/>
        </w:numPr>
        <w:spacing w:beforeLines="40" w:before="96" w:after="0" w:line="22" w:lineRule="atLeast"/>
        <w:rPr>
          <w:rFonts w:eastAsia="MS Mincho"/>
          <w:noProof/>
        </w:rPr>
      </w:pPr>
      <w:r>
        <w:rPr>
          <w:noProof/>
        </w:rPr>
        <w:t>A hosszú távú energiaszegénységi stratégia (ELPPE) végrehajtásának nyomon követése, felügyelete, koordinálása és az ezzel kapcsolatos jelentéstétel;</w:t>
      </w:r>
    </w:p>
    <w:p w14:paraId="4DA6276A" w14:textId="77777777" w:rsidR="00DC5EC6" w:rsidRDefault="003245A4">
      <w:pPr>
        <w:pStyle w:val="ListParagraph"/>
        <w:keepNext w:val="0"/>
        <w:numPr>
          <w:ilvl w:val="0"/>
          <w:numId w:val="86"/>
        </w:numPr>
        <w:spacing w:beforeLines="40" w:before="96" w:after="0" w:line="22" w:lineRule="atLeast"/>
        <w:rPr>
          <w:noProof/>
        </w:rPr>
      </w:pPr>
      <w:r>
        <w:rPr>
          <w:noProof/>
        </w:rPr>
        <w:t>A nemzeti energia- és klímaterv és a nemzeti szociális klímatervek kidolgozásával és végrehajtásával kapcsolatos, az energiaszegénységgel kapcsolatos szakpolitikai munka koordinálása;</w:t>
      </w:r>
    </w:p>
    <w:p w14:paraId="7A42E09A" w14:textId="357B042B" w:rsidR="00DC5EC6" w:rsidRDefault="003245A4">
      <w:pPr>
        <w:pStyle w:val="ListParagraph"/>
        <w:keepNext w:val="0"/>
        <w:numPr>
          <w:ilvl w:val="0"/>
          <w:numId w:val="86"/>
        </w:numPr>
        <w:spacing w:beforeLines="40" w:before="96" w:after="0" w:line="22" w:lineRule="atLeast"/>
        <w:rPr>
          <w:rFonts w:eastAsia="MS Mincho"/>
          <w:noProof/>
        </w:rPr>
      </w:pPr>
      <w:r>
        <w:rPr>
          <w:noProof/>
        </w:rPr>
        <w:t>Javaslattétel a kormánynak a tízéves (2030-as, 2040-es és 2050-es) cselekvési tervekre, valamint azok felülvizsgálatára és az ELPPE felülvizsgálatára, legalább három, illetve öt éves gyakorisággal;</w:t>
      </w:r>
    </w:p>
    <w:p w14:paraId="72AF5EA4"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Kapacitásépítési intézkedések végrehajtása a hosszú távú energiaszegénységi stratégia végrehajtásában részt vevő köz- és magánszférabeli, nemzeti, regionális és helyi szereplők számára;</w:t>
      </w:r>
    </w:p>
    <w:p w14:paraId="4CCEAC98" w14:textId="77777777" w:rsidR="00DC5EC6" w:rsidRDefault="003245A4">
      <w:pPr>
        <w:pStyle w:val="ListParagraph"/>
        <w:keepNext w:val="0"/>
        <w:numPr>
          <w:ilvl w:val="0"/>
          <w:numId w:val="86"/>
        </w:numPr>
        <w:spacing w:beforeLines="40" w:before="96" w:after="0" w:line="22" w:lineRule="atLeast"/>
        <w:rPr>
          <w:noProof/>
        </w:rPr>
      </w:pPr>
      <w:r>
        <w:rPr>
          <w:noProof/>
        </w:rPr>
        <w:t>Az energiaszegénységben élő háztartások azonosítása és nyomon követése időszakos felmérési eszköz létrehozásával és végrehajtásával;</w:t>
      </w:r>
    </w:p>
    <w:p w14:paraId="2FC0162A"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Javaslattétel az energiaszegénységben élő háztartásokat célzó energiahatékonysági intézkedések finanszírozási (vagy adóügyi) eszközére;</w:t>
      </w:r>
    </w:p>
    <w:p w14:paraId="771F2604"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Az energiaszegénységben élő háztartások profiljának megfelelő anyagok és kampányok kidolgozása az energiaműveltség növelése érdekében;</w:t>
      </w:r>
    </w:p>
    <w:p w14:paraId="010262B7" w14:textId="77777777" w:rsidR="00DC5EC6" w:rsidRDefault="003245A4">
      <w:pPr>
        <w:pStyle w:val="ListParagraph"/>
        <w:keepNext w:val="0"/>
        <w:numPr>
          <w:ilvl w:val="0"/>
          <w:numId w:val="86"/>
        </w:numPr>
        <w:spacing w:beforeLines="40" w:before="96" w:after="0" w:line="22" w:lineRule="atLeast"/>
        <w:rPr>
          <w:rFonts w:eastAsia="MS Mincho"/>
          <w:noProof/>
        </w:rPr>
      </w:pPr>
      <w:r>
        <w:rPr>
          <w:noProof/>
        </w:rPr>
        <w:t xml:space="preserve">Az energiaszegénység jelenségével kapcsolatos munka előmozdítása és terjesztése, beleértve a szervezetek és érdekelt szereplők hálózatának létrehozását a probléma kezelése érdekében. </w:t>
      </w:r>
    </w:p>
    <w:p w14:paraId="5391B250" w14:textId="270C4ECC" w:rsidR="00DC5EC6" w:rsidRDefault="003245A4">
      <w:pPr>
        <w:pStyle w:val="P68B1DB1-Normal4"/>
        <w:spacing w:beforeLines="40" w:before="96" w:after="0" w:line="22" w:lineRule="atLeast"/>
        <w:jc w:val="both"/>
        <w:rPr>
          <w:rFonts w:eastAsia="@MS Mincho" w:cs="Times New Roman"/>
          <w:noProof/>
        </w:rPr>
      </w:pPr>
      <w:r>
        <w:rPr>
          <w:noProof/>
        </w:rPr>
        <w:t xml:space="preserve">Az ONPE irányítási struktúrájába be kell vonnia i. az ONPE operatív irányításáért felelős irányító egységet, ii. a Környezetvédelmi és Éghajlatpolitikai Minisztérium által vezetett és az érintett kormányzati területekről (például lakhatás, társadalombiztosítás, egészségügy, pénzügyek, oktatás, területi kohézió) származó tagokat magában foglaló stratégiai bizottságot, valamint iii. egy tanácsadó bizottságot, amely magában foglalja a már meglévő érdekelt feleket, például egyetemeket, önkormányzatokat, helyi energiaügynökségeket, az energiaszegénység felszámolására irányuló fellépésekben részt vevő nem kormányzati szervezeteket, energiahálózat-üzemeltetőket, fogyasztókat és ingatlanszövetkezeteket, ágazati szövetségeket és magánfinanszírozási szervezeteket. A reformnak biztosítania kell, hogy ezek a szervek együttműködjenek és egyértelmű szerepet játsszanak az ONPE megbízatásában meghatározott célkitűzések megvalósítása érdekében. Az adatgyűjtés során biztosítani kell az ONPE és a portugál statisztikai szervek közötti együttműködést. </w:t>
      </w:r>
    </w:p>
    <w:p w14:paraId="17728ADF" w14:textId="315EB82E" w:rsidR="00DC5EC6" w:rsidRDefault="003245A4">
      <w:pPr>
        <w:pStyle w:val="P68B1DB1-Normal4"/>
        <w:spacing w:beforeLines="40" w:before="96" w:after="0" w:line="22" w:lineRule="atLeast"/>
        <w:jc w:val="both"/>
        <w:rPr>
          <w:rFonts w:cs="Times New Roman"/>
          <w:noProof/>
        </w:rPr>
      </w:pPr>
      <w:r>
        <w:rPr>
          <w:noProof/>
        </w:rPr>
        <w:t>A reformnak biztosítania kell továbbá a lakossági ágazatban az energiaszegénység kezelését célzó energiahatékonysági intézkedések finanszírozási eszközének létrehozását az azonosított háztartási profilok tekintetében, amelyet törvény hatálybalépésével vagy az érintett pénzügyi intézmény határozatának elfogadásával fogadnak el.</w:t>
      </w:r>
    </w:p>
    <w:p w14:paraId="204649DB" w14:textId="77777777" w:rsidR="00DC5EC6" w:rsidRDefault="003245A4">
      <w:pPr>
        <w:pStyle w:val="P68B1DB1-Normal4"/>
        <w:spacing w:beforeLines="40" w:before="96" w:after="0" w:line="22" w:lineRule="atLeast"/>
        <w:jc w:val="both"/>
        <w:rPr>
          <w:rFonts w:cs="Times New Roman"/>
          <w:noProof/>
        </w:rPr>
      </w:pPr>
      <w:r>
        <w:rPr>
          <w:noProof/>
        </w:rPr>
        <w:t xml:space="preserve">E reform végrehajtását 2025. március 31-ig be kell fejezni.  </w:t>
      </w:r>
    </w:p>
    <w:p w14:paraId="6F25AA6D" w14:textId="339B7EBE" w:rsidR="00DC5EC6" w:rsidRDefault="003245A4">
      <w:pPr>
        <w:pStyle w:val="P68B1DB1-Normal5"/>
        <w:keepNext/>
        <w:spacing w:before="240" w:after="0" w:line="259" w:lineRule="auto"/>
        <w:ind w:left="851"/>
        <w:jc w:val="both"/>
        <w:outlineLvl w:val="2"/>
        <w:rPr>
          <w:rFonts w:eastAsiaTheme="minorEastAsia" w:cs="Times New Roman"/>
          <w:noProof/>
        </w:rPr>
      </w:pPr>
      <w:bookmarkStart w:id="39" w:name="_Toc137472482"/>
      <w:r>
        <w:rPr>
          <w:noProof/>
        </w:rPr>
        <w:t xml:space="preserve">Reform RP-C21–r44: Egyablakos energiahatékonysági ügyintézési pontok kialakítása a polgárok számára (Polgári energiaterek) </w:t>
      </w:r>
      <w:bookmarkEnd w:id="39"/>
    </w:p>
    <w:p w14:paraId="13080FDC" w14:textId="77777777" w:rsidR="00DC5EC6" w:rsidRDefault="003245A4">
      <w:pPr>
        <w:pStyle w:val="P68B1DB1-Normal4"/>
        <w:spacing w:beforeLines="40" w:before="96" w:after="0" w:line="22" w:lineRule="atLeast"/>
        <w:jc w:val="both"/>
        <w:rPr>
          <w:rFonts w:cs="Times New Roman"/>
          <w:noProof/>
        </w:rPr>
      </w:pPr>
      <w:r>
        <w:rPr>
          <w:noProof/>
        </w:rPr>
        <w:t xml:space="preserve">E reform célja a polgárok támogatása az energiahatékonysággal és a megújuló energiával kapcsolatos intézkedések előkészítésében és végrehajtásában, valamint az energiafelhasználással kapcsolatos fenntartható magatartás kialakítása az energiaműveltség növelése révén. </w:t>
      </w:r>
    </w:p>
    <w:p w14:paraId="375532EE" w14:textId="046F8E8A" w:rsidR="00DC5EC6" w:rsidRDefault="003245A4">
      <w:pPr>
        <w:pStyle w:val="P68B1DB1-Normal4"/>
        <w:spacing w:beforeLines="40" w:before="96" w:after="0" w:line="22" w:lineRule="atLeast"/>
        <w:jc w:val="both"/>
        <w:rPr>
          <w:rFonts w:cs="Times New Roman"/>
          <w:noProof/>
        </w:rPr>
      </w:pPr>
      <w:r>
        <w:rPr>
          <w:noProof/>
        </w:rPr>
        <w:t>A TC-C13–I01.01 beruházás keretében kidolgozott kísérleti projekt alapján a reform a polgárok számára egyablakos energiahatékonysági ügyintézési pontokat (Polgári energiaterek</w:t>
      </w:r>
      <w:r>
        <w:rPr>
          <w:i/>
          <w:noProof/>
        </w:rPr>
        <w:t xml:space="preserve"> </w:t>
      </w:r>
      <w:r>
        <w:rPr>
          <w:noProof/>
        </w:rPr>
        <w:t xml:space="preserve">– </w:t>
      </w:r>
      <w:r>
        <w:rPr>
          <w:i/>
          <w:noProof/>
        </w:rPr>
        <w:t>Espaços Cidadão Energia</w:t>
      </w:r>
      <w:r>
        <w:rPr>
          <w:noProof/>
        </w:rPr>
        <w:t>) hoz létre, amelyeket a 98/2021. sz. törvény értelmében be kell építeni a települési éghajlat-politikai cselekvési tervekbe, és számos szolgáltatást kínál a lakosok számára, például:</w:t>
      </w:r>
    </w:p>
    <w:p w14:paraId="5A8F9D4A" w14:textId="77777777" w:rsidR="00DC5EC6" w:rsidRDefault="003245A4">
      <w:pPr>
        <w:pStyle w:val="ListParagraph"/>
        <w:keepNext w:val="0"/>
        <w:numPr>
          <w:ilvl w:val="0"/>
          <w:numId w:val="87"/>
        </w:numPr>
        <w:spacing w:beforeLines="40" w:before="96" w:after="0" w:line="22" w:lineRule="atLeast"/>
        <w:rPr>
          <w:noProof/>
        </w:rPr>
      </w:pPr>
      <w:r>
        <w:rPr>
          <w:noProof/>
        </w:rPr>
        <w:t>Tájékoztatás és technikai támogatás nyújtása az energiaszámlák értelmezésétől a fenntartható energiafelhasználásig és a fogyasztói jogokig;</w:t>
      </w:r>
    </w:p>
    <w:p w14:paraId="52920F00" w14:textId="77777777" w:rsidR="00DC5EC6" w:rsidRDefault="003245A4">
      <w:pPr>
        <w:pStyle w:val="ListParagraph"/>
        <w:keepNext w:val="0"/>
        <w:numPr>
          <w:ilvl w:val="0"/>
          <w:numId w:val="87"/>
        </w:numPr>
        <w:spacing w:beforeLines="40" w:before="96" w:after="0" w:line="22" w:lineRule="atLeast"/>
        <w:rPr>
          <w:noProof/>
        </w:rPr>
      </w:pPr>
      <w:r>
        <w:rPr>
          <w:noProof/>
        </w:rPr>
        <w:t>Tanácsadás, beleértve az energiabeszerzést, a berendezések beszerzését, az energiahatékonyság és a megújuló energiával kapcsolatos megoldások kiválasztását, valamint a megoldások végrehajtására vonatkozó kereskedelmi ajánlatok kiválasztását;</w:t>
      </w:r>
    </w:p>
    <w:p w14:paraId="48565B26" w14:textId="77777777" w:rsidR="00DC5EC6" w:rsidRDefault="003245A4">
      <w:pPr>
        <w:pStyle w:val="ListParagraph"/>
        <w:keepNext w:val="0"/>
        <w:numPr>
          <w:ilvl w:val="0"/>
          <w:numId w:val="87"/>
        </w:numPr>
        <w:spacing w:beforeLines="40" w:before="96" w:after="0" w:line="22" w:lineRule="atLeast"/>
        <w:rPr>
          <w:noProof/>
        </w:rPr>
      </w:pPr>
      <w:r>
        <w:rPr>
          <w:noProof/>
        </w:rPr>
        <w:t>A lakások energetikai értékelése és beruházási javaslatok a hőkomfort növelése és az energiaszámlák csökkentése érdekében;</w:t>
      </w:r>
    </w:p>
    <w:p w14:paraId="33F3AD14" w14:textId="77777777" w:rsidR="00DC5EC6" w:rsidRDefault="003245A4">
      <w:pPr>
        <w:pStyle w:val="ListParagraph"/>
        <w:keepNext w:val="0"/>
        <w:numPr>
          <w:ilvl w:val="0"/>
          <w:numId w:val="87"/>
        </w:numPr>
        <w:spacing w:beforeLines="40" w:before="96" w:after="0" w:line="22" w:lineRule="atLeast"/>
        <w:rPr>
          <w:noProof/>
        </w:rPr>
      </w:pPr>
      <w:r>
        <w:rPr>
          <w:noProof/>
        </w:rPr>
        <w:t>Tanácsadás az ösztönzőkhöz és finanszírozási eszközökhöz való hozzáféréssel kapcsolatban, állami és magán, nemzeti és helyi szinten;</w:t>
      </w:r>
    </w:p>
    <w:p w14:paraId="26439DCD" w14:textId="77777777" w:rsidR="00DC5EC6" w:rsidRDefault="003245A4">
      <w:pPr>
        <w:pStyle w:val="ListParagraph"/>
        <w:keepNext w:val="0"/>
        <w:numPr>
          <w:ilvl w:val="0"/>
          <w:numId w:val="87"/>
        </w:numPr>
        <w:spacing w:beforeLines="40" w:before="96" w:after="0" w:line="22" w:lineRule="atLeast"/>
        <w:rPr>
          <w:noProof/>
        </w:rPr>
      </w:pPr>
      <w:r>
        <w:rPr>
          <w:noProof/>
        </w:rPr>
        <w:t>Gyűjtsön adatokat a nemzeti energiaszegénységi megfigyelőközponttal megosztandó felhasználókról.</w:t>
      </w:r>
    </w:p>
    <w:p w14:paraId="0B098A88" w14:textId="214DA97F" w:rsidR="00DC5EC6" w:rsidRDefault="003245A4">
      <w:pPr>
        <w:pStyle w:val="P68B1DB1-Normal4"/>
        <w:spacing w:beforeLines="40" w:before="96" w:after="0" w:line="22" w:lineRule="atLeast"/>
        <w:jc w:val="both"/>
        <w:rPr>
          <w:rFonts w:cs="Times New Roman"/>
          <w:i/>
          <w:noProof/>
        </w:rPr>
      </w:pPr>
      <w:r>
        <w:rPr>
          <w:noProof/>
        </w:rPr>
        <w:t>Kapacitásépítési intézkedéseket kell tenni annak biztosítása érdekében, hogy legalább háromszáz ember részesüljön képzésben a polgárok energiatereinek üzemeltetésére</w:t>
      </w:r>
      <w:r>
        <w:rPr>
          <w:i/>
          <w:noProof/>
        </w:rPr>
        <w:t>.</w:t>
      </w:r>
    </w:p>
    <w:p w14:paraId="08143AB5" w14:textId="77777777" w:rsidR="00DC5EC6" w:rsidRDefault="003245A4">
      <w:pPr>
        <w:pStyle w:val="P68B1DB1-Normal4"/>
        <w:spacing w:beforeLines="40" w:before="96" w:after="0" w:line="22" w:lineRule="atLeast"/>
        <w:jc w:val="both"/>
        <w:rPr>
          <w:rFonts w:cs="Times New Roman"/>
          <w:noProof/>
        </w:rPr>
      </w:pPr>
      <w:r>
        <w:rPr>
          <w:noProof/>
        </w:rPr>
        <w:t xml:space="preserve">E reform végrehajtását 2025. március 31-ig be kell fejezni. </w:t>
      </w:r>
    </w:p>
    <w:p w14:paraId="52B18F1E" w14:textId="4BD6F41C" w:rsidR="00DC5EC6" w:rsidRDefault="003245A4">
      <w:pPr>
        <w:pStyle w:val="P68B1DB1-Normal5"/>
        <w:keepNext/>
        <w:spacing w:before="240" w:after="0" w:line="259" w:lineRule="auto"/>
        <w:ind w:left="851"/>
        <w:jc w:val="both"/>
        <w:outlineLvl w:val="2"/>
        <w:rPr>
          <w:rFonts w:eastAsiaTheme="minorEastAsia" w:cs="Times New Roman"/>
          <w:noProof/>
        </w:rPr>
      </w:pPr>
      <w:bookmarkStart w:id="40" w:name="_Toc137472487"/>
      <w:r>
        <w:rPr>
          <w:noProof/>
        </w:rPr>
        <w:t>RP-C21-i05 beruházás: A zöld ipar fejlesztésének támogatása</w:t>
      </w:r>
    </w:p>
    <w:bookmarkEnd w:id="40"/>
    <w:p w14:paraId="00CC59FA" w14:textId="4B5BBB1D" w:rsidR="00DC5EC6" w:rsidRDefault="003245A4">
      <w:pPr>
        <w:pStyle w:val="P68B1DB1-Normal4"/>
        <w:spacing w:beforeLines="40" w:before="96" w:after="0" w:line="22" w:lineRule="atLeast"/>
        <w:jc w:val="both"/>
        <w:rPr>
          <w:rFonts w:cs="Times New Roman"/>
          <w:noProof/>
          <w:highlight w:val="yellow"/>
        </w:rPr>
      </w:pPr>
      <w:r>
        <w:rPr>
          <w:noProof/>
        </w:rPr>
        <w:t>A vállalkozásokat célzó beruházás célja a megújuló energiára, a dekarbonizációra és az energiahatékonyságra irányuló technológiák termelési kapacitásának növelése a 2030-ig tartó időszakra vonatkozó nemzeti energia- és klímaterv célkitűzéseivel és az európai zöld megállapodáshoz kapcsolódó ipari terv (COM(2023) 62 final) célkitűzéseivel összhangban.</w:t>
      </w:r>
    </w:p>
    <w:p w14:paraId="556C247F" w14:textId="1E2A984E" w:rsidR="00DC5EC6" w:rsidRDefault="003245A4">
      <w:pPr>
        <w:pStyle w:val="P68B1DB1-Normal4"/>
        <w:spacing w:beforeLines="40" w:before="96" w:after="0" w:line="22" w:lineRule="atLeast"/>
        <w:jc w:val="both"/>
        <w:rPr>
          <w:rFonts w:cs="Times New Roman"/>
          <w:noProof/>
        </w:rPr>
      </w:pPr>
      <w:r>
        <w:rPr>
          <w:noProof/>
        </w:rPr>
        <w:t xml:space="preserve">A beruházásnak az egyes vállalatokat vagy projekteket célzó vissza nem térítendő támogatásokból kell állnia, és támogatnia kell az éghajlatvédelmi átállást szolgáló stratégiai technológiák előállítására irányuló ipari beruházásokat, amelyek közvetlenül kapcsolódnak a fotovoltaikus napenergiához és a naphőenergiához, az elektrolizátorokhoz és az üzemanyagcellákhoz, a szárazföldi szélenergiához és a tengeri megújuló energiaforrásokhoz, a fenntartható biogázhoz/biometánhoz, az akkumulátorokhoz és -tároláshoz, a szén-dioxid-leválasztáshoz és -tároláshoz, a hőszivattyúkhoz, az energiahatékonysághoz, a geotermikus energiához vagy a hálózati megoldásokhoz.  </w:t>
      </w:r>
    </w:p>
    <w:p w14:paraId="30C0F048" w14:textId="78A9077F" w:rsidR="00DC5EC6" w:rsidRDefault="003245A4">
      <w:pPr>
        <w:pStyle w:val="P68B1DB1-Normal4"/>
        <w:spacing w:beforeLines="40" w:before="96" w:after="0" w:line="22" w:lineRule="atLeast"/>
        <w:jc w:val="both"/>
        <w:rPr>
          <w:rFonts w:cs="Times New Roman"/>
          <w:noProof/>
        </w:rPr>
      </w:pPr>
      <w:r>
        <w:rPr>
          <w:noProof/>
        </w:rPr>
        <w:t>Annak biztosítása érdekében, hogy az intézkedés megfeleljen a jelentős károkozás elkerülését célzó elvnek a Helyreállítási és Rezilienciaépítési Eszköz keretében a jelentős károkozás elkerülését célzó elvnek (2021/C58/01) megfelelően, a soron következő pályázati felhívásokra vonatkozó feladatmeghatározásban foglalt támogathatósági kritériumok:</w:t>
      </w:r>
    </w:p>
    <w:p w14:paraId="74CED351" w14:textId="01F86180" w:rsidR="00DC5EC6" w:rsidRDefault="003245A4">
      <w:pPr>
        <w:pStyle w:val="ListParagraph"/>
        <w:keepNext w:val="0"/>
        <w:numPr>
          <w:ilvl w:val="0"/>
          <w:numId w:val="118"/>
        </w:numPr>
        <w:spacing w:line="240" w:lineRule="auto"/>
        <w:rPr>
          <w:noProof/>
        </w:rPr>
      </w:pPr>
      <w:r>
        <w:rPr>
          <w:noProof/>
        </w:rPr>
        <w:t>a tevékenységek és eszközök alábbi listájának kizárása a támogathatóságból: a fosszilis tüzelőanyagokhoz kapcsolódó tevékenységek és eszközök, beleértve a downstream felhasználást is</w:t>
      </w:r>
      <w:r>
        <w:rPr>
          <w:rStyle w:val="FootnoteReference"/>
          <w:noProof/>
        </w:rPr>
        <w:footnoteReference w:id="78"/>
      </w:r>
      <w:r>
        <w:rPr>
          <w:noProof/>
        </w:rPr>
        <w:t>; az uniós kibocsátáskereskedelmi rendszer (ETS) keretében végzett tevékenységek és eszközök, amelyek a vonatkozó referenciaértékeknél nem alacsonyabb várható üvegházhatásúgáz-kibocsátást</w:t>
      </w:r>
      <w:r>
        <w:rPr>
          <w:rStyle w:val="FootnoteReference"/>
          <w:noProof/>
        </w:rPr>
        <w:footnoteReference w:id="79"/>
      </w:r>
      <w:r>
        <w:rPr>
          <w:noProof/>
        </w:rPr>
        <w:t xml:space="preserve"> és mechanikai-biológiai szennyvíztisztító telepeket érnek el</w:t>
      </w:r>
      <w:r>
        <w:rPr>
          <w:rStyle w:val="FootnoteReference"/>
          <w:noProof/>
        </w:rPr>
        <w:footnoteReference w:id="80"/>
      </w:r>
      <w:r>
        <w:rPr>
          <w:noProof/>
        </w:rPr>
        <w:t>; hulladéklerakókkal, hulladékégetőkkel és mechanikai-biológiai szennyvíztisztító telepekkel kapcsolatos tevékenységek</w:t>
      </w:r>
      <w:r>
        <w:rPr>
          <w:rStyle w:val="FootnoteReference"/>
          <w:noProof/>
        </w:rPr>
        <w:footnoteReference w:id="81"/>
      </w:r>
      <w:r>
        <w:rPr>
          <w:noProof/>
        </w:rPr>
        <w:t xml:space="preserve"> és eszközök</w:t>
      </w:r>
      <w:r>
        <w:rPr>
          <w:rStyle w:val="FootnoteReference"/>
          <w:noProof/>
        </w:rPr>
        <w:footnoteReference w:id="82"/>
      </w:r>
      <w:r>
        <w:rPr>
          <w:noProof/>
        </w:rPr>
        <w:t xml:space="preserve">; és </w:t>
      </w:r>
    </w:p>
    <w:p w14:paraId="3D8DD079" w14:textId="77777777" w:rsidR="00DC5EC6" w:rsidRDefault="003245A4">
      <w:pPr>
        <w:pStyle w:val="ListParagraph"/>
        <w:numPr>
          <w:ilvl w:val="0"/>
          <w:numId w:val="74"/>
        </w:numPr>
        <w:spacing w:beforeLines="40" w:before="96" w:after="0" w:line="240" w:lineRule="auto"/>
        <w:rPr>
          <w:noProof/>
        </w:rPr>
      </w:pPr>
      <w:r>
        <w:rPr>
          <w:noProof/>
        </w:rPr>
        <w:t>a címzett vonatkozó uniós és nemzeti környezetvédelmi jogszabályainak való megfelelés előírása.</w:t>
      </w:r>
    </w:p>
    <w:p w14:paraId="04838A27" w14:textId="77777777" w:rsidR="00DC5EC6" w:rsidRDefault="003245A4">
      <w:pPr>
        <w:pStyle w:val="P68B1DB1-Normal4"/>
        <w:spacing w:beforeLines="40" w:before="96" w:after="0" w:line="22" w:lineRule="atLeast"/>
        <w:jc w:val="both"/>
        <w:rPr>
          <w:rFonts w:eastAsia="MS Mincho" w:cs="Times New Roman"/>
          <w:noProof/>
        </w:rPr>
      </w:pPr>
      <w:r>
        <w:rPr>
          <w:noProof/>
        </w:rPr>
        <w:t xml:space="preserve">E beruházás végrehajtását 2026. június 30-ig be kell fejezni.  </w:t>
      </w:r>
    </w:p>
    <w:p w14:paraId="2F9D54F1" w14:textId="2C2676E2"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Reform RP-C21–r45: Zöld készségek</w:t>
      </w:r>
    </w:p>
    <w:p w14:paraId="41D07A31" w14:textId="03311566" w:rsidR="00DC5EC6" w:rsidRDefault="003245A4">
      <w:pPr>
        <w:pStyle w:val="P68B1DB1-Normal4"/>
        <w:spacing w:beforeLines="40" w:before="96" w:after="0" w:line="22" w:lineRule="atLeast"/>
        <w:jc w:val="both"/>
        <w:rPr>
          <w:rFonts w:cs="Times New Roman"/>
          <w:noProof/>
        </w:rPr>
      </w:pPr>
      <w:r>
        <w:rPr>
          <w:noProof/>
        </w:rPr>
        <w:t xml:space="preserve">E reform célja, hogy hosszú távú szakképzési kínálatot hozzon létre a zöld készségek fejlesztésére, elismerésére, érvényesítésére és tanúsítására a munkanélküliség kockázatának megelőzése, a munkahelyek megtartásának előmozdítása és az új munkahelyek létrehozásának ösztönzése érdekében. </w:t>
      </w:r>
    </w:p>
    <w:p w14:paraId="75EC7F11" w14:textId="0661E934" w:rsidR="00DC5EC6" w:rsidRDefault="003245A4">
      <w:pPr>
        <w:pStyle w:val="P68B1DB1-Normal4"/>
        <w:spacing w:beforeLines="40" w:before="96" w:after="0" w:line="22" w:lineRule="atLeast"/>
        <w:jc w:val="both"/>
        <w:rPr>
          <w:rFonts w:cs="Times New Roman"/>
          <w:noProof/>
        </w:rPr>
      </w:pPr>
      <w:r>
        <w:rPr>
          <w:noProof/>
        </w:rPr>
        <w:t>A reform a következőkből áll:</w:t>
      </w:r>
    </w:p>
    <w:p w14:paraId="0CD3A424" w14:textId="41E7B03D" w:rsidR="00DC5EC6" w:rsidRDefault="003245A4">
      <w:pPr>
        <w:pStyle w:val="ListParagraph"/>
        <w:keepNext w:val="0"/>
        <w:numPr>
          <w:ilvl w:val="0"/>
          <w:numId w:val="88"/>
        </w:numPr>
        <w:spacing w:beforeLines="40" w:before="96" w:after="0" w:line="22" w:lineRule="atLeast"/>
        <w:rPr>
          <w:noProof/>
        </w:rPr>
      </w:pPr>
      <w:r>
        <w:rPr>
          <w:noProof/>
        </w:rPr>
        <w:t>A „Zöld munka és készségek” program: biztosítsanak szakképzést és átképzést a munkáltatóik energetikai átállási folyamataiban részt vevő 12500 munkavállalónak, a fosszilis tüzelőanyagokkal foglalkozó iparágak bezárása miatt munkanélküliség kockázatának kitett munkavállalóknak, valamint a munkanélkülieknek. Ezt a Foglalkoztatási és Szakképzési Intézet rövid és közepes időtartamú képzéseken keresztül hajtja végre, és a zöld készségek fejlesztésére kell összpontosítania.</w:t>
      </w:r>
    </w:p>
    <w:p w14:paraId="480A983D" w14:textId="34B135A1" w:rsidR="00DC5EC6" w:rsidRDefault="003245A4">
      <w:pPr>
        <w:pStyle w:val="ListParagraph"/>
        <w:keepNext w:val="0"/>
        <w:numPr>
          <w:ilvl w:val="0"/>
          <w:numId w:val="88"/>
        </w:numPr>
        <w:spacing w:beforeLines="40" w:before="96" w:after="0" w:line="22" w:lineRule="atLeast"/>
        <w:rPr>
          <w:noProof/>
        </w:rPr>
      </w:pPr>
      <w:r>
        <w:rPr>
          <w:noProof/>
        </w:rPr>
        <w:t xml:space="preserve">Tanfolyamok az energetikai átállással foglalkozó képzési központban: további 12500 személy hosszú távú képzése az energetikai átállás és az éghajlat-politika területén, beleértve a megújuló energiát, a zöld hidrogént, a szintetikus nem biológiai üzemanyagokat és az energiahatékonyságot. </w:t>
      </w:r>
    </w:p>
    <w:p w14:paraId="492E8053" w14:textId="095C1539" w:rsidR="00DC5EC6" w:rsidRDefault="003245A4">
      <w:pPr>
        <w:pStyle w:val="P68B1DB1-Normal4"/>
        <w:spacing w:beforeLines="40" w:before="96" w:after="0" w:line="22" w:lineRule="atLeast"/>
        <w:jc w:val="both"/>
        <w:rPr>
          <w:noProof/>
        </w:rPr>
      </w:pPr>
      <w:r>
        <w:rPr>
          <w:noProof/>
        </w:rPr>
        <w:t xml:space="preserve">A zöld munka és készségfejlesztési program kedvezményezettjei mellett elsőbbséget kell biztosítani azoknak a kedvezményezetteknek is, akik hajlandók megszerezni a megújuló energiaforrások (beleértve a hidrogént is) és az energiahatékonysági projektek végrehajtásához elengedhetetlennek ítélt készségeket. </w:t>
      </w:r>
    </w:p>
    <w:p w14:paraId="2E4CC163" w14:textId="3B761BEC" w:rsidR="00DC5EC6" w:rsidRDefault="003245A4">
      <w:pPr>
        <w:pStyle w:val="P68B1DB1-Normal4"/>
        <w:spacing w:beforeLines="40" w:before="96" w:after="0" w:line="22" w:lineRule="atLeast"/>
        <w:jc w:val="both"/>
        <w:rPr>
          <w:rFonts w:eastAsiaTheme="minorEastAsia" w:cs="Times New Roman"/>
          <w:noProof/>
        </w:rPr>
      </w:pPr>
      <w:r>
        <w:rPr>
          <w:noProof/>
        </w:rPr>
        <w:t xml:space="preserve">A képzési útvonalakat a piaci és ipari szövetségek által meghatározott igényeknek megfelelően kell kidolgozni. A megújuló energia és az energiahatékonyság szereplői meghatározzák, hogy a munkaerő-piaci kereslet alapján mely készségek tekinthetők döntő fontosságúnak. A képzés tartalmának tükröznie kell ezeket az igényeket. A képzési ajánlatot az energetikai átállással foglalkozó képzési központ dolgozza ki. </w:t>
      </w:r>
      <w:bookmarkStart w:id="41" w:name="_Int_OV5GmRrb"/>
      <w:bookmarkStart w:id="42" w:name="_Int_knsy2AsN"/>
      <w:bookmarkEnd w:id="41"/>
      <w:bookmarkEnd w:id="42"/>
    </w:p>
    <w:p w14:paraId="1A64A2BF" w14:textId="77777777" w:rsidR="00DC5EC6" w:rsidRDefault="003245A4">
      <w:pPr>
        <w:pStyle w:val="P68B1DB1-Normal4"/>
        <w:spacing w:beforeLines="40" w:before="96" w:after="0" w:line="22" w:lineRule="atLeast"/>
        <w:jc w:val="both"/>
        <w:rPr>
          <w:rFonts w:cs="Times New Roman"/>
          <w:noProof/>
        </w:rPr>
      </w:pPr>
      <w:r>
        <w:rPr>
          <w:noProof/>
        </w:rPr>
        <w:t xml:space="preserve">A reform végrehajtását 2025. december 31-ig be kell fejezni.  </w:t>
      </w:r>
    </w:p>
    <w:p w14:paraId="52BA1BAC" w14:textId="753C1FAF"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Reform RP-C21–r46: A megújuló hidrogénre vonatkozó szabályozási keret</w:t>
      </w:r>
    </w:p>
    <w:p w14:paraId="48C489B3" w14:textId="77777777" w:rsidR="00DC5EC6" w:rsidRDefault="003245A4">
      <w:pPr>
        <w:pStyle w:val="P68B1DB1-Normal4"/>
        <w:spacing w:before="40" w:after="0" w:line="259" w:lineRule="auto"/>
        <w:jc w:val="both"/>
        <w:rPr>
          <w:rFonts w:cs="Times New Roman"/>
          <w:noProof/>
        </w:rPr>
      </w:pPr>
      <w:r>
        <w:rPr>
          <w:noProof/>
        </w:rPr>
        <w:t>E reform célja, hogy a dekarbonizált gazdaságra való átállásra irányuló átfogóbb stratégia részeként ösztönözze a megújuló hidrogén előmozdítását. E reform célja továbbá a földgázhálózat dekarbonizációjához szükséges feltételek megteremtése és a megújuló hidrogén értékláncának fejlesztése.</w:t>
      </w:r>
    </w:p>
    <w:p w14:paraId="36E3674D" w14:textId="1E98692D" w:rsidR="00DC5EC6" w:rsidRDefault="003245A4">
      <w:pPr>
        <w:pStyle w:val="P68B1DB1-Normal4"/>
        <w:spacing w:before="40" w:after="0" w:line="259" w:lineRule="auto"/>
        <w:jc w:val="both"/>
        <w:rPr>
          <w:rFonts w:cs="Times New Roman"/>
          <w:noProof/>
        </w:rPr>
      </w:pPr>
      <w:r>
        <w:rPr>
          <w:noProof/>
        </w:rPr>
        <w:t xml:space="preserve">A reform a Nemzeti Gázszállítási Hálózatról szóló rendelet és a nemzeti gázelosztó hálózatról szóló rendelet felülvizsgálatából áll, amelyet az Energiaügyi és Földtani Főigazgatóság hagy jóvá (nevezetesen a 806-B/2022. és a 806-C/2022. sz. rendelet). A két módosított rendelet meghatározza a megújuló hidrogén előállítására, tanúsítására, szállítására, tárolására, szivárgásának elkerülésére és adott esetben a gázhálózatba történő betáplálásra vonatkozó műszaki kritériumokat és működési szempontokat, meghatározza a besajtolás kezeléséért felelős szervezetet, és meghatározza azokat a kritériumokat, amelyek alapján (a felülvizsgált portugál nemzeti hidrogénstratégiával összhangban) nem lépi túl a hidrogén gázhálózatban megengedett legnagyobb koncentrációját. Meghatározzák továbbá a megújuló hidrogén végfelhasználóit az uniós hidrogénstratégiával összhangban, az ipari és a közlekedési ágazat nehezen dekarbonizálható alkalmazásait célozva, valamint a számlázási rendszer, a fűtési kapacitás és a gázminőség (például a bruttó kalóriaérték (GCV), a Wobbe-index (az égés minőségének mutatója) és a további összetevők (például CO2, szénhidrogén, H2O, kén stb.) jelenlétének átláthatóságát biztosító szabályokat.  </w:t>
      </w:r>
    </w:p>
    <w:p w14:paraId="4CFED58E" w14:textId="3EFE5584" w:rsidR="00DC5EC6" w:rsidRDefault="003245A4">
      <w:pPr>
        <w:pStyle w:val="P68B1DB1-Normal4"/>
        <w:spacing w:before="40" w:after="0" w:line="259" w:lineRule="auto"/>
        <w:jc w:val="both"/>
        <w:rPr>
          <w:rFonts w:cs="Times New Roman"/>
          <w:noProof/>
        </w:rPr>
      </w:pPr>
      <w:r>
        <w:rPr>
          <w:noProof/>
        </w:rPr>
        <w:t>Emellett a Hivatalos Lapban (Diário da República) közigazgatási vagy jogi aktust kell kihirdetni, amely megállapítja, hogy csak azok az ipari egységek minősülnek megújuló hidrogént előállító létesítményeknek, amelyek megfelelnek a megújulóenergia-irányelvben és annak felhatalmazáson alapuló jogi aktusaiban ((EU) 2018/2001) foglalt követelményeknek. A jogi aktus meghatározza továbbá a megújuló eredetű gázok előállítására vonatkozó engedélyt kérelmezők által követendő eljárást, előírva, hogy az engedélyt kérelmezőknek nyilatkozatot kell benyújtaniuk arra vonatkozóan, hogy kötelezettséget vállalnak a megújuló energiaforrásokból előállított energia felhasználására vonatkozóan a megújulóenergia-irányelvben és az ahhoz kapcsolódó (EU) 2018/2001 felhatalmazáson alapuló jogi aktusokban meghatározott követelmények teljesítésére és az előállított hidrogén megújuló eredetének biztosítására.</w:t>
      </w:r>
    </w:p>
    <w:p w14:paraId="67538798" w14:textId="16C7329E" w:rsidR="00DC5EC6" w:rsidRDefault="003245A4">
      <w:pPr>
        <w:pStyle w:val="P68B1DB1-Normal4"/>
        <w:spacing w:before="40" w:after="0" w:line="259" w:lineRule="auto"/>
        <w:jc w:val="both"/>
        <w:rPr>
          <w:rFonts w:cs="Times New Roman"/>
          <w:noProof/>
        </w:rPr>
      </w:pPr>
      <w:r>
        <w:rPr>
          <w:noProof/>
        </w:rPr>
        <w:t>A fent említett közigazgatási vagy jogi aktus azt is előírja, hogy a megújuló hidrogén előállításának megkezdése előtt „az ipari létesítmény telepítésére és üzemeltetésére vonatkozó engedély” megszerzése érdekében a kérelmezőnek adott esetben be kell nyújtania a termelési folyamat során általa fogyasztandó megújuló energia megvásárlására vonatkozó végleges szerződést, valamint a nyilatkozatban vállalt kötelezettségek teljesítésének igazolásához szükséges információkat.</w:t>
      </w:r>
    </w:p>
    <w:p w14:paraId="0A85B859"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2024. június 30-ig be kell fejezni.</w:t>
      </w:r>
    </w:p>
    <w:p w14:paraId="6FC4D499" w14:textId="16F151BF" w:rsidR="00DC5EC6" w:rsidRDefault="003245A4">
      <w:pPr>
        <w:pStyle w:val="P68B1DB1-Normal5"/>
        <w:keepNext/>
        <w:spacing w:before="240" w:after="0" w:line="259" w:lineRule="auto"/>
        <w:ind w:left="851"/>
        <w:jc w:val="both"/>
        <w:outlineLvl w:val="2"/>
        <w:rPr>
          <w:rFonts w:eastAsiaTheme="minorEastAsia"/>
          <w:noProof/>
        </w:rPr>
      </w:pPr>
      <w:bookmarkStart w:id="43" w:name="bookmark30"/>
      <w:r>
        <w:rPr>
          <w:noProof/>
        </w:rPr>
        <w:t>Reform RP-C21–r47: A fenntartható biometánra</w:t>
      </w:r>
      <w:bookmarkEnd w:id="43"/>
      <w:r>
        <w:rPr>
          <w:noProof/>
        </w:rPr>
        <w:t xml:space="preserve"> és a biometánra vonatkozó cselekvési terv első árverése</w:t>
      </w:r>
    </w:p>
    <w:p w14:paraId="6D1CD5D5" w14:textId="1350F59D" w:rsidR="00DC5EC6" w:rsidRDefault="003245A4">
      <w:pPr>
        <w:pStyle w:val="P68B1DB1-Normal4"/>
        <w:spacing w:before="40" w:after="0" w:line="259" w:lineRule="auto"/>
        <w:jc w:val="both"/>
        <w:rPr>
          <w:rFonts w:cs="Times New Roman"/>
          <w:noProof/>
        </w:rPr>
      </w:pPr>
      <w:r>
        <w:rPr>
          <w:noProof/>
        </w:rPr>
        <w:t xml:space="preserve">E reform célja a fenntartható biometán előállításának és fogyasztásának előmozdítása és fellendítése, megteremtve a portugál biometán-gazdaság fejlődéséhez szükséges feltételeket. </w:t>
      </w:r>
    </w:p>
    <w:p w14:paraId="06444E15" w14:textId="479A0C14" w:rsidR="00DC5EC6" w:rsidRDefault="003245A4">
      <w:pPr>
        <w:pStyle w:val="P68B1DB1-Normal4"/>
        <w:spacing w:before="40" w:after="0" w:line="259" w:lineRule="auto"/>
        <w:jc w:val="both"/>
        <w:rPr>
          <w:rFonts w:cs="Times New Roman"/>
          <w:noProof/>
        </w:rPr>
      </w:pPr>
      <w:r>
        <w:rPr>
          <w:noProof/>
        </w:rPr>
        <w:t>A reform maga után vonja a fenntartható biometán központosított beszerzésére irányuló első árverést a nagykereskedelmi Last Resort Marketer (CURg) által, a 15/2023. (I. 4.) Korm. rendelettel összhangban. Az árverés célja 150 GWh/év biometán nemzeti gázhálózatba történő betáplálása. A reform magában foglalja a biometánra vonatkozó cselekvési terv elfogadását is, amely meghatározza a biometán portugáliai fejlesztésére vonatkozó stratégiát. A cselekvési terv intézkedéseket javasol a kedvező szabályozási keret biztosítása érdekében, olyan közpolitikákkal együtt, amelyek támogatják a biometán belső piacának létrehozását, mind a termelés támogatása, mind pedig a fogyasztás ösztönzése érdekében.</w:t>
      </w:r>
    </w:p>
    <w:p w14:paraId="05743F4B" w14:textId="77777777" w:rsidR="00DC5EC6" w:rsidRDefault="003245A4">
      <w:pPr>
        <w:pStyle w:val="P68B1DB1-Normal4"/>
        <w:spacing w:before="40" w:after="0" w:line="259" w:lineRule="auto"/>
        <w:jc w:val="both"/>
        <w:rPr>
          <w:rFonts w:eastAsiaTheme="minorEastAsia" w:cs="Times New Roman"/>
          <w:noProof/>
        </w:rPr>
      </w:pPr>
      <w:r>
        <w:rPr>
          <w:noProof/>
        </w:rPr>
        <w:t>A reform végrehajtását 2024. március 31-ig be kell fejezni.</w:t>
      </w:r>
    </w:p>
    <w:p w14:paraId="69A70CF0" w14:textId="37012EB1"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Reform RP-C21-r48: A megújulóenergia-projektekre alkalmazandó jogi és szabályozási keret egyszerűsítése</w:t>
      </w:r>
    </w:p>
    <w:p w14:paraId="48A84454" w14:textId="77777777" w:rsidR="00DC5EC6" w:rsidRDefault="003245A4">
      <w:pPr>
        <w:pStyle w:val="P68B1DB1-Bodytext2020"/>
        <w:spacing w:before="40" w:after="0" w:line="259" w:lineRule="auto"/>
        <w:ind w:firstLine="0"/>
        <w:jc w:val="both"/>
        <w:rPr>
          <w:rFonts w:cs="Times New Roman"/>
          <w:b/>
          <w:noProof/>
        </w:rPr>
      </w:pPr>
      <w:r>
        <w:rPr>
          <w:noProof/>
        </w:rPr>
        <w:t xml:space="preserve">E reform célja a megújulóenergia-projektek előmozdítása a megújuló energia engedélyezésére vonatkozó jogi és szabályozási keret egyszerűsítése, valamint az engedélyezéssel foglalkozók és az érintett digitális eszközök képzése révén. </w:t>
      </w:r>
    </w:p>
    <w:p w14:paraId="7A522EFE" w14:textId="77777777" w:rsidR="00DC5EC6" w:rsidRDefault="003245A4">
      <w:pPr>
        <w:pStyle w:val="P68B1DB1-Bodytext2020"/>
        <w:spacing w:before="40" w:after="0" w:line="259" w:lineRule="auto"/>
        <w:ind w:firstLine="0"/>
        <w:jc w:val="both"/>
        <w:rPr>
          <w:rFonts w:cs="Times New Roman"/>
          <w:b/>
          <w:noProof/>
        </w:rPr>
      </w:pPr>
      <w:r>
        <w:rPr>
          <w:noProof/>
        </w:rPr>
        <w:t>A reform a következőket foglalja magában:</w:t>
      </w:r>
    </w:p>
    <w:p w14:paraId="3DE1B65E" w14:textId="44219824" w:rsidR="00DC5EC6" w:rsidRDefault="003245A4">
      <w:pPr>
        <w:pStyle w:val="ListParagraph"/>
        <w:keepNext w:val="0"/>
        <w:numPr>
          <w:ilvl w:val="0"/>
          <w:numId w:val="89"/>
        </w:numPr>
        <w:spacing w:before="40" w:after="0" w:line="259" w:lineRule="auto"/>
        <w:rPr>
          <w:noProof/>
        </w:rPr>
      </w:pPr>
      <w:r>
        <w:rPr>
          <w:noProof/>
        </w:rPr>
        <w:t>A 2030-ig tartó időszakra vonatkozó megújulóenergia-projektek engedélyezésével foglalkozó küldetési egység létrehozásáról szóló jogalkotási aktus hatálybalépése (nyolca 2030). 2030 nyara feladata többek között a következő:</w:t>
      </w:r>
    </w:p>
    <w:p w14:paraId="171E03CD" w14:textId="77777777" w:rsidR="00DC5EC6" w:rsidRDefault="003245A4">
      <w:pPr>
        <w:pStyle w:val="ListParagraph"/>
        <w:keepNext w:val="0"/>
        <w:numPr>
          <w:ilvl w:val="1"/>
          <w:numId w:val="89"/>
        </w:numPr>
        <w:spacing w:before="40" w:after="0" w:line="259" w:lineRule="auto"/>
        <w:rPr>
          <w:noProof/>
        </w:rPr>
      </w:pPr>
      <w:r>
        <w:rPr>
          <w:noProof/>
        </w:rPr>
        <w:t>Biztosítsa a 2030-ig tartó időszakra vonatkozó felülvizsgált nemzeti energia- és klímaterv célkitűzéseinek teljesülését, és gyorsítsa fel a megújulóenergia-projektek végrehajtását Portugáliában;</w:t>
      </w:r>
    </w:p>
    <w:p w14:paraId="7584862B" w14:textId="77777777" w:rsidR="00DC5EC6" w:rsidRDefault="003245A4">
      <w:pPr>
        <w:pStyle w:val="ListParagraph"/>
        <w:keepNext w:val="0"/>
        <w:numPr>
          <w:ilvl w:val="1"/>
          <w:numId w:val="89"/>
        </w:numPr>
        <w:spacing w:before="40" w:after="0" w:line="259" w:lineRule="auto"/>
        <w:rPr>
          <w:noProof/>
        </w:rPr>
      </w:pPr>
      <w:r>
        <w:rPr>
          <w:noProof/>
        </w:rPr>
        <w:t xml:space="preserve">Eljárási kézikönyv kidolgozása a saját fogyasztásra és a megújulóenergia-közösségekre vonatkozó engedélyezési eljárás támogatása és egyszerűsítése érdekében; </w:t>
      </w:r>
    </w:p>
    <w:p w14:paraId="781C1063" w14:textId="77777777" w:rsidR="00DC5EC6" w:rsidRDefault="003245A4">
      <w:pPr>
        <w:pStyle w:val="ListParagraph"/>
        <w:keepNext w:val="0"/>
        <w:numPr>
          <w:ilvl w:val="1"/>
          <w:numId w:val="89"/>
        </w:numPr>
        <w:spacing w:before="40" w:after="0" w:line="259" w:lineRule="auto"/>
        <w:rPr>
          <w:noProof/>
        </w:rPr>
      </w:pPr>
      <w:r>
        <w:rPr>
          <w:noProof/>
        </w:rPr>
        <w:t xml:space="preserve">A megújulóenergia-projektek engedélyezésével és nyomon követésével foglalkozó </w:t>
      </w:r>
      <w:r>
        <w:rPr>
          <w:i/>
          <w:noProof/>
        </w:rPr>
        <w:t>egyablakos ügyintézési</w:t>
      </w:r>
      <w:r>
        <w:rPr>
          <w:noProof/>
        </w:rPr>
        <w:t xml:space="preserve"> rendszer (RP-C14-i02) kidolgozása, végrehajtása és irányítása;</w:t>
      </w:r>
    </w:p>
    <w:p w14:paraId="67AD8E0A" w14:textId="77777777" w:rsidR="00DC5EC6" w:rsidRDefault="003245A4">
      <w:pPr>
        <w:pStyle w:val="ListParagraph"/>
        <w:keepNext w:val="0"/>
        <w:numPr>
          <w:ilvl w:val="1"/>
          <w:numId w:val="89"/>
        </w:numPr>
        <w:spacing w:before="40" w:after="0" w:line="259" w:lineRule="auto"/>
        <w:rPr>
          <w:noProof/>
        </w:rPr>
      </w:pPr>
      <w:r>
        <w:rPr>
          <w:noProof/>
        </w:rPr>
        <w:t>A megújuló energiaforrások hasznosítására irányuló ágazati programra vonatkozó javaslat kidolgozása;</w:t>
      </w:r>
    </w:p>
    <w:p w14:paraId="082EFB04" w14:textId="77777777" w:rsidR="00DC5EC6" w:rsidRDefault="003245A4">
      <w:pPr>
        <w:pStyle w:val="ListParagraph"/>
        <w:keepNext w:val="0"/>
        <w:numPr>
          <w:ilvl w:val="1"/>
          <w:numId w:val="89"/>
        </w:numPr>
        <w:spacing w:before="40" w:after="0" w:line="259" w:lineRule="auto"/>
        <w:rPr>
          <w:noProof/>
        </w:rPr>
      </w:pPr>
      <w:r>
        <w:rPr>
          <w:noProof/>
        </w:rPr>
        <w:t>A megújuló energiával és tárolással kapcsolatos projektek elektromos és környezetvédelmi engedélyezésére vonatkozó jogi és szabályozási keret megszilárdítása.</w:t>
      </w:r>
    </w:p>
    <w:p w14:paraId="0D6072B7" w14:textId="77777777" w:rsidR="00DC5EC6" w:rsidRDefault="003245A4">
      <w:pPr>
        <w:pStyle w:val="P68B1DB1-Bodytext2020"/>
        <w:widowControl/>
        <w:numPr>
          <w:ilvl w:val="0"/>
          <w:numId w:val="89"/>
        </w:numPr>
        <w:shd w:val="clear" w:color="auto" w:fill="auto"/>
        <w:spacing w:before="40" w:after="0" w:line="259" w:lineRule="auto"/>
        <w:jc w:val="both"/>
        <w:rPr>
          <w:rFonts w:eastAsiaTheme="minorEastAsia" w:cs="Times New Roman"/>
          <w:b/>
          <w:noProof/>
        </w:rPr>
      </w:pPr>
      <w:r>
        <w:rPr>
          <w:noProof/>
        </w:rPr>
        <w:t>A reform magában foglalja továbbá a megújulóenergia- és tárolási projektek önkormányzati engedélyezéséről szóló rendelet létrehozását a 113/2015. sz. miniszteri rendelet módosításával, amely meghatározza a megújulóenergia-projektek önkormányzati engedélyezési eljárása során benyújtandó releváns elemeket.</w:t>
      </w:r>
    </w:p>
    <w:p w14:paraId="481D9B0A" w14:textId="77777777" w:rsidR="00DC5EC6" w:rsidRDefault="003245A4">
      <w:pPr>
        <w:pStyle w:val="P68B1DB1-Bodytext2020"/>
        <w:widowControl/>
        <w:numPr>
          <w:ilvl w:val="0"/>
          <w:numId w:val="89"/>
        </w:numPr>
        <w:shd w:val="clear" w:color="auto" w:fill="auto"/>
        <w:spacing w:before="40" w:after="0" w:line="259" w:lineRule="auto"/>
        <w:jc w:val="both"/>
        <w:rPr>
          <w:rFonts w:cs="Times New Roman"/>
          <w:b/>
          <w:noProof/>
        </w:rPr>
      </w:pPr>
      <w:r>
        <w:rPr>
          <w:noProof/>
        </w:rPr>
        <w:t>A reformnak tartalmaznia kell továbbá az új megújulóenergia-kapacitás elosztásának ütemtervét, különös tekintettel a megújuló energiaforrások hasznosítására irányuló ágazati programból eredő földrajzi területekre.</w:t>
      </w:r>
    </w:p>
    <w:p w14:paraId="32D1B031" w14:textId="77777777" w:rsidR="00DC5EC6" w:rsidRDefault="003245A4">
      <w:pPr>
        <w:pStyle w:val="P68B1DB1-Bodytext2020"/>
        <w:widowControl/>
        <w:numPr>
          <w:ilvl w:val="0"/>
          <w:numId w:val="89"/>
        </w:numPr>
        <w:shd w:val="clear" w:color="auto" w:fill="auto"/>
        <w:spacing w:before="40" w:after="0" w:line="259" w:lineRule="auto"/>
        <w:jc w:val="both"/>
        <w:rPr>
          <w:rFonts w:cs="Times New Roman"/>
          <w:b/>
          <w:noProof/>
        </w:rPr>
      </w:pPr>
      <w:r>
        <w:rPr>
          <w:noProof/>
        </w:rPr>
        <w:t xml:space="preserve">A reform magában foglalja továbbá a központi, regionális és helyi közigazgatás 500 vezetőjének és technikusának a megújulóenergia-projektek és az energiatárolás engedélyezési eljárásaival kapcsolatos képzését is. </w:t>
      </w:r>
    </w:p>
    <w:p w14:paraId="31610E4F" w14:textId="77777777" w:rsidR="00DC5EC6" w:rsidRDefault="003245A4">
      <w:pPr>
        <w:pStyle w:val="P68B1DB1-Normal4"/>
        <w:spacing w:before="40" w:after="0" w:line="259" w:lineRule="auto"/>
        <w:jc w:val="both"/>
        <w:rPr>
          <w:rFonts w:cs="Times New Roman"/>
          <w:noProof/>
        </w:rPr>
      </w:pPr>
      <w:r>
        <w:rPr>
          <w:noProof/>
        </w:rPr>
        <w:t>A reform végrehajtását 2024. június 30-ig be kell fejezni.</w:t>
      </w:r>
    </w:p>
    <w:p w14:paraId="2D61E7C0" w14:textId="436900C9" w:rsidR="00DC5EC6" w:rsidRDefault="003245A4">
      <w:pPr>
        <w:pStyle w:val="P68B1DB1-Normal5"/>
        <w:keepNext/>
        <w:spacing w:before="240" w:after="0" w:line="259" w:lineRule="auto"/>
        <w:ind w:left="851"/>
        <w:jc w:val="both"/>
        <w:outlineLvl w:val="2"/>
        <w:rPr>
          <w:rFonts w:eastAsiaTheme="minorEastAsia" w:cs="Times New Roman"/>
          <w:noProof/>
        </w:rPr>
      </w:pPr>
      <w:bookmarkStart w:id="44" w:name="_Hlk140157845"/>
      <w:r>
        <w:rPr>
          <w:noProof/>
        </w:rPr>
        <w:t xml:space="preserve">RP-C21– </w:t>
      </w:r>
      <w:bookmarkEnd w:id="44"/>
      <w:r>
        <w:rPr>
          <w:noProof/>
        </w:rPr>
        <w:t>i06 növekményes intézkedés: Hidrogén és megújuló gázok</w:t>
      </w:r>
    </w:p>
    <w:p w14:paraId="20046906" w14:textId="77777777" w:rsidR="00DC5EC6" w:rsidRDefault="003245A4">
      <w:pPr>
        <w:pStyle w:val="P68B1DB1-Normal4"/>
        <w:spacing w:before="40" w:after="0" w:line="259" w:lineRule="auto"/>
        <w:jc w:val="both"/>
        <w:rPr>
          <w:rFonts w:cs="Times New Roman"/>
          <w:noProof/>
        </w:rPr>
      </w:pPr>
      <w:r>
        <w:rPr>
          <w:noProof/>
        </w:rPr>
        <w:t xml:space="preserve">E beruházás célja a meglévő C14-i01 </w:t>
      </w:r>
      <w:r>
        <w:rPr>
          <w:i/>
          <w:noProof/>
        </w:rPr>
        <w:t xml:space="preserve">beruházás növelése: Hidrogén és megújuló gázok </w:t>
      </w:r>
      <w:r>
        <w:rPr>
          <w:noProof/>
        </w:rPr>
        <w:t>a 14. összetevő keretében.</w:t>
      </w:r>
    </w:p>
    <w:p w14:paraId="643DCE77"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Az intézkedés bővített részének növelnie kell a megújuló hidrogén és a megújuló gáz termelési kapacitását. Az intézkedés a megújuló gázok termelésének, tárolásának, szállításának és elosztásának előmozdítására irányuló intézkedésekből áll, amelyek célja a megújuló gázok energiafogyasztáshoz való hozzájárulásának növelése, az ÜHG-kibocsátás csökkentése, az energiafüggőség csökkentése és az energiaellátás biztonságának javítása.</w:t>
      </w:r>
    </w:p>
    <w:p w14:paraId="3226896B"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 xml:space="preserve">Különböző alkalmazásokat kell támogatni, mint például a megújuló gázok közlekedési célú felhasználását és a megújuló gázok földgázhálózatba történő betáplálását. </w:t>
      </w:r>
    </w:p>
    <w:p w14:paraId="0B728DB7"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 xml:space="preserve">Megújuló hidrogén előállításához csak elektrolízis használható. </w:t>
      </w:r>
    </w:p>
    <w:p w14:paraId="44B34FAA"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 xml:space="preserve">Az egyéb megújuló eredetű gázok előállításához más technológiákat kell alkalmazni: termokémiai és hidrotermikus folyamatok (kizárólag fenntartható biometán előállítására); biológiai folyamatok (biofotolízis és fermentáció); a biomassza-anyagok anaerob lebontásából származó biogáz-dúsítás kizárólag fenntartható biometán előállítására használható fel (a biogáz előállítása akkor támogatható, ha az magában foglalja a biogáz fenntartható biometánná történő átalakítását is); és d) metanálást csak biohulladékból lehet előállítani. </w:t>
      </w:r>
    </w:p>
    <w:p w14:paraId="2E0410B7" w14:textId="77C7C6FA" w:rsidR="00DC5EC6" w:rsidRDefault="003245A4">
      <w:pPr>
        <w:pStyle w:val="P68B1DB1-Bodytext2020"/>
        <w:spacing w:before="40" w:after="0" w:line="259" w:lineRule="auto"/>
        <w:ind w:firstLine="0"/>
        <w:jc w:val="both"/>
        <w:rPr>
          <w:rFonts w:eastAsiaTheme="minorEastAsia" w:cs="Times New Roman"/>
          <w:b/>
          <w:noProof/>
        </w:rPr>
      </w:pPr>
      <w:r>
        <w:rPr>
          <w:noProof/>
        </w:rPr>
        <w:t xml:space="preserve">A megújuló hidrogén egyéb megújuló eredetű gázok előállításának meg kell felelnie a megújulóenergia-irányelvnek és az ahhoz kapcsolódó felhatalmazáson alapuló jogi aktusoknak ((EU) 2018/2001). </w:t>
      </w:r>
    </w:p>
    <w:p w14:paraId="6D01FBCB" w14:textId="34B7C01C" w:rsidR="00DC5EC6" w:rsidRDefault="003245A4">
      <w:pPr>
        <w:pStyle w:val="P68B1DB1-Bodytext2020"/>
        <w:spacing w:before="40" w:after="0" w:line="259" w:lineRule="auto"/>
        <w:ind w:firstLine="0"/>
        <w:jc w:val="both"/>
        <w:rPr>
          <w:rFonts w:eastAsiaTheme="minorEastAsia" w:cs="Times New Roman"/>
          <w:b/>
          <w:noProof/>
        </w:rPr>
      </w:pPr>
      <w:r>
        <w:rPr>
          <w:noProof/>
        </w:rPr>
        <w:t xml:space="preserve">A beruházásoknak különös figyelmet kell fordítaniuk, és a megújuló hidrogén és más megújuló gázok előállításához szükséges beépített kapacitás növelésére kell irányulniuk, beleértve a megújuló hidrogén előállítására szolgáló elektrolizátorok beépített kapacitását is. A projektet nyílt pályázati felhívás(ok)on keresztül kell végrehajtani azzal a céllal, hogy projektenként legfeljebb 15 000 000 EUR összegig támogassák a projekteket. </w:t>
      </w:r>
    </w:p>
    <w:p w14:paraId="0025873F"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Ez az intézkedés támogatja a kiforrott technológiákat (TRL &gt; 8), amelyek nemcsak a megújuló hidrogén előállítását ösztönzik, hanem más megújuló gázok előállítását is, többek között a települési hulladék szerves összetevőjének, a szennyvíztisztító telepek iszapjának, valamint a mezőgazdasági és ipari szennyvizek energetikai hasznosítása révén (a műanyaghulladék kivételével). A széntartalom újrahasznosításával nyert üzemanyagok előállítása nem irányozható elő e beruházás részeként.</w:t>
      </w:r>
    </w:p>
    <w:p w14:paraId="46B6D36C" w14:textId="77777777" w:rsidR="00DC5EC6" w:rsidRDefault="003245A4">
      <w:pPr>
        <w:pStyle w:val="P68B1DB1-Bodytext2020"/>
        <w:spacing w:before="40" w:after="0" w:line="259" w:lineRule="auto"/>
        <w:ind w:firstLine="0"/>
        <w:jc w:val="both"/>
        <w:rPr>
          <w:rFonts w:eastAsiaTheme="minorEastAsia" w:cs="Times New Roman"/>
          <w:b/>
          <w:noProof/>
        </w:rPr>
      </w:pPr>
      <w:r>
        <w:rPr>
          <w:noProof/>
        </w:rPr>
        <w:t>A beruházás végrehajtását 2026. június 30-ig be kell fejezni.</w:t>
      </w:r>
    </w:p>
    <w:p w14:paraId="1D5BE002" w14:textId="08876800" w:rsidR="00DC5EC6" w:rsidRDefault="003245A4">
      <w:pPr>
        <w:pStyle w:val="P68B1DB1-Normal5"/>
        <w:keepNext/>
        <w:spacing w:before="240" w:after="0" w:line="259" w:lineRule="auto"/>
        <w:ind w:left="851"/>
        <w:jc w:val="both"/>
        <w:outlineLvl w:val="2"/>
        <w:rPr>
          <w:rFonts w:eastAsiaTheme="minorEastAsia" w:cs="Times New Roman"/>
          <w:noProof/>
        </w:rPr>
      </w:pPr>
      <w:bookmarkStart w:id="45" w:name="bookmark45"/>
      <w:r>
        <w:rPr>
          <w:noProof/>
        </w:rPr>
        <w:t>RP-C21–i07 beruházás: A tengeri energiapotenciálra vonatkozó műszaki tanulmányok</w:t>
      </w:r>
      <w:bookmarkEnd w:id="45"/>
    </w:p>
    <w:p w14:paraId="68AD5D6E" w14:textId="77777777" w:rsidR="00DC5EC6" w:rsidRDefault="003245A4">
      <w:pPr>
        <w:pStyle w:val="P68B1DB1-Bodytext2020"/>
        <w:spacing w:before="40" w:after="0" w:line="259" w:lineRule="auto"/>
        <w:ind w:firstLine="0"/>
        <w:jc w:val="both"/>
        <w:rPr>
          <w:rFonts w:eastAsiaTheme="minorEastAsia" w:cs="Times New Roman"/>
          <w:noProof/>
        </w:rPr>
      </w:pPr>
      <w:bookmarkStart w:id="46" w:name="_Hlk137476371"/>
      <w:r>
        <w:rPr>
          <w:noProof/>
        </w:rPr>
        <w:t xml:space="preserve">E beruházás célja, hogy lehetővé tegye a portugál állam számára, hogy versenytárgyalási eljárásokat folytasson le úszó tengeri szélerőművek telepítésére. </w:t>
      </w:r>
    </w:p>
    <w:p w14:paraId="023D26BD" w14:textId="77777777" w:rsidR="00DC5EC6" w:rsidRDefault="003245A4">
      <w:pPr>
        <w:pStyle w:val="P68B1DB1-Bodytext2020"/>
        <w:spacing w:before="40" w:after="0" w:line="259" w:lineRule="auto"/>
        <w:ind w:firstLine="0"/>
        <w:jc w:val="both"/>
        <w:rPr>
          <w:rFonts w:eastAsiaTheme="minorEastAsia" w:cs="Times New Roman"/>
          <w:noProof/>
        </w:rPr>
      </w:pPr>
      <w:r>
        <w:rPr>
          <w:noProof/>
        </w:rPr>
        <w:t xml:space="preserve">A beruházás nagy felbontású geofizikai, geotechnikai, szél-, hullám- és aktuális tanulmányok fejlesztéséből áll az Atlanti-óceán legalább 2 000 km²-es területén. A tanulmányok – azok elkészültét követően – alapul szolgálnak a nemzeti tengeri területrendezési helyzettervben (PSOEM) felsorolt tengeri területekre vonatkozó későbbi árverések elindításához. </w:t>
      </w:r>
    </w:p>
    <w:p w14:paraId="609A2BBF" w14:textId="28DEB11B" w:rsidR="00DC5EC6" w:rsidRDefault="003245A4">
      <w:pPr>
        <w:pStyle w:val="P68B1DB1-Bodytext2020"/>
        <w:spacing w:before="40" w:after="0" w:line="259" w:lineRule="auto"/>
        <w:ind w:firstLine="0"/>
        <w:jc w:val="both"/>
        <w:rPr>
          <w:rFonts w:eastAsiaTheme="minorEastAsia" w:cs="Times New Roman"/>
          <w:noProof/>
        </w:rPr>
      </w:pPr>
      <w:r>
        <w:rPr>
          <w:noProof/>
        </w:rPr>
        <w:t xml:space="preserve">A beruházás végrehajtását 2026. június 30-ig be kell fejezni. </w:t>
      </w:r>
    </w:p>
    <w:bookmarkEnd w:id="46"/>
    <w:p w14:paraId="42F0CC47" w14:textId="36768B60"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RP-C21–i08 beruházás: Hálózati rugalmasság és tárolás</w:t>
      </w:r>
    </w:p>
    <w:p w14:paraId="2AD9942A" w14:textId="77777777" w:rsidR="00DC5EC6" w:rsidRDefault="003245A4">
      <w:pPr>
        <w:pStyle w:val="P68B1DB1-Bodytext2020"/>
        <w:spacing w:before="40" w:after="0" w:line="259" w:lineRule="auto"/>
        <w:ind w:firstLine="0"/>
        <w:jc w:val="both"/>
        <w:rPr>
          <w:rFonts w:eastAsiaTheme="minorEastAsia" w:cs="Times New Roman"/>
          <w:noProof/>
        </w:rPr>
      </w:pPr>
      <w:r>
        <w:rPr>
          <w:noProof/>
        </w:rPr>
        <w:t xml:space="preserve">E beruházás célja a közcélú villamosenergia-hálózat rugalmasságának növelése, lehetővé téve a villamosenergia-rendszer optimalizálását és rugalmas irányítását, figyelembe véve a megújuló energiaforrásokból előállított villamos energia előállításának és fogyasztásának várható növekedését is. </w:t>
      </w:r>
    </w:p>
    <w:p w14:paraId="7815D6F6" w14:textId="0347E7C2" w:rsidR="00DC5EC6" w:rsidRDefault="003245A4">
      <w:pPr>
        <w:pStyle w:val="P68B1DB1-Bodytext2020"/>
        <w:spacing w:before="40" w:after="0" w:line="259" w:lineRule="auto"/>
        <w:ind w:firstLine="0"/>
        <w:jc w:val="both"/>
        <w:rPr>
          <w:rFonts w:eastAsiaTheme="minorEastAsia" w:cs="Times New Roman"/>
          <w:noProof/>
        </w:rPr>
      </w:pPr>
      <w:r>
        <w:rPr>
          <w:noProof/>
        </w:rPr>
        <w:t>A beruházásnak magában kell foglalnia legalább 500 MW energiatároló kapacitás villamosenergia-hálózaton belüli telepítésének támogatását (átviteli és elosztási szinten egyaránt). A tárolási kapacitást a leginkább rászoruló területek előzetes azonosítása alapján kell elosztani, például a legnagyobb hálózati korlátokkal rendelkező vagy a megújuló energiaforrásokból előállított energia legnagyobb elterjedésével rendelkező területek előzetes azonosítása alapján. A projektek az elszámolható költségek legfeljebb 20%-áig támogathatók.</w:t>
      </w:r>
    </w:p>
    <w:p w14:paraId="78E4950C" w14:textId="77777777" w:rsidR="00DC5EC6" w:rsidRDefault="003245A4">
      <w:pPr>
        <w:pStyle w:val="P68B1DB1-Bodytext2020"/>
        <w:spacing w:before="40" w:after="0" w:line="259" w:lineRule="auto"/>
        <w:ind w:firstLine="0"/>
        <w:jc w:val="both"/>
        <w:rPr>
          <w:rFonts w:eastAsiaTheme="minorEastAsia" w:cs="Times New Roman"/>
          <w:noProof/>
        </w:rPr>
      </w:pPr>
      <w:r>
        <w:rPr>
          <w:noProof/>
        </w:rPr>
        <w:t>E beruházás végrehajtását 2025. december 31-ig be kell fejezni.</w:t>
      </w:r>
    </w:p>
    <w:p w14:paraId="60EBD781" w14:textId="7CCDA1C9" w:rsidR="00DC5EC6" w:rsidRDefault="003245A4">
      <w:pPr>
        <w:pStyle w:val="P68B1DB1-Normal5"/>
        <w:keepNext/>
        <w:spacing w:before="240" w:after="0" w:line="259" w:lineRule="auto"/>
        <w:ind w:left="851"/>
        <w:jc w:val="both"/>
        <w:outlineLvl w:val="2"/>
        <w:rPr>
          <w:rFonts w:eastAsiaTheme="minorEastAsia" w:cs="Times New Roman"/>
          <w:noProof/>
        </w:rPr>
      </w:pPr>
      <w:bookmarkStart w:id="47" w:name="_Toc137472488"/>
      <w:r>
        <w:rPr>
          <w:noProof/>
        </w:rPr>
        <w:t xml:space="preserve">RP-C21-i09 beruházás: Egyablakos ügyintézés a </w:t>
      </w:r>
      <w:bookmarkEnd w:id="47"/>
      <w:r>
        <w:rPr>
          <w:noProof/>
        </w:rPr>
        <w:t>megújulóenergia-projektek engedélyezéséhez és nyomon követéséhez</w:t>
      </w:r>
    </w:p>
    <w:p w14:paraId="52B75311" w14:textId="7CBD5A8C" w:rsidR="00DC5EC6" w:rsidRDefault="003245A4">
      <w:pPr>
        <w:pStyle w:val="P68B1DB1-Normal4"/>
        <w:spacing w:beforeLines="40" w:before="96" w:after="0" w:line="22" w:lineRule="atLeast"/>
        <w:jc w:val="both"/>
        <w:rPr>
          <w:rFonts w:cs="Times New Roman"/>
          <w:noProof/>
        </w:rPr>
      </w:pPr>
      <w:r>
        <w:rPr>
          <w:noProof/>
        </w:rPr>
        <w:t xml:space="preserve">E beruházás célja, hogy a megújulóenergia-projektek engedélyezésére és nyomon követésére szolgáló egyablakos digitális platform létrehozásával megkönnyítse a megújulóenergia-projektek fejlesztését. </w:t>
      </w:r>
    </w:p>
    <w:p w14:paraId="5DFA9FE5" w14:textId="6B59B56A" w:rsidR="00DC5EC6" w:rsidRDefault="003245A4">
      <w:pPr>
        <w:pStyle w:val="P68B1DB1-Normal4"/>
        <w:spacing w:beforeLines="40" w:before="96" w:after="0" w:line="22" w:lineRule="atLeast"/>
        <w:jc w:val="both"/>
        <w:rPr>
          <w:rFonts w:cs="Times New Roman"/>
          <w:noProof/>
        </w:rPr>
      </w:pPr>
      <w:r>
        <w:rPr>
          <w:noProof/>
        </w:rPr>
        <w:t>A beruházás az egyablakos digitális platform fejlesztéséből és elindításából áll. A platformnak a következő funkciókat kell tartalmaznia:</w:t>
      </w:r>
    </w:p>
    <w:p w14:paraId="72D50388" w14:textId="364D295F" w:rsidR="00DC5EC6" w:rsidRDefault="003245A4">
      <w:pPr>
        <w:pStyle w:val="ListParagraph"/>
        <w:keepNext w:val="0"/>
        <w:numPr>
          <w:ilvl w:val="0"/>
          <w:numId w:val="91"/>
        </w:numPr>
        <w:spacing w:beforeLines="40" w:before="96" w:after="0" w:line="22" w:lineRule="atLeast"/>
        <w:rPr>
          <w:rFonts w:eastAsia="MS Mincho"/>
          <w:noProof/>
        </w:rPr>
      </w:pPr>
      <w:r>
        <w:rPr>
          <w:noProof/>
        </w:rPr>
        <w:t>Engedélyezési modul a saját fogyasztással kapcsolatos projektekhez és a megújulóenergia-közösségekhez, valamint a fogyasztásmérő nélküli rendszerekben történő tároláshoz;</w:t>
      </w:r>
    </w:p>
    <w:p w14:paraId="70F57575" w14:textId="53348937" w:rsidR="00DC5EC6" w:rsidRDefault="003245A4">
      <w:pPr>
        <w:pStyle w:val="ListParagraph"/>
        <w:keepNext w:val="0"/>
        <w:numPr>
          <w:ilvl w:val="0"/>
          <w:numId w:val="91"/>
        </w:numPr>
        <w:spacing w:beforeLines="40" w:before="96" w:after="0" w:line="22" w:lineRule="atLeast"/>
        <w:rPr>
          <w:rFonts w:eastAsia="MS Mincho"/>
          <w:noProof/>
        </w:rPr>
      </w:pPr>
      <w:r>
        <w:rPr>
          <w:noProof/>
        </w:rPr>
        <w:t>A kizárólag hálózati alapú, központosított megújulóenergia-projektekre és a fogyasztásmérő nélküli rendszerekben történő tárolásra vonatkozó engedélyezési modul;</w:t>
      </w:r>
    </w:p>
    <w:p w14:paraId="13A80FDA" w14:textId="77777777" w:rsidR="00DC5EC6" w:rsidRDefault="003245A4">
      <w:pPr>
        <w:pStyle w:val="ListParagraph"/>
        <w:keepNext w:val="0"/>
        <w:numPr>
          <w:ilvl w:val="0"/>
          <w:numId w:val="91"/>
        </w:numPr>
        <w:spacing w:beforeLines="40" w:before="96" w:after="0" w:line="22" w:lineRule="atLeast"/>
        <w:rPr>
          <w:rFonts w:eastAsia="MS Mincho"/>
          <w:noProof/>
        </w:rPr>
      </w:pPr>
      <w:r>
        <w:rPr>
          <w:noProof/>
        </w:rPr>
        <w:t xml:space="preserve">Kizárólag tárolásra irányuló projektek engedélyezési modulja; </w:t>
      </w:r>
    </w:p>
    <w:p w14:paraId="3174EBE6" w14:textId="31F04ED3" w:rsidR="00DC5EC6" w:rsidRDefault="003245A4">
      <w:pPr>
        <w:pStyle w:val="ListParagraph"/>
        <w:keepNext w:val="0"/>
        <w:numPr>
          <w:ilvl w:val="0"/>
          <w:numId w:val="91"/>
        </w:numPr>
        <w:spacing w:beforeLines="40" w:before="96" w:after="0" w:line="22" w:lineRule="atLeast"/>
        <w:rPr>
          <w:rFonts w:eastAsia="MS Mincho"/>
          <w:noProof/>
        </w:rPr>
      </w:pPr>
      <w:r>
        <w:rPr>
          <w:noProof/>
        </w:rPr>
        <w:t>A megújulóenergia-projektek megfigyelési és statisztikai modulja.</w:t>
      </w:r>
    </w:p>
    <w:p w14:paraId="6D8A97E4" w14:textId="33FAB76E" w:rsidR="00DC5EC6" w:rsidRDefault="003245A4">
      <w:pPr>
        <w:pStyle w:val="P68B1DB1-Normal4"/>
        <w:spacing w:beforeLines="40" w:before="96" w:after="0" w:line="22" w:lineRule="atLeast"/>
        <w:jc w:val="both"/>
        <w:rPr>
          <w:rFonts w:eastAsia="MS Mincho" w:cs="Times New Roman"/>
          <w:noProof/>
        </w:rPr>
      </w:pPr>
      <w:r>
        <w:rPr>
          <w:noProof/>
        </w:rPr>
        <w:t xml:space="preserve">Az egyablakos ügyintézést két szakaszban kell kialakítani: </w:t>
      </w:r>
    </w:p>
    <w:p w14:paraId="78F1EEA6" w14:textId="77777777" w:rsidR="00DC5EC6" w:rsidRDefault="003245A4">
      <w:pPr>
        <w:pStyle w:val="ListParagraph"/>
        <w:keepNext w:val="0"/>
        <w:numPr>
          <w:ilvl w:val="0"/>
          <w:numId w:val="92"/>
        </w:numPr>
        <w:spacing w:beforeLines="40" w:before="96" w:after="0" w:line="22" w:lineRule="atLeast"/>
        <w:rPr>
          <w:rFonts w:eastAsia="MS Mincho"/>
          <w:noProof/>
        </w:rPr>
      </w:pPr>
      <w:r>
        <w:rPr>
          <w:noProof/>
        </w:rPr>
        <w:t xml:space="preserve">Az első szakaszban a digitális platformnak működőképesnek kell lennie a három engedélyezési modullal, ami lehetővé teszi a felhasználók számára, hogy nyomon kövessék az engedélyezési eljárás különböző lépéseit (beleértve a fejlesztési, üzembe helyezési, tesztelési és bevezetési szakaszokat). A platform bemutatja a megújuló energiával kapcsolatos projektek engedélyezésével kapcsolatos követelményeket és határidőket. </w:t>
      </w:r>
    </w:p>
    <w:p w14:paraId="745D5B00" w14:textId="77777777" w:rsidR="00DC5EC6" w:rsidRDefault="003245A4">
      <w:pPr>
        <w:pStyle w:val="ListParagraph"/>
        <w:keepNext w:val="0"/>
        <w:numPr>
          <w:ilvl w:val="0"/>
          <w:numId w:val="92"/>
        </w:numPr>
        <w:spacing w:beforeLines="40" w:before="96" w:after="0" w:line="22" w:lineRule="atLeast"/>
        <w:rPr>
          <w:noProof/>
        </w:rPr>
      </w:pPr>
      <w:r>
        <w:rPr>
          <w:noProof/>
        </w:rPr>
        <w:t xml:space="preserve">A második szakaszban a digitális platformnak rendelkeznie kell a megfigyelhetőségi és statisztikai modulokkal is, amelyek lehetővé teszik a felhasználók számára az engedélyezési eljárásokkal és az engedélyezett projekt végrehajtásával kapcsolatos adatok bevitelét és dokumentumainak cseréjét. A platform távmegfigyelési (műholdas képalkotási) funkciókat tartalmaz a projektek hatóságok általi végrehajtásának jobb nyomon követése érdekében. </w:t>
      </w:r>
    </w:p>
    <w:p w14:paraId="3C790337" w14:textId="0383A6A5" w:rsidR="00DC5EC6" w:rsidRDefault="003245A4">
      <w:pPr>
        <w:pStyle w:val="P68B1DB1-Normal4"/>
        <w:spacing w:beforeLines="40" w:before="96" w:after="0" w:line="22" w:lineRule="atLeast"/>
        <w:jc w:val="both"/>
        <w:rPr>
          <w:rFonts w:eastAsiaTheme="minorEastAsia" w:cs="Times New Roman"/>
          <w:noProof/>
        </w:rPr>
      </w:pPr>
      <w:r>
        <w:rPr>
          <w:noProof/>
        </w:rPr>
        <w:t xml:space="preserve">Emellett a beruházás magában foglalja a meglévő engedélyezési dokumentumok dematerializálását (digitalizáció, archiválás és ártalmatlanítás), az Energiaügyi és Földtani Főigazgatóság által meghatározottak szerint. </w:t>
      </w:r>
    </w:p>
    <w:p w14:paraId="097D2455" w14:textId="77777777" w:rsidR="00DC5EC6" w:rsidRDefault="003245A4">
      <w:pPr>
        <w:pStyle w:val="P68B1DB1-Normal4"/>
        <w:spacing w:beforeLines="40" w:before="96" w:after="0" w:line="22" w:lineRule="atLeast"/>
        <w:jc w:val="both"/>
        <w:rPr>
          <w:rFonts w:eastAsia="MS Mincho" w:cs="Times New Roman"/>
          <w:noProof/>
        </w:rPr>
      </w:pPr>
      <w:r>
        <w:rPr>
          <w:noProof/>
        </w:rPr>
        <w:t>Az egyablakos rendszernek meg kell felelnie az adatközpontok energiahatékonyságára vonatkozó európai magatartási kódexnek.</w:t>
      </w:r>
    </w:p>
    <w:p w14:paraId="20E79212" w14:textId="77777777" w:rsidR="00DC5EC6" w:rsidRDefault="003245A4">
      <w:pPr>
        <w:pStyle w:val="P68B1DB1-Normal4"/>
        <w:spacing w:beforeLines="40" w:before="96" w:after="0" w:line="22" w:lineRule="atLeast"/>
        <w:jc w:val="both"/>
        <w:rPr>
          <w:rFonts w:cs="Times New Roman"/>
          <w:noProof/>
        </w:rPr>
      </w:pPr>
      <w:r>
        <w:rPr>
          <w:noProof/>
        </w:rPr>
        <w:t xml:space="preserve">E beruházás végrehajtását 2025. június 30-ig be kell fejezni.    </w:t>
      </w:r>
    </w:p>
    <w:p w14:paraId="359C93E7" w14:textId="1F1F1DB0"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RP-C21-i10-RAA beruházás: A megújulóenergia-tároló rendszerek vásárlását és telepítését ösztönző rendszer az Azori-szigeteken</w:t>
      </w:r>
    </w:p>
    <w:p w14:paraId="52E2CCD9" w14:textId="77777777" w:rsidR="00DC5EC6" w:rsidRDefault="003245A4">
      <w:pPr>
        <w:pStyle w:val="P68B1DB1-Normal4"/>
        <w:spacing w:before="40" w:after="0" w:line="259" w:lineRule="auto"/>
        <w:jc w:val="both"/>
        <w:rPr>
          <w:rFonts w:cs="Times New Roman"/>
          <w:noProof/>
        </w:rPr>
      </w:pPr>
      <w:r>
        <w:rPr>
          <w:noProof/>
        </w:rPr>
        <w:t xml:space="preserve">E beruházás célja az energetikai átállás előmozdítása az Azori-szigeteken, hozzájárulva a szigetcsoport energiafüggetlenségének növeléséhez. </w:t>
      </w:r>
    </w:p>
    <w:p w14:paraId="61D9890E" w14:textId="77777777" w:rsidR="00DC5EC6" w:rsidRDefault="003245A4">
      <w:pPr>
        <w:pStyle w:val="P68B1DB1-Normal4"/>
        <w:spacing w:before="40" w:after="0" w:line="259" w:lineRule="auto"/>
        <w:jc w:val="both"/>
        <w:rPr>
          <w:rFonts w:cs="Times New Roman"/>
          <w:noProof/>
        </w:rPr>
      </w:pPr>
      <w:r>
        <w:rPr>
          <w:noProof/>
        </w:rPr>
        <w:t xml:space="preserve">A beruházás a megújuló energiaforrásokból előállított villamos energia háztartások, vállalkozások, szövetkezetek, nonprofit szervezetek és jótékonysági intézmények általi saját fogyasztás céljából történő tárolására szolgáló tárolási rendszerek vásárlására és telepítésére irányuló ösztönző rendszerből áll. A beruházásnak összhangban kell lennie a 12/2023/A. sz. regionális törvényerejű rendelettel, amely legfeljebb 85%-os ösztönzést vezetett be az energiatároló rendszerek vásárlására és telepítésére, amennyiben ezek a SOLENERGE keretében vásárolt fotovoltaikus rendszerek kiegészítésére szolgálnak, amely a helyreállítási és rezilienciaépítési terv (C14-i03-RAA) keretében finanszírozott ösztönző program. </w:t>
      </w:r>
    </w:p>
    <w:p w14:paraId="716BD153" w14:textId="77777777" w:rsidR="00DC5EC6" w:rsidRDefault="003245A4">
      <w:pPr>
        <w:pStyle w:val="P68B1DB1-Normal4"/>
        <w:spacing w:before="40" w:after="0" w:line="259" w:lineRule="auto"/>
        <w:jc w:val="both"/>
        <w:rPr>
          <w:rFonts w:cs="Times New Roman"/>
          <w:noProof/>
        </w:rPr>
      </w:pPr>
      <w:r>
        <w:rPr>
          <w:noProof/>
        </w:rPr>
        <w:t xml:space="preserve">E beruházás végrehajtását 2025. december 31-ig be kell fejezni.  </w:t>
      </w:r>
    </w:p>
    <w:p w14:paraId="47B7A438" w14:textId="07C2A7E2"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RP-C21-i11-RAM beruházás: Ösztönzők rendszere a megújuló energiaforrásokból előállított energia termelésére és tárolására Madeirán és Porto Santo-ban</w:t>
      </w:r>
    </w:p>
    <w:p w14:paraId="6B23E104" w14:textId="3138E54B" w:rsidR="00DC5EC6" w:rsidRDefault="003245A4">
      <w:pPr>
        <w:pStyle w:val="P68B1DB1-Normal4"/>
        <w:spacing w:before="40" w:after="0" w:line="259" w:lineRule="auto"/>
        <w:jc w:val="both"/>
        <w:rPr>
          <w:rFonts w:cs="Times New Roman"/>
          <w:noProof/>
        </w:rPr>
      </w:pPr>
      <w:r>
        <w:rPr>
          <w:noProof/>
        </w:rPr>
        <w:t xml:space="preserve">E beruházás célja az energetikai átállás előmozdítása Madeira autonóm régióban, beleértve Porto Santo szigetét is, hozzájárulva annak energiafüggetlenségének növeléséhez. </w:t>
      </w:r>
    </w:p>
    <w:p w14:paraId="5A7C4D23" w14:textId="2D9E8807" w:rsidR="00DC5EC6" w:rsidRDefault="003245A4">
      <w:pPr>
        <w:pStyle w:val="P68B1DB1-Normal4"/>
        <w:spacing w:before="40" w:after="0" w:line="259" w:lineRule="auto"/>
        <w:jc w:val="both"/>
        <w:rPr>
          <w:rFonts w:cs="Times New Roman"/>
          <w:noProof/>
        </w:rPr>
      </w:pPr>
      <w:r>
        <w:rPr>
          <w:noProof/>
        </w:rPr>
        <w:t>A beruházás egy ösztönző rendszerből áll, amely a háztartások, mikro-, kis- és középvállalkozások és nonprofit intézmények általi saját fogyasztás céljából megújuló villamosenergia-termelő és -tároló rendszerek vásárlására és telepítésére, valamint a melegvíz-termelésre és a megújuló energiaforrások felhasználásával történő hőtermelésre szolgáló berendezések vásárlására és telepítésére szolgál.</w:t>
      </w:r>
    </w:p>
    <w:p w14:paraId="6DA82D20" w14:textId="77777777" w:rsidR="00DC5EC6" w:rsidRDefault="003245A4">
      <w:pPr>
        <w:pStyle w:val="P68B1DB1-Normal4"/>
        <w:spacing w:before="40" w:after="0" w:line="259" w:lineRule="auto"/>
        <w:jc w:val="both"/>
        <w:rPr>
          <w:rFonts w:cs="Times New Roman"/>
          <w:noProof/>
        </w:rPr>
      </w:pPr>
      <w:r>
        <w:rPr>
          <w:noProof/>
        </w:rPr>
        <w:t>Minden olyan magánszemély és jogi személy, aki Madeira autonóm régióban épülettel rendelkezik, kivéve az autonóm regionális önkormányzatot, a helyi önkormányzatot és az állam közvetlen igazgatását, jogosult vissza nem térítendő támogatásra.</w:t>
      </w:r>
    </w:p>
    <w:p w14:paraId="67D816AA" w14:textId="77777777" w:rsidR="00DC5EC6" w:rsidRDefault="003245A4">
      <w:pPr>
        <w:pStyle w:val="P68B1DB1-Normal4"/>
        <w:spacing w:before="40" w:after="0" w:line="259" w:lineRule="auto"/>
        <w:jc w:val="both"/>
        <w:rPr>
          <w:rFonts w:cs="Times New Roman"/>
          <w:noProof/>
        </w:rPr>
      </w:pPr>
      <w:r>
        <w:rPr>
          <w:noProof/>
        </w:rPr>
        <w:t xml:space="preserve">E beruházás végrehajtását 2026. március 31-ig be kell fejezni.  </w:t>
      </w:r>
    </w:p>
    <w:p w14:paraId="28B947D6" w14:textId="51AF2C64" w:rsidR="00DC5EC6" w:rsidRDefault="003245A4">
      <w:pPr>
        <w:pStyle w:val="P68B1DB1-Normal5"/>
        <w:keepNext/>
        <w:spacing w:before="240" w:after="0" w:line="259" w:lineRule="auto"/>
        <w:ind w:left="851"/>
        <w:jc w:val="both"/>
        <w:outlineLvl w:val="2"/>
        <w:rPr>
          <w:rFonts w:eastAsiaTheme="minorEastAsia" w:cs="Times New Roman"/>
          <w:noProof/>
        </w:rPr>
      </w:pPr>
      <w:bookmarkStart w:id="48" w:name="_Toc137472490"/>
      <w:r>
        <w:rPr>
          <w:noProof/>
        </w:rPr>
        <w:t>RP-C21–i12 beruházás: Bővített intézkedés: A tömegközlekedés dekarbonizációja</w:t>
      </w:r>
      <w:bookmarkEnd w:id="48"/>
    </w:p>
    <w:p w14:paraId="6705B588" w14:textId="77777777" w:rsidR="00DC5EC6" w:rsidRDefault="003245A4">
      <w:pPr>
        <w:pStyle w:val="P68B1DB1-Normal4"/>
        <w:spacing w:before="40" w:after="0" w:line="259" w:lineRule="auto"/>
        <w:jc w:val="both"/>
        <w:rPr>
          <w:rFonts w:cs="Times New Roman"/>
          <w:noProof/>
        </w:rPr>
      </w:pPr>
      <w:r>
        <w:rPr>
          <w:noProof/>
        </w:rPr>
        <w:t>A beruházás célja a TC-C15–i05 bővítése: A tömegközlekedés dekarbonizációja a 15. elem keretében.</w:t>
      </w:r>
    </w:p>
    <w:p w14:paraId="6112059C" w14:textId="168CF149" w:rsidR="00DC5EC6" w:rsidRDefault="003245A4">
      <w:pPr>
        <w:pStyle w:val="P68B1DB1-Normal4"/>
        <w:spacing w:before="40" w:after="0" w:line="259" w:lineRule="auto"/>
        <w:jc w:val="both"/>
        <w:rPr>
          <w:rFonts w:cs="Times New Roman"/>
          <w:noProof/>
        </w:rPr>
      </w:pPr>
      <w:r>
        <w:rPr>
          <w:noProof/>
        </w:rPr>
        <w:t>Az intézkedés bővített részének növelnie kell a tömegközlekedésben használt új kibocsátásmentes buszok számát. A beruházás hatókörét ki kell terjeszteni Lisszabon és Porto nagyvárosi területeiről a teljes kontinentális portugál területre, és ki kell terjednie az elektromos vagy egyéb töltőállomások telepítésére is.</w:t>
      </w:r>
    </w:p>
    <w:p w14:paraId="6ED94F94" w14:textId="381133EB" w:rsidR="00DC5EC6" w:rsidRDefault="003245A4">
      <w:pPr>
        <w:pStyle w:val="P68B1DB1-Normal5"/>
        <w:keepNext/>
        <w:spacing w:before="240" w:after="0" w:line="259" w:lineRule="auto"/>
        <w:ind w:left="851"/>
        <w:jc w:val="both"/>
        <w:outlineLvl w:val="2"/>
        <w:rPr>
          <w:rFonts w:eastAsiaTheme="minorEastAsia" w:cs="Times New Roman"/>
          <w:noProof/>
        </w:rPr>
      </w:pPr>
      <w:bookmarkStart w:id="49" w:name="_Toc137472491"/>
      <w:r>
        <w:rPr>
          <w:noProof/>
        </w:rPr>
        <w:t>RP-C21-i13-RAM beruházás: A közlekedés dekarbonizációja</w:t>
      </w:r>
      <w:bookmarkEnd w:id="49"/>
    </w:p>
    <w:p w14:paraId="21CED56E" w14:textId="77777777" w:rsidR="00DC5EC6" w:rsidRDefault="003245A4">
      <w:pPr>
        <w:pStyle w:val="P68B1DB1-Normal4"/>
        <w:spacing w:before="40" w:after="0" w:line="259" w:lineRule="auto"/>
        <w:jc w:val="both"/>
        <w:rPr>
          <w:rFonts w:cs="Times New Roman"/>
          <w:noProof/>
        </w:rPr>
      </w:pPr>
      <w:r>
        <w:rPr>
          <w:noProof/>
        </w:rPr>
        <w:t xml:space="preserve">Ezen intézkedés célja a közlekedés dekarbonizációjának előmozdítása Madeira autonóm régióban. </w:t>
      </w:r>
    </w:p>
    <w:p w14:paraId="16DEAFC2" w14:textId="77777777" w:rsidR="00DC5EC6" w:rsidRDefault="003245A4">
      <w:pPr>
        <w:pStyle w:val="P68B1DB1-Normal4"/>
        <w:spacing w:before="40" w:after="0" w:line="259" w:lineRule="auto"/>
        <w:jc w:val="both"/>
        <w:rPr>
          <w:rFonts w:cs="Times New Roman"/>
          <w:noProof/>
        </w:rPr>
      </w:pPr>
      <w:r>
        <w:rPr>
          <w:noProof/>
        </w:rPr>
        <w:t>A beruházás a következőket foglalja magában:</w:t>
      </w:r>
    </w:p>
    <w:p w14:paraId="7809744C" w14:textId="065D66D6" w:rsidR="00DC5EC6" w:rsidRDefault="003245A4">
      <w:pPr>
        <w:pStyle w:val="P68B1DB1-Normal4"/>
        <w:spacing w:before="40" w:after="0" w:line="259" w:lineRule="auto"/>
        <w:jc w:val="both"/>
        <w:rPr>
          <w:rFonts w:cs="Times New Roman"/>
          <w:noProof/>
        </w:rPr>
      </w:pPr>
      <w:r>
        <w:rPr>
          <w:noProof/>
        </w:rPr>
        <w:t>i. 26 kibocsátásmentes (elektromos vagy hidrogénüzemű) busz beszerzése személyszállítási és turisztikai szolgáltatások céljára.</w:t>
      </w:r>
    </w:p>
    <w:p w14:paraId="1DBF8B1C" w14:textId="53E2B8FF" w:rsidR="00DC5EC6" w:rsidRDefault="003245A4">
      <w:pPr>
        <w:pStyle w:val="P68B1DB1-Normal4"/>
        <w:spacing w:before="40" w:after="0" w:line="259" w:lineRule="auto"/>
        <w:jc w:val="both"/>
        <w:rPr>
          <w:rFonts w:cs="Times New Roman"/>
          <w:noProof/>
        </w:rPr>
      </w:pPr>
      <w:r>
        <w:rPr>
          <w:noProof/>
        </w:rPr>
        <w:t xml:space="preserve">II. Az autóbuszok üzemeltetéséhez szükséges elektromos töltőpontok telepítése. </w:t>
      </w:r>
    </w:p>
    <w:p w14:paraId="5848829E" w14:textId="7927C66D" w:rsidR="00DC5EC6" w:rsidRDefault="003245A4">
      <w:pPr>
        <w:pStyle w:val="P68B1DB1-Normal4"/>
        <w:spacing w:before="40" w:after="0" w:line="259" w:lineRule="auto"/>
        <w:jc w:val="both"/>
        <w:rPr>
          <w:rFonts w:cs="Times New Roman"/>
          <w:noProof/>
        </w:rPr>
      </w:pPr>
      <w:r>
        <w:rPr>
          <w:noProof/>
        </w:rPr>
        <w:t xml:space="preserve">(III) A járművek selejtezési rendszere, feltéve, hogy azokat elektromos járművek vásárlásával helyettesítik, leselejtezett járműnként legfeljebb 6 000 EUR pénzügyi hozzájárulással, valamint a különböző társadalmi-gazdasági kategóriák szerinti ösztönzőkkel. </w:t>
      </w:r>
    </w:p>
    <w:p w14:paraId="70C7D23E" w14:textId="77777777" w:rsidR="00DC5EC6" w:rsidRDefault="003245A4">
      <w:pPr>
        <w:pStyle w:val="P68B1DB1-Normal4"/>
        <w:spacing w:before="40" w:after="0" w:line="259" w:lineRule="auto"/>
        <w:jc w:val="both"/>
        <w:rPr>
          <w:rFonts w:cs="Times New Roman"/>
          <w:noProof/>
        </w:rPr>
      </w:pPr>
      <w:r>
        <w:rPr>
          <w:noProof/>
        </w:rPr>
        <w:t xml:space="preserve">E beruházás végrehajtását 2026. március 31-ig be kell fejezni.  </w:t>
      </w:r>
    </w:p>
    <w:p w14:paraId="1AA9D1E2" w14:textId="05F4472D"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 xml:space="preserve">RP-C21–i14 beruházás: Buszgyors átutazás Braga </w:t>
      </w:r>
    </w:p>
    <w:p w14:paraId="7FE597E6" w14:textId="77777777" w:rsidR="00DC5EC6" w:rsidRDefault="003245A4">
      <w:pPr>
        <w:pStyle w:val="P68B1DB1-Normal4"/>
        <w:spacing w:before="40" w:after="0" w:line="259" w:lineRule="auto"/>
        <w:jc w:val="both"/>
        <w:rPr>
          <w:rFonts w:cs="Times New Roman"/>
          <w:noProof/>
        </w:rPr>
      </w:pPr>
      <w:r>
        <w:rPr>
          <w:noProof/>
        </w:rPr>
        <w:t>E beruházás célja a fenntartható tömegközlekedés javítása Bragában.</w:t>
      </w:r>
    </w:p>
    <w:p w14:paraId="260159BA" w14:textId="08272C53" w:rsidR="00DC5EC6" w:rsidRDefault="003245A4">
      <w:pPr>
        <w:pStyle w:val="P68B1DB1-Normal4"/>
        <w:spacing w:before="40" w:after="0" w:line="259" w:lineRule="auto"/>
        <w:jc w:val="both"/>
        <w:rPr>
          <w:rFonts w:cs="Times New Roman"/>
          <w:noProof/>
        </w:rPr>
      </w:pPr>
      <w:r>
        <w:rPr>
          <w:noProof/>
        </w:rPr>
        <w:t>A beruházás Braga városában egy új autóbuszos gyorstranzitrendszer létrehozását foglalja magában. A rendszernek többnyire erre a célra kijelölt sávokon kell működnie, és csak kibocsátásmentes (elektromos vagy hidrogénüzemű) buszokkal kell működnie. Két vonalat kell építeni: a Vonatállomás és Avenida Robert Smith közötti sárga vonal, valamint a Vörösvonal, a vonatállomás és a Braga Kórház között.</w:t>
      </w:r>
    </w:p>
    <w:p w14:paraId="1CDC0220" w14:textId="36D380BF" w:rsidR="00DC5EC6" w:rsidRDefault="003245A4">
      <w:pPr>
        <w:pStyle w:val="P68B1DB1-Normal4"/>
        <w:spacing w:before="40" w:after="0" w:line="259" w:lineRule="auto"/>
        <w:jc w:val="both"/>
        <w:rPr>
          <w:rFonts w:cs="Times New Roman"/>
          <w:noProof/>
        </w:rPr>
      </w:pPr>
      <w:r>
        <w:rPr>
          <w:noProof/>
        </w:rPr>
        <w:t xml:space="preserve">A beruházásnak ki kell terjednie tíz kibocsátásmentes busz beszerzésére is, beleértve a vezetékek üzemeltetéséhez szükséges töltőállomásokat is.  </w:t>
      </w:r>
    </w:p>
    <w:p w14:paraId="3F4A3907" w14:textId="77777777" w:rsidR="00DC5EC6" w:rsidRDefault="003245A4">
      <w:pPr>
        <w:pStyle w:val="P68B1DB1-Normal4"/>
        <w:spacing w:before="40" w:after="0" w:line="259" w:lineRule="auto"/>
        <w:jc w:val="both"/>
        <w:rPr>
          <w:rFonts w:cs="Times New Roman"/>
          <w:noProof/>
        </w:rPr>
      </w:pPr>
      <w:r>
        <w:rPr>
          <w:noProof/>
        </w:rPr>
        <w:t xml:space="preserve">E beruházás végrehajtását 2026. június 30-ig be kell fejezni.  </w:t>
      </w:r>
    </w:p>
    <w:p w14:paraId="39CFA3B4" w14:textId="075B3B54" w:rsidR="00DC5EC6" w:rsidRDefault="003245A4">
      <w:pPr>
        <w:pStyle w:val="P68B1DB1-Normal5"/>
        <w:keepNext/>
        <w:spacing w:before="240" w:after="0" w:line="259" w:lineRule="auto"/>
        <w:ind w:left="851"/>
        <w:jc w:val="both"/>
        <w:outlineLvl w:val="2"/>
        <w:rPr>
          <w:rFonts w:eastAsiaTheme="minorEastAsia" w:cs="Times New Roman"/>
          <w:noProof/>
        </w:rPr>
      </w:pPr>
      <w:bookmarkStart w:id="50" w:name="_Toc137472492"/>
      <w:r>
        <w:rPr>
          <w:noProof/>
        </w:rPr>
        <w:t xml:space="preserve">RP-C21-i15-RAA beruházás: Két elektromos </w:t>
      </w:r>
      <w:bookmarkEnd w:id="50"/>
      <w:r>
        <w:rPr>
          <w:noProof/>
        </w:rPr>
        <w:t>komp beszerzése</w:t>
      </w:r>
    </w:p>
    <w:p w14:paraId="6DC814CB" w14:textId="77777777" w:rsidR="00DC5EC6" w:rsidRDefault="003245A4">
      <w:pPr>
        <w:pStyle w:val="P68B1DB1-Normal4"/>
        <w:spacing w:before="40" w:after="0" w:line="259" w:lineRule="auto"/>
        <w:jc w:val="both"/>
        <w:rPr>
          <w:rFonts w:cs="Times New Roman"/>
          <w:noProof/>
        </w:rPr>
      </w:pPr>
      <w:r>
        <w:rPr>
          <w:noProof/>
        </w:rPr>
        <w:t xml:space="preserve">E beruházás célja a közlekedés dekarbonizációjának és a belső mobilitásnak a fokozása az Azori-szigetek autonóm régióban. </w:t>
      </w:r>
    </w:p>
    <w:p w14:paraId="2FD2AFE0" w14:textId="487179FD" w:rsidR="00DC5EC6" w:rsidRDefault="003245A4">
      <w:pPr>
        <w:pStyle w:val="P68B1DB1-Normal4"/>
        <w:spacing w:before="40" w:after="0" w:line="259" w:lineRule="auto"/>
        <w:jc w:val="both"/>
        <w:rPr>
          <w:rFonts w:cs="Times New Roman"/>
          <w:noProof/>
        </w:rPr>
      </w:pPr>
      <w:r>
        <w:rPr>
          <w:noProof/>
        </w:rPr>
        <w:t>A beruházás két elektromos komp beszerzéséből áll az Atlanticoline S.A. állami vállalat számára a Pico, Faial és São Jorge szigetek közötti személy- és járműszállítás céljából. A kompok befogadóképessége legalább 200 és 100 utas.</w:t>
      </w:r>
    </w:p>
    <w:p w14:paraId="40B1EF3B" w14:textId="77777777" w:rsidR="00DC5EC6" w:rsidRDefault="003245A4">
      <w:pPr>
        <w:pStyle w:val="P68B1DB1-Normal4"/>
        <w:spacing w:before="40" w:after="0" w:line="259" w:lineRule="auto"/>
        <w:jc w:val="both"/>
        <w:rPr>
          <w:rFonts w:cs="Times New Roman"/>
          <w:noProof/>
        </w:rPr>
      </w:pPr>
      <w:r>
        <w:rPr>
          <w:noProof/>
        </w:rPr>
        <w:t xml:space="preserve">E beruházás végrehajtását 2025. december 31-ig be kell fejezni. </w:t>
      </w:r>
    </w:p>
    <w:p w14:paraId="72E1DF93" w14:textId="6FEAFE37"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RP-C21–i16 beruházás: Nazaré Funikuláris</w:t>
      </w:r>
    </w:p>
    <w:p w14:paraId="5E4AFA32" w14:textId="77777777" w:rsidR="00DC5EC6" w:rsidRDefault="003245A4">
      <w:pPr>
        <w:pStyle w:val="P68B1DB1-Normal4"/>
        <w:spacing w:before="40" w:after="0" w:line="259" w:lineRule="auto"/>
        <w:jc w:val="both"/>
        <w:rPr>
          <w:rFonts w:cs="Times New Roman"/>
          <w:noProof/>
        </w:rPr>
      </w:pPr>
      <w:r>
        <w:rPr>
          <w:noProof/>
        </w:rPr>
        <w:t xml:space="preserve">E beruházás célja a fenntartható tömegközlekedés biztosítása Nazaréban. </w:t>
      </w:r>
    </w:p>
    <w:p w14:paraId="7D6D2A4D" w14:textId="77777777" w:rsidR="00DC5EC6" w:rsidRDefault="003245A4">
      <w:pPr>
        <w:pStyle w:val="P68B1DB1-Normal4"/>
        <w:spacing w:before="40" w:after="0" w:line="259" w:lineRule="auto"/>
        <w:jc w:val="both"/>
        <w:rPr>
          <w:rFonts w:cs="Times New Roman"/>
          <w:noProof/>
        </w:rPr>
      </w:pPr>
      <w:r>
        <w:rPr>
          <w:noProof/>
        </w:rPr>
        <w:t>A beruházásnak magában kell foglalnia a Praia és a Pedreneira terület közötti, körülbelül 200 méter hosszú (funikuláris) mechanikus szállítási megoldás megvalósítását. A sétányt integrálni kell a tömegközlekedési hálózatba, és hozzáférhetőnek kell lennie a kerékpárok és a csökkent mozgásképességű személyek számára.</w:t>
      </w:r>
    </w:p>
    <w:p w14:paraId="39B86464" w14:textId="77777777" w:rsidR="00DC5EC6" w:rsidRDefault="003245A4">
      <w:pPr>
        <w:pStyle w:val="P68B1DB1-Normal4"/>
        <w:spacing w:before="40" w:after="0" w:line="259" w:lineRule="auto"/>
        <w:jc w:val="both"/>
        <w:rPr>
          <w:rFonts w:cs="Times New Roman"/>
          <w:noProof/>
        </w:rPr>
        <w:sectPr w:rsidR="00DC5EC6" w:rsidSect="00E00EDD">
          <w:headerReference w:type="even" r:id="rId368"/>
          <w:headerReference w:type="default" r:id="rId369"/>
          <w:footerReference w:type="even" r:id="rId370"/>
          <w:footerReference w:type="default" r:id="rId371"/>
          <w:headerReference w:type="first" r:id="rId372"/>
          <w:footerReference w:type="first" r:id="rId373"/>
          <w:pgSz w:w="11906" w:h="16838"/>
          <w:pgMar w:top="1134" w:right="1134" w:bottom="1134" w:left="1134" w:header="567" w:footer="567" w:gutter="0"/>
          <w:cols w:space="708"/>
          <w:docGrid w:linePitch="360"/>
        </w:sectPr>
      </w:pPr>
      <w:r>
        <w:rPr>
          <w:noProof/>
        </w:rPr>
        <w:t>E beruházás végrehajtását 2026. március 31-ig be kell fejezni.</w:t>
      </w:r>
    </w:p>
    <w:p w14:paraId="0274D0A2" w14:textId="267B412C"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U.2. Vissza nem térítendő pénzügyi támogatás – a végrehajtáshoz és a nyomon követéshez kapcsolódó mérföldkövek, célok, mutatók és ütemterv</w:t>
      </w:r>
    </w:p>
    <w:p w14:paraId="7DFE2BC4" w14:textId="77777777" w:rsidR="00DC5EC6" w:rsidRDefault="00DC5EC6">
      <w:pPr>
        <w:spacing w:after="0"/>
        <w:jc w:val="both"/>
        <w:rPr>
          <w:rFonts w:ascii="Times New Roman" w:hAnsi="Times New Roman" w:cs="Times New Roman"/>
          <w:noProof/>
          <w:sz w:val="24"/>
        </w:rPr>
      </w:pPr>
    </w:p>
    <w:tbl>
      <w:tblPr>
        <w:tblW w:w="14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701"/>
        <w:gridCol w:w="1275"/>
        <w:gridCol w:w="993"/>
        <w:gridCol w:w="992"/>
        <w:gridCol w:w="992"/>
        <w:gridCol w:w="567"/>
        <w:gridCol w:w="708"/>
        <w:gridCol w:w="3969"/>
      </w:tblGrid>
      <w:tr w:rsidR="00DC5EC6" w14:paraId="2FB90E61" w14:textId="77777777">
        <w:trPr>
          <w:trHeight w:val="910"/>
          <w:tblHeader/>
        </w:trPr>
        <w:tc>
          <w:tcPr>
            <w:tcW w:w="1135" w:type="dxa"/>
            <w:vMerge w:val="restart"/>
            <w:shd w:val="clear" w:color="auto" w:fill="BDD6EE"/>
            <w:vAlign w:val="center"/>
            <w:hideMark/>
          </w:tcPr>
          <w:p w14:paraId="6370AB5A"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vAlign w:val="center"/>
            <w:hideMark/>
          </w:tcPr>
          <w:p w14:paraId="746A88F0"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vAlign w:val="center"/>
            <w:hideMark/>
          </w:tcPr>
          <w:p w14:paraId="361458F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701" w:type="dxa"/>
            <w:vMerge w:val="restart"/>
            <w:shd w:val="clear" w:color="auto" w:fill="BDD6EE"/>
            <w:vAlign w:val="center"/>
            <w:hideMark/>
          </w:tcPr>
          <w:p w14:paraId="45A51C32" w14:textId="77777777" w:rsidR="00DC5EC6" w:rsidRDefault="003245A4">
            <w:pPr>
              <w:pStyle w:val="P68B1DB1-Normal6"/>
              <w:spacing w:after="0" w:line="240" w:lineRule="auto"/>
              <w:jc w:val="center"/>
              <w:rPr>
                <w:rFonts w:eastAsia="Times New Roman" w:cs="Times New Roman"/>
                <w:noProof/>
              </w:rPr>
            </w:pPr>
            <w:r>
              <w:rPr>
                <w:noProof/>
              </w:rPr>
              <w:t>Név</w:t>
            </w:r>
          </w:p>
        </w:tc>
        <w:tc>
          <w:tcPr>
            <w:tcW w:w="1275" w:type="dxa"/>
            <w:vMerge w:val="restart"/>
            <w:shd w:val="clear" w:color="auto" w:fill="BDD6EE"/>
            <w:vAlign w:val="center"/>
            <w:hideMark/>
          </w:tcPr>
          <w:p w14:paraId="6A3793A9"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977" w:type="dxa"/>
            <w:gridSpan w:val="3"/>
            <w:shd w:val="clear" w:color="auto" w:fill="BDD6EE"/>
            <w:vAlign w:val="center"/>
            <w:hideMark/>
          </w:tcPr>
          <w:p w14:paraId="7128B101"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vAlign w:val="center"/>
            <w:hideMark/>
          </w:tcPr>
          <w:p w14:paraId="411B61CF" w14:textId="77777777" w:rsidR="00DC5EC6" w:rsidRDefault="003245A4">
            <w:pPr>
              <w:pStyle w:val="P68B1DB1-Normal6"/>
              <w:spacing w:after="0" w:line="240" w:lineRule="auto"/>
              <w:jc w:val="center"/>
              <w:rPr>
                <w:rFonts w:eastAsia="Times New Roman" w:cs="Times New Roman"/>
                <w:noProof/>
              </w:rPr>
            </w:pPr>
            <w:r>
              <w:rPr>
                <w:noProof/>
              </w:rPr>
              <w:t>A végrehajtás indikatív ütemterve</w:t>
            </w:r>
          </w:p>
        </w:tc>
        <w:tc>
          <w:tcPr>
            <w:tcW w:w="3969" w:type="dxa"/>
            <w:vMerge w:val="restart"/>
            <w:shd w:val="clear" w:color="auto" w:fill="BDD6EE"/>
            <w:vAlign w:val="center"/>
            <w:hideMark/>
          </w:tcPr>
          <w:p w14:paraId="52841226"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1758BE16" w14:textId="77777777">
        <w:trPr>
          <w:trHeight w:val="470"/>
          <w:tblHeader/>
        </w:trPr>
        <w:tc>
          <w:tcPr>
            <w:tcW w:w="1135" w:type="dxa"/>
            <w:vMerge/>
            <w:vAlign w:val="center"/>
            <w:hideMark/>
          </w:tcPr>
          <w:p w14:paraId="69695928"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098E3D09"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30C82C28" w14:textId="77777777" w:rsidR="00DC5EC6" w:rsidRDefault="00DC5EC6">
            <w:pPr>
              <w:spacing w:after="0" w:line="240" w:lineRule="auto"/>
              <w:jc w:val="center"/>
              <w:rPr>
                <w:rFonts w:ascii="Times New Roman" w:eastAsia="Times New Roman" w:hAnsi="Times New Roman" w:cs="Times New Roman"/>
                <w:b/>
                <w:noProof/>
                <w:sz w:val="18"/>
              </w:rPr>
            </w:pPr>
          </w:p>
        </w:tc>
        <w:tc>
          <w:tcPr>
            <w:tcW w:w="1701" w:type="dxa"/>
            <w:vMerge/>
            <w:vAlign w:val="center"/>
            <w:hideMark/>
          </w:tcPr>
          <w:p w14:paraId="0A52C29E" w14:textId="77777777" w:rsidR="00DC5EC6" w:rsidRDefault="00DC5EC6">
            <w:pPr>
              <w:spacing w:after="0" w:line="240" w:lineRule="auto"/>
              <w:jc w:val="center"/>
              <w:rPr>
                <w:rFonts w:ascii="Times New Roman" w:eastAsia="Times New Roman" w:hAnsi="Times New Roman" w:cs="Times New Roman"/>
                <w:b/>
                <w:noProof/>
                <w:sz w:val="18"/>
              </w:rPr>
            </w:pPr>
          </w:p>
        </w:tc>
        <w:tc>
          <w:tcPr>
            <w:tcW w:w="1275" w:type="dxa"/>
            <w:vMerge/>
            <w:vAlign w:val="center"/>
            <w:hideMark/>
          </w:tcPr>
          <w:p w14:paraId="2400D0D6" w14:textId="77777777" w:rsidR="00DC5EC6" w:rsidRDefault="00DC5EC6">
            <w:pPr>
              <w:spacing w:after="0" w:line="240" w:lineRule="auto"/>
              <w:rPr>
                <w:rFonts w:ascii="Times New Roman" w:eastAsia="Times New Roman" w:hAnsi="Times New Roman" w:cs="Times New Roman"/>
                <w:b/>
                <w:noProof/>
                <w:sz w:val="18"/>
              </w:rPr>
            </w:pPr>
          </w:p>
        </w:tc>
        <w:tc>
          <w:tcPr>
            <w:tcW w:w="993" w:type="dxa"/>
            <w:shd w:val="clear" w:color="auto" w:fill="BDD6EE"/>
            <w:vAlign w:val="center"/>
            <w:hideMark/>
          </w:tcPr>
          <w:p w14:paraId="4E586660"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vAlign w:val="center"/>
            <w:hideMark/>
          </w:tcPr>
          <w:p w14:paraId="305C5967"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992" w:type="dxa"/>
            <w:shd w:val="clear" w:color="auto" w:fill="BDD6EE"/>
            <w:vAlign w:val="center"/>
            <w:hideMark/>
          </w:tcPr>
          <w:p w14:paraId="61DE86CD"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vAlign w:val="center"/>
            <w:hideMark/>
          </w:tcPr>
          <w:p w14:paraId="30E66421" w14:textId="58432616" w:rsidR="00DC5EC6" w:rsidRDefault="003245A4">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vAlign w:val="center"/>
            <w:hideMark/>
          </w:tcPr>
          <w:p w14:paraId="119C10EB" w14:textId="2318F568" w:rsidR="00DC5EC6" w:rsidRDefault="003245A4">
            <w:pPr>
              <w:pStyle w:val="P68B1DB1-Normal6"/>
              <w:spacing w:after="0" w:line="240" w:lineRule="auto"/>
              <w:jc w:val="center"/>
              <w:rPr>
                <w:rFonts w:eastAsia="Times New Roman" w:cs="Times New Roman"/>
                <w:noProof/>
              </w:rPr>
            </w:pPr>
            <w:r>
              <w:rPr>
                <w:noProof/>
              </w:rPr>
              <w:t>Év</w:t>
            </w:r>
          </w:p>
        </w:tc>
        <w:tc>
          <w:tcPr>
            <w:tcW w:w="3969" w:type="dxa"/>
            <w:vMerge/>
            <w:vAlign w:val="center"/>
            <w:hideMark/>
          </w:tcPr>
          <w:p w14:paraId="2B41D36D" w14:textId="77777777" w:rsidR="00DC5EC6" w:rsidRDefault="00DC5EC6">
            <w:pPr>
              <w:spacing w:after="0" w:line="240" w:lineRule="auto"/>
              <w:jc w:val="both"/>
              <w:rPr>
                <w:rFonts w:ascii="Times New Roman" w:eastAsia="Times New Roman" w:hAnsi="Times New Roman" w:cs="Times New Roman"/>
                <w:b/>
                <w:noProof/>
                <w:sz w:val="18"/>
              </w:rPr>
            </w:pPr>
          </w:p>
        </w:tc>
      </w:tr>
      <w:tr w:rsidR="003245A4" w14:paraId="1B415B45" w14:textId="77777777">
        <w:trPr>
          <w:trHeight w:val="430"/>
        </w:trPr>
        <w:tc>
          <w:tcPr>
            <w:tcW w:w="1135" w:type="dxa"/>
            <w:shd w:val="clear" w:color="auto" w:fill="C4EFCE"/>
            <w:vAlign w:val="center"/>
          </w:tcPr>
          <w:p w14:paraId="42812264" w14:textId="024AEF5D" w:rsidR="003245A4" w:rsidRDefault="003245A4" w:rsidP="003245A4">
            <w:pPr>
              <w:pStyle w:val="P68B1DB1-Normal11"/>
              <w:spacing w:after="0" w:line="240" w:lineRule="auto"/>
              <w:jc w:val="center"/>
              <w:rPr>
                <w:rFonts w:eastAsia="Times New Roman" w:cstheme="minorHAnsi"/>
                <w:noProof/>
              </w:rPr>
            </w:pPr>
            <w:r>
              <w:rPr>
                <w:noProof/>
              </w:rPr>
              <w:t>21.1</w:t>
            </w:r>
          </w:p>
        </w:tc>
        <w:tc>
          <w:tcPr>
            <w:tcW w:w="1276" w:type="dxa"/>
            <w:shd w:val="clear" w:color="auto" w:fill="C4EFCE"/>
            <w:noWrap/>
            <w:vAlign w:val="center"/>
          </w:tcPr>
          <w:p w14:paraId="6F112C58" w14:textId="0FCD6E79" w:rsidR="003245A4" w:rsidRDefault="003245A4" w:rsidP="003245A4">
            <w:pPr>
              <w:pStyle w:val="P68B1DB1-Normal12"/>
              <w:spacing w:after="0" w:line="240" w:lineRule="auto"/>
              <w:jc w:val="center"/>
              <w:rPr>
                <w:rFonts w:eastAsia="Times New Roman" w:cstheme="minorHAnsi"/>
                <w:noProof/>
              </w:rPr>
            </w:pPr>
            <w:r>
              <w:rPr>
                <w:noProof/>
              </w:rPr>
              <w:t>RP-C21-i01</w:t>
            </w:r>
          </w:p>
        </w:tc>
        <w:tc>
          <w:tcPr>
            <w:tcW w:w="1134" w:type="dxa"/>
            <w:shd w:val="clear" w:color="auto" w:fill="C4EFCE"/>
            <w:noWrap/>
            <w:vAlign w:val="center"/>
          </w:tcPr>
          <w:p w14:paraId="00DF19E5" w14:textId="5713C776"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9F1054A" w14:textId="2CD7F0DB" w:rsidR="003245A4" w:rsidRDefault="003245A4" w:rsidP="003245A4">
            <w:pPr>
              <w:pStyle w:val="P68B1DB1-Normal12"/>
              <w:spacing w:after="0" w:line="240" w:lineRule="auto"/>
              <w:jc w:val="center"/>
              <w:rPr>
                <w:rFonts w:eastAsia="Times New Roman" w:cstheme="minorHAnsi"/>
                <w:noProof/>
              </w:rPr>
            </w:pPr>
            <w:r>
              <w:rPr>
                <w:noProof/>
              </w:rPr>
              <w:t>Pénzügyi támogatás az ipari dekarbonizációs egyszerűsített projektekhez</w:t>
            </w:r>
          </w:p>
        </w:tc>
        <w:tc>
          <w:tcPr>
            <w:tcW w:w="1275" w:type="dxa"/>
            <w:shd w:val="clear" w:color="auto" w:fill="C4EFCE"/>
            <w:noWrap/>
            <w:vAlign w:val="center"/>
          </w:tcPr>
          <w:p w14:paraId="7E64A9F8" w14:textId="7B347046"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76D97C60" w14:textId="733FC61D"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1085590D" w14:textId="21F3462D" w:rsidR="003245A4" w:rsidRDefault="003245A4" w:rsidP="003245A4">
            <w:pPr>
              <w:pStyle w:val="P68B1DB1-Normal12"/>
              <w:spacing w:after="0" w:line="240" w:lineRule="auto"/>
              <w:jc w:val="center"/>
              <w:rPr>
                <w:rFonts w:eastAsia="Times New Roman" w:cstheme="minorHAnsi"/>
                <w:noProof/>
              </w:rPr>
            </w:pPr>
            <w:r>
              <w:rPr>
                <w:noProof/>
              </w:rPr>
              <w:t>310</w:t>
            </w:r>
          </w:p>
        </w:tc>
        <w:tc>
          <w:tcPr>
            <w:tcW w:w="992" w:type="dxa"/>
            <w:shd w:val="clear" w:color="auto" w:fill="C4EFCE"/>
            <w:noWrap/>
            <w:vAlign w:val="center"/>
          </w:tcPr>
          <w:p w14:paraId="66B60A08" w14:textId="70EBD20F" w:rsidR="003245A4" w:rsidRDefault="003245A4" w:rsidP="003245A4">
            <w:pPr>
              <w:pStyle w:val="P68B1DB1-Normal12"/>
              <w:spacing w:after="0" w:line="240" w:lineRule="auto"/>
              <w:jc w:val="center"/>
              <w:rPr>
                <w:rFonts w:eastAsia="Times New Roman" w:cstheme="minorHAnsi"/>
                <w:noProof/>
              </w:rPr>
            </w:pPr>
            <w:r>
              <w:rPr>
                <w:noProof/>
              </w:rPr>
              <w:t>810</w:t>
            </w:r>
          </w:p>
        </w:tc>
        <w:tc>
          <w:tcPr>
            <w:tcW w:w="567" w:type="dxa"/>
            <w:shd w:val="clear" w:color="auto" w:fill="C4EFCE"/>
            <w:noWrap/>
            <w:vAlign w:val="center"/>
          </w:tcPr>
          <w:p w14:paraId="70ABCB97" w14:textId="5003152E"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09AE5546" w14:textId="1A9D3DD5"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000A03D3" w14:textId="05550CD8" w:rsidR="003245A4" w:rsidRDefault="003245A4" w:rsidP="003245A4">
            <w:pPr>
              <w:pStyle w:val="P68B1DB1-Normal12"/>
              <w:spacing w:after="0" w:line="240" w:lineRule="auto"/>
              <w:jc w:val="both"/>
              <w:rPr>
                <w:rFonts w:eastAsia="Times New Roman" w:cstheme="minorHAnsi"/>
                <w:noProof/>
              </w:rPr>
            </w:pPr>
            <w:r>
              <w:rPr>
                <w:noProof/>
              </w:rPr>
              <w:t>Azon projektek száma, amelyek pénzügyi támogatásban részesültek az ipar dekarbonizációjához, és amelyek a következő területek legalább egyikéhez kapcsolódnak: alacsony szén-dioxid-kibocsátású folyamatok és technológiák; energiahatékonysági intézkedések elfogadása; valamint a megújuló energia és az energiatárolás beépítése. A támogatott ipari létesítmények esetében biztosítani kell a közvetlen és közvetett ÜHG-kibocsátás átlagosan 30%-os csökkentését a 024ter beavatkozási területnek megfelelő projektek esetében, valamint a jelentős károkozás elkerülését célzó elvről szóló technikai iránymutatásnak (2021/C58/01) való megfelelést, többek között az uniós kibocsátáskereskedelmi rendszer hatálya alá tartozó létesítmények esetében is, annak biztosítása érdekében, hogy a támogatott létesítmények az (EU) 2021/447 bizottsági végrehajtási rendeletben az ingyenes kiosztásra meghatározott referenciaérték alatti várható ÜHG-kibocsátást érjék el.</w:t>
            </w:r>
          </w:p>
        </w:tc>
      </w:tr>
      <w:tr w:rsidR="00DC5EC6" w14:paraId="2C3FFB3B" w14:textId="77777777">
        <w:trPr>
          <w:trHeight w:val="430"/>
        </w:trPr>
        <w:tc>
          <w:tcPr>
            <w:tcW w:w="1135" w:type="dxa"/>
            <w:shd w:val="clear" w:color="auto" w:fill="C4EFCE"/>
            <w:vAlign w:val="center"/>
          </w:tcPr>
          <w:p w14:paraId="0747785A" w14:textId="48735E30" w:rsidR="00DC5EC6" w:rsidRDefault="003245A4">
            <w:pPr>
              <w:pStyle w:val="P68B1DB1-Normal11"/>
              <w:spacing w:after="0" w:line="240" w:lineRule="auto"/>
              <w:jc w:val="center"/>
              <w:rPr>
                <w:rFonts w:eastAsia="Times New Roman" w:cstheme="minorHAnsi"/>
                <w:noProof/>
              </w:rPr>
            </w:pPr>
            <w:r>
              <w:rPr>
                <w:noProof/>
              </w:rPr>
              <w:t>21.2</w:t>
            </w:r>
          </w:p>
        </w:tc>
        <w:tc>
          <w:tcPr>
            <w:tcW w:w="1276" w:type="dxa"/>
            <w:shd w:val="clear" w:color="auto" w:fill="C4EFCE"/>
            <w:noWrap/>
            <w:vAlign w:val="center"/>
          </w:tcPr>
          <w:p w14:paraId="5BE0D3A2" w14:textId="6FC836BB" w:rsidR="00DC5EC6" w:rsidRDefault="003245A4">
            <w:pPr>
              <w:pStyle w:val="P68B1DB1-Normal12"/>
              <w:spacing w:after="0" w:line="240" w:lineRule="auto"/>
              <w:jc w:val="center"/>
              <w:rPr>
                <w:rFonts w:eastAsia="Times New Roman"/>
                <w:noProof/>
              </w:rPr>
            </w:pPr>
            <w:r>
              <w:rPr>
                <w:noProof/>
              </w:rPr>
              <w:t>RP-C21-i02</w:t>
            </w:r>
          </w:p>
        </w:tc>
        <w:tc>
          <w:tcPr>
            <w:tcW w:w="1134" w:type="dxa"/>
            <w:shd w:val="clear" w:color="auto" w:fill="C4EFCE"/>
            <w:noWrap/>
            <w:vAlign w:val="center"/>
          </w:tcPr>
          <w:p w14:paraId="5B23DDDE" w14:textId="3F052B9B"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A037CB2" w14:textId="4466B745" w:rsidR="00DC5EC6" w:rsidRDefault="003245A4">
            <w:pPr>
              <w:pStyle w:val="P68B1DB1-Normal12"/>
              <w:spacing w:after="0" w:line="240" w:lineRule="auto"/>
              <w:jc w:val="center"/>
              <w:rPr>
                <w:rFonts w:eastAsia="Times New Roman" w:cstheme="minorHAnsi"/>
                <w:noProof/>
              </w:rPr>
            </w:pPr>
            <w:r>
              <w:rPr>
                <w:noProof/>
              </w:rPr>
              <w:t>A magánlakóépületek energiahatékonysági felújítása</w:t>
            </w:r>
          </w:p>
        </w:tc>
        <w:tc>
          <w:tcPr>
            <w:tcW w:w="1275" w:type="dxa"/>
            <w:shd w:val="clear" w:color="auto" w:fill="C4EFCE"/>
            <w:noWrap/>
            <w:vAlign w:val="center"/>
          </w:tcPr>
          <w:p w14:paraId="42D3737C" w14:textId="3391A35D" w:rsidR="00DC5EC6" w:rsidRDefault="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022613" w14:textId="753503B1" w:rsidR="00DC5EC6" w:rsidRDefault="003245A4">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E7B926C" w14:textId="0DDBA67F" w:rsidR="00DC5EC6" w:rsidRDefault="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5AD2C2C" w14:textId="1AD9FE5B" w:rsidR="00DC5EC6" w:rsidRDefault="003245A4">
            <w:pPr>
              <w:pStyle w:val="P68B1DB1-Normal12"/>
              <w:spacing w:after="0" w:line="240" w:lineRule="auto"/>
              <w:jc w:val="center"/>
              <w:rPr>
                <w:rFonts w:eastAsia="Times New Roman" w:cstheme="minorHAnsi"/>
                <w:noProof/>
              </w:rPr>
            </w:pPr>
            <w:r>
              <w:rPr>
                <w:noProof/>
              </w:rPr>
              <w:t>6 588 000</w:t>
            </w:r>
          </w:p>
        </w:tc>
        <w:tc>
          <w:tcPr>
            <w:tcW w:w="567" w:type="dxa"/>
            <w:shd w:val="clear" w:color="auto" w:fill="C4EFCE"/>
            <w:noWrap/>
            <w:vAlign w:val="center"/>
          </w:tcPr>
          <w:p w14:paraId="3F848666" w14:textId="280D84ED"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5A24DEE7" w14:textId="05E31959"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450107E" w14:textId="77777777" w:rsidR="00DC5EC6" w:rsidRDefault="003245A4">
            <w:pPr>
              <w:pStyle w:val="P68B1DB1-Bodytext1013"/>
              <w:spacing w:after="0" w:line="240" w:lineRule="auto"/>
              <w:jc w:val="both"/>
              <w:rPr>
                <w:rFonts w:cstheme="minorBidi"/>
                <w:noProof/>
              </w:rPr>
            </w:pPr>
            <w:r>
              <w:rPr>
                <w:noProof/>
              </w:rPr>
              <w:t>A felújított magánlakóépületek területe. Az energiahatékonysági felújításoknak átlagosan legalább az épületek felújításáról szóló (EU) 2019/786 bizottsági ajánlásban meghatározott közepes mélységű felújítást kell megvalósítaniuk.</w:t>
            </w:r>
          </w:p>
          <w:p w14:paraId="53883AAE" w14:textId="07B5302D" w:rsidR="00DC5EC6" w:rsidRDefault="003245A4">
            <w:pPr>
              <w:pStyle w:val="P68B1DB1-Normal12"/>
              <w:spacing w:after="0" w:line="240" w:lineRule="auto"/>
              <w:jc w:val="both"/>
              <w:rPr>
                <w:rFonts w:eastAsia="Times New Roman"/>
                <w:noProof/>
              </w:rPr>
            </w:pPr>
            <w:r>
              <w:rPr>
                <w:noProof/>
              </w:rPr>
              <w:t>Az e beruházás keretében felújított alapterület 60%-át többlakásos épületekben kell elhelyezni.</w:t>
            </w:r>
          </w:p>
        </w:tc>
      </w:tr>
      <w:tr w:rsidR="00DC5EC6" w14:paraId="43A42DC3" w14:textId="77777777">
        <w:trPr>
          <w:trHeight w:val="430"/>
        </w:trPr>
        <w:tc>
          <w:tcPr>
            <w:tcW w:w="1135" w:type="dxa"/>
            <w:shd w:val="clear" w:color="auto" w:fill="C4EFCE"/>
            <w:vAlign w:val="center"/>
          </w:tcPr>
          <w:p w14:paraId="212EC2F2" w14:textId="10638F5D" w:rsidR="00DC5EC6" w:rsidRDefault="003245A4">
            <w:pPr>
              <w:pStyle w:val="P68B1DB1-Normal11"/>
              <w:spacing w:after="0" w:line="240" w:lineRule="auto"/>
              <w:jc w:val="center"/>
              <w:rPr>
                <w:rFonts w:eastAsia="Times New Roman" w:cstheme="minorHAnsi"/>
                <w:noProof/>
              </w:rPr>
            </w:pPr>
            <w:r>
              <w:rPr>
                <w:noProof/>
              </w:rPr>
              <w:t>21.3</w:t>
            </w:r>
          </w:p>
        </w:tc>
        <w:tc>
          <w:tcPr>
            <w:tcW w:w="1276" w:type="dxa"/>
            <w:shd w:val="clear" w:color="auto" w:fill="C4EFCE"/>
            <w:noWrap/>
            <w:vAlign w:val="center"/>
          </w:tcPr>
          <w:p w14:paraId="19F97C7B" w14:textId="567F96C9" w:rsidR="00DC5EC6" w:rsidRDefault="003245A4">
            <w:pPr>
              <w:pStyle w:val="P68B1DB1-Normal12"/>
              <w:spacing w:after="0" w:line="240" w:lineRule="auto"/>
              <w:jc w:val="center"/>
              <w:rPr>
                <w:rFonts w:eastAsia="Times New Roman" w:cstheme="minorHAnsi"/>
                <w:noProof/>
              </w:rPr>
            </w:pPr>
            <w:r>
              <w:rPr>
                <w:noProof/>
              </w:rPr>
              <w:t>RP-C21-i02</w:t>
            </w:r>
          </w:p>
        </w:tc>
        <w:tc>
          <w:tcPr>
            <w:tcW w:w="1134" w:type="dxa"/>
            <w:shd w:val="clear" w:color="auto" w:fill="C4EFCE"/>
            <w:noWrap/>
            <w:vAlign w:val="center"/>
          </w:tcPr>
          <w:p w14:paraId="132947DD" w14:textId="77C8791A"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1B6A035" w14:textId="694C7A54" w:rsidR="00DC5EC6" w:rsidRDefault="003245A4">
            <w:pPr>
              <w:pStyle w:val="P68B1DB1-Normal12"/>
              <w:spacing w:after="0" w:line="240" w:lineRule="auto"/>
              <w:jc w:val="center"/>
              <w:rPr>
                <w:rFonts w:eastAsia="Times New Roman" w:cstheme="minorHAnsi"/>
                <w:noProof/>
              </w:rPr>
            </w:pPr>
            <w:r>
              <w:rPr>
                <w:noProof/>
              </w:rPr>
              <w:t>További megújulóenergia-termelési kapacitás a saját fogyasztásra és a lakossági magánszektorban történő felhasználásra</w:t>
            </w:r>
          </w:p>
        </w:tc>
        <w:tc>
          <w:tcPr>
            <w:tcW w:w="1275" w:type="dxa"/>
            <w:shd w:val="clear" w:color="auto" w:fill="C4EFCE"/>
            <w:noWrap/>
            <w:vAlign w:val="center"/>
          </w:tcPr>
          <w:p w14:paraId="462CF090" w14:textId="485EB454" w:rsidR="00DC5EC6" w:rsidRDefault="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5159FF3" w14:textId="7438D3FA" w:rsidR="00DC5EC6" w:rsidRDefault="003245A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9A60CBC" w14:textId="43291961" w:rsidR="00DC5EC6" w:rsidRDefault="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24371DF" w14:textId="1ABF65F2" w:rsidR="00DC5EC6" w:rsidRDefault="003245A4">
            <w:pPr>
              <w:pStyle w:val="P68B1DB1-Normal12"/>
              <w:spacing w:after="0" w:line="240" w:lineRule="auto"/>
              <w:jc w:val="center"/>
              <w:rPr>
                <w:rFonts w:eastAsia="Times New Roman" w:cstheme="minorHAnsi"/>
                <w:noProof/>
              </w:rPr>
            </w:pPr>
            <w:r>
              <w:rPr>
                <w:noProof/>
              </w:rPr>
              <w:t>10</w:t>
            </w:r>
          </w:p>
        </w:tc>
        <w:tc>
          <w:tcPr>
            <w:tcW w:w="567" w:type="dxa"/>
            <w:shd w:val="clear" w:color="auto" w:fill="C4EFCE"/>
            <w:noWrap/>
            <w:vAlign w:val="center"/>
          </w:tcPr>
          <w:p w14:paraId="10744F3B" w14:textId="4DBB2F6B"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59104E64" w14:textId="6E2C7F09"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C1262EC" w14:textId="61BF6995" w:rsidR="00DC5EC6" w:rsidRDefault="003245A4">
            <w:pPr>
              <w:pStyle w:val="P68B1DB1-Bodytext1013"/>
              <w:spacing w:after="0" w:line="240" w:lineRule="auto"/>
              <w:jc w:val="both"/>
              <w:rPr>
                <w:rFonts w:cstheme="minorBidi"/>
                <w:noProof/>
              </w:rPr>
            </w:pPr>
            <w:r>
              <w:rPr>
                <w:noProof/>
              </w:rPr>
              <w:t>További megújulóenergia-termelési kapacitás (például fotovoltaikus panelek és akkumulátorok, amikor ez utóbbi technológia fejlődik) a saját fogyasztásra és a magánlakásos szektorban történő felhasználásra telepítve.</w:t>
            </w:r>
          </w:p>
          <w:p w14:paraId="619C48DD" w14:textId="545238A6" w:rsidR="00DC5EC6" w:rsidRDefault="00DC5EC6">
            <w:pPr>
              <w:spacing w:after="0" w:line="240" w:lineRule="auto"/>
              <w:jc w:val="both"/>
              <w:rPr>
                <w:rFonts w:eastAsia="Times New Roman"/>
                <w:noProof/>
                <w:sz w:val="16"/>
              </w:rPr>
            </w:pPr>
          </w:p>
        </w:tc>
      </w:tr>
      <w:tr w:rsidR="003245A4" w14:paraId="73882A16" w14:textId="77777777">
        <w:trPr>
          <w:trHeight w:val="430"/>
        </w:trPr>
        <w:tc>
          <w:tcPr>
            <w:tcW w:w="1135" w:type="dxa"/>
            <w:shd w:val="clear" w:color="auto" w:fill="C4EFCE"/>
            <w:vAlign w:val="center"/>
          </w:tcPr>
          <w:p w14:paraId="15BBD858" w14:textId="5C3A7649" w:rsidR="003245A4" w:rsidRDefault="003245A4" w:rsidP="003245A4">
            <w:pPr>
              <w:pStyle w:val="P68B1DB1-Normal11"/>
              <w:spacing w:after="0" w:line="240" w:lineRule="auto"/>
              <w:jc w:val="center"/>
              <w:rPr>
                <w:rFonts w:eastAsia="Times New Roman" w:cstheme="minorHAnsi"/>
                <w:noProof/>
              </w:rPr>
            </w:pPr>
            <w:r>
              <w:rPr>
                <w:noProof/>
              </w:rPr>
              <w:t>21.4</w:t>
            </w:r>
          </w:p>
        </w:tc>
        <w:tc>
          <w:tcPr>
            <w:tcW w:w="1276" w:type="dxa"/>
            <w:shd w:val="clear" w:color="auto" w:fill="C4EFCE"/>
            <w:noWrap/>
            <w:vAlign w:val="center"/>
          </w:tcPr>
          <w:p w14:paraId="62676A47" w14:textId="49D8AEF4" w:rsidR="003245A4" w:rsidRDefault="003245A4" w:rsidP="003245A4">
            <w:pPr>
              <w:pStyle w:val="P68B1DB1-Normal12"/>
              <w:spacing w:after="0" w:line="240" w:lineRule="auto"/>
              <w:jc w:val="center"/>
              <w:rPr>
                <w:rFonts w:eastAsia="Times New Roman" w:cstheme="minorHAnsi"/>
                <w:noProof/>
              </w:rPr>
            </w:pPr>
            <w:r>
              <w:rPr>
                <w:noProof/>
              </w:rPr>
              <w:t>RP-C21-i03</w:t>
            </w:r>
          </w:p>
        </w:tc>
        <w:tc>
          <w:tcPr>
            <w:tcW w:w="1134" w:type="dxa"/>
            <w:shd w:val="clear" w:color="auto" w:fill="C4EFCE"/>
            <w:noWrap/>
            <w:vAlign w:val="center"/>
          </w:tcPr>
          <w:p w14:paraId="34651C7B" w14:textId="18BC97B7"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60269BC" w14:textId="16150F7D" w:rsidR="003245A4" w:rsidRDefault="003245A4" w:rsidP="003245A4">
            <w:pPr>
              <w:pStyle w:val="P68B1DB1-Normal12"/>
              <w:spacing w:after="0" w:line="240" w:lineRule="auto"/>
              <w:jc w:val="center"/>
              <w:rPr>
                <w:rFonts w:eastAsia="Times New Roman" w:cstheme="minorHAnsi"/>
                <w:noProof/>
              </w:rPr>
            </w:pPr>
            <w:r>
              <w:rPr>
                <w:noProof/>
              </w:rPr>
              <w:t>A szolgáltató épületek energiahatékonysági felújítása</w:t>
            </w:r>
          </w:p>
        </w:tc>
        <w:tc>
          <w:tcPr>
            <w:tcW w:w="1275" w:type="dxa"/>
            <w:shd w:val="clear" w:color="auto" w:fill="C4EFCE"/>
            <w:noWrap/>
            <w:vAlign w:val="center"/>
          </w:tcPr>
          <w:p w14:paraId="459F1CF9" w14:textId="40FFF73E"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2767D5" w14:textId="36BCCE48" w:rsidR="003245A4" w:rsidRDefault="003245A4" w:rsidP="003245A4">
            <w:pPr>
              <w:pStyle w:val="P68B1DB1-Normal12"/>
              <w:spacing w:after="0" w:line="240" w:lineRule="auto"/>
              <w:jc w:val="center"/>
              <w:rPr>
                <w:rFonts w:eastAsia="Times New Roman" w:cstheme="minorHAnsi"/>
                <w:noProof/>
              </w:rPr>
            </w:pPr>
            <w:r>
              <w:rPr>
                <w:noProof/>
              </w:rPr>
              <w:t>m²</w:t>
            </w:r>
          </w:p>
        </w:tc>
        <w:tc>
          <w:tcPr>
            <w:tcW w:w="992" w:type="dxa"/>
            <w:shd w:val="clear" w:color="auto" w:fill="C4EFCE"/>
            <w:noWrap/>
            <w:vAlign w:val="center"/>
          </w:tcPr>
          <w:p w14:paraId="76C71504" w14:textId="4B820CEF" w:rsidR="003245A4" w:rsidRDefault="003245A4" w:rsidP="003245A4">
            <w:pPr>
              <w:pStyle w:val="P68B1DB1-Normal12"/>
              <w:spacing w:after="0" w:line="240" w:lineRule="auto"/>
              <w:jc w:val="center"/>
              <w:rPr>
                <w:rFonts w:eastAsia="Times New Roman"/>
                <w:noProof/>
              </w:rPr>
            </w:pPr>
            <w:r>
              <w:rPr>
                <w:noProof/>
              </w:rPr>
              <w:t>360,000</w:t>
            </w:r>
          </w:p>
        </w:tc>
        <w:tc>
          <w:tcPr>
            <w:tcW w:w="992" w:type="dxa"/>
            <w:shd w:val="clear" w:color="auto" w:fill="C4EFCE"/>
            <w:noWrap/>
            <w:vAlign w:val="center"/>
          </w:tcPr>
          <w:p w14:paraId="4E7E34F6" w14:textId="24377808" w:rsidR="003245A4" w:rsidRDefault="003245A4" w:rsidP="003245A4">
            <w:pPr>
              <w:pStyle w:val="P68B1DB1-Normal12"/>
              <w:spacing w:after="0" w:line="240" w:lineRule="auto"/>
              <w:jc w:val="center"/>
              <w:rPr>
                <w:rFonts w:eastAsia="Times New Roman"/>
                <w:noProof/>
              </w:rPr>
            </w:pPr>
            <w:r>
              <w:rPr>
                <w:noProof/>
              </w:rPr>
              <w:t>1 060 000</w:t>
            </w:r>
          </w:p>
        </w:tc>
        <w:tc>
          <w:tcPr>
            <w:tcW w:w="567" w:type="dxa"/>
            <w:shd w:val="clear" w:color="auto" w:fill="C4EFCE"/>
            <w:noWrap/>
            <w:vAlign w:val="center"/>
          </w:tcPr>
          <w:p w14:paraId="5AC29A9B" w14:textId="69B5534F"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76B212F5" w14:textId="63663A41"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3D5C6F9" w14:textId="23A297C7" w:rsidR="003245A4" w:rsidRDefault="003245A4" w:rsidP="003245A4">
            <w:pPr>
              <w:pStyle w:val="P68B1DB1-Bodytext1013"/>
              <w:spacing w:after="0" w:line="240" w:lineRule="auto"/>
              <w:jc w:val="both"/>
              <w:rPr>
                <w:rFonts w:cstheme="minorBidi"/>
                <w:noProof/>
              </w:rPr>
            </w:pPr>
            <w:r>
              <w:rPr>
                <w:noProof/>
              </w:rPr>
              <w:t>A szolgáltatási ágazat által használt, energiahatékonysági felújításon átesett épületek teljes területe.</w:t>
            </w:r>
          </w:p>
          <w:p w14:paraId="288E3B5D" w14:textId="3DBE8827" w:rsidR="003245A4" w:rsidRDefault="003245A4" w:rsidP="003245A4">
            <w:pPr>
              <w:pStyle w:val="P68B1DB1-Normal12"/>
              <w:spacing w:after="0" w:line="240" w:lineRule="auto"/>
              <w:jc w:val="both"/>
              <w:rPr>
                <w:rFonts w:eastAsia="Times New Roman" w:cstheme="minorHAnsi"/>
                <w:noProof/>
              </w:rPr>
            </w:pPr>
            <w:r>
              <w:rPr>
                <w:noProof/>
              </w:rPr>
              <w:t>Az energiahatékonysági felújításoknak átlagosan legalább az épületek felújításáról szóló (EU) 2019/786 bizottsági ajánlásban meghatározott közepes mélységű felújítást kell megvalósítaniuk.</w:t>
            </w:r>
          </w:p>
        </w:tc>
      </w:tr>
      <w:tr w:rsidR="00853C3A" w14:paraId="51B258CA" w14:textId="77777777">
        <w:trPr>
          <w:trHeight w:val="430"/>
        </w:trPr>
        <w:tc>
          <w:tcPr>
            <w:tcW w:w="1135" w:type="dxa"/>
            <w:shd w:val="clear" w:color="auto" w:fill="C4EFCE"/>
            <w:vAlign w:val="center"/>
          </w:tcPr>
          <w:p w14:paraId="2644F217" w14:textId="22F80D52" w:rsidR="00853C3A" w:rsidRDefault="00853C3A" w:rsidP="00853C3A">
            <w:pPr>
              <w:pStyle w:val="P68B1DB1-Normal11"/>
              <w:spacing w:after="0" w:line="240" w:lineRule="auto"/>
              <w:jc w:val="center"/>
              <w:rPr>
                <w:rFonts w:eastAsia="Times New Roman" w:cstheme="minorHAnsi"/>
                <w:noProof/>
              </w:rPr>
            </w:pPr>
            <w:r>
              <w:rPr>
                <w:noProof/>
              </w:rPr>
              <w:t>21.5</w:t>
            </w:r>
          </w:p>
        </w:tc>
        <w:tc>
          <w:tcPr>
            <w:tcW w:w="1276" w:type="dxa"/>
            <w:shd w:val="clear" w:color="auto" w:fill="C4EFCE"/>
            <w:noWrap/>
            <w:vAlign w:val="center"/>
          </w:tcPr>
          <w:p w14:paraId="3E081706" w14:textId="65AC1B46" w:rsidR="00853C3A" w:rsidRDefault="00853C3A" w:rsidP="00853C3A">
            <w:pPr>
              <w:pStyle w:val="P68B1DB1-Bodytext1013"/>
              <w:rPr>
                <w:rFonts w:cstheme="minorHAnsi"/>
                <w:noProof/>
              </w:rPr>
            </w:pPr>
            <w:r>
              <w:rPr>
                <w:noProof/>
              </w:rPr>
              <w:t>RP-21-i04-RAM</w:t>
            </w:r>
          </w:p>
        </w:tc>
        <w:tc>
          <w:tcPr>
            <w:tcW w:w="1134" w:type="dxa"/>
            <w:shd w:val="clear" w:color="auto" w:fill="C4EFCE"/>
            <w:noWrap/>
            <w:vAlign w:val="center"/>
          </w:tcPr>
          <w:p w14:paraId="576823A2" w14:textId="761EF1D1"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12BF19D" w14:textId="12ED4A50" w:rsidR="00853C3A" w:rsidRDefault="00853C3A" w:rsidP="00853C3A">
            <w:pPr>
              <w:pStyle w:val="P68B1DB1-Normal12"/>
              <w:spacing w:after="0" w:line="240" w:lineRule="auto"/>
              <w:jc w:val="center"/>
              <w:rPr>
                <w:rFonts w:eastAsia="Times New Roman"/>
                <w:noProof/>
              </w:rPr>
            </w:pPr>
            <w:r>
              <w:rPr>
                <w:noProof/>
              </w:rPr>
              <w:t>További megújulóenergia-termelési kapacitás a saját fogyasztásra és a megújuló energia közösségi felhasználására a felújított középületekben</w:t>
            </w:r>
          </w:p>
        </w:tc>
        <w:tc>
          <w:tcPr>
            <w:tcW w:w="1275" w:type="dxa"/>
            <w:shd w:val="clear" w:color="auto" w:fill="C4EFCE"/>
            <w:noWrap/>
            <w:vAlign w:val="center"/>
          </w:tcPr>
          <w:p w14:paraId="1DE1063A" w14:textId="66359CB1"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5CB8B204" w14:textId="31C920AC"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34922037" w14:textId="7CAC268A" w:rsidR="00853C3A" w:rsidRDefault="00853C3A" w:rsidP="00853C3A">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64EAB2DF" w14:textId="7012C39E" w:rsidR="00853C3A" w:rsidRDefault="00853C3A" w:rsidP="00853C3A">
            <w:pPr>
              <w:pStyle w:val="P68B1DB1-Normal12"/>
              <w:spacing w:after="0" w:line="240" w:lineRule="auto"/>
              <w:jc w:val="center"/>
              <w:rPr>
                <w:rFonts w:eastAsia="Times New Roman" w:cstheme="minorHAnsi"/>
                <w:noProof/>
              </w:rPr>
            </w:pPr>
            <w:r>
              <w:rPr>
                <w:noProof/>
              </w:rPr>
              <w:t>1.3</w:t>
            </w:r>
          </w:p>
        </w:tc>
        <w:tc>
          <w:tcPr>
            <w:tcW w:w="567" w:type="dxa"/>
            <w:shd w:val="clear" w:color="auto" w:fill="C4EFCE"/>
            <w:noWrap/>
            <w:vAlign w:val="center"/>
          </w:tcPr>
          <w:p w14:paraId="1ADD0D80" w14:textId="208B7381"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D5B9DF9" w14:textId="38003732"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EC83552" w14:textId="34489AEE" w:rsidR="00853C3A" w:rsidRDefault="00853C3A" w:rsidP="00853C3A">
            <w:pPr>
              <w:pStyle w:val="P68B1DB1-Bodytext1013"/>
              <w:spacing w:after="0" w:line="240" w:lineRule="auto"/>
              <w:jc w:val="both"/>
              <w:rPr>
                <w:rFonts w:cstheme="minorBidi"/>
                <w:noProof/>
              </w:rPr>
            </w:pPr>
            <w:r>
              <w:rPr>
                <w:noProof/>
              </w:rPr>
              <w:t>További megújulóenergia-termelési kapacitás a középületek saját fogyasztása céljából.</w:t>
            </w:r>
          </w:p>
        </w:tc>
      </w:tr>
      <w:tr w:rsidR="00853C3A" w14:paraId="468840B8" w14:textId="77777777">
        <w:trPr>
          <w:trHeight w:val="1519"/>
        </w:trPr>
        <w:tc>
          <w:tcPr>
            <w:tcW w:w="1135" w:type="dxa"/>
            <w:shd w:val="clear" w:color="auto" w:fill="C4EFCE"/>
            <w:vAlign w:val="center"/>
          </w:tcPr>
          <w:p w14:paraId="48117054" w14:textId="0841057E" w:rsidR="00853C3A" w:rsidRDefault="00853C3A" w:rsidP="00853C3A">
            <w:pPr>
              <w:pStyle w:val="P68B1DB1-Normal11"/>
              <w:spacing w:after="0" w:line="240" w:lineRule="auto"/>
              <w:jc w:val="center"/>
              <w:rPr>
                <w:rFonts w:eastAsia="Times New Roman" w:cstheme="minorHAnsi"/>
                <w:noProof/>
              </w:rPr>
            </w:pPr>
            <w:r>
              <w:rPr>
                <w:noProof/>
              </w:rPr>
              <w:t>21.6</w:t>
            </w:r>
          </w:p>
        </w:tc>
        <w:tc>
          <w:tcPr>
            <w:tcW w:w="1276" w:type="dxa"/>
            <w:shd w:val="clear" w:color="auto" w:fill="C4EFCE"/>
            <w:noWrap/>
            <w:vAlign w:val="center"/>
          </w:tcPr>
          <w:p w14:paraId="600F3363" w14:textId="417C60DB" w:rsidR="00853C3A" w:rsidRDefault="00853C3A" w:rsidP="00853C3A">
            <w:pPr>
              <w:pStyle w:val="P68B1DB1-Normal12"/>
              <w:spacing w:after="0" w:line="240" w:lineRule="auto"/>
              <w:jc w:val="center"/>
              <w:rPr>
                <w:rFonts w:eastAsia="Times New Roman" w:cstheme="minorHAnsi"/>
                <w:noProof/>
              </w:rPr>
            </w:pPr>
            <w:r>
              <w:rPr>
                <w:noProof/>
              </w:rPr>
              <w:t>RP-21-i04-RAM</w:t>
            </w:r>
          </w:p>
        </w:tc>
        <w:tc>
          <w:tcPr>
            <w:tcW w:w="1134" w:type="dxa"/>
            <w:shd w:val="clear" w:color="auto" w:fill="C4EFCE"/>
            <w:noWrap/>
            <w:vAlign w:val="center"/>
          </w:tcPr>
          <w:p w14:paraId="423333E2" w14:textId="5B9C803B"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15A338D" w14:textId="1DF04D00" w:rsidR="00853C3A" w:rsidRDefault="00853C3A" w:rsidP="00853C3A">
            <w:pPr>
              <w:pStyle w:val="P68B1DB1-Normal12"/>
              <w:spacing w:after="0" w:line="240" w:lineRule="auto"/>
              <w:jc w:val="center"/>
              <w:rPr>
                <w:rFonts w:eastAsia="Times New Roman" w:cstheme="minorHAnsi"/>
                <w:noProof/>
              </w:rPr>
            </w:pPr>
            <w:r>
              <w:rPr>
                <w:noProof/>
              </w:rPr>
              <w:t>A középületek energiahatékonysági felújítása</w:t>
            </w:r>
          </w:p>
        </w:tc>
        <w:tc>
          <w:tcPr>
            <w:tcW w:w="1275" w:type="dxa"/>
            <w:shd w:val="clear" w:color="auto" w:fill="C4EFCE"/>
            <w:noWrap/>
            <w:vAlign w:val="center"/>
          </w:tcPr>
          <w:p w14:paraId="3C7888E1" w14:textId="26C6AC41"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72805B6" w14:textId="2ECAF662" w:rsidR="00853C3A" w:rsidRDefault="00853C3A" w:rsidP="00853C3A">
            <w:pPr>
              <w:pStyle w:val="P68B1DB1-Normal12"/>
              <w:spacing w:after="0" w:line="240" w:lineRule="auto"/>
              <w:jc w:val="center"/>
              <w:rPr>
                <w:rFonts w:eastAsia="Times New Roman" w:cstheme="minorHAnsi"/>
                <w:noProof/>
              </w:rPr>
            </w:pPr>
            <w:r>
              <w:rPr>
                <w:noProof/>
              </w:rPr>
              <w:t>M</w:t>
            </w:r>
            <w:r>
              <w:rPr>
                <w:noProof/>
                <w:vertAlign w:val="superscript"/>
              </w:rPr>
              <w:t>2</w:t>
            </w:r>
          </w:p>
        </w:tc>
        <w:tc>
          <w:tcPr>
            <w:tcW w:w="992" w:type="dxa"/>
            <w:shd w:val="clear" w:color="auto" w:fill="C4EFCE"/>
            <w:noWrap/>
            <w:vAlign w:val="center"/>
          </w:tcPr>
          <w:p w14:paraId="55701F7C" w14:textId="5FDE8DB7" w:rsidR="00853C3A" w:rsidRDefault="00853C3A" w:rsidP="00853C3A">
            <w:pPr>
              <w:pStyle w:val="P68B1DB1-Normal12"/>
              <w:spacing w:after="0" w:line="240" w:lineRule="auto"/>
              <w:jc w:val="center"/>
              <w:rPr>
                <w:noProof/>
              </w:rPr>
            </w:pPr>
            <w:r>
              <w:rPr>
                <w:noProof/>
              </w:rPr>
              <w:t xml:space="preserve"> 0</w:t>
            </w:r>
          </w:p>
        </w:tc>
        <w:tc>
          <w:tcPr>
            <w:tcW w:w="992" w:type="dxa"/>
            <w:shd w:val="clear" w:color="auto" w:fill="C4EFCE"/>
            <w:noWrap/>
            <w:vAlign w:val="center"/>
          </w:tcPr>
          <w:p w14:paraId="4974C85D" w14:textId="02953CA5" w:rsidR="00853C3A" w:rsidRDefault="00853C3A" w:rsidP="00853C3A">
            <w:pPr>
              <w:pStyle w:val="P68B1DB1-Normal12"/>
              <w:spacing w:after="0" w:line="240" w:lineRule="auto"/>
              <w:jc w:val="center"/>
              <w:rPr>
                <w:rFonts w:eastAsia="Times New Roman" w:cstheme="minorHAnsi"/>
                <w:noProof/>
              </w:rPr>
            </w:pPr>
            <w:r>
              <w:rPr>
                <w:noProof/>
              </w:rPr>
              <w:t xml:space="preserve">105 000 </w:t>
            </w:r>
          </w:p>
        </w:tc>
        <w:tc>
          <w:tcPr>
            <w:tcW w:w="567" w:type="dxa"/>
            <w:shd w:val="clear" w:color="auto" w:fill="C4EFCE"/>
            <w:noWrap/>
            <w:vAlign w:val="center"/>
          </w:tcPr>
          <w:p w14:paraId="20377C57" w14:textId="04EBA2D0"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0BA9E64F" w14:textId="05AC713C"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4380BFB2" w14:textId="453CB997" w:rsidR="00853C3A" w:rsidRDefault="00853C3A" w:rsidP="00853C3A">
            <w:pPr>
              <w:pStyle w:val="P68B1DB1-CommentText21"/>
              <w:spacing w:line="240" w:lineRule="auto"/>
              <w:rPr>
                <w:rFonts w:cstheme="minorBidi"/>
                <w:noProof/>
              </w:rPr>
            </w:pPr>
            <w:r>
              <w:rPr>
                <w:noProof/>
              </w:rPr>
              <w:t>A középületeken belül összesen 105000 négyzetméternyi területet kell energiahatékonysági felújításnak alávetni.</w:t>
            </w:r>
          </w:p>
          <w:p w14:paraId="0FF509DE" w14:textId="5DF839FB" w:rsidR="00853C3A" w:rsidRDefault="00853C3A" w:rsidP="00853C3A">
            <w:pPr>
              <w:pStyle w:val="P68B1DB1-Bodytext1013"/>
              <w:spacing w:after="0" w:line="240" w:lineRule="auto"/>
              <w:jc w:val="both"/>
              <w:rPr>
                <w:rFonts w:cstheme="minorBidi"/>
                <w:noProof/>
              </w:rPr>
            </w:pPr>
            <w:r>
              <w:rPr>
                <w:noProof/>
              </w:rPr>
              <w:t>Az energiahatékonysági felújításoknak átlagosan legalább az épületek felújításáról szóló (EU) 2019/786 bizottsági ajánlásban meghatározott közepes mélységű felújítást kell megvalósítaniuk.</w:t>
            </w:r>
          </w:p>
        </w:tc>
      </w:tr>
      <w:tr w:rsidR="00DC5EC6" w14:paraId="58D7856D" w14:textId="77777777">
        <w:trPr>
          <w:trHeight w:val="430"/>
        </w:trPr>
        <w:tc>
          <w:tcPr>
            <w:tcW w:w="1135" w:type="dxa"/>
            <w:shd w:val="clear" w:color="auto" w:fill="C4EFCE"/>
            <w:vAlign w:val="center"/>
          </w:tcPr>
          <w:p w14:paraId="2251B7BA" w14:textId="61C2CEA5" w:rsidR="00DC5EC6" w:rsidRDefault="003245A4">
            <w:pPr>
              <w:pStyle w:val="P68B1DB1-Normal11"/>
              <w:spacing w:after="0" w:line="240" w:lineRule="auto"/>
              <w:jc w:val="center"/>
              <w:rPr>
                <w:rFonts w:eastAsia="Times New Roman" w:cstheme="minorHAnsi"/>
                <w:noProof/>
              </w:rPr>
            </w:pPr>
            <w:r>
              <w:rPr>
                <w:noProof/>
              </w:rPr>
              <w:t>21.7</w:t>
            </w:r>
          </w:p>
        </w:tc>
        <w:tc>
          <w:tcPr>
            <w:tcW w:w="1276" w:type="dxa"/>
            <w:shd w:val="clear" w:color="auto" w:fill="C4EFCE"/>
            <w:noWrap/>
            <w:vAlign w:val="center"/>
          </w:tcPr>
          <w:p w14:paraId="34021876" w14:textId="08C5790C" w:rsidR="00DC5EC6" w:rsidRDefault="003245A4">
            <w:pPr>
              <w:pStyle w:val="P68B1DB1-Bodytext1013"/>
              <w:rPr>
                <w:rFonts w:eastAsia="Times New Roman félkövér" w:cstheme="minorHAnsi"/>
                <w:noProof/>
              </w:rPr>
            </w:pPr>
            <w:r>
              <w:rPr>
                <w:noProof/>
              </w:rPr>
              <w:t>RP-C21-r43</w:t>
            </w:r>
          </w:p>
        </w:tc>
        <w:tc>
          <w:tcPr>
            <w:tcW w:w="1134" w:type="dxa"/>
            <w:shd w:val="clear" w:color="auto" w:fill="C4EFCE"/>
            <w:noWrap/>
            <w:vAlign w:val="center"/>
          </w:tcPr>
          <w:p w14:paraId="4F71420E" w14:textId="56F3F28B"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6FFEF19" w14:textId="67ACAB84" w:rsidR="00DC5EC6" w:rsidRDefault="003245A4">
            <w:pPr>
              <w:pStyle w:val="P68B1DB1-Normal12"/>
              <w:spacing w:after="0" w:line="240" w:lineRule="auto"/>
              <w:jc w:val="center"/>
              <w:rPr>
                <w:rFonts w:eastAsia="Times New Roman" w:cstheme="minorHAnsi"/>
                <w:noProof/>
              </w:rPr>
            </w:pPr>
            <w:r>
              <w:rPr>
                <w:noProof/>
              </w:rPr>
              <w:t>A Nemzeti Energiaszegénységi Megfigyelőközpont (ONPE) létrehozásáról szóló jogszabály hatálybalépése</w:t>
            </w:r>
          </w:p>
        </w:tc>
        <w:tc>
          <w:tcPr>
            <w:tcW w:w="1275" w:type="dxa"/>
            <w:shd w:val="clear" w:color="auto" w:fill="C4EFCE"/>
            <w:noWrap/>
            <w:vAlign w:val="center"/>
          </w:tcPr>
          <w:p w14:paraId="63846E04" w14:textId="72701C97" w:rsidR="00DC5EC6" w:rsidRDefault="003245A4">
            <w:pPr>
              <w:pStyle w:val="P68B1DB1-Normal12"/>
              <w:spacing w:after="0" w:line="240" w:lineRule="auto"/>
              <w:jc w:val="center"/>
              <w:rPr>
                <w:noProof/>
              </w:rPr>
            </w:pPr>
            <w:r>
              <w:rPr>
                <w:noProof/>
              </w:rPr>
              <w:t xml:space="preserve">A jogszabály hatálybalépésére vonatkozó jogszabályi rendelkezés </w:t>
            </w:r>
          </w:p>
        </w:tc>
        <w:tc>
          <w:tcPr>
            <w:tcW w:w="993" w:type="dxa"/>
            <w:shd w:val="clear" w:color="auto" w:fill="C4EFCE"/>
            <w:noWrap/>
            <w:vAlign w:val="center"/>
          </w:tcPr>
          <w:p w14:paraId="6A7D8AC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D421A1B" w14:textId="45638A68" w:rsidR="00DC5EC6" w:rsidRDefault="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BF07CE4"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73F3ECB3" w14:textId="2F7678E9"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6FCC7FDE" w14:textId="1C1EA560"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135256C5" w14:textId="58D90D2E" w:rsidR="00DC5EC6" w:rsidRDefault="003245A4">
            <w:pPr>
              <w:pStyle w:val="P68B1DB1-Normal12"/>
              <w:spacing w:after="0" w:line="240" w:lineRule="auto"/>
              <w:jc w:val="both"/>
              <w:rPr>
                <w:rFonts w:eastAsia="Times New Roman"/>
                <w:noProof/>
              </w:rPr>
            </w:pPr>
            <w:r>
              <w:rPr>
                <w:noProof/>
              </w:rPr>
              <w:t>A Nemzeti Energiaszegénységi Megfigyelőközpontot (ONPE) létrehozó jogszabály hatálybalépése, beleértve az irányítás, a felelősségi körök és a célok meghatározását, az intézkedés leírásában meghatározottak szerint.</w:t>
            </w:r>
          </w:p>
        </w:tc>
      </w:tr>
      <w:tr w:rsidR="00DC5EC6" w14:paraId="516DA8F8" w14:textId="77777777">
        <w:trPr>
          <w:trHeight w:val="430"/>
        </w:trPr>
        <w:tc>
          <w:tcPr>
            <w:tcW w:w="1135" w:type="dxa"/>
            <w:shd w:val="clear" w:color="auto" w:fill="C4EFCE"/>
            <w:vAlign w:val="center"/>
          </w:tcPr>
          <w:p w14:paraId="34B69183" w14:textId="15D64060" w:rsidR="00DC5EC6" w:rsidRDefault="003245A4">
            <w:pPr>
              <w:pStyle w:val="P68B1DB1-Normal11"/>
              <w:spacing w:after="0" w:line="240" w:lineRule="auto"/>
              <w:jc w:val="center"/>
              <w:rPr>
                <w:rFonts w:eastAsia="Times New Roman" w:cstheme="minorHAnsi"/>
                <w:noProof/>
              </w:rPr>
            </w:pPr>
            <w:r>
              <w:rPr>
                <w:noProof/>
              </w:rPr>
              <w:t>21.8</w:t>
            </w:r>
          </w:p>
        </w:tc>
        <w:tc>
          <w:tcPr>
            <w:tcW w:w="1276" w:type="dxa"/>
            <w:shd w:val="clear" w:color="auto" w:fill="C4EFCE"/>
            <w:noWrap/>
            <w:vAlign w:val="center"/>
          </w:tcPr>
          <w:p w14:paraId="5AF91C70" w14:textId="57FF3B22" w:rsidR="00DC5EC6" w:rsidRDefault="003245A4">
            <w:pPr>
              <w:pStyle w:val="P68B1DB1-Normal12"/>
              <w:spacing w:after="0" w:line="240" w:lineRule="auto"/>
              <w:jc w:val="center"/>
              <w:rPr>
                <w:rFonts w:eastAsia="Times New Roman" w:cstheme="minorHAnsi"/>
                <w:noProof/>
              </w:rPr>
            </w:pPr>
            <w:r>
              <w:rPr>
                <w:noProof/>
              </w:rPr>
              <w:t>RP-C21-r43</w:t>
            </w:r>
          </w:p>
        </w:tc>
        <w:tc>
          <w:tcPr>
            <w:tcW w:w="1134" w:type="dxa"/>
            <w:shd w:val="clear" w:color="auto" w:fill="C4EFCE"/>
            <w:noWrap/>
            <w:vAlign w:val="center"/>
          </w:tcPr>
          <w:p w14:paraId="21C4EA54" w14:textId="0E98EABF"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A5E52BD" w14:textId="730B2BA6" w:rsidR="00DC5EC6" w:rsidRDefault="003245A4">
            <w:pPr>
              <w:pStyle w:val="P68B1DB1-Normal12"/>
              <w:spacing w:after="0" w:line="240" w:lineRule="auto"/>
              <w:jc w:val="center"/>
              <w:rPr>
                <w:rFonts w:eastAsia="Times New Roman"/>
                <w:noProof/>
              </w:rPr>
            </w:pPr>
            <w:r>
              <w:rPr>
                <w:noProof/>
              </w:rPr>
              <w:t>Az energiaszegénység elleni küzdelmet szolgáló finanszírozási eszköz elindítása</w:t>
            </w:r>
          </w:p>
        </w:tc>
        <w:tc>
          <w:tcPr>
            <w:tcW w:w="1275" w:type="dxa"/>
            <w:shd w:val="clear" w:color="auto" w:fill="C4EFCE"/>
            <w:noWrap/>
            <w:vAlign w:val="center"/>
          </w:tcPr>
          <w:p w14:paraId="2F98D54F" w14:textId="6858B98B" w:rsidR="00DC5EC6" w:rsidRDefault="003245A4">
            <w:pPr>
              <w:pStyle w:val="P68B1DB1-Normal12"/>
              <w:spacing w:after="0" w:line="240" w:lineRule="auto"/>
              <w:jc w:val="center"/>
              <w:rPr>
                <w:noProof/>
              </w:rPr>
            </w:pPr>
            <w:r>
              <w:rPr>
                <w:noProof/>
              </w:rPr>
              <w:t>Az energiaszegénység elleni küzdelmet szolgáló finanszírozási eszköz elindítása</w:t>
            </w:r>
          </w:p>
        </w:tc>
        <w:tc>
          <w:tcPr>
            <w:tcW w:w="993" w:type="dxa"/>
            <w:shd w:val="clear" w:color="auto" w:fill="C4EFCE"/>
            <w:noWrap/>
            <w:vAlign w:val="center"/>
          </w:tcPr>
          <w:p w14:paraId="153BF777"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89159D0"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B2F4246"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1F0E5CBC" w14:textId="5478BADE"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050861F5" w14:textId="62CDF1FF"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DA29653" w14:textId="4B8FCA14" w:rsidR="00DC5EC6" w:rsidRDefault="003245A4">
            <w:pPr>
              <w:pStyle w:val="P68B1DB1-Normal12"/>
              <w:spacing w:after="0" w:line="240" w:lineRule="auto"/>
              <w:jc w:val="both"/>
              <w:rPr>
                <w:rFonts w:eastAsia="Times New Roman"/>
                <w:noProof/>
              </w:rPr>
            </w:pPr>
            <w:r>
              <w:rPr>
                <w:noProof/>
              </w:rPr>
              <w:t>A lakossági szektor energiahatékonysági intézkedéseire irányuló finanszírozási eszköz elindítása az azonosított háztartási profilok tekintetében az energiaszegénység kezelése érdekében. Ezt a vonatkozó jogszabály hatálybalépésével vagy egy pénzügyi intézmény határozatának elfogadásával kell elfogadni.</w:t>
            </w:r>
          </w:p>
        </w:tc>
      </w:tr>
      <w:tr w:rsidR="00853C3A" w14:paraId="76ADC491" w14:textId="77777777">
        <w:trPr>
          <w:trHeight w:val="430"/>
        </w:trPr>
        <w:tc>
          <w:tcPr>
            <w:tcW w:w="1135" w:type="dxa"/>
            <w:shd w:val="clear" w:color="auto" w:fill="C4EFCE"/>
            <w:vAlign w:val="center"/>
          </w:tcPr>
          <w:p w14:paraId="624C6CC1" w14:textId="2FA7289B" w:rsidR="00853C3A" w:rsidRDefault="00853C3A" w:rsidP="00853C3A">
            <w:pPr>
              <w:pStyle w:val="P68B1DB1-Normal11"/>
              <w:spacing w:after="0" w:line="240" w:lineRule="auto"/>
              <w:jc w:val="center"/>
              <w:rPr>
                <w:rFonts w:eastAsia="Times New Roman" w:cstheme="minorHAnsi"/>
                <w:noProof/>
              </w:rPr>
            </w:pPr>
            <w:r>
              <w:rPr>
                <w:noProof/>
              </w:rPr>
              <w:t>21.9</w:t>
            </w:r>
          </w:p>
        </w:tc>
        <w:tc>
          <w:tcPr>
            <w:tcW w:w="1276" w:type="dxa"/>
            <w:shd w:val="clear" w:color="auto" w:fill="C4EFCE"/>
            <w:noWrap/>
            <w:vAlign w:val="center"/>
          </w:tcPr>
          <w:p w14:paraId="28F5253F" w14:textId="3B061D31" w:rsidR="00853C3A" w:rsidRDefault="00853C3A" w:rsidP="00853C3A">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FA2A266" w14:textId="7A8ACAE4" w:rsidR="00853C3A" w:rsidRDefault="00853C3A" w:rsidP="00853C3A">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3D0BF3" w14:textId="399683E4" w:rsidR="00853C3A" w:rsidRDefault="00853C3A" w:rsidP="00853C3A">
            <w:pPr>
              <w:pStyle w:val="P68B1DB1-Normal12"/>
              <w:spacing w:after="0" w:line="240" w:lineRule="auto"/>
              <w:jc w:val="center"/>
              <w:rPr>
                <w:rFonts w:eastAsia="Times New Roman" w:cstheme="minorHAnsi"/>
                <w:noProof/>
              </w:rPr>
            </w:pPr>
            <w:r>
              <w:rPr>
                <w:noProof/>
              </w:rPr>
              <w:t>Együttműködési jegyzőkönyv aláírása</w:t>
            </w:r>
          </w:p>
        </w:tc>
        <w:tc>
          <w:tcPr>
            <w:tcW w:w="1275" w:type="dxa"/>
            <w:shd w:val="clear" w:color="auto" w:fill="C4EFCE"/>
            <w:noWrap/>
            <w:vAlign w:val="center"/>
          </w:tcPr>
          <w:p w14:paraId="2A0074DF" w14:textId="5E4E8D6E" w:rsidR="00853C3A" w:rsidRDefault="00853C3A" w:rsidP="00853C3A">
            <w:pPr>
              <w:pStyle w:val="P68B1DB1-Normal12"/>
              <w:spacing w:after="0" w:line="240" w:lineRule="auto"/>
              <w:jc w:val="center"/>
              <w:rPr>
                <w:rFonts w:eastAsia="Times New Roman" w:cstheme="minorHAnsi"/>
                <w:noProof/>
              </w:rPr>
            </w:pPr>
            <w:r>
              <w:rPr>
                <w:noProof/>
              </w:rPr>
              <w:t>Együttműködési jegyzőkönyv aláírása</w:t>
            </w:r>
          </w:p>
        </w:tc>
        <w:tc>
          <w:tcPr>
            <w:tcW w:w="993" w:type="dxa"/>
            <w:shd w:val="clear" w:color="auto" w:fill="C4EFCE"/>
            <w:noWrap/>
            <w:vAlign w:val="center"/>
          </w:tcPr>
          <w:p w14:paraId="6E9051C5"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319DECB3" w14:textId="0694995E"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28E6BDE" w14:textId="77777777" w:rsidR="00853C3A" w:rsidRDefault="00853C3A" w:rsidP="00853C3A">
            <w:pPr>
              <w:spacing w:after="0" w:line="240" w:lineRule="auto"/>
              <w:jc w:val="center"/>
              <w:rPr>
                <w:rFonts w:eastAsia="Times New Roman" w:cstheme="minorHAnsi"/>
                <w:noProof/>
                <w:sz w:val="16"/>
              </w:rPr>
            </w:pPr>
          </w:p>
        </w:tc>
        <w:tc>
          <w:tcPr>
            <w:tcW w:w="567" w:type="dxa"/>
            <w:shd w:val="clear" w:color="auto" w:fill="C4EFCE"/>
            <w:noWrap/>
            <w:vAlign w:val="center"/>
          </w:tcPr>
          <w:p w14:paraId="7CCCD925" w14:textId="42C9BC54"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59B354CE" w14:textId="76A15769" w:rsidR="00853C3A" w:rsidRDefault="00853C3A" w:rsidP="00853C3A">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4FC9401F" w14:textId="75CF6D2B" w:rsidR="00853C3A" w:rsidRDefault="00853C3A" w:rsidP="00853C3A">
            <w:pPr>
              <w:pStyle w:val="P68B1DB1-Normal12"/>
              <w:spacing w:after="0" w:line="240" w:lineRule="auto"/>
              <w:jc w:val="both"/>
              <w:rPr>
                <w:rFonts w:eastAsia="Times New Roman"/>
                <w:noProof/>
              </w:rPr>
            </w:pPr>
            <w:r>
              <w:rPr>
                <w:noProof/>
              </w:rPr>
              <w:t xml:space="preserve">Az Agência para a Energia (ADENE), az Associação Nacional de Freguesias (Anafre) és a Rede Nacional de Agências de Energia (RNAE), az Associação Nacional de Municípios (ANMP) és a Confederação Nacional de Instituições de Solidariedade (CNIS) közötti, az </w:t>
            </w:r>
            <w:r>
              <w:rPr>
                <w:i/>
                <w:noProof/>
              </w:rPr>
              <w:t>Espaços Cidadão Energia</w:t>
            </w:r>
            <w:r>
              <w:rPr>
                <w:noProof/>
              </w:rPr>
              <w:t xml:space="preserve"> létrehozására vonatkozó együttműködési jegyzőkönyv aláírása, valamint feladataik, irányításuk és finanszírozási struktúrájuk meghatározása. </w:t>
            </w:r>
          </w:p>
        </w:tc>
      </w:tr>
      <w:tr w:rsidR="00853C3A" w14:paraId="4405AF92" w14:textId="77777777">
        <w:trPr>
          <w:trHeight w:val="430"/>
        </w:trPr>
        <w:tc>
          <w:tcPr>
            <w:tcW w:w="1135" w:type="dxa"/>
            <w:shd w:val="clear" w:color="auto" w:fill="C4EFCE"/>
            <w:vAlign w:val="center"/>
          </w:tcPr>
          <w:p w14:paraId="6F3D3865" w14:textId="0376A8B8" w:rsidR="00853C3A" w:rsidRDefault="00853C3A" w:rsidP="00853C3A">
            <w:pPr>
              <w:pStyle w:val="P68B1DB1-Normal11"/>
              <w:spacing w:after="0" w:line="240" w:lineRule="auto"/>
              <w:jc w:val="center"/>
              <w:rPr>
                <w:rFonts w:eastAsia="Times New Roman" w:cstheme="minorHAnsi"/>
                <w:noProof/>
              </w:rPr>
            </w:pPr>
            <w:r>
              <w:rPr>
                <w:noProof/>
              </w:rPr>
              <w:t>21.10</w:t>
            </w:r>
          </w:p>
        </w:tc>
        <w:tc>
          <w:tcPr>
            <w:tcW w:w="1276" w:type="dxa"/>
            <w:shd w:val="clear" w:color="auto" w:fill="C4EFCE"/>
            <w:noWrap/>
            <w:vAlign w:val="center"/>
          </w:tcPr>
          <w:p w14:paraId="1AA96F0F" w14:textId="1A78FB1D" w:rsidR="00853C3A" w:rsidRDefault="00853C3A" w:rsidP="00853C3A">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7116495E" w14:textId="1A4294A4"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F09A0D1" w14:textId="2A3C94D4" w:rsidR="00853C3A" w:rsidRDefault="00853C3A" w:rsidP="00853C3A">
            <w:pPr>
              <w:pStyle w:val="P68B1DB1-Normal12"/>
              <w:spacing w:after="0" w:line="240" w:lineRule="auto"/>
              <w:jc w:val="center"/>
              <w:rPr>
                <w:rFonts w:eastAsia="Times New Roman" w:cstheme="minorHAnsi"/>
                <w:noProof/>
              </w:rPr>
            </w:pPr>
            <w:r>
              <w:rPr>
                <w:noProof/>
              </w:rPr>
              <w:t>Kapacitásépítési intézkedések</w:t>
            </w:r>
          </w:p>
        </w:tc>
        <w:tc>
          <w:tcPr>
            <w:tcW w:w="1275" w:type="dxa"/>
            <w:shd w:val="clear" w:color="auto" w:fill="C4EFCE"/>
            <w:noWrap/>
            <w:vAlign w:val="center"/>
          </w:tcPr>
          <w:p w14:paraId="2F6B73ED" w14:textId="32E45BCB"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484B2AA2" w14:textId="7DA23D0E"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6AF5309" w14:textId="540D38C5" w:rsidR="00853C3A" w:rsidRDefault="00853C3A" w:rsidP="00853C3A">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F112D01" w14:textId="1A47D2FB" w:rsidR="00853C3A" w:rsidRDefault="00853C3A" w:rsidP="00853C3A">
            <w:pPr>
              <w:pStyle w:val="P68B1DB1-Normal12"/>
              <w:spacing w:after="0" w:line="240" w:lineRule="auto"/>
              <w:jc w:val="center"/>
              <w:rPr>
                <w:rFonts w:eastAsia="Times New Roman" w:cstheme="minorHAnsi"/>
                <w:noProof/>
              </w:rPr>
            </w:pPr>
            <w:r>
              <w:rPr>
                <w:noProof/>
              </w:rPr>
              <w:t xml:space="preserve">300 </w:t>
            </w:r>
          </w:p>
        </w:tc>
        <w:tc>
          <w:tcPr>
            <w:tcW w:w="567" w:type="dxa"/>
            <w:shd w:val="clear" w:color="auto" w:fill="C4EFCE"/>
            <w:noWrap/>
            <w:vAlign w:val="center"/>
          </w:tcPr>
          <w:p w14:paraId="20F843B3" w14:textId="60166913"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6F49F6AD" w14:textId="4E5B8D4B" w:rsidR="00853C3A" w:rsidRDefault="00853C3A" w:rsidP="00853C3A">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3894416" w14:textId="77ACECBF" w:rsidR="00853C3A" w:rsidRDefault="00853C3A" w:rsidP="00853C3A">
            <w:pPr>
              <w:pStyle w:val="P68B1DB1-Normal12"/>
              <w:spacing w:after="0" w:line="240" w:lineRule="auto"/>
              <w:jc w:val="both"/>
              <w:rPr>
                <w:rFonts w:eastAsia="Times New Roman"/>
                <w:noProof/>
              </w:rPr>
            </w:pPr>
            <w:r>
              <w:rPr>
                <w:noProof/>
              </w:rPr>
              <w:t xml:space="preserve">300 szakképzett szakembert kell képezni arra, hogy az </w:t>
            </w:r>
            <w:r>
              <w:rPr>
                <w:i/>
                <w:noProof/>
              </w:rPr>
              <w:t>Espaços Cidadão Energia</w:t>
            </w:r>
            <w:r>
              <w:rPr>
                <w:noProof/>
              </w:rPr>
              <w:t xml:space="preserve"> területén különböző feladatokat lássanak el.</w:t>
            </w:r>
          </w:p>
        </w:tc>
      </w:tr>
      <w:tr w:rsidR="00DC5EC6" w14:paraId="44C003C4" w14:textId="77777777">
        <w:trPr>
          <w:trHeight w:val="430"/>
        </w:trPr>
        <w:tc>
          <w:tcPr>
            <w:tcW w:w="1135" w:type="dxa"/>
            <w:shd w:val="clear" w:color="auto" w:fill="C4EFCE"/>
            <w:vAlign w:val="center"/>
          </w:tcPr>
          <w:p w14:paraId="115B339E" w14:textId="18B4AA3F" w:rsidR="00DC5EC6" w:rsidRDefault="003245A4">
            <w:pPr>
              <w:pStyle w:val="P68B1DB1-Normal11"/>
              <w:spacing w:after="0" w:line="240" w:lineRule="auto"/>
              <w:jc w:val="center"/>
              <w:rPr>
                <w:rFonts w:eastAsia="Times New Roman" w:cstheme="minorHAnsi"/>
                <w:noProof/>
              </w:rPr>
            </w:pPr>
            <w:r>
              <w:rPr>
                <w:noProof/>
              </w:rPr>
              <w:t>21.11</w:t>
            </w:r>
          </w:p>
        </w:tc>
        <w:tc>
          <w:tcPr>
            <w:tcW w:w="1276" w:type="dxa"/>
            <w:shd w:val="clear" w:color="auto" w:fill="C4EFCE"/>
            <w:noWrap/>
            <w:vAlign w:val="center"/>
          </w:tcPr>
          <w:p w14:paraId="72D7DD9B" w14:textId="75022C6C" w:rsidR="00DC5EC6" w:rsidRDefault="003245A4">
            <w:pPr>
              <w:pStyle w:val="P68B1DB1-Normal12"/>
              <w:spacing w:after="0" w:line="240" w:lineRule="auto"/>
              <w:jc w:val="center"/>
              <w:rPr>
                <w:rFonts w:eastAsia="Times New Roman" w:cstheme="minorHAnsi"/>
                <w:noProof/>
              </w:rPr>
            </w:pPr>
            <w:r>
              <w:rPr>
                <w:noProof/>
              </w:rPr>
              <w:t>RP-C21-r44</w:t>
            </w:r>
          </w:p>
        </w:tc>
        <w:tc>
          <w:tcPr>
            <w:tcW w:w="1134" w:type="dxa"/>
            <w:shd w:val="clear" w:color="auto" w:fill="C4EFCE"/>
            <w:noWrap/>
            <w:vAlign w:val="center"/>
          </w:tcPr>
          <w:p w14:paraId="5E5D7FC3" w14:textId="589740CC"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3FB50CE" w14:textId="3D9DC0A1" w:rsidR="00DC5EC6" w:rsidRDefault="003245A4">
            <w:pPr>
              <w:pStyle w:val="P68B1DB1-Normal12"/>
              <w:spacing w:after="0" w:line="240" w:lineRule="auto"/>
              <w:jc w:val="center"/>
              <w:rPr>
                <w:rFonts w:eastAsia="Times New Roman" w:cstheme="minorHAnsi"/>
                <w:noProof/>
              </w:rPr>
            </w:pPr>
            <w:r>
              <w:rPr>
                <w:noProof/>
              </w:rPr>
              <w:t>Az Espaços Cidadão Energia elindítása</w:t>
            </w:r>
          </w:p>
        </w:tc>
        <w:tc>
          <w:tcPr>
            <w:tcW w:w="1275" w:type="dxa"/>
            <w:shd w:val="clear" w:color="auto" w:fill="C4EFCE"/>
            <w:noWrap/>
            <w:vAlign w:val="center"/>
          </w:tcPr>
          <w:p w14:paraId="1B57B712"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0F16E4EA" w14:textId="67F3B741" w:rsidR="00DC5EC6" w:rsidRDefault="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7C58A166" w14:textId="0BCA1F7E" w:rsidR="00DC5EC6" w:rsidRDefault="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6F34AF54" w14:textId="6426E74F" w:rsidR="00DC5EC6" w:rsidRDefault="003245A4">
            <w:pPr>
              <w:pStyle w:val="P68B1DB1-Normal12"/>
              <w:spacing w:after="0" w:line="240" w:lineRule="auto"/>
              <w:jc w:val="center"/>
              <w:rPr>
                <w:rFonts w:eastAsia="Times New Roman" w:cstheme="minorHAnsi"/>
                <w:noProof/>
              </w:rPr>
            </w:pPr>
            <w:r>
              <w:rPr>
                <w:noProof/>
              </w:rPr>
              <w:t>50</w:t>
            </w:r>
          </w:p>
        </w:tc>
        <w:tc>
          <w:tcPr>
            <w:tcW w:w="567" w:type="dxa"/>
            <w:shd w:val="clear" w:color="auto" w:fill="C4EFCE"/>
            <w:noWrap/>
            <w:vAlign w:val="center"/>
          </w:tcPr>
          <w:p w14:paraId="53370B4C" w14:textId="1ABC4ACC"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01B93E1A" w14:textId="5304BB25" w:rsidR="00DC5EC6" w:rsidRDefault="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3A90169B" w14:textId="4CB3EEB6" w:rsidR="00DC5EC6" w:rsidRDefault="003245A4">
            <w:pPr>
              <w:pStyle w:val="P68B1DB1-Bodytext1013"/>
              <w:spacing w:after="0" w:line="240" w:lineRule="auto"/>
              <w:jc w:val="both"/>
              <w:rPr>
                <w:rFonts w:cstheme="minorBidi"/>
                <w:noProof/>
              </w:rPr>
            </w:pPr>
            <w:r>
              <w:rPr>
                <w:noProof/>
              </w:rPr>
              <w:t xml:space="preserve">50 fizikai </w:t>
            </w:r>
            <w:r>
              <w:rPr>
                <w:i/>
                <w:noProof/>
              </w:rPr>
              <w:t xml:space="preserve">Espaços Cidadão Energia </w:t>
            </w:r>
            <w:r>
              <w:rPr>
                <w:noProof/>
              </w:rPr>
              <w:t>működik és nyitva áll a polgárok előtt.</w:t>
            </w:r>
          </w:p>
        </w:tc>
      </w:tr>
      <w:tr w:rsidR="003245A4" w14:paraId="7A001E81" w14:textId="77777777">
        <w:trPr>
          <w:trHeight w:val="430"/>
        </w:trPr>
        <w:tc>
          <w:tcPr>
            <w:tcW w:w="1135" w:type="dxa"/>
            <w:shd w:val="clear" w:color="auto" w:fill="C4EFCE"/>
            <w:vAlign w:val="center"/>
          </w:tcPr>
          <w:p w14:paraId="02453CBA" w14:textId="7EC4B509" w:rsidR="003245A4" w:rsidRDefault="003245A4" w:rsidP="003245A4">
            <w:pPr>
              <w:pStyle w:val="P68B1DB1-Normal11"/>
              <w:spacing w:after="0" w:line="240" w:lineRule="auto"/>
              <w:jc w:val="center"/>
              <w:rPr>
                <w:rFonts w:eastAsia="Times New Roman" w:cstheme="minorHAnsi"/>
                <w:noProof/>
              </w:rPr>
            </w:pPr>
            <w:r>
              <w:rPr>
                <w:noProof/>
              </w:rPr>
              <w:t>21.12</w:t>
            </w:r>
          </w:p>
        </w:tc>
        <w:tc>
          <w:tcPr>
            <w:tcW w:w="1276" w:type="dxa"/>
            <w:shd w:val="clear" w:color="auto" w:fill="C4EFCE"/>
            <w:noWrap/>
            <w:vAlign w:val="center"/>
          </w:tcPr>
          <w:p w14:paraId="35376737" w14:textId="5B6224D0" w:rsidR="003245A4" w:rsidRDefault="003245A4" w:rsidP="003245A4">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297F72F0" w14:textId="5F2B13DB"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9693662" w14:textId="12A59FAA" w:rsidR="003245A4" w:rsidRDefault="003245A4" w:rsidP="003245A4">
            <w:pPr>
              <w:pStyle w:val="P68B1DB1-Normal12"/>
              <w:spacing w:after="0" w:line="240" w:lineRule="auto"/>
              <w:jc w:val="center"/>
              <w:rPr>
                <w:rFonts w:eastAsia="Times New Roman" w:cstheme="minorHAnsi"/>
                <w:noProof/>
              </w:rPr>
            </w:pPr>
            <w:r>
              <w:rPr>
                <w:noProof/>
              </w:rPr>
              <w:t>Az ipari projektek végrehajtására vonatkozó elfogadási feltételek aláírása</w:t>
            </w:r>
          </w:p>
        </w:tc>
        <w:tc>
          <w:tcPr>
            <w:tcW w:w="1275" w:type="dxa"/>
            <w:shd w:val="clear" w:color="auto" w:fill="C4EFCE"/>
            <w:noWrap/>
            <w:vAlign w:val="center"/>
          </w:tcPr>
          <w:p w14:paraId="7458153B" w14:textId="76EAEDD5" w:rsidR="003245A4" w:rsidRDefault="003245A4" w:rsidP="003245A4">
            <w:pPr>
              <w:pStyle w:val="P68B1DB1-Normal12"/>
              <w:spacing w:after="0" w:line="240" w:lineRule="auto"/>
              <w:jc w:val="center"/>
              <w:rPr>
                <w:rFonts w:eastAsia="Times New Roman" w:cstheme="minorHAnsi"/>
                <w:noProof/>
              </w:rPr>
            </w:pPr>
            <w:r>
              <w:rPr>
                <w:noProof/>
              </w:rPr>
              <w:t>Az ipari projektek végrehajtására vonatkozó elfogadási feltételek aláírása.</w:t>
            </w:r>
          </w:p>
        </w:tc>
        <w:tc>
          <w:tcPr>
            <w:tcW w:w="993" w:type="dxa"/>
            <w:shd w:val="clear" w:color="auto" w:fill="C4EFCE"/>
            <w:noWrap/>
            <w:vAlign w:val="center"/>
          </w:tcPr>
          <w:p w14:paraId="72336B25"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39A26E3E" w14:textId="2DB3039C"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276C077B"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7667D40B" w14:textId="5563D1B1"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083EAC73" w14:textId="1C628607"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7BE0AFF3" w14:textId="19DB74A1" w:rsidR="003245A4" w:rsidRDefault="003245A4" w:rsidP="003245A4">
            <w:pPr>
              <w:pStyle w:val="P68B1DB1-Bodytext1013"/>
              <w:spacing w:after="0" w:line="240" w:lineRule="auto"/>
              <w:jc w:val="both"/>
              <w:rPr>
                <w:rFonts w:cstheme="minorBidi"/>
                <w:noProof/>
              </w:rPr>
            </w:pPr>
            <w:r>
              <w:rPr>
                <w:noProof/>
              </w:rPr>
              <w:t>Az elfogadási feltételeket alá kell írni az éghajlatvédelmi átállást szolgáló stratégiai technológiákhoz kapcsolódó, versenypályázati felhívások útján kiválasztott ipari projektek végrehajtása tekintetében, az intézkedés leírásában meghatározottak szerint.</w:t>
            </w:r>
          </w:p>
          <w:p w14:paraId="676A7464" w14:textId="75CAE7E6" w:rsidR="003245A4" w:rsidRDefault="003245A4" w:rsidP="003245A4">
            <w:pPr>
              <w:pStyle w:val="P68B1DB1-Normal12"/>
              <w:spacing w:after="0" w:line="240" w:lineRule="auto"/>
              <w:jc w:val="both"/>
              <w:rPr>
                <w:rFonts w:eastAsia="Times New Roman" w:cstheme="minorHAnsi"/>
                <w:noProof/>
              </w:rPr>
            </w:pPr>
            <w:r>
              <w:rPr>
                <w:noProof/>
              </w:rPr>
              <w:t>Az elfogadási feltételeknek biztosítaniuk kell az ezen intézkedés keretében támogatott ügyletekre vonatkozó, a jelentős károkozás elkerülését célzó technikai iránymutatásnak (2021/C58/01) való megfelelést egy kizárási lista használata révén, valamint a vonatkozó uniós és nemzeti környezetvédelmi jogszabályoknak való megfelelés követelményét.</w:t>
            </w:r>
          </w:p>
        </w:tc>
      </w:tr>
      <w:tr w:rsidR="003245A4" w14:paraId="38C0F350" w14:textId="77777777">
        <w:trPr>
          <w:trHeight w:val="430"/>
        </w:trPr>
        <w:tc>
          <w:tcPr>
            <w:tcW w:w="1135" w:type="dxa"/>
            <w:shd w:val="clear" w:color="auto" w:fill="C4EFCE"/>
            <w:vAlign w:val="center"/>
          </w:tcPr>
          <w:p w14:paraId="2822A641" w14:textId="17EAD665" w:rsidR="003245A4" w:rsidRDefault="003245A4" w:rsidP="003245A4">
            <w:pPr>
              <w:pStyle w:val="P68B1DB1-Normal11"/>
              <w:spacing w:after="0" w:line="240" w:lineRule="auto"/>
              <w:jc w:val="center"/>
              <w:rPr>
                <w:rFonts w:eastAsia="Times New Roman" w:cstheme="minorHAnsi"/>
                <w:noProof/>
              </w:rPr>
            </w:pPr>
            <w:r>
              <w:rPr>
                <w:noProof/>
              </w:rPr>
              <w:t>21.13</w:t>
            </w:r>
          </w:p>
        </w:tc>
        <w:tc>
          <w:tcPr>
            <w:tcW w:w="1276" w:type="dxa"/>
            <w:shd w:val="clear" w:color="auto" w:fill="C4EFCE"/>
            <w:noWrap/>
            <w:vAlign w:val="center"/>
          </w:tcPr>
          <w:p w14:paraId="5450DE1C" w14:textId="272FA70D" w:rsidR="003245A4" w:rsidRDefault="003245A4" w:rsidP="003245A4">
            <w:pPr>
              <w:pStyle w:val="P68B1DB1-Normal12"/>
              <w:spacing w:after="0" w:line="240" w:lineRule="auto"/>
              <w:jc w:val="center"/>
              <w:rPr>
                <w:rFonts w:eastAsia="Times New Roman" w:cstheme="minorHAnsi"/>
                <w:noProof/>
              </w:rPr>
            </w:pPr>
            <w:r>
              <w:rPr>
                <w:noProof/>
              </w:rPr>
              <w:t>RP-C21-i05</w:t>
            </w:r>
          </w:p>
        </w:tc>
        <w:tc>
          <w:tcPr>
            <w:tcW w:w="1134" w:type="dxa"/>
            <w:shd w:val="clear" w:color="auto" w:fill="C4EFCE"/>
            <w:noWrap/>
            <w:vAlign w:val="center"/>
          </w:tcPr>
          <w:p w14:paraId="3D65B17D" w14:textId="6A2866B3"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156CFAC" w14:textId="2AF8DE16" w:rsidR="003245A4" w:rsidRDefault="003245A4" w:rsidP="003245A4">
            <w:pPr>
              <w:pStyle w:val="P68B1DB1-Normal12"/>
              <w:spacing w:after="0" w:line="240" w:lineRule="auto"/>
              <w:jc w:val="center"/>
              <w:rPr>
                <w:rFonts w:eastAsia="Times New Roman" w:cstheme="minorHAnsi"/>
                <w:noProof/>
              </w:rPr>
            </w:pPr>
            <w:r>
              <w:rPr>
                <w:noProof/>
              </w:rPr>
              <w:t>5 ipari projekt lezárása az éghajlatvédelmi átállást szolgáló stratégiai technológiák területén</w:t>
            </w:r>
          </w:p>
        </w:tc>
        <w:tc>
          <w:tcPr>
            <w:tcW w:w="1275" w:type="dxa"/>
            <w:shd w:val="clear" w:color="auto" w:fill="C4EFCE"/>
            <w:noWrap/>
            <w:vAlign w:val="center"/>
          </w:tcPr>
          <w:p w14:paraId="7A69A2FE"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419EDC3E" w14:textId="286CAB8A"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674002F" w14:textId="6BFD93CA" w:rsidR="003245A4" w:rsidRDefault="003245A4" w:rsidP="003245A4">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2B37AD65" w14:textId="7A1B913C" w:rsidR="003245A4" w:rsidRDefault="003245A4" w:rsidP="003245A4">
            <w:pPr>
              <w:pStyle w:val="P68B1DB1-Normal12"/>
              <w:spacing w:after="0" w:line="240" w:lineRule="auto"/>
              <w:jc w:val="center"/>
              <w:rPr>
                <w:rFonts w:eastAsia="Times New Roman" w:cstheme="minorHAnsi"/>
                <w:noProof/>
              </w:rPr>
            </w:pPr>
            <w:r>
              <w:rPr>
                <w:noProof/>
              </w:rPr>
              <w:t>5</w:t>
            </w:r>
          </w:p>
        </w:tc>
        <w:tc>
          <w:tcPr>
            <w:tcW w:w="567" w:type="dxa"/>
            <w:shd w:val="clear" w:color="auto" w:fill="C4EFCE"/>
            <w:noWrap/>
            <w:vAlign w:val="center"/>
          </w:tcPr>
          <w:p w14:paraId="1203B683" w14:textId="1DBE579C"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337D899F" w14:textId="1B849260"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2155DEB" w14:textId="7B97BD38" w:rsidR="003245A4" w:rsidRDefault="003245A4" w:rsidP="003245A4">
            <w:pPr>
              <w:pStyle w:val="P68B1DB1-Normal12"/>
              <w:spacing w:after="0" w:line="240" w:lineRule="auto"/>
              <w:jc w:val="both"/>
              <w:rPr>
                <w:rFonts w:eastAsia="Times New Roman"/>
                <w:noProof/>
              </w:rPr>
            </w:pPr>
            <w:r>
              <w:rPr>
                <w:noProof/>
              </w:rPr>
              <w:t>Legalább öt olyan ipari technológiai projekt befejezése, amelyek legalább hét technológiai felkészültségi szinttel rendelkeznek az éghajlatvédelmi átállás stratégiai technológiáihoz kapcsolódóan, az intézkedés leírásában meghatározottak szerint.</w:t>
            </w:r>
          </w:p>
        </w:tc>
      </w:tr>
      <w:tr w:rsidR="00853C3A" w14:paraId="5A219778" w14:textId="77777777">
        <w:trPr>
          <w:trHeight w:val="430"/>
        </w:trPr>
        <w:tc>
          <w:tcPr>
            <w:tcW w:w="1135" w:type="dxa"/>
            <w:shd w:val="clear" w:color="auto" w:fill="C4EFCE"/>
            <w:vAlign w:val="center"/>
          </w:tcPr>
          <w:p w14:paraId="748E9E6F" w14:textId="3FC7C9E1" w:rsidR="00853C3A" w:rsidRDefault="00853C3A" w:rsidP="00853C3A">
            <w:pPr>
              <w:pStyle w:val="P68B1DB1-Normal11"/>
              <w:spacing w:after="0" w:line="240" w:lineRule="auto"/>
              <w:jc w:val="center"/>
              <w:rPr>
                <w:rFonts w:eastAsia="Times New Roman" w:cstheme="minorHAnsi"/>
                <w:noProof/>
              </w:rPr>
            </w:pPr>
            <w:r>
              <w:rPr>
                <w:noProof/>
              </w:rPr>
              <w:t>21.14</w:t>
            </w:r>
          </w:p>
        </w:tc>
        <w:tc>
          <w:tcPr>
            <w:tcW w:w="1276" w:type="dxa"/>
            <w:shd w:val="clear" w:color="auto" w:fill="C4EFCE"/>
            <w:noWrap/>
            <w:vAlign w:val="center"/>
          </w:tcPr>
          <w:p w14:paraId="1E60F546" w14:textId="66482F0A" w:rsidR="00853C3A" w:rsidRDefault="00853C3A" w:rsidP="00853C3A">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08AE361B" w14:textId="6D1DB139"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1E5E5BB7" w14:textId="2724C1E2" w:rsidR="00853C3A" w:rsidRDefault="00853C3A" w:rsidP="00853C3A">
            <w:pPr>
              <w:pStyle w:val="P68B1DB1-Normal12"/>
              <w:spacing w:after="0" w:line="240" w:lineRule="auto"/>
              <w:jc w:val="center"/>
              <w:rPr>
                <w:rFonts w:eastAsia="Times New Roman" w:cstheme="minorHAnsi"/>
                <w:noProof/>
              </w:rPr>
            </w:pPr>
            <w:r>
              <w:rPr>
                <w:noProof/>
              </w:rPr>
              <w:t>A zöld készségekkel kapcsolatos képzési tevékenységek</w:t>
            </w:r>
          </w:p>
        </w:tc>
        <w:tc>
          <w:tcPr>
            <w:tcW w:w="1275" w:type="dxa"/>
            <w:shd w:val="clear" w:color="auto" w:fill="C4EFCE"/>
            <w:noWrap/>
            <w:vAlign w:val="center"/>
          </w:tcPr>
          <w:p w14:paraId="24F12DE9"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537B007C" w14:textId="482EBD6A"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30CE81C5" w14:textId="44255BD5" w:rsidR="00853C3A" w:rsidRDefault="00853C3A" w:rsidP="00853C3A">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7D552B8B" w14:textId="6840C96D" w:rsidR="00853C3A" w:rsidRDefault="00853C3A" w:rsidP="00853C3A">
            <w:pPr>
              <w:pStyle w:val="P68B1DB1-Normal12"/>
              <w:spacing w:after="0" w:line="240" w:lineRule="auto"/>
              <w:jc w:val="center"/>
              <w:rPr>
                <w:rFonts w:eastAsia="Times New Roman" w:cstheme="minorHAnsi"/>
                <w:noProof/>
              </w:rPr>
            </w:pPr>
            <w:r>
              <w:rPr>
                <w:noProof/>
              </w:rPr>
              <w:t>12 500</w:t>
            </w:r>
          </w:p>
        </w:tc>
        <w:tc>
          <w:tcPr>
            <w:tcW w:w="567" w:type="dxa"/>
            <w:shd w:val="clear" w:color="auto" w:fill="C4EFCE"/>
            <w:noWrap/>
            <w:vAlign w:val="center"/>
          </w:tcPr>
          <w:p w14:paraId="4774708D" w14:textId="0BCF0200"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590EB134" w14:textId="7394F496" w:rsidR="00853C3A" w:rsidRDefault="00853C3A" w:rsidP="00853C3A">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3B10BE2" w14:textId="3478037F" w:rsidR="00853C3A" w:rsidRDefault="00853C3A" w:rsidP="00853C3A">
            <w:pPr>
              <w:pStyle w:val="P68B1DB1-Normal12"/>
              <w:spacing w:after="0" w:line="240" w:lineRule="auto"/>
              <w:jc w:val="both"/>
              <w:rPr>
                <w:rFonts w:eastAsia="Times New Roman" w:cstheme="minorHAnsi"/>
                <w:noProof/>
              </w:rPr>
            </w:pPr>
            <w:r>
              <w:rPr>
                <w:noProof/>
              </w:rPr>
              <w:t xml:space="preserve">A zöld munka és készségek programjában vagy az energetikai átállással foglalkozó képzési központ tanfolyamain részt vevő képzett személyek száma.   </w:t>
            </w:r>
          </w:p>
        </w:tc>
      </w:tr>
      <w:tr w:rsidR="00853C3A" w14:paraId="6B1F2C06" w14:textId="77777777">
        <w:trPr>
          <w:trHeight w:val="430"/>
        </w:trPr>
        <w:tc>
          <w:tcPr>
            <w:tcW w:w="1135" w:type="dxa"/>
            <w:shd w:val="clear" w:color="auto" w:fill="C4EFCE"/>
            <w:vAlign w:val="center"/>
          </w:tcPr>
          <w:p w14:paraId="01B3604D" w14:textId="7B2AF347" w:rsidR="00853C3A" w:rsidRDefault="00853C3A" w:rsidP="00853C3A">
            <w:pPr>
              <w:pStyle w:val="P68B1DB1-Normal11"/>
              <w:spacing w:after="0" w:line="240" w:lineRule="auto"/>
              <w:jc w:val="center"/>
              <w:rPr>
                <w:rFonts w:eastAsia="Times New Roman" w:cstheme="minorHAnsi"/>
                <w:noProof/>
              </w:rPr>
            </w:pPr>
            <w:r>
              <w:rPr>
                <w:noProof/>
              </w:rPr>
              <w:t>21.15</w:t>
            </w:r>
          </w:p>
        </w:tc>
        <w:tc>
          <w:tcPr>
            <w:tcW w:w="1276" w:type="dxa"/>
            <w:shd w:val="clear" w:color="auto" w:fill="C4EFCE"/>
            <w:noWrap/>
            <w:vAlign w:val="center"/>
          </w:tcPr>
          <w:p w14:paraId="59821F78" w14:textId="3E0A4BAD" w:rsidR="00853C3A" w:rsidRDefault="00853C3A" w:rsidP="00853C3A">
            <w:pPr>
              <w:pStyle w:val="P68B1DB1-Normal12"/>
              <w:spacing w:after="0" w:line="240" w:lineRule="auto"/>
              <w:jc w:val="center"/>
              <w:rPr>
                <w:rFonts w:eastAsia="Times New Roman"/>
                <w:noProof/>
              </w:rPr>
            </w:pPr>
            <w:r>
              <w:rPr>
                <w:noProof/>
              </w:rPr>
              <w:t xml:space="preserve"> RP-C21-r45</w:t>
            </w:r>
          </w:p>
        </w:tc>
        <w:tc>
          <w:tcPr>
            <w:tcW w:w="1134" w:type="dxa"/>
            <w:shd w:val="clear" w:color="auto" w:fill="C4EFCE"/>
            <w:noWrap/>
            <w:vAlign w:val="center"/>
          </w:tcPr>
          <w:p w14:paraId="6FFE32F5" w14:textId="2C012BA0"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5F5D539" w14:textId="43F358D0" w:rsidR="00853C3A" w:rsidRDefault="00853C3A" w:rsidP="00853C3A">
            <w:pPr>
              <w:pStyle w:val="P68B1DB1-Normal12"/>
              <w:spacing w:after="0" w:line="240" w:lineRule="auto"/>
              <w:jc w:val="center"/>
              <w:rPr>
                <w:rFonts w:eastAsia="Times New Roman" w:cstheme="minorHAnsi"/>
                <w:noProof/>
              </w:rPr>
            </w:pPr>
            <w:r>
              <w:rPr>
                <w:noProof/>
              </w:rPr>
              <w:t>A zöld készségekkel kapcsolatos képzési tevékenységek</w:t>
            </w:r>
          </w:p>
        </w:tc>
        <w:tc>
          <w:tcPr>
            <w:tcW w:w="1275" w:type="dxa"/>
            <w:shd w:val="clear" w:color="auto" w:fill="C4EFCE"/>
            <w:noWrap/>
            <w:vAlign w:val="center"/>
          </w:tcPr>
          <w:p w14:paraId="430194B1"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2EB231DA" w14:textId="69A30C89"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52F5316" w14:textId="2F24CFF8" w:rsidR="00853C3A" w:rsidRDefault="00853C3A" w:rsidP="00853C3A">
            <w:pPr>
              <w:pStyle w:val="P68B1DB1-Normal12"/>
              <w:spacing w:after="0" w:line="240" w:lineRule="auto"/>
              <w:jc w:val="center"/>
              <w:rPr>
                <w:rFonts w:eastAsia="Times New Roman" w:cstheme="minorHAnsi"/>
                <w:noProof/>
              </w:rPr>
            </w:pPr>
            <w:r>
              <w:rPr>
                <w:noProof/>
              </w:rPr>
              <w:t>12 500</w:t>
            </w:r>
          </w:p>
        </w:tc>
        <w:tc>
          <w:tcPr>
            <w:tcW w:w="992" w:type="dxa"/>
            <w:shd w:val="clear" w:color="auto" w:fill="C4EFCE"/>
            <w:noWrap/>
            <w:vAlign w:val="center"/>
          </w:tcPr>
          <w:p w14:paraId="03933323" w14:textId="324B1BA9" w:rsidR="00853C3A" w:rsidRDefault="00853C3A" w:rsidP="00853C3A">
            <w:pPr>
              <w:pStyle w:val="P68B1DB1-Normal12"/>
              <w:spacing w:after="0" w:line="240" w:lineRule="auto"/>
              <w:jc w:val="center"/>
              <w:rPr>
                <w:rFonts w:eastAsia="Times New Roman" w:cstheme="minorHAnsi"/>
                <w:noProof/>
              </w:rPr>
            </w:pPr>
            <w:r>
              <w:rPr>
                <w:noProof/>
              </w:rPr>
              <w:t>25 000</w:t>
            </w:r>
          </w:p>
        </w:tc>
        <w:tc>
          <w:tcPr>
            <w:tcW w:w="567" w:type="dxa"/>
            <w:shd w:val="clear" w:color="auto" w:fill="C4EFCE"/>
            <w:noWrap/>
            <w:vAlign w:val="center"/>
          </w:tcPr>
          <w:p w14:paraId="411D6569" w14:textId="00AD0AA0"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1FC8409E" w14:textId="35A39153"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63AE36" w14:textId="5F0AFC76" w:rsidR="00853C3A" w:rsidRDefault="00853C3A" w:rsidP="00853C3A">
            <w:pPr>
              <w:pStyle w:val="P68B1DB1-Normal12"/>
              <w:spacing w:after="0" w:line="240" w:lineRule="auto"/>
              <w:jc w:val="both"/>
              <w:rPr>
                <w:rFonts w:eastAsia="Times New Roman" w:cstheme="minorHAnsi"/>
                <w:noProof/>
              </w:rPr>
            </w:pPr>
            <w:r>
              <w:rPr>
                <w:noProof/>
              </w:rPr>
              <w:t xml:space="preserve">A zöld munka és készségek programjában vagy az energetikai átállással foglalkozó képzési központ tanfolyamain részt vevő képzett személyek száma. Legalább 12500 személyt kell kiképezni az energetikai átállással foglalkozó képzési központban. </w:t>
            </w:r>
          </w:p>
        </w:tc>
      </w:tr>
      <w:tr w:rsidR="00DC5EC6" w14:paraId="01B2B8AD" w14:textId="77777777">
        <w:trPr>
          <w:trHeight w:val="430"/>
        </w:trPr>
        <w:tc>
          <w:tcPr>
            <w:tcW w:w="1135" w:type="dxa"/>
            <w:shd w:val="clear" w:color="auto" w:fill="C4EFCE"/>
            <w:vAlign w:val="center"/>
          </w:tcPr>
          <w:p w14:paraId="56013C8B" w14:textId="37C588C6" w:rsidR="00DC5EC6" w:rsidRDefault="003245A4">
            <w:pPr>
              <w:pStyle w:val="P68B1DB1-Normal11"/>
              <w:spacing w:after="0" w:line="240" w:lineRule="auto"/>
              <w:jc w:val="center"/>
              <w:rPr>
                <w:rFonts w:eastAsia="Times New Roman" w:cstheme="minorHAnsi"/>
                <w:noProof/>
              </w:rPr>
            </w:pPr>
            <w:r>
              <w:rPr>
                <w:noProof/>
              </w:rPr>
              <w:t>21.16</w:t>
            </w:r>
          </w:p>
        </w:tc>
        <w:tc>
          <w:tcPr>
            <w:tcW w:w="1276" w:type="dxa"/>
            <w:shd w:val="clear" w:color="auto" w:fill="C4EFCE"/>
            <w:noWrap/>
            <w:vAlign w:val="center"/>
          </w:tcPr>
          <w:p w14:paraId="087C73AC" w14:textId="2C060A7C" w:rsidR="00DC5EC6" w:rsidRDefault="003245A4">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296E326D" w14:textId="5E900A9F"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03914822" w14:textId="4E6DAE08" w:rsidR="00DC5EC6" w:rsidRDefault="003245A4">
            <w:pPr>
              <w:pStyle w:val="P68B1DB1-Bodytext1013"/>
              <w:spacing w:line="240" w:lineRule="auto"/>
              <w:jc w:val="center"/>
              <w:rPr>
                <w:rFonts w:cstheme="minorHAnsi"/>
                <w:noProof/>
              </w:rPr>
            </w:pPr>
            <w:r>
              <w:rPr>
                <w:noProof/>
              </w:rPr>
              <w:t>A megújuló hidrogénről szóló közigazgatási vagy jogi aktus hatálybalépése</w:t>
            </w:r>
          </w:p>
        </w:tc>
        <w:tc>
          <w:tcPr>
            <w:tcW w:w="1275" w:type="dxa"/>
            <w:shd w:val="clear" w:color="auto" w:fill="C4EFCE"/>
            <w:noWrap/>
            <w:vAlign w:val="center"/>
          </w:tcPr>
          <w:p w14:paraId="7788ED3B" w14:textId="253DA9A9" w:rsidR="00DC5EC6" w:rsidRDefault="003245A4">
            <w:pPr>
              <w:pStyle w:val="P68B1DB1-Normal12"/>
              <w:spacing w:after="0" w:line="240" w:lineRule="auto"/>
              <w:jc w:val="center"/>
              <w:rPr>
                <w:rFonts w:eastAsia="Times New Roman" w:cstheme="minorHAnsi"/>
                <w:noProof/>
              </w:rPr>
            </w:pPr>
            <w:r>
              <w:rPr>
                <w:noProof/>
              </w:rPr>
              <w:t>A közigazgatási vagy jogi aktus hatálybalépésére utaló rendelkezés</w:t>
            </w:r>
          </w:p>
        </w:tc>
        <w:tc>
          <w:tcPr>
            <w:tcW w:w="993" w:type="dxa"/>
            <w:shd w:val="clear" w:color="auto" w:fill="C4EFCE"/>
            <w:noWrap/>
            <w:vAlign w:val="center"/>
          </w:tcPr>
          <w:p w14:paraId="5B01E911"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3571C1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FDDCCA3"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B00763D" w14:textId="56B34DD4"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4BC4C0BA" w14:textId="16296F8C"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56226CBF" w14:textId="2224A00D" w:rsidR="00DC5EC6" w:rsidRDefault="003245A4">
            <w:pPr>
              <w:pStyle w:val="P68B1DB1-Bodytext1013"/>
              <w:spacing w:after="0" w:line="240" w:lineRule="auto"/>
              <w:jc w:val="both"/>
              <w:rPr>
                <w:rFonts w:cstheme="minorHAnsi"/>
                <w:noProof/>
              </w:rPr>
            </w:pPr>
            <w:r>
              <w:rPr>
                <w:noProof/>
              </w:rPr>
              <w:t>A megújuló hidrogénről szóló közigazgatási vagy jogi aktus hatálybalépése, amely előírja, hogy csak a megújulóenergia-irányelvben és annak felhatalmazáson alapuló jogi aktusaiban ((EU) 2018/2001) foglalt követelményeknek megfelelő létesítmények minősülnek megújulóhidrogén-termelő létesítményeknek.</w:t>
            </w:r>
          </w:p>
        </w:tc>
      </w:tr>
      <w:tr w:rsidR="003245A4" w14:paraId="7A0E7FBC" w14:textId="77777777">
        <w:trPr>
          <w:trHeight w:val="430"/>
        </w:trPr>
        <w:tc>
          <w:tcPr>
            <w:tcW w:w="1135" w:type="dxa"/>
            <w:shd w:val="clear" w:color="auto" w:fill="C4EFCE"/>
            <w:vAlign w:val="center"/>
          </w:tcPr>
          <w:p w14:paraId="3D1E7654" w14:textId="46F81725" w:rsidR="003245A4" w:rsidRDefault="003245A4" w:rsidP="003245A4">
            <w:pPr>
              <w:pStyle w:val="P68B1DB1-Normal11"/>
              <w:spacing w:after="0" w:line="240" w:lineRule="auto"/>
              <w:jc w:val="center"/>
              <w:rPr>
                <w:rFonts w:eastAsia="Times New Roman" w:cstheme="minorHAnsi"/>
                <w:noProof/>
              </w:rPr>
            </w:pPr>
            <w:r>
              <w:rPr>
                <w:noProof/>
              </w:rPr>
              <w:t>21.17</w:t>
            </w:r>
          </w:p>
        </w:tc>
        <w:tc>
          <w:tcPr>
            <w:tcW w:w="1276" w:type="dxa"/>
            <w:shd w:val="clear" w:color="auto" w:fill="C4EFCE"/>
            <w:noWrap/>
            <w:vAlign w:val="center"/>
          </w:tcPr>
          <w:p w14:paraId="54AE443D" w14:textId="7ECCFA54" w:rsidR="003245A4" w:rsidRDefault="003245A4" w:rsidP="003245A4">
            <w:pPr>
              <w:pStyle w:val="P68B1DB1-Normal12"/>
              <w:spacing w:after="0" w:line="240" w:lineRule="auto"/>
              <w:jc w:val="center"/>
              <w:rPr>
                <w:rFonts w:eastAsia="Times New Roman"/>
                <w:noProof/>
              </w:rPr>
            </w:pPr>
            <w:r>
              <w:rPr>
                <w:noProof/>
              </w:rPr>
              <w:t>RP-C21-r46</w:t>
            </w:r>
          </w:p>
        </w:tc>
        <w:tc>
          <w:tcPr>
            <w:tcW w:w="1134" w:type="dxa"/>
            <w:shd w:val="clear" w:color="auto" w:fill="C4EFCE"/>
            <w:noWrap/>
            <w:vAlign w:val="center"/>
          </w:tcPr>
          <w:p w14:paraId="3C7CBC31" w14:textId="351C4C41"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84C6A16" w14:textId="19A6254B" w:rsidR="003245A4" w:rsidRDefault="003245A4" w:rsidP="003245A4">
            <w:pPr>
              <w:pStyle w:val="P68B1DB1-Normal12"/>
              <w:spacing w:after="0" w:line="240" w:lineRule="auto"/>
              <w:jc w:val="center"/>
              <w:rPr>
                <w:rFonts w:eastAsia="Times New Roman" w:cstheme="minorHAnsi"/>
                <w:noProof/>
              </w:rPr>
            </w:pPr>
            <w:r>
              <w:rPr>
                <w:noProof/>
              </w:rPr>
              <w:t>A felülvizsgált Nemzeti Gázszállító Hálózati Rendelet és a Nemzeti Gázelosztóhálózat-rendelet hatálybalépése</w:t>
            </w:r>
          </w:p>
        </w:tc>
        <w:tc>
          <w:tcPr>
            <w:tcW w:w="1275" w:type="dxa"/>
            <w:shd w:val="clear" w:color="auto" w:fill="C4EFCE"/>
            <w:noWrap/>
            <w:vAlign w:val="center"/>
          </w:tcPr>
          <w:p w14:paraId="468E9001" w14:textId="5D32AEED" w:rsidR="003245A4" w:rsidRDefault="003245A4" w:rsidP="003245A4">
            <w:pPr>
              <w:pStyle w:val="P68B1DB1-Normal12"/>
              <w:spacing w:after="0" w:line="240" w:lineRule="auto"/>
              <w:jc w:val="center"/>
              <w:rPr>
                <w:rFonts w:eastAsia="Times New Roman" w:cstheme="minorHAnsi"/>
                <w:noProof/>
              </w:rPr>
            </w:pPr>
            <w:r>
              <w:rPr>
                <w:noProof/>
              </w:rPr>
              <w:t xml:space="preserve">A rendelet hatálybalépésére vonatkozó rendelkezés </w:t>
            </w:r>
          </w:p>
        </w:tc>
        <w:tc>
          <w:tcPr>
            <w:tcW w:w="993" w:type="dxa"/>
            <w:shd w:val="clear" w:color="auto" w:fill="C4EFCE"/>
            <w:noWrap/>
            <w:vAlign w:val="center"/>
          </w:tcPr>
          <w:p w14:paraId="6637512D"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73320AE1"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61D84A47"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41A67F67" w14:textId="67DCDEF0"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2B7264B1" w14:textId="17E3A68C"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8D9EB5" w14:textId="1378FBBD" w:rsidR="003245A4" w:rsidRDefault="003245A4" w:rsidP="003245A4">
            <w:pPr>
              <w:pStyle w:val="P68B1DB1-Normal12"/>
              <w:spacing w:after="0" w:line="240" w:lineRule="auto"/>
              <w:jc w:val="both"/>
              <w:rPr>
                <w:rFonts w:eastAsia="Times New Roman" w:cstheme="minorHAnsi"/>
                <w:noProof/>
              </w:rPr>
            </w:pPr>
            <w:r>
              <w:rPr>
                <w:noProof/>
              </w:rPr>
              <w:t>A megújuló hidrogén gázhálózatba történő betáplálásának kritériumait meghatározó, felülvizsgált Nemzeti Gázszállító Hálózati Rendelet és a nemzeti gázelosztó hálózatról szóló rendelet hatálybalépése.</w:t>
            </w:r>
          </w:p>
        </w:tc>
      </w:tr>
      <w:tr w:rsidR="00DC5EC6" w14:paraId="605D9DEB" w14:textId="77777777">
        <w:trPr>
          <w:trHeight w:val="430"/>
        </w:trPr>
        <w:tc>
          <w:tcPr>
            <w:tcW w:w="1135" w:type="dxa"/>
            <w:shd w:val="clear" w:color="auto" w:fill="C4EFCE"/>
            <w:vAlign w:val="center"/>
          </w:tcPr>
          <w:p w14:paraId="79442355" w14:textId="47ECB25B" w:rsidR="00DC5EC6" w:rsidRDefault="003245A4">
            <w:pPr>
              <w:pStyle w:val="P68B1DB1-Normal11"/>
              <w:spacing w:after="0" w:line="240" w:lineRule="auto"/>
              <w:jc w:val="center"/>
              <w:rPr>
                <w:rFonts w:eastAsia="Times New Roman" w:cstheme="minorHAnsi"/>
                <w:noProof/>
              </w:rPr>
            </w:pPr>
            <w:r>
              <w:rPr>
                <w:noProof/>
              </w:rPr>
              <w:t>21.18</w:t>
            </w:r>
          </w:p>
        </w:tc>
        <w:tc>
          <w:tcPr>
            <w:tcW w:w="1276" w:type="dxa"/>
            <w:shd w:val="clear" w:color="auto" w:fill="C4EFCE"/>
            <w:noWrap/>
            <w:vAlign w:val="center"/>
          </w:tcPr>
          <w:p w14:paraId="460C67CB" w14:textId="18AC6D11" w:rsidR="00DC5EC6" w:rsidRDefault="003245A4">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4F6B095" w14:textId="68DF9292"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6E13C29" w14:textId="6406C986" w:rsidR="00DC5EC6" w:rsidRDefault="003245A4">
            <w:pPr>
              <w:pStyle w:val="P68B1DB1-Normal12"/>
              <w:spacing w:after="0" w:line="240" w:lineRule="auto"/>
              <w:jc w:val="center"/>
              <w:rPr>
                <w:rFonts w:eastAsia="Times New Roman" w:cstheme="minorHAnsi"/>
                <w:noProof/>
              </w:rPr>
            </w:pPr>
            <w:r>
              <w:rPr>
                <w:noProof/>
              </w:rPr>
              <w:t>A fenntartható biometán központosított beszerzésének első árverése</w:t>
            </w:r>
          </w:p>
        </w:tc>
        <w:tc>
          <w:tcPr>
            <w:tcW w:w="1275" w:type="dxa"/>
            <w:shd w:val="clear" w:color="auto" w:fill="C4EFCE"/>
            <w:noWrap/>
            <w:vAlign w:val="center"/>
          </w:tcPr>
          <w:p w14:paraId="69CDF0A5" w14:textId="736DF564" w:rsidR="00DC5EC6" w:rsidRDefault="003245A4">
            <w:pPr>
              <w:pStyle w:val="P68B1DB1-Normal12"/>
              <w:spacing w:after="0" w:line="240" w:lineRule="auto"/>
              <w:jc w:val="center"/>
              <w:rPr>
                <w:rFonts w:eastAsia="Times New Roman" w:cstheme="minorHAnsi"/>
                <w:noProof/>
              </w:rPr>
            </w:pPr>
            <w:r>
              <w:rPr>
                <w:noProof/>
              </w:rPr>
              <w:t>A fenntartható biometán központosított beszerzésének első árverése</w:t>
            </w:r>
          </w:p>
        </w:tc>
        <w:tc>
          <w:tcPr>
            <w:tcW w:w="993" w:type="dxa"/>
            <w:shd w:val="clear" w:color="auto" w:fill="C4EFCE"/>
            <w:noWrap/>
            <w:vAlign w:val="center"/>
          </w:tcPr>
          <w:p w14:paraId="5C6BE3C1" w14:textId="77777777" w:rsidR="00DC5EC6" w:rsidRDefault="00DC5EC6">
            <w:pPr>
              <w:pStyle w:val="Bodytext10"/>
              <w:rPr>
                <w:rFonts w:asciiTheme="minorHAnsi" w:hAnsiTheme="minorHAnsi" w:cstheme="minorHAnsi"/>
                <w:noProof/>
                <w:sz w:val="16"/>
              </w:rPr>
            </w:pPr>
          </w:p>
          <w:p w14:paraId="1C95DE8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C86D329"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1B5F97E0"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3D5226E5" w14:textId="6511C910"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13AAF3B7" w14:textId="42A89A23"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205462C3" w14:textId="592E1365" w:rsidR="00DC5EC6" w:rsidRDefault="003245A4">
            <w:pPr>
              <w:pStyle w:val="P68B1DB1-Normal12"/>
              <w:spacing w:after="0" w:line="240" w:lineRule="auto"/>
              <w:jc w:val="both"/>
              <w:rPr>
                <w:rFonts w:eastAsia="Times New Roman" w:cstheme="minorHAnsi"/>
                <w:noProof/>
              </w:rPr>
            </w:pPr>
            <w:r>
              <w:rPr>
                <w:noProof/>
              </w:rPr>
              <w:t>A fenntartható biometán központosított beszerzésének első árverése a január 4-i 15/2023. sz. kormányrendeletben meghatározott szabályoknak megfelelően, amelynek célja 150 GWh/év biometánnak a nemzeti gázhálózatba történő betáplálása.</w:t>
            </w:r>
          </w:p>
        </w:tc>
      </w:tr>
      <w:tr w:rsidR="00DC5EC6" w14:paraId="1C21BC20" w14:textId="77777777">
        <w:trPr>
          <w:trHeight w:val="430"/>
        </w:trPr>
        <w:tc>
          <w:tcPr>
            <w:tcW w:w="1135" w:type="dxa"/>
            <w:shd w:val="clear" w:color="auto" w:fill="C4EFCE"/>
            <w:vAlign w:val="center"/>
          </w:tcPr>
          <w:p w14:paraId="7BCD5805" w14:textId="57AAEBFF" w:rsidR="00DC5EC6" w:rsidRDefault="003245A4">
            <w:pPr>
              <w:pStyle w:val="P68B1DB1-Normal11"/>
              <w:spacing w:after="0" w:line="240" w:lineRule="auto"/>
              <w:jc w:val="center"/>
              <w:rPr>
                <w:rFonts w:eastAsia="Times New Roman" w:cstheme="minorHAnsi"/>
                <w:noProof/>
              </w:rPr>
            </w:pPr>
            <w:r>
              <w:rPr>
                <w:noProof/>
              </w:rPr>
              <w:t>21.19</w:t>
            </w:r>
          </w:p>
        </w:tc>
        <w:tc>
          <w:tcPr>
            <w:tcW w:w="1276" w:type="dxa"/>
            <w:shd w:val="clear" w:color="auto" w:fill="C4EFCE"/>
            <w:noWrap/>
            <w:vAlign w:val="center"/>
          </w:tcPr>
          <w:p w14:paraId="0FB6B493" w14:textId="29E0E517" w:rsidR="00DC5EC6" w:rsidRDefault="003245A4">
            <w:pPr>
              <w:pStyle w:val="P68B1DB1-Normal12"/>
              <w:spacing w:after="0" w:line="240" w:lineRule="auto"/>
              <w:jc w:val="center"/>
              <w:rPr>
                <w:rFonts w:eastAsia="Times New Roman"/>
                <w:noProof/>
              </w:rPr>
            </w:pPr>
            <w:r>
              <w:rPr>
                <w:noProof/>
              </w:rPr>
              <w:t>RP-C21-r47</w:t>
            </w:r>
          </w:p>
        </w:tc>
        <w:tc>
          <w:tcPr>
            <w:tcW w:w="1134" w:type="dxa"/>
            <w:shd w:val="clear" w:color="auto" w:fill="C4EFCE"/>
            <w:noWrap/>
            <w:vAlign w:val="center"/>
          </w:tcPr>
          <w:p w14:paraId="6F3A2F82" w14:textId="6C89584C"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263D92B4" w14:textId="6C0D542B" w:rsidR="00DC5EC6" w:rsidRDefault="003245A4">
            <w:pPr>
              <w:pStyle w:val="P68B1DB1-Normal12"/>
              <w:spacing w:after="0" w:line="240" w:lineRule="auto"/>
              <w:jc w:val="center"/>
              <w:rPr>
                <w:rFonts w:eastAsia="Times New Roman" w:cstheme="minorHAnsi"/>
                <w:noProof/>
              </w:rPr>
            </w:pPr>
            <w:r>
              <w:rPr>
                <w:noProof/>
              </w:rPr>
              <w:t>A biometánra vonatkozó cselekvési terv elfogadása</w:t>
            </w:r>
          </w:p>
        </w:tc>
        <w:tc>
          <w:tcPr>
            <w:tcW w:w="1275" w:type="dxa"/>
            <w:shd w:val="clear" w:color="auto" w:fill="C4EFCE"/>
            <w:noWrap/>
            <w:vAlign w:val="center"/>
          </w:tcPr>
          <w:p w14:paraId="2331BC43" w14:textId="5662D980" w:rsidR="00DC5EC6" w:rsidRDefault="003245A4">
            <w:pPr>
              <w:pStyle w:val="P68B1DB1-Normal12"/>
              <w:spacing w:after="0" w:line="240" w:lineRule="auto"/>
              <w:jc w:val="center"/>
              <w:rPr>
                <w:rFonts w:eastAsia="Times New Roman" w:cstheme="minorHAnsi"/>
                <w:noProof/>
              </w:rPr>
            </w:pPr>
            <w:r>
              <w:rPr>
                <w:noProof/>
              </w:rPr>
              <w:t>A biometánra vonatkozó cselekvési terv elfogadása</w:t>
            </w:r>
          </w:p>
        </w:tc>
        <w:tc>
          <w:tcPr>
            <w:tcW w:w="993" w:type="dxa"/>
            <w:shd w:val="clear" w:color="auto" w:fill="C4EFCE"/>
            <w:noWrap/>
            <w:vAlign w:val="center"/>
          </w:tcPr>
          <w:p w14:paraId="46102B02"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54ECF4E"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B73CC88"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547A7E82" w14:textId="2BAF7DD1"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7A5419DD" w14:textId="6C7BDBBD"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07712EEC" w14:textId="66A9DDF7" w:rsidR="00DC5EC6" w:rsidRDefault="003245A4">
            <w:pPr>
              <w:pStyle w:val="P68B1DB1-Normal12"/>
              <w:spacing w:after="0" w:line="240" w:lineRule="auto"/>
              <w:jc w:val="both"/>
              <w:rPr>
                <w:rFonts w:eastAsia="Times New Roman" w:cstheme="minorHAnsi"/>
                <w:noProof/>
              </w:rPr>
            </w:pPr>
            <w:r>
              <w:rPr>
                <w:noProof/>
              </w:rPr>
              <w:t xml:space="preserve">A biometánra vonatkozó cselekvési terv elfogadása, amely stratégiát határoz meg a biometánpiac fejlesztésére. </w:t>
            </w:r>
          </w:p>
        </w:tc>
      </w:tr>
      <w:tr w:rsidR="00DC5EC6" w14:paraId="418F63A0" w14:textId="77777777">
        <w:trPr>
          <w:trHeight w:val="430"/>
        </w:trPr>
        <w:tc>
          <w:tcPr>
            <w:tcW w:w="1135" w:type="dxa"/>
            <w:shd w:val="clear" w:color="auto" w:fill="C4EFCE"/>
            <w:vAlign w:val="center"/>
          </w:tcPr>
          <w:p w14:paraId="142F0F30" w14:textId="5290C99B" w:rsidR="00DC5EC6" w:rsidRDefault="003245A4">
            <w:pPr>
              <w:pStyle w:val="P68B1DB1-Normal11"/>
              <w:spacing w:after="0" w:line="240" w:lineRule="auto"/>
              <w:jc w:val="center"/>
              <w:rPr>
                <w:rFonts w:eastAsia="Times New Roman" w:cstheme="minorHAnsi"/>
                <w:noProof/>
              </w:rPr>
            </w:pPr>
            <w:r>
              <w:rPr>
                <w:noProof/>
              </w:rPr>
              <w:t>21.20</w:t>
            </w:r>
          </w:p>
        </w:tc>
        <w:tc>
          <w:tcPr>
            <w:tcW w:w="1276" w:type="dxa"/>
            <w:shd w:val="clear" w:color="auto" w:fill="C4EFCE"/>
            <w:noWrap/>
            <w:vAlign w:val="center"/>
          </w:tcPr>
          <w:p w14:paraId="6C665450" w14:textId="33C17ADF" w:rsidR="00DC5EC6" w:rsidRDefault="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CBD83E4" w14:textId="031B82C1"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D797AFF" w14:textId="7C6D96EE" w:rsidR="00DC5EC6" w:rsidRDefault="003245A4">
            <w:pPr>
              <w:pStyle w:val="P68B1DB1-Normal12"/>
              <w:spacing w:after="0" w:line="240" w:lineRule="auto"/>
              <w:jc w:val="center"/>
              <w:rPr>
                <w:rFonts w:eastAsia="Times New Roman" w:cstheme="minorHAnsi"/>
                <w:noProof/>
              </w:rPr>
            </w:pPr>
            <w:r>
              <w:rPr>
                <w:noProof/>
              </w:rPr>
              <w:t>2030 nyara létrehozása</w:t>
            </w:r>
          </w:p>
        </w:tc>
        <w:tc>
          <w:tcPr>
            <w:tcW w:w="1275" w:type="dxa"/>
            <w:shd w:val="clear" w:color="auto" w:fill="C4EFCE"/>
            <w:noWrap/>
            <w:vAlign w:val="center"/>
          </w:tcPr>
          <w:p w14:paraId="3870792E" w14:textId="39267017" w:rsidR="00DC5EC6" w:rsidRDefault="003245A4">
            <w:pPr>
              <w:pStyle w:val="P68B1DB1-Normal12"/>
              <w:spacing w:after="0" w:line="240" w:lineRule="auto"/>
              <w:jc w:val="center"/>
              <w:rPr>
                <w:rFonts w:eastAsia="Times New Roman" w:cstheme="minorHAnsi"/>
                <w:noProof/>
              </w:rPr>
            </w:pPr>
            <w:r>
              <w:rPr>
                <w:noProof/>
              </w:rPr>
              <w:t xml:space="preserve">A jogalkotási aktusban szereplő, a jogalkotási aktus hatálybalépésére utaló rendelkezés </w:t>
            </w:r>
          </w:p>
        </w:tc>
        <w:tc>
          <w:tcPr>
            <w:tcW w:w="993" w:type="dxa"/>
            <w:shd w:val="clear" w:color="auto" w:fill="C4EFCE"/>
            <w:noWrap/>
            <w:vAlign w:val="center"/>
          </w:tcPr>
          <w:p w14:paraId="4DE5ACF5"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F290546"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3BC3933"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46EB5396" w14:textId="23455BA9"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4CF27736" w14:textId="7B6485C3"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CD424AB" w14:textId="0D91A0DB" w:rsidR="00DC5EC6" w:rsidRDefault="003245A4">
            <w:pPr>
              <w:pStyle w:val="P68B1DB1-Normal12"/>
              <w:spacing w:after="0" w:line="240" w:lineRule="auto"/>
              <w:jc w:val="both"/>
              <w:rPr>
                <w:rFonts w:eastAsia="Times New Roman" w:cstheme="minorHAnsi"/>
                <w:noProof/>
              </w:rPr>
            </w:pPr>
            <w:r>
              <w:rPr>
                <w:noProof/>
              </w:rPr>
              <w:t xml:space="preserve">A 2030. negyedévét létrehozó kapcsolódó jogalkotási aktus hatálybalépése. A jogalkotási aktusban meg kell határozni a 2030. év végéig teljesítendő feladatokat az intézkedés leírásában meghatározottak szerint. </w:t>
            </w:r>
          </w:p>
        </w:tc>
      </w:tr>
      <w:tr w:rsidR="00DC5EC6" w14:paraId="3434404A" w14:textId="77777777">
        <w:trPr>
          <w:trHeight w:val="430"/>
        </w:trPr>
        <w:tc>
          <w:tcPr>
            <w:tcW w:w="1135" w:type="dxa"/>
            <w:shd w:val="clear" w:color="auto" w:fill="C4EFCE"/>
            <w:vAlign w:val="center"/>
          </w:tcPr>
          <w:p w14:paraId="37F09A11" w14:textId="7EBD0484" w:rsidR="00DC5EC6" w:rsidRDefault="003245A4">
            <w:pPr>
              <w:pStyle w:val="P68B1DB1-Normal11"/>
              <w:spacing w:after="0" w:line="240" w:lineRule="auto"/>
              <w:jc w:val="center"/>
              <w:rPr>
                <w:rFonts w:eastAsia="Times New Roman" w:cstheme="minorHAnsi"/>
                <w:noProof/>
              </w:rPr>
            </w:pPr>
            <w:r>
              <w:rPr>
                <w:noProof/>
              </w:rPr>
              <w:t>21.21</w:t>
            </w:r>
          </w:p>
        </w:tc>
        <w:tc>
          <w:tcPr>
            <w:tcW w:w="1276" w:type="dxa"/>
            <w:shd w:val="clear" w:color="auto" w:fill="C4EFCE"/>
            <w:noWrap/>
            <w:vAlign w:val="center"/>
          </w:tcPr>
          <w:p w14:paraId="24535339" w14:textId="20939CD9" w:rsidR="00DC5EC6" w:rsidRDefault="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2BAC6B67" w14:textId="5DA5E0AC"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10A12304" w14:textId="3FA91FDE" w:rsidR="00DC5EC6" w:rsidRDefault="003245A4">
            <w:pPr>
              <w:pStyle w:val="P68B1DB1-Normal12"/>
              <w:spacing w:after="0" w:line="240" w:lineRule="auto"/>
              <w:jc w:val="center"/>
              <w:rPr>
                <w:rFonts w:eastAsia="Times New Roman" w:cstheme="minorHAnsi"/>
                <w:noProof/>
              </w:rPr>
            </w:pPr>
            <w:r>
              <w:rPr>
                <w:noProof/>
              </w:rPr>
              <w:t>A megújulóenergia- és tárolási projektek önkormányzati engedélyezéséről szóló rendelet hatálybalépése</w:t>
            </w:r>
          </w:p>
        </w:tc>
        <w:tc>
          <w:tcPr>
            <w:tcW w:w="1275" w:type="dxa"/>
            <w:shd w:val="clear" w:color="auto" w:fill="C4EFCE"/>
            <w:noWrap/>
            <w:vAlign w:val="center"/>
          </w:tcPr>
          <w:p w14:paraId="10C906B4" w14:textId="27FE202E" w:rsidR="00DC5EC6" w:rsidRDefault="003245A4">
            <w:pPr>
              <w:pStyle w:val="P68B1DB1-Normal12"/>
              <w:spacing w:after="0" w:line="240" w:lineRule="auto"/>
              <w:jc w:val="center"/>
              <w:rPr>
                <w:rFonts w:eastAsia="Times New Roman" w:cstheme="minorHAnsi"/>
                <w:noProof/>
              </w:rPr>
            </w:pPr>
            <w:r>
              <w:rPr>
                <w:noProof/>
              </w:rPr>
              <w:t xml:space="preserve">Az önkormányzati rendelet hatályba lépésére vonatkozó rendelkezése </w:t>
            </w:r>
          </w:p>
        </w:tc>
        <w:tc>
          <w:tcPr>
            <w:tcW w:w="993" w:type="dxa"/>
            <w:shd w:val="clear" w:color="auto" w:fill="C4EFCE"/>
            <w:noWrap/>
            <w:vAlign w:val="center"/>
          </w:tcPr>
          <w:p w14:paraId="0B12EE5A"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04EA6B1"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145DD6C1"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6F0466BA" w14:textId="7DE9DF72"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16E5EBC1" w14:textId="31A3FA96" w:rsidR="00DC5EC6" w:rsidRDefault="003245A4">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D91FA19" w14:textId="7AD125CE" w:rsidR="00DC5EC6" w:rsidRDefault="003245A4">
            <w:pPr>
              <w:pStyle w:val="P68B1DB1-Normal12"/>
              <w:spacing w:after="0" w:line="240" w:lineRule="auto"/>
              <w:jc w:val="both"/>
              <w:rPr>
                <w:rFonts w:eastAsia="Times New Roman" w:cstheme="minorHAnsi"/>
                <w:noProof/>
              </w:rPr>
            </w:pPr>
            <w:r>
              <w:rPr>
                <w:noProof/>
              </w:rPr>
              <w:t>A Miniszterek Tanácsának a megújulóenergia-projektek és -tárolás önkormányzati engedélyezéséről szóló rendelet létrehozásáról szóló állásfoglalásának közzététele.</w:t>
            </w:r>
          </w:p>
        </w:tc>
      </w:tr>
      <w:tr w:rsidR="003245A4" w14:paraId="59D26DB7" w14:textId="77777777">
        <w:trPr>
          <w:trHeight w:val="430"/>
        </w:trPr>
        <w:tc>
          <w:tcPr>
            <w:tcW w:w="1135" w:type="dxa"/>
            <w:shd w:val="clear" w:color="auto" w:fill="C4EFCE"/>
            <w:vAlign w:val="center"/>
          </w:tcPr>
          <w:p w14:paraId="4648D13C" w14:textId="44A43D75" w:rsidR="003245A4" w:rsidRDefault="003245A4" w:rsidP="003245A4">
            <w:pPr>
              <w:pStyle w:val="P68B1DB1-Normal11"/>
              <w:spacing w:after="0" w:line="240" w:lineRule="auto"/>
              <w:jc w:val="center"/>
              <w:rPr>
                <w:rFonts w:eastAsia="Times New Roman" w:cstheme="minorHAnsi"/>
                <w:noProof/>
              </w:rPr>
            </w:pPr>
            <w:r>
              <w:rPr>
                <w:noProof/>
              </w:rPr>
              <w:t>21.22</w:t>
            </w:r>
          </w:p>
        </w:tc>
        <w:tc>
          <w:tcPr>
            <w:tcW w:w="1276" w:type="dxa"/>
            <w:shd w:val="clear" w:color="auto" w:fill="C4EFCE"/>
            <w:noWrap/>
            <w:vAlign w:val="center"/>
          </w:tcPr>
          <w:p w14:paraId="728FC768" w14:textId="59F4F085" w:rsidR="003245A4" w:rsidRDefault="003245A4" w:rsidP="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0E1CE1B" w14:textId="1F3111B7"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1AC95E2" w14:textId="5B253EDB" w:rsidR="003245A4" w:rsidRDefault="003245A4" w:rsidP="003245A4">
            <w:pPr>
              <w:pStyle w:val="P68B1DB1-Normal12"/>
              <w:spacing w:after="0" w:line="240" w:lineRule="auto"/>
              <w:jc w:val="center"/>
              <w:rPr>
                <w:rFonts w:eastAsia="Times New Roman" w:cstheme="minorHAnsi"/>
                <w:noProof/>
              </w:rPr>
            </w:pPr>
            <w:r>
              <w:rPr>
                <w:noProof/>
              </w:rPr>
              <w:t>A megújulóenergia-projektek engedélyezésében részt vevő személyzet képzése</w:t>
            </w:r>
          </w:p>
        </w:tc>
        <w:tc>
          <w:tcPr>
            <w:tcW w:w="1275" w:type="dxa"/>
            <w:shd w:val="clear" w:color="auto" w:fill="C4EFCE"/>
            <w:noWrap/>
            <w:vAlign w:val="center"/>
          </w:tcPr>
          <w:p w14:paraId="14FEE229"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1136F752" w14:textId="546F194B"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04BAAFA7" w14:textId="452A409E" w:rsidR="003245A4" w:rsidRDefault="003245A4" w:rsidP="003245A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08F14940" w14:textId="00FDB63C" w:rsidR="003245A4" w:rsidRDefault="003245A4" w:rsidP="003245A4">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2B93DCD7" w14:textId="7D035633"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628BED9C" w14:textId="08411F98"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D275AC8" w14:textId="3EE92F9A" w:rsidR="003245A4" w:rsidRDefault="003245A4" w:rsidP="003245A4">
            <w:pPr>
              <w:pStyle w:val="P68B1DB1-Normal12"/>
              <w:spacing w:after="0" w:line="240" w:lineRule="auto"/>
              <w:jc w:val="both"/>
              <w:rPr>
                <w:rFonts w:eastAsia="Times New Roman" w:cstheme="minorHAnsi"/>
                <w:noProof/>
              </w:rPr>
            </w:pPr>
            <w:r>
              <w:rPr>
                <w:noProof/>
              </w:rPr>
              <w:t xml:space="preserve">A központi, regionális és helyi közigazgatás 500 vezetőjét és technikusát kell képzésben részesíteni a megújulóenergia-projektek engedélyezési eljárásaival és az energiatárolással kapcsolatos területeken. </w:t>
            </w:r>
          </w:p>
        </w:tc>
      </w:tr>
      <w:tr w:rsidR="003245A4" w14:paraId="36CE5503" w14:textId="77777777">
        <w:trPr>
          <w:trHeight w:val="430"/>
        </w:trPr>
        <w:tc>
          <w:tcPr>
            <w:tcW w:w="1135" w:type="dxa"/>
            <w:shd w:val="clear" w:color="auto" w:fill="C4EFCE"/>
            <w:vAlign w:val="center"/>
          </w:tcPr>
          <w:p w14:paraId="37D608B0" w14:textId="69E7C5E2" w:rsidR="003245A4" w:rsidRDefault="003245A4" w:rsidP="003245A4">
            <w:pPr>
              <w:pStyle w:val="P68B1DB1-Normal11"/>
              <w:spacing w:after="0" w:line="240" w:lineRule="auto"/>
              <w:jc w:val="center"/>
              <w:rPr>
                <w:rFonts w:eastAsia="Times New Roman" w:cstheme="minorHAnsi"/>
                <w:noProof/>
              </w:rPr>
            </w:pPr>
            <w:r>
              <w:rPr>
                <w:noProof/>
              </w:rPr>
              <w:t>21.23</w:t>
            </w:r>
          </w:p>
        </w:tc>
        <w:tc>
          <w:tcPr>
            <w:tcW w:w="1276" w:type="dxa"/>
            <w:shd w:val="clear" w:color="auto" w:fill="C4EFCE"/>
            <w:noWrap/>
            <w:vAlign w:val="center"/>
          </w:tcPr>
          <w:p w14:paraId="29182886" w14:textId="24BC074B" w:rsidR="003245A4" w:rsidRDefault="003245A4" w:rsidP="003245A4">
            <w:pPr>
              <w:pStyle w:val="P68B1DB1-Normal12"/>
              <w:spacing w:after="0" w:line="240" w:lineRule="auto"/>
              <w:jc w:val="center"/>
              <w:rPr>
                <w:rFonts w:eastAsia="Times New Roman"/>
                <w:noProof/>
              </w:rPr>
            </w:pPr>
            <w:r>
              <w:rPr>
                <w:noProof/>
              </w:rPr>
              <w:t>RP-C21-r48</w:t>
            </w:r>
          </w:p>
        </w:tc>
        <w:tc>
          <w:tcPr>
            <w:tcW w:w="1134" w:type="dxa"/>
            <w:shd w:val="clear" w:color="auto" w:fill="C4EFCE"/>
            <w:noWrap/>
            <w:vAlign w:val="center"/>
          </w:tcPr>
          <w:p w14:paraId="1ED75554" w14:textId="2C085155"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5F13748" w14:textId="5624F122" w:rsidR="003245A4" w:rsidRDefault="003245A4" w:rsidP="003245A4">
            <w:pPr>
              <w:pStyle w:val="P68B1DB1-Normal12"/>
              <w:spacing w:after="0" w:line="240" w:lineRule="auto"/>
              <w:jc w:val="center"/>
              <w:rPr>
                <w:rFonts w:eastAsia="Times New Roman" w:cstheme="minorHAnsi"/>
                <w:noProof/>
              </w:rPr>
            </w:pPr>
            <w:r>
              <w:rPr>
                <w:noProof/>
              </w:rPr>
              <w:t>Az új megújulóenergia-kapacitás elosztására vonatkozó ütemterv elfogadása, különös tekintettel a „megújuló célterületek” ágazati programból eredő földrajzi területekre</w:t>
            </w:r>
          </w:p>
        </w:tc>
        <w:tc>
          <w:tcPr>
            <w:tcW w:w="1275" w:type="dxa"/>
            <w:shd w:val="clear" w:color="auto" w:fill="C4EFCE"/>
            <w:noWrap/>
            <w:vAlign w:val="center"/>
          </w:tcPr>
          <w:p w14:paraId="51E28EBC" w14:textId="66E4B695" w:rsidR="003245A4" w:rsidRDefault="003245A4" w:rsidP="003245A4">
            <w:pPr>
              <w:pStyle w:val="P68B1DB1-Normal12"/>
              <w:spacing w:after="0" w:line="240" w:lineRule="auto"/>
              <w:jc w:val="center"/>
              <w:rPr>
                <w:rFonts w:eastAsia="Times New Roman" w:cstheme="minorHAnsi"/>
                <w:noProof/>
              </w:rPr>
            </w:pPr>
            <w:r>
              <w:rPr>
                <w:noProof/>
              </w:rPr>
              <w:t xml:space="preserve">Ütemterv elfogadása a megújuló energiaforrásokból előállított új kapacitásoknak a célterületeken alapuló elosztására vonatkozóan </w:t>
            </w:r>
          </w:p>
        </w:tc>
        <w:tc>
          <w:tcPr>
            <w:tcW w:w="993" w:type="dxa"/>
            <w:shd w:val="clear" w:color="auto" w:fill="C4EFCE"/>
            <w:noWrap/>
            <w:vAlign w:val="center"/>
          </w:tcPr>
          <w:p w14:paraId="7B8AAA5E"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11B6E3D1"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304E9295"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515A26CF" w14:textId="60924A58"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0A8FB463" w14:textId="6E885BE8"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607DDA1" w14:textId="4B0D2B85" w:rsidR="003245A4" w:rsidRDefault="003245A4" w:rsidP="003245A4">
            <w:pPr>
              <w:pStyle w:val="P68B1DB1-Normal12"/>
              <w:spacing w:after="0" w:line="240" w:lineRule="auto"/>
              <w:jc w:val="both"/>
              <w:rPr>
                <w:rFonts w:eastAsia="Times New Roman" w:cstheme="minorHAnsi"/>
                <w:noProof/>
              </w:rPr>
            </w:pPr>
            <w:r>
              <w:rPr>
                <w:noProof/>
              </w:rPr>
              <w:t xml:space="preserve">A megújulóenergia-projektek fejlesztésére szolgáló új megújulóenergia-kapacitás elosztására vonatkozó ütemterv elfogadása (a javaslat 2030 nyara), különös tekintettel a 2024-ben közzéteendő „Megújuló Go-To-Areas” ágazati programból eredő földrajzi területekre. </w:t>
            </w:r>
          </w:p>
        </w:tc>
      </w:tr>
      <w:tr w:rsidR="00853C3A" w14:paraId="41B1E0D5" w14:textId="77777777">
        <w:trPr>
          <w:trHeight w:val="430"/>
        </w:trPr>
        <w:tc>
          <w:tcPr>
            <w:tcW w:w="1135" w:type="dxa"/>
            <w:shd w:val="clear" w:color="auto" w:fill="C4EFCE"/>
            <w:vAlign w:val="center"/>
          </w:tcPr>
          <w:p w14:paraId="3CE0F6A4" w14:textId="7162E82F" w:rsidR="00853C3A" w:rsidRDefault="00853C3A" w:rsidP="00853C3A">
            <w:pPr>
              <w:pStyle w:val="P68B1DB1-Normal11"/>
              <w:spacing w:after="0" w:line="240" w:lineRule="auto"/>
              <w:jc w:val="center"/>
              <w:rPr>
                <w:rFonts w:eastAsia="Times New Roman" w:cstheme="minorHAnsi"/>
                <w:noProof/>
              </w:rPr>
            </w:pPr>
            <w:r>
              <w:rPr>
                <w:noProof/>
              </w:rPr>
              <w:t>21.24</w:t>
            </w:r>
          </w:p>
        </w:tc>
        <w:tc>
          <w:tcPr>
            <w:tcW w:w="1276" w:type="dxa"/>
            <w:shd w:val="clear" w:color="auto" w:fill="C4EFCE"/>
            <w:noWrap/>
            <w:vAlign w:val="center"/>
          </w:tcPr>
          <w:p w14:paraId="1D62C08E" w14:textId="5C708E14" w:rsidR="00853C3A" w:rsidRDefault="00853C3A" w:rsidP="00853C3A">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7081CC4B" w14:textId="0DFD479C" w:rsidR="00853C3A" w:rsidRDefault="00853C3A" w:rsidP="00853C3A">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E8748BD" w14:textId="48B0F1BB" w:rsidR="00853C3A" w:rsidRDefault="00853C3A" w:rsidP="00853C3A">
            <w:pPr>
              <w:pStyle w:val="P68B1DB1-Normal12"/>
              <w:spacing w:after="0" w:line="240" w:lineRule="auto"/>
              <w:jc w:val="center"/>
              <w:rPr>
                <w:rFonts w:eastAsia="Times New Roman" w:cstheme="minorHAnsi"/>
                <w:noProof/>
              </w:rPr>
            </w:pPr>
            <w:r>
              <w:rPr>
                <w:noProof/>
              </w:rPr>
              <w:t>Ajánlati felhívás megújulógáz-termelési projektekre</w:t>
            </w:r>
          </w:p>
        </w:tc>
        <w:tc>
          <w:tcPr>
            <w:tcW w:w="1275" w:type="dxa"/>
            <w:shd w:val="clear" w:color="auto" w:fill="C4EFCE"/>
            <w:noWrap/>
            <w:vAlign w:val="center"/>
          </w:tcPr>
          <w:p w14:paraId="66FE5F49" w14:textId="6737AF70" w:rsidR="00853C3A" w:rsidRDefault="00853C3A" w:rsidP="00853C3A">
            <w:pPr>
              <w:pStyle w:val="P68B1DB1-Normal12"/>
              <w:spacing w:after="0" w:line="240" w:lineRule="auto"/>
              <w:jc w:val="center"/>
              <w:rPr>
                <w:rFonts w:eastAsia="Times New Roman" w:cstheme="minorHAnsi"/>
                <w:noProof/>
              </w:rPr>
            </w:pPr>
            <w:r>
              <w:rPr>
                <w:noProof/>
              </w:rPr>
              <w:t>Ajánlati felhívás</w:t>
            </w:r>
          </w:p>
        </w:tc>
        <w:tc>
          <w:tcPr>
            <w:tcW w:w="993" w:type="dxa"/>
            <w:shd w:val="clear" w:color="auto" w:fill="C4EFCE"/>
            <w:noWrap/>
            <w:vAlign w:val="center"/>
          </w:tcPr>
          <w:p w14:paraId="479A718C"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B02F5A2"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B95FF4D" w14:textId="77777777" w:rsidR="00853C3A" w:rsidRDefault="00853C3A" w:rsidP="00853C3A">
            <w:pPr>
              <w:spacing w:after="0" w:line="240" w:lineRule="auto"/>
              <w:jc w:val="center"/>
              <w:rPr>
                <w:rFonts w:eastAsia="Times New Roman" w:cstheme="minorHAnsi"/>
                <w:noProof/>
                <w:sz w:val="16"/>
              </w:rPr>
            </w:pPr>
          </w:p>
        </w:tc>
        <w:tc>
          <w:tcPr>
            <w:tcW w:w="567" w:type="dxa"/>
            <w:shd w:val="clear" w:color="auto" w:fill="C4EFCE"/>
            <w:noWrap/>
            <w:vAlign w:val="center"/>
          </w:tcPr>
          <w:p w14:paraId="146FF056" w14:textId="42272A64"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563D209" w14:textId="5636F9A1" w:rsidR="00853C3A" w:rsidRDefault="00853C3A" w:rsidP="00853C3A">
            <w:pPr>
              <w:pStyle w:val="P68B1DB1-Normal12"/>
              <w:spacing w:after="0" w:line="240" w:lineRule="auto"/>
              <w:jc w:val="center"/>
              <w:rPr>
                <w:rFonts w:eastAsia="Times New Roman" w:cstheme="minorHAnsi"/>
                <w:noProof/>
              </w:rPr>
            </w:pPr>
            <w:r>
              <w:rPr>
                <w:noProof/>
              </w:rPr>
              <w:t>2023</w:t>
            </w:r>
          </w:p>
        </w:tc>
        <w:tc>
          <w:tcPr>
            <w:tcW w:w="3969" w:type="dxa"/>
            <w:shd w:val="clear" w:color="auto" w:fill="C4EFCE"/>
            <w:vAlign w:val="center"/>
          </w:tcPr>
          <w:p w14:paraId="017D5EFE" w14:textId="5E524A6E" w:rsidR="00853C3A" w:rsidRDefault="00853C3A" w:rsidP="00853C3A">
            <w:pPr>
              <w:pStyle w:val="P68B1DB1-Normal12"/>
              <w:spacing w:after="0" w:line="240" w:lineRule="auto"/>
              <w:jc w:val="both"/>
              <w:rPr>
                <w:rFonts w:eastAsia="Times New Roman" w:cstheme="minorHAnsi"/>
                <w:noProof/>
              </w:rPr>
            </w:pPr>
            <w:r>
              <w:rPr>
                <w:noProof/>
              </w:rPr>
              <w:t>Pályázati felhívás közzététele olyan projektek kiválasztására, amelyek legalább 77 MW új telepített megújuló hidrogén- és más megújuló gázenergia-kapacitást biztosítanak, és amelyek teljes életciklusra számított ÜHG-kibocsátása nulla vagy közel nulla.</w:t>
            </w:r>
          </w:p>
        </w:tc>
      </w:tr>
      <w:tr w:rsidR="003245A4" w14:paraId="40C08A18" w14:textId="77777777">
        <w:trPr>
          <w:trHeight w:val="430"/>
        </w:trPr>
        <w:tc>
          <w:tcPr>
            <w:tcW w:w="1135" w:type="dxa"/>
            <w:shd w:val="clear" w:color="auto" w:fill="C4EFCE"/>
            <w:vAlign w:val="center"/>
          </w:tcPr>
          <w:p w14:paraId="0D51024F" w14:textId="29C3E044" w:rsidR="003245A4" w:rsidRDefault="003245A4" w:rsidP="003245A4">
            <w:pPr>
              <w:pStyle w:val="P68B1DB1-Normal11"/>
              <w:spacing w:after="0" w:line="240" w:lineRule="auto"/>
              <w:jc w:val="center"/>
              <w:rPr>
                <w:rFonts w:eastAsia="Times New Roman" w:cstheme="minorHAnsi"/>
                <w:noProof/>
              </w:rPr>
            </w:pPr>
            <w:r>
              <w:rPr>
                <w:noProof/>
              </w:rPr>
              <w:t>21.25</w:t>
            </w:r>
          </w:p>
        </w:tc>
        <w:tc>
          <w:tcPr>
            <w:tcW w:w="1276" w:type="dxa"/>
            <w:shd w:val="clear" w:color="auto" w:fill="C4EFCE"/>
            <w:noWrap/>
            <w:vAlign w:val="center"/>
          </w:tcPr>
          <w:p w14:paraId="77D23AA8" w14:textId="65077A31" w:rsidR="003245A4" w:rsidRDefault="003245A4" w:rsidP="003245A4">
            <w:pPr>
              <w:pStyle w:val="P68B1DB1-Normal12"/>
              <w:spacing w:after="0" w:line="240" w:lineRule="auto"/>
              <w:jc w:val="center"/>
              <w:rPr>
                <w:rFonts w:eastAsia="Times New Roman"/>
                <w:noProof/>
              </w:rPr>
            </w:pPr>
            <w:r>
              <w:rPr>
                <w:noProof/>
              </w:rPr>
              <w:t>RP-C21-i06</w:t>
            </w:r>
          </w:p>
        </w:tc>
        <w:tc>
          <w:tcPr>
            <w:tcW w:w="1134" w:type="dxa"/>
            <w:shd w:val="clear" w:color="auto" w:fill="C4EFCE"/>
            <w:noWrap/>
            <w:vAlign w:val="center"/>
          </w:tcPr>
          <w:p w14:paraId="57213471" w14:textId="60058345"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FE5C52B" w14:textId="4E89CAFA" w:rsidR="003245A4" w:rsidRDefault="003245A4" w:rsidP="003245A4">
            <w:pPr>
              <w:pStyle w:val="P68B1DB1-Normal12"/>
              <w:spacing w:after="0" w:line="240" w:lineRule="auto"/>
              <w:jc w:val="center"/>
              <w:rPr>
                <w:rFonts w:eastAsia="Times New Roman" w:cstheme="minorHAnsi"/>
                <w:noProof/>
              </w:rPr>
            </w:pPr>
            <w:r>
              <w:rPr>
                <w:noProof/>
              </w:rPr>
              <w:t>További megújuló hidrogén- és megújulógáz-termelési kapacitás</w:t>
            </w:r>
          </w:p>
        </w:tc>
        <w:tc>
          <w:tcPr>
            <w:tcW w:w="1275" w:type="dxa"/>
            <w:shd w:val="clear" w:color="auto" w:fill="C4EFCE"/>
            <w:noWrap/>
            <w:vAlign w:val="center"/>
          </w:tcPr>
          <w:p w14:paraId="1CC9CE9A"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0507A478" w14:textId="2F6724C7" w:rsidR="003245A4" w:rsidRDefault="003245A4" w:rsidP="003245A4">
            <w:pPr>
              <w:pStyle w:val="P68B1DB1-Bodytext1013"/>
              <w:jc w:val="center"/>
              <w:rPr>
                <w:rFonts w:cstheme="minorHAnsi"/>
                <w:noProof/>
              </w:rPr>
            </w:pPr>
            <w:r>
              <w:rPr>
                <w:noProof/>
              </w:rPr>
              <w:t>MW</w:t>
            </w:r>
          </w:p>
        </w:tc>
        <w:tc>
          <w:tcPr>
            <w:tcW w:w="992" w:type="dxa"/>
            <w:shd w:val="clear" w:color="auto" w:fill="C4EFCE"/>
            <w:noWrap/>
            <w:vAlign w:val="center"/>
          </w:tcPr>
          <w:p w14:paraId="113D3DC1" w14:textId="69E6A3A4" w:rsidR="003245A4" w:rsidRDefault="003245A4" w:rsidP="003245A4">
            <w:pPr>
              <w:pStyle w:val="P68B1DB1-Bodytext1013"/>
              <w:jc w:val="center"/>
              <w:rPr>
                <w:rFonts w:cstheme="minorHAnsi"/>
                <w:noProof/>
              </w:rPr>
            </w:pPr>
            <w:r>
              <w:rPr>
                <w:noProof/>
              </w:rPr>
              <w:t>200</w:t>
            </w:r>
          </w:p>
        </w:tc>
        <w:tc>
          <w:tcPr>
            <w:tcW w:w="992" w:type="dxa"/>
            <w:shd w:val="clear" w:color="auto" w:fill="C4EFCE"/>
            <w:noWrap/>
            <w:vAlign w:val="center"/>
          </w:tcPr>
          <w:p w14:paraId="7576C464" w14:textId="71409B46" w:rsidR="003245A4" w:rsidRDefault="003245A4" w:rsidP="003245A4">
            <w:pPr>
              <w:pStyle w:val="P68B1DB1-Bodytext1013"/>
              <w:jc w:val="center"/>
              <w:rPr>
                <w:rFonts w:cstheme="minorHAnsi"/>
                <w:noProof/>
              </w:rPr>
            </w:pPr>
            <w:r>
              <w:rPr>
                <w:noProof/>
              </w:rPr>
              <w:t>277</w:t>
            </w:r>
          </w:p>
        </w:tc>
        <w:tc>
          <w:tcPr>
            <w:tcW w:w="567" w:type="dxa"/>
            <w:shd w:val="clear" w:color="auto" w:fill="C4EFCE"/>
            <w:noWrap/>
            <w:vAlign w:val="center"/>
          </w:tcPr>
          <w:p w14:paraId="685921C4" w14:textId="1FC6F91D" w:rsidR="003245A4" w:rsidRDefault="003245A4" w:rsidP="003245A4">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3E715CB5" w14:textId="528BEFE4" w:rsidR="003245A4" w:rsidRDefault="003245A4" w:rsidP="003245A4">
            <w:pPr>
              <w:pStyle w:val="P68B1DB1-Normal12"/>
              <w:spacing w:after="0" w:line="240" w:lineRule="auto"/>
              <w:jc w:val="center"/>
              <w:rPr>
                <w:rFonts w:eastAsia="Times New Roman"/>
                <w:noProof/>
              </w:rPr>
            </w:pPr>
            <w:r>
              <w:rPr>
                <w:noProof/>
              </w:rPr>
              <w:t>2026</w:t>
            </w:r>
          </w:p>
        </w:tc>
        <w:tc>
          <w:tcPr>
            <w:tcW w:w="3969" w:type="dxa"/>
            <w:shd w:val="clear" w:color="auto" w:fill="C4EFCE"/>
            <w:vAlign w:val="center"/>
          </w:tcPr>
          <w:p w14:paraId="1DFE52F0" w14:textId="3B8ED44F" w:rsidR="003245A4" w:rsidRDefault="003245A4" w:rsidP="003245A4">
            <w:pPr>
              <w:pStyle w:val="P68B1DB1-Normal12"/>
              <w:spacing w:after="0" w:line="240" w:lineRule="auto"/>
              <w:jc w:val="both"/>
              <w:rPr>
                <w:rFonts w:eastAsia="Times New Roman" w:cstheme="minorHAnsi"/>
                <w:noProof/>
              </w:rPr>
            </w:pPr>
            <w:r>
              <w:rPr>
                <w:noProof/>
              </w:rPr>
              <w:t>További megújulóenergia- és megújulógáz-termelési kapacitás nulla vagy nullához közeli életciklusra számított ÜHG-kibocsátás mellett</w:t>
            </w:r>
          </w:p>
        </w:tc>
      </w:tr>
      <w:tr w:rsidR="003245A4" w14:paraId="1045276A" w14:textId="77777777">
        <w:trPr>
          <w:trHeight w:val="430"/>
        </w:trPr>
        <w:tc>
          <w:tcPr>
            <w:tcW w:w="1135" w:type="dxa"/>
            <w:shd w:val="clear" w:color="auto" w:fill="C4EFCE"/>
            <w:vAlign w:val="center"/>
          </w:tcPr>
          <w:p w14:paraId="55738168" w14:textId="0E945F03" w:rsidR="003245A4" w:rsidRDefault="003245A4" w:rsidP="003245A4">
            <w:pPr>
              <w:pStyle w:val="P68B1DB1-Normal11"/>
              <w:spacing w:after="0" w:line="240" w:lineRule="auto"/>
              <w:jc w:val="center"/>
              <w:rPr>
                <w:rFonts w:eastAsia="Times New Roman" w:cstheme="minorHAnsi"/>
                <w:noProof/>
              </w:rPr>
            </w:pPr>
            <w:r>
              <w:rPr>
                <w:noProof/>
              </w:rPr>
              <w:t>21.26</w:t>
            </w:r>
          </w:p>
        </w:tc>
        <w:tc>
          <w:tcPr>
            <w:tcW w:w="1276" w:type="dxa"/>
            <w:shd w:val="clear" w:color="auto" w:fill="C4EFCE"/>
            <w:noWrap/>
            <w:vAlign w:val="center"/>
          </w:tcPr>
          <w:p w14:paraId="4B3853AA" w14:textId="5D7EDD36" w:rsidR="003245A4" w:rsidRDefault="003245A4" w:rsidP="003245A4">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4AEE7547" w14:textId="408AED36"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3915FA70" w14:textId="3F664342" w:rsidR="003245A4" w:rsidRDefault="003245A4" w:rsidP="003245A4">
            <w:pPr>
              <w:pStyle w:val="P68B1DB1-Normal12"/>
              <w:spacing w:after="0" w:line="240" w:lineRule="auto"/>
              <w:jc w:val="center"/>
              <w:rPr>
                <w:rFonts w:eastAsia="Times New Roman" w:cstheme="minorHAnsi"/>
                <w:noProof/>
              </w:rPr>
            </w:pPr>
            <w:r>
              <w:rPr>
                <w:noProof/>
              </w:rPr>
              <w:t>A tengeri műszaki tanulmányokra vonatkozó szerződés(ek) aláírása</w:t>
            </w:r>
          </w:p>
        </w:tc>
        <w:tc>
          <w:tcPr>
            <w:tcW w:w="1275" w:type="dxa"/>
            <w:shd w:val="clear" w:color="auto" w:fill="C4EFCE"/>
            <w:noWrap/>
            <w:vAlign w:val="center"/>
          </w:tcPr>
          <w:p w14:paraId="1B3565C5" w14:textId="155871F2" w:rsidR="003245A4" w:rsidRDefault="003245A4" w:rsidP="003245A4">
            <w:pPr>
              <w:pStyle w:val="P68B1DB1-Normal12"/>
              <w:spacing w:after="0" w:line="240" w:lineRule="auto"/>
              <w:jc w:val="center"/>
              <w:rPr>
                <w:rFonts w:eastAsia="Times New Roman" w:cstheme="minorHAnsi"/>
                <w:noProof/>
              </w:rPr>
            </w:pPr>
            <w:r>
              <w:rPr>
                <w:noProof/>
              </w:rPr>
              <w:t>A tengeri műszaki tanulmányokra vonatkozó szerződés(ek) aláírása</w:t>
            </w:r>
          </w:p>
        </w:tc>
        <w:tc>
          <w:tcPr>
            <w:tcW w:w="993" w:type="dxa"/>
            <w:shd w:val="clear" w:color="auto" w:fill="C4EFCE"/>
            <w:noWrap/>
            <w:vAlign w:val="center"/>
          </w:tcPr>
          <w:p w14:paraId="6A8DEA31"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615E3968"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76CD424A"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3B750639" w14:textId="3B5C7EAF"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137C7D92" w14:textId="007769A9"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9E9FABE" w14:textId="406ED44D" w:rsidR="003245A4" w:rsidRDefault="003245A4" w:rsidP="003245A4">
            <w:pPr>
              <w:pStyle w:val="P68B1DB1-Normal12"/>
              <w:spacing w:after="0" w:line="240" w:lineRule="auto"/>
              <w:jc w:val="both"/>
              <w:rPr>
                <w:rFonts w:eastAsia="Times New Roman" w:cstheme="minorHAnsi"/>
                <w:noProof/>
              </w:rPr>
            </w:pPr>
            <w:r>
              <w:rPr>
                <w:noProof/>
              </w:rPr>
              <w:t xml:space="preserve">A tengeri geofizikai, geotechnikai, szél-, hullám- és jelenlegi tanulmányokra vonatkozó szerződés(ek) aláírása, amelyek célja a tengeri szélenergia telepítésének megkönnyítése. </w:t>
            </w:r>
          </w:p>
        </w:tc>
      </w:tr>
      <w:tr w:rsidR="003245A4" w14:paraId="54C1DF86" w14:textId="77777777">
        <w:trPr>
          <w:trHeight w:val="430"/>
        </w:trPr>
        <w:tc>
          <w:tcPr>
            <w:tcW w:w="1135" w:type="dxa"/>
            <w:shd w:val="clear" w:color="auto" w:fill="C4EFCE"/>
            <w:vAlign w:val="center"/>
          </w:tcPr>
          <w:p w14:paraId="74BF25A6" w14:textId="17A4170C" w:rsidR="003245A4" w:rsidRDefault="003245A4" w:rsidP="003245A4">
            <w:pPr>
              <w:pStyle w:val="P68B1DB1-Normal11"/>
              <w:spacing w:after="0" w:line="240" w:lineRule="auto"/>
              <w:jc w:val="center"/>
              <w:rPr>
                <w:rFonts w:eastAsia="Times New Roman" w:cstheme="minorHAnsi"/>
                <w:noProof/>
              </w:rPr>
            </w:pPr>
            <w:r>
              <w:rPr>
                <w:noProof/>
              </w:rPr>
              <w:t>21.27</w:t>
            </w:r>
          </w:p>
        </w:tc>
        <w:tc>
          <w:tcPr>
            <w:tcW w:w="1276" w:type="dxa"/>
            <w:shd w:val="clear" w:color="auto" w:fill="C4EFCE"/>
            <w:noWrap/>
            <w:vAlign w:val="center"/>
          </w:tcPr>
          <w:p w14:paraId="64144345" w14:textId="66F94339" w:rsidR="003245A4" w:rsidRDefault="003245A4" w:rsidP="003245A4">
            <w:pPr>
              <w:pStyle w:val="P68B1DB1-Normal12"/>
              <w:spacing w:after="0" w:line="240" w:lineRule="auto"/>
              <w:jc w:val="center"/>
              <w:rPr>
                <w:rFonts w:eastAsia="Times New Roman"/>
                <w:noProof/>
              </w:rPr>
            </w:pPr>
            <w:r>
              <w:rPr>
                <w:noProof/>
              </w:rPr>
              <w:t>RP-C21-i07</w:t>
            </w:r>
          </w:p>
        </w:tc>
        <w:tc>
          <w:tcPr>
            <w:tcW w:w="1134" w:type="dxa"/>
            <w:shd w:val="clear" w:color="auto" w:fill="C4EFCE"/>
            <w:noWrap/>
            <w:vAlign w:val="center"/>
          </w:tcPr>
          <w:p w14:paraId="7865928B" w14:textId="72EB631F"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BB3CE96" w14:textId="66D1E21F" w:rsidR="003245A4" w:rsidRDefault="003245A4" w:rsidP="003245A4">
            <w:pPr>
              <w:pStyle w:val="P68B1DB1-Normal12"/>
              <w:spacing w:after="0" w:line="240" w:lineRule="auto"/>
              <w:jc w:val="center"/>
              <w:rPr>
                <w:rFonts w:eastAsia="Times New Roman" w:cstheme="minorHAnsi"/>
                <w:noProof/>
              </w:rPr>
            </w:pPr>
            <w:r>
              <w:rPr>
                <w:noProof/>
              </w:rPr>
              <w:t>A tengeri szélenergiára vonatkozó műszaki tanulmányok befejezése</w:t>
            </w:r>
          </w:p>
        </w:tc>
        <w:tc>
          <w:tcPr>
            <w:tcW w:w="1275" w:type="dxa"/>
            <w:shd w:val="clear" w:color="auto" w:fill="C4EFCE"/>
            <w:noWrap/>
            <w:vAlign w:val="center"/>
          </w:tcPr>
          <w:p w14:paraId="6C094680" w14:textId="1CDCB07B" w:rsidR="003245A4" w:rsidRDefault="003245A4" w:rsidP="003245A4">
            <w:pPr>
              <w:pStyle w:val="P68B1DB1-Normal12"/>
              <w:spacing w:after="0" w:line="240" w:lineRule="auto"/>
              <w:jc w:val="center"/>
              <w:rPr>
                <w:rFonts w:eastAsia="Times New Roman" w:cstheme="minorHAnsi"/>
                <w:noProof/>
              </w:rPr>
            </w:pPr>
            <w:r>
              <w:rPr>
                <w:noProof/>
              </w:rPr>
              <w:t>A tengeri szélenergiára vonatkozó műszaki tanulmányok befejezése</w:t>
            </w:r>
          </w:p>
        </w:tc>
        <w:tc>
          <w:tcPr>
            <w:tcW w:w="993" w:type="dxa"/>
            <w:shd w:val="clear" w:color="auto" w:fill="C4EFCE"/>
            <w:noWrap/>
            <w:vAlign w:val="center"/>
          </w:tcPr>
          <w:p w14:paraId="3AE2A000"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2320F173"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41DB8D43"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1EC71DEE" w14:textId="6BBCE8F2"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57D3FE17" w14:textId="51C26B14"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7AC78EE5" w14:textId="28037D15" w:rsidR="003245A4" w:rsidRDefault="003245A4" w:rsidP="003245A4">
            <w:pPr>
              <w:pStyle w:val="P68B1DB1-Normal12"/>
              <w:spacing w:after="0" w:line="240" w:lineRule="auto"/>
              <w:jc w:val="both"/>
              <w:rPr>
                <w:rFonts w:eastAsia="Times New Roman"/>
                <w:noProof/>
              </w:rPr>
            </w:pPr>
            <w:r>
              <w:rPr>
                <w:noProof/>
              </w:rPr>
              <w:t>A legalább 2 000 km² kiterjedésű tengeri szélenergia telepítésének megkönnyítését célzó geofizikai, geotechnikai, szél-, hullám- és jelenlegi tanulmányok befejezése.</w:t>
            </w:r>
          </w:p>
        </w:tc>
      </w:tr>
      <w:tr w:rsidR="003245A4" w14:paraId="7539E854" w14:textId="77777777">
        <w:trPr>
          <w:trHeight w:val="430"/>
        </w:trPr>
        <w:tc>
          <w:tcPr>
            <w:tcW w:w="1135" w:type="dxa"/>
            <w:shd w:val="clear" w:color="auto" w:fill="C4EFCE"/>
            <w:vAlign w:val="center"/>
          </w:tcPr>
          <w:p w14:paraId="3006E847" w14:textId="1BEAC184" w:rsidR="003245A4" w:rsidRDefault="003245A4" w:rsidP="003245A4">
            <w:pPr>
              <w:pStyle w:val="P68B1DB1-Normal11"/>
              <w:spacing w:after="0" w:line="240" w:lineRule="auto"/>
              <w:jc w:val="center"/>
              <w:rPr>
                <w:rFonts w:eastAsia="Times New Roman" w:cstheme="minorHAnsi"/>
                <w:noProof/>
              </w:rPr>
            </w:pPr>
            <w:r>
              <w:rPr>
                <w:noProof/>
              </w:rPr>
              <w:t>21.28</w:t>
            </w:r>
          </w:p>
        </w:tc>
        <w:tc>
          <w:tcPr>
            <w:tcW w:w="1276" w:type="dxa"/>
            <w:shd w:val="clear" w:color="auto" w:fill="C4EFCE"/>
            <w:noWrap/>
            <w:vAlign w:val="center"/>
          </w:tcPr>
          <w:p w14:paraId="1409BB5F" w14:textId="7C2538F1" w:rsidR="003245A4" w:rsidRDefault="003245A4" w:rsidP="003245A4">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5465DB3D" w14:textId="06A0BB9B"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298A80C" w14:textId="44A074A0" w:rsidR="003245A4" w:rsidRDefault="003245A4" w:rsidP="003245A4">
            <w:pPr>
              <w:pStyle w:val="P68B1DB1-Normal12"/>
              <w:spacing w:after="0" w:line="240" w:lineRule="auto"/>
              <w:jc w:val="center"/>
              <w:rPr>
                <w:rFonts w:eastAsia="Times New Roman" w:cstheme="minorHAnsi"/>
                <w:noProof/>
              </w:rPr>
            </w:pPr>
            <w:r>
              <w:rPr>
                <w:noProof/>
              </w:rPr>
              <w:t>A villamosenergia-tároló kapacitás létesítésére vonatkozó elfogadási feltételek aláírása</w:t>
            </w:r>
          </w:p>
        </w:tc>
        <w:tc>
          <w:tcPr>
            <w:tcW w:w="1275" w:type="dxa"/>
            <w:shd w:val="clear" w:color="auto" w:fill="C4EFCE"/>
            <w:noWrap/>
            <w:vAlign w:val="center"/>
          </w:tcPr>
          <w:p w14:paraId="1573BBFD" w14:textId="4C8CE9E8" w:rsidR="003245A4" w:rsidRDefault="003245A4" w:rsidP="003245A4">
            <w:pPr>
              <w:pStyle w:val="P68B1DB1-Normal12"/>
              <w:spacing w:after="0" w:line="240" w:lineRule="auto"/>
              <w:jc w:val="center"/>
              <w:rPr>
                <w:rFonts w:eastAsia="Times New Roman" w:cstheme="minorHAnsi"/>
                <w:noProof/>
              </w:rPr>
            </w:pPr>
            <w:r>
              <w:rPr>
                <w:noProof/>
              </w:rPr>
              <w:t>A legalább 500 MW kapacitás telepítésére vonatkozó elfogadási feltételek aláírása</w:t>
            </w:r>
          </w:p>
        </w:tc>
        <w:tc>
          <w:tcPr>
            <w:tcW w:w="993" w:type="dxa"/>
            <w:shd w:val="clear" w:color="auto" w:fill="C4EFCE"/>
            <w:noWrap/>
            <w:vAlign w:val="center"/>
          </w:tcPr>
          <w:p w14:paraId="13FF9468"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4EED15CC" w14:textId="7413286F"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86A1FE7"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1A56D73B" w14:textId="22E662FC" w:rsidR="003245A4" w:rsidRDefault="003245A4" w:rsidP="003245A4">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108BC515" w14:textId="020B0AB5" w:rsidR="003245A4" w:rsidRDefault="003245A4" w:rsidP="003245A4">
            <w:pPr>
              <w:pStyle w:val="P68B1DB1-Normal12"/>
              <w:spacing w:after="0" w:line="240" w:lineRule="auto"/>
              <w:jc w:val="center"/>
              <w:rPr>
                <w:rFonts w:eastAsia="Times New Roman"/>
                <w:noProof/>
              </w:rPr>
            </w:pPr>
            <w:r>
              <w:rPr>
                <w:noProof/>
              </w:rPr>
              <w:t>2024</w:t>
            </w:r>
          </w:p>
        </w:tc>
        <w:tc>
          <w:tcPr>
            <w:tcW w:w="3969" w:type="dxa"/>
            <w:shd w:val="clear" w:color="auto" w:fill="C4EFCE"/>
            <w:vAlign w:val="center"/>
          </w:tcPr>
          <w:p w14:paraId="5D147784" w14:textId="549198BC" w:rsidR="003245A4" w:rsidRDefault="003245A4" w:rsidP="003245A4">
            <w:pPr>
              <w:pStyle w:val="P68B1DB1-Normal12"/>
              <w:spacing w:after="0" w:line="240" w:lineRule="auto"/>
              <w:jc w:val="both"/>
              <w:rPr>
                <w:rFonts w:eastAsia="Times New Roman" w:cstheme="minorHAnsi"/>
                <w:noProof/>
              </w:rPr>
            </w:pPr>
            <w:r>
              <w:rPr>
                <w:noProof/>
              </w:rPr>
              <w:t>Aláírt elfogadási feltételek legalább 500 MW tárolókapacitásnak az előre meghatározott, leginkább rászoruló területeken történő telepítésére vonatkozóan.</w:t>
            </w:r>
          </w:p>
        </w:tc>
      </w:tr>
      <w:tr w:rsidR="00853C3A" w14:paraId="6EA9FB44" w14:textId="77777777">
        <w:trPr>
          <w:trHeight w:val="430"/>
        </w:trPr>
        <w:tc>
          <w:tcPr>
            <w:tcW w:w="1135" w:type="dxa"/>
            <w:shd w:val="clear" w:color="auto" w:fill="C4EFCE"/>
            <w:vAlign w:val="center"/>
          </w:tcPr>
          <w:p w14:paraId="67CC59EB" w14:textId="5139272B" w:rsidR="00853C3A" w:rsidRDefault="00853C3A" w:rsidP="00853C3A">
            <w:pPr>
              <w:pStyle w:val="P68B1DB1-Normal11"/>
              <w:spacing w:after="0" w:line="240" w:lineRule="auto"/>
              <w:jc w:val="center"/>
              <w:rPr>
                <w:rFonts w:eastAsia="Times New Roman" w:cstheme="minorHAnsi"/>
                <w:noProof/>
              </w:rPr>
            </w:pPr>
            <w:r>
              <w:rPr>
                <w:noProof/>
              </w:rPr>
              <w:t>21.29</w:t>
            </w:r>
          </w:p>
        </w:tc>
        <w:tc>
          <w:tcPr>
            <w:tcW w:w="1276" w:type="dxa"/>
            <w:shd w:val="clear" w:color="auto" w:fill="C4EFCE"/>
            <w:noWrap/>
            <w:vAlign w:val="center"/>
          </w:tcPr>
          <w:p w14:paraId="25A27E44" w14:textId="3B066F9C" w:rsidR="00853C3A" w:rsidRDefault="00853C3A" w:rsidP="00853C3A">
            <w:pPr>
              <w:pStyle w:val="P68B1DB1-Normal12"/>
              <w:spacing w:after="0" w:line="240" w:lineRule="auto"/>
              <w:jc w:val="center"/>
              <w:rPr>
                <w:rFonts w:eastAsia="Times New Roman"/>
                <w:noProof/>
              </w:rPr>
            </w:pPr>
            <w:r>
              <w:rPr>
                <w:noProof/>
              </w:rPr>
              <w:t>RP-C21-i08</w:t>
            </w:r>
          </w:p>
        </w:tc>
        <w:tc>
          <w:tcPr>
            <w:tcW w:w="1134" w:type="dxa"/>
            <w:shd w:val="clear" w:color="auto" w:fill="C4EFCE"/>
            <w:noWrap/>
            <w:vAlign w:val="center"/>
          </w:tcPr>
          <w:p w14:paraId="65D2ADC6" w14:textId="5D60B062"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E61722C" w14:textId="562F0185" w:rsidR="00853C3A" w:rsidRDefault="00853C3A" w:rsidP="00853C3A">
            <w:pPr>
              <w:pStyle w:val="P68B1DB1-Bodytext1013"/>
              <w:spacing w:line="240" w:lineRule="auto"/>
              <w:jc w:val="center"/>
              <w:rPr>
                <w:rFonts w:cstheme="minorHAnsi"/>
                <w:noProof/>
              </w:rPr>
            </w:pPr>
            <w:r>
              <w:rPr>
                <w:noProof/>
              </w:rPr>
              <w:t>Villamosenergia-tároló kapacitás létesítése</w:t>
            </w:r>
          </w:p>
        </w:tc>
        <w:tc>
          <w:tcPr>
            <w:tcW w:w="1275" w:type="dxa"/>
            <w:shd w:val="clear" w:color="auto" w:fill="C4EFCE"/>
            <w:noWrap/>
            <w:vAlign w:val="center"/>
          </w:tcPr>
          <w:p w14:paraId="5B65FBBE"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7277883B" w14:textId="11FA7FED"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6EB221F6" w14:textId="520A661D" w:rsidR="00853C3A" w:rsidRDefault="00853C3A" w:rsidP="00853C3A">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42CDD52D" w14:textId="73FC3728" w:rsidR="00853C3A" w:rsidRDefault="00853C3A" w:rsidP="00853C3A">
            <w:pPr>
              <w:pStyle w:val="P68B1DB1-Normal12"/>
              <w:spacing w:after="0" w:line="240" w:lineRule="auto"/>
              <w:jc w:val="center"/>
              <w:rPr>
                <w:rFonts w:eastAsia="Times New Roman" w:cstheme="minorHAnsi"/>
                <w:noProof/>
              </w:rPr>
            </w:pPr>
            <w:r>
              <w:rPr>
                <w:noProof/>
              </w:rPr>
              <w:t>500</w:t>
            </w:r>
          </w:p>
        </w:tc>
        <w:tc>
          <w:tcPr>
            <w:tcW w:w="567" w:type="dxa"/>
            <w:shd w:val="clear" w:color="auto" w:fill="C4EFCE"/>
            <w:noWrap/>
            <w:vAlign w:val="center"/>
          </w:tcPr>
          <w:p w14:paraId="6D77EE18" w14:textId="1A2B30B5"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CF60B40" w14:textId="0E3517C7"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61A6BE4" w14:textId="6EFF85E1" w:rsidR="00853C3A" w:rsidRDefault="00853C3A" w:rsidP="00853C3A">
            <w:pPr>
              <w:pStyle w:val="P68B1DB1-Bodytext1013"/>
              <w:spacing w:after="0" w:line="240" w:lineRule="auto"/>
              <w:jc w:val="both"/>
              <w:rPr>
                <w:rFonts w:cstheme="minorHAnsi"/>
                <w:noProof/>
              </w:rPr>
            </w:pPr>
            <w:r>
              <w:rPr>
                <w:noProof/>
              </w:rPr>
              <w:t xml:space="preserve">Legalább 500 MW telepített villamosenergia-tároló kapacitás. </w:t>
            </w:r>
          </w:p>
        </w:tc>
      </w:tr>
      <w:tr w:rsidR="00853C3A" w14:paraId="666E99E3" w14:textId="77777777">
        <w:trPr>
          <w:trHeight w:val="430"/>
        </w:trPr>
        <w:tc>
          <w:tcPr>
            <w:tcW w:w="1135" w:type="dxa"/>
            <w:shd w:val="clear" w:color="auto" w:fill="C4EFCE"/>
            <w:vAlign w:val="center"/>
          </w:tcPr>
          <w:p w14:paraId="7B3F0627" w14:textId="37869B3E" w:rsidR="00853C3A" w:rsidRDefault="00853C3A" w:rsidP="00853C3A">
            <w:pPr>
              <w:pStyle w:val="P68B1DB1-Normal11"/>
              <w:spacing w:after="0" w:line="240" w:lineRule="auto"/>
              <w:jc w:val="center"/>
              <w:rPr>
                <w:rFonts w:eastAsia="Times New Roman" w:cstheme="minorHAnsi"/>
                <w:noProof/>
              </w:rPr>
            </w:pPr>
            <w:r>
              <w:rPr>
                <w:noProof/>
              </w:rPr>
              <w:t>21.30</w:t>
            </w:r>
          </w:p>
        </w:tc>
        <w:tc>
          <w:tcPr>
            <w:tcW w:w="1276" w:type="dxa"/>
            <w:shd w:val="clear" w:color="auto" w:fill="C4EFCE"/>
            <w:noWrap/>
            <w:vAlign w:val="center"/>
          </w:tcPr>
          <w:p w14:paraId="3BDC0F23" w14:textId="157C435B" w:rsidR="00853C3A" w:rsidRDefault="00853C3A" w:rsidP="00853C3A">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043D8D0E" w14:textId="5A1B02C4" w:rsidR="00853C3A" w:rsidRDefault="00853C3A" w:rsidP="00853C3A">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85915AC" w14:textId="356C2A62" w:rsidR="00853C3A" w:rsidRDefault="00853C3A" w:rsidP="00853C3A">
            <w:pPr>
              <w:pStyle w:val="P68B1DB1-Bodytext1013"/>
              <w:spacing w:line="240" w:lineRule="auto"/>
              <w:jc w:val="center"/>
              <w:rPr>
                <w:rFonts w:cstheme="minorHAnsi"/>
                <w:noProof/>
              </w:rPr>
            </w:pPr>
            <w:r>
              <w:rPr>
                <w:noProof/>
              </w:rPr>
              <w:t>A megújulóenergia-projektek engedélyezésére és nyomon követésére szolgáló egyablakos ügyintézési digitális platform első fázisú moduljainak üzembe helyezése</w:t>
            </w:r>
          </w:p>
        </w:tc>
        <w:tc>
          <w:tcPr>
            <w:tcW w:w="1275" w:type="dxa"/>
            <w:shd w:val="clear" w:color="auto" w:fill="C4EFCE"/>
            <w:noWrap/>
            <w:vAlign w:val="center"/>
          </w:tcPr>
          <w:p w14:paraId="1CA13B2F" w14:textId="7D796230" w:rsidR="00853C3A" w:rsidRDefault="00853C3A" w:rsidP="00853C3A">
            <w:pPr>
              <w:pStyle w:val="P68B1DB1-Bodytext1013"/>
              <w:rPr>
                <w:rFonts w:cstheme="minorHAnsi"/>
                <w:noProof/>
              </w:rPr>
            </w:pPr>
            <w:r>
              <w:rPr>
                <w:noProof/>
              </w:rPr>
              <w:t>A megújulóenergia-projektek engedélyezésére és nyomon követésére szolgáló egyablakos ügyintézési digitális platform első fázisú moduljainak üzembe helyezése</w:t>
            </w:r>
          </w:p>
        </w:tc>
        <w:tc>
          <w:tcPr>
            <w:tcW w:w="993" w:type="dxa"/>
            <w:shd w:val="clear" w:color="auto" w:fill="C4EFCE"/>
            <w:noWrap/>
            <w:vAlign w:val="center"/>
          </w:tcPr>
          <w:p w14:paraId="7068296D"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670A3301"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D53A9AC" w14:textId="77777777" w:rsidR="00853C3A" w:rsidRDefault="00853C3A" w:rsidP="00853C3A">
            <w:pPr>
              <w:spacing w:after="0" w:line="240" w:lineRule="auto"/>
              <w:jc w:val="center"/>
              <w:rPr>
                <w:rFonts w:eastAsia="Times New Roman" w:cstheme="minorHAnsi"/>
                <w:noProof/>
                <w:sz w:val="16"/>
              </w:rPr>
            </w:pPr>
          </w:p>
        </w:tc>
        <w:tc>
          <w:tcPr>
            <w:tcW w:w="567" w:type="dxa"/>
            <w:shd w:val="clear" w:color="auto" w:fill="C4EFCE"/>
            <w:noWrap/>
            <w:vAlign w:val="center"/>
          </w:tcPr>
          <w:p w14:paraId="5DA0EC12" w14:textId="09C0803C"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018D5E69" w14:textId="0E4CC2FF" w:rsidR="00853C3A" w:rsidRDefault="00853C3A" w:rsidP="00853C3A">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276B9CE4" w14:textId="4108B586" w:rsidR="00853C3A" w:rsidRDefault="00853C3A" w:rsidP="00853C3A">
            <w:pPr>
              <w:pStyle w:val="P68B1DB1-Bodytext1013"/>
              <w:spacing w:after="0" w:line="240" w:lineRule="auto"/>
              <w:jc w:val="both"/>
              <w:rPr>
                <w:rFonts w:cstheme="minorHAnsi"/>
                <w:noProof/>
              </w:rPr>
            </w:pPr>
            <w:r>
              <w:rPr>
                <w:noProof/>
              </w:rPr>
              <w:t>A megújulóenergia-projektek engedélyezésére és nyomon követésére szolgáló egyablakos ügyintézési digitális platform első fázisú moduljainak üzembe helyezése, az intézkedés leírásában meghatározottak szerint.</w:t>
            </w:r>
          </w:p>
        </w:tc>
      </w:tr>
      <w:tr w:rsidR="003245A4" w14:paraId="4586FFC2" w14:textId="77777777">
        <w:trPr>
          <w:trHeight w:val="430"/>
        </w:trPr>
        <w:tc>
          <w:tcPr>
            <w:tcW w:w="1135" w:type="dxa"/>
            <w:shd w:val="clear" w:color="auto" w:fill="C4EFCE"/>
            <w:vAlign w:val="center"/>
          </w:tcPr>
          <w:p w14:paraId="7F1EF689" w14:textId="32009939" w:rsidR="003245A4" w:rsidRDefault="003245A4" w:rsidP="003245A4">
            <w:pPr>
              <w:pStyle w:val="P68B1DB1-Normal11"/>
              <w:spacing w:after="0" w:line="240" w:lineRule="auto"/>
              <w:jc w:val="center"/>
              <w:rPr>
                <w:rFonts w:eastAsia="Times New Roman" w:cstheme="minorHAnsi"/>
                <w:noProof/>
              </w:rPr>
            </w:pPr>
            <w:r>
              <w:rPr>
                <w:noProof/>
              </w:rPr>
              <w:t>21.31</w:t>
            </w:r>
          </w:p>
        </w:tc>
        <w:tc>
          <w:tcPr>
            <w:tcW w:w="1276" w:type="dxa"/>
            <w:shd w:val="clear" w:color="auto" w:fill="C4EFCE"/>
            <w:noWrap/>
            <w:vAlign w:val="center"/>
          </w:tcPr>
          <w:p w14:paraId="61E4D6AF" w14:textId="2D0F6781" w:rsidR="003245A4" w:rsidRDefault="003245A4" w:rsidP="003245A4">
            <w:pPr>
              <w:pStyle w:val="P68B1DB1-Normal12"/>
              <w:spacing w:after="0" w:line="240" w:lineRule="auto"/>
              <w:jc w:val="center"/>
              <w:rPr>
                <w:rFonts w:eastAsia="Times New Roman"/>
                <w:noProof/>
              </w:rPr>
            </w:pPr>
            <w:r>
              <w:rPr>
                <w:noProof/>
              </w:rPr>
              <w:t>RP-C21-i09</w:t>
            </w:r>
          </w:p>
        </w:tc>
        <w:tc>
          <w:tcPr>
            <w:tcW w:w="1134" w:type="dxa"/>
            <w:shd w:val="clear" w:color="auto" w:fill="C4EFCE"/>
            <w:noWrap/>
            <w:vAlign w:val="center"/>
          </w:tcPr>
          <w:p w14:paraId="230CED97" w14:textId="74F37228"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203708E" w14:textId="12D046CF" w:rsidR="003245A4" w:rsidRDefault="003245A4" w:rsidP="003245A4">
            <w:pPr>
              <w:pStyle w:val="P68B1DB1-Bodytext1013"/>
              <w:spacing w:line="240" w:lineRule="auto"/>
              <w:jc w:val="center"/>
              <w:rPr>
                <w:rFonts w:cstheme="minorHAnsi"/>
                <w:noProof/>
              </w:rPr>
            </w:pPr>
            <w:r>
              <w:rPr>
                <w:noProof/>
              </w:rPr>
              <w:t>A megújulóenergia-projektek engedélyezésére és nyomon követésére szolgáló egyablakos ügyintézési digitális platform második szakaszának működésbe lépése, valamint a meglévő engedélyezési dokumentumok dematerializációs folyamatának befejezése.</w:t>
            </w:r>
          </w:p>
        </w:tc>
        <w:tc>
          <w:tcPr>
            <w:tcW w:w="1275" w:type="dxa"/>
            <w:shd w:val="clear" w:color="auto" w:fill="C4EFCE"/>
            <w:noWrap/>
            <w:vAlign w:val="center"/>
          </w:tcPr>
          <w:p w14:paraId="1901C1FE" w14:textId="3FE5BDE9" w:rsidR="003245A4" w:rsidRDefault="003245A4" w:rsidP="003245A4">
            <w:pPr>
              <w:pStyle w:val="P68B1DB1-Bodytext1013"/>
              <w:rPr>
                <w:rFonts w:cstheme="minorHAnsi"/>
                <w:noProof/>
              </w:rPr>
            </w:pPr>
            <w:r>
              <w:rPr>
                <w:noProof/>
              </w:rPr>
              <w:t>A második szakasz moduljainak üzembe helyezése és a dematerializációs folyamat befejezése</w:t>
            </w:r>
          </w:p>
        </w:tc>
        <w:tc>
          <w:tcPr>
            <w:tcW w:w="993" w:type="dxa"/>
            <w:shd w:val="clear" w:color="auto" w:fill="C4EFCE"/>
            <w:noWrap/>
            <w:vAlign w:val="center"/>
          </w:tcPr>
          <w:p w14:paraId="737BEEE8"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74893EFA"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5041F109" w14:textId="77777777" w:rsidR="003245A4" w:rsidRDefault="003245A4" w:rsidP="003245A4">
            <w:pPr>
              <w:spacing w:after="0" w:line="240" w:lineRule="auto"/>
              <w:jc w:val="center"/>
              <w:rPr>
                <w:rFonts w:eastAsia="Times New Roman" w:cstheme="minorHAnsi"/>
                <w:noProof/>
                <w:sz w:val="16"/>
              </w:rPr>
            </w:pPr>
          </w:p>
        </w:tc>
        <w:tc>
          <w:tcPr>
            <w:tcW w:w="567" w:type="dxa"/>
            <w:shd w:val="clear" w:color="auto" w:fill="C4EFCE"/>
            <w:noWrap/>
            <w:vAlign w:val="center"/>
          </w:tcPr>
          <w:p w14:paraId="0CC8B59F" w14:textId="33592BB1" w:rsidR="003245A4" w:rsidRDefault="003245A4" w:rsidP="003245A4">
            <w:pPr>
              <w:pStyle w:val="P68B1DB1-Normal12"/>
              <w:spacing w:after="0" w:line="240" w:lineRule="auto"/>
              <w:jc w:val="center"/>
              <w:rPr>
                <w:rFonts w:eastAsia="Times New Roman"/>
                <w:noProof/>
              </w:rPr>
            </w:pPr>
            <w:r>
              <w:rPr>
                <w:noProof/>
              </w:rPr>
              <w:t>2. NEGYEDÉV</w:t>
            </w:r>
          </w:p>
        </w:tc>
        <w:tc>
          <w:tcPr>
            <w:tcW w:w="708" w:type="dxa"/>
            <w:shd w:val="clear" w:color="auto" w:fill="C4EFCE"/>
            <w:noWrap/>
            <w:vAlign w:val="center"/>
          </w:tcPr>
          <w:p w14:paraId="0AEC55F4" w14:textId="056D3D0C" w:rsidR="003245A4" w:rsidRDefault="003245A4" w:rsidP="003245A4">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27AA262B" w14:textId="4E31E36C" w:rsidR="003245A4" w:rsidRDefault="003245A4" w:rsidP="003245A4">
            <w:pPr>
              <w:pStyle w:val="P68B1DB1-Normal12"/>
              <w:spacing w:after="0" w:line="240" w:lineRule="auto"/>
              <w:jc w:val="both"/>
              <w:rPr>
                <w:rFonts w:eastAsia="Times New Roman"/>
                <w:noProof/>
              </w:rPr>
            </w:pPr>
            <w:r>
              <w:rPr>
                <w:noProof/>
              </w:rPr>
              <w:t>A megújulóenergia-projektek engedélyezésére és nyomon követésére szolgáló egyablakos ügyintézési digitális platform második fázisú moduljainak üzembe helyezése, valamint a meglévő engedélyezési dokumentumok dematerializálási folyamatának befejezése az Energiaügyi és Földtani Főigazgatóság által meghatározott, az intézkedés leírásában meghatározott igénynek megfelelően.</w:t>
            </w:r>
          </w:p>
        </w:tc>
      </w:tr>
      <w:tr w:rsidR="00853C3A" w14:paraId="6BE813FA" w14:textId="77777777">
        <w:trPr>
          <w:trHeight w:val="430"/>
        </w:trPr>
        <w:tc>
          <w:tcPr>
            <w:tcW w:w="1135" w:type="dxa"/>
            <w:shd w:val="clear" w:color="auto" w:fill="C4EFCE"/>
            <w:vAlign w:val="center"/>
          </w:tcPr>
          <w:p w14:paraId="733A43BD" w14:textId="414B2FAD" w:rsidR="00853C3A" w:rsidRDefault="00853C3A" w:rsidP="00853C3A">
            <w:pPr>
              <w:pStyle w:val="P68B1DB1-Normal11"/>
              <w:spacing w:after="0" w:line="240" w:lineRule="auto"/>
              <w:jc w:val="center"/>
              <w:rPr>
                <w:rFonts w:eastAsia="Times New Roman" w:cstheme="minorHAnsi"/>
                <w:noProof/>
              </w:rPr>
            </w:pPr>
            <w:r>
              <w:rPr>
                <w:noProof/>
              </w:rPr>
              <w:t>21.32</w:t>
            </w:r>
          </w:p>
        </w:tc>
        <w:tc>
          <w:tcPr>
            <w:tcW w:w="1276" w:type="dxa"/>
            <w:shd w:val="clear" w:color="auto" w:fill="C4EFCE"/>
            <w:noWrap/>
            <w:vAlign w:val="center"/>
          </w:tcPr>
          <w:p w14:paraId="1D4596FC" w14:textId="6C3C6EAE" w:rsidR="00853C3A" w:rsidRDefault="00853C3A" w:rsidP="00853C3A">
            <w:pPr>
              <w:pStyle w:val="P68B1DB1-Normal12"/>
              <w:spacing w:after="0" w:line="240" w:lineRule="auto"/>
              <w:jc w:val="center"/>
              <w:rPr>
                <w:rFonts w:eastAsia="Times New Roman"/>
                <w:noProof/>
              </w:rPr>
            </w:pPr>
            <w:r>
              <w:rPr>
                <w:noProof/>
              </w:rPr>
              <w:t>RP-C21-i10-RAA</w:t>
            </w:r>
          </w:p>
        </w:tc>
        <w:tc>
          <w:tcPr>
            <w:tcW w:w="1134" w:type="dxa"/>
            <w:shd w:val="clear" w:color="auto" w:fill="C4EFCE"/>
            <w:noWrap/>
            <w:vAlign w:val="center"/>
          </w:tcPr>
          <w:p w14:paraId="11BDF5A0" w14:textId="0F4DD2C5"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F84B7D1" w14:textId="71264E8C" w:rsidR="00853C3A" w:rsidRDefault="00853C3A" w:rsidP="00853C3A">
            <w:pPr>
              <w:pStyle w:val="P68B1DB1-Normal12"/>
              <w:spacing w:after="0" w:line="240" w:lineRule="auto"/>
              <w:jc w:val="center"/>
              <w:rPr>
                <w:rFonts w:eastAsia="Times New Roman" w:cstheme="minorHAnsi"/>
                <w:noProof/>
              </w:rPr>
            </w:pPr>
            <w:r>
              <w:rPr>
                <w:noProof/>
              </w:rPr>
              <w:t>Villamosenergia-tároló kapacitás létesítése</w:t>
            </w:r>
          </w:p>
        </w:tc>
        <w:tc>
          <w:tcPr>
            <w:tcW w:w="1275" w:type="dxa"/>
            <w:shd w:val="clear" w:color="auto" w:fill="C4EFCE"/>
            <w:noWrap/>
            <w:vAlign w:val="center"/>
          </w:tcPr>
          <w:p w14:paraId="618CABB5" w14:textId="77777777" w:rsidR="00853C3A" w:rsidRDefault="00853C3A" w:rsidP="00853C3A">
            <w:pPr>
              <w:spacing w:after="0" w:line="240" w:lineRule="auto"/>
              <w:jc w:val="center"/>
              <w:rPr>
                <w:rFonts w:eastAsia="Times New Roman" w:cstheme="minorHAnsi"/>
                <w:noProof/>
                <w:sz w:val="16"/>
              </w:rPr>
            </w:pPr>
          </w:p>
        </w:tc>
        <w:tc>
          <w:tcPr>
            <w:tcW w:w="993" w:type="dxa"/>
            <w:shd w:val="clear" w:color="auto" w:fill="C4EFCE"/>
            <w:noWrap/>
            <w:vAlign w:val="center"/>
          </w:tcPr>
          <w:p w14:paraId="6CA43656" w14:textId="647D88FA"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72C57D8C" w14:textId="3EFCC2B3" w:rsidR="00853C3A" w:rsidRDefault="00853C3A" w:rsidP="00853C3A">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6E4AE3" w14:textId="01C62BBE" w:rsidR="00853C3A" w:rsidRDefault="00853C3A" w:rsidP="00853C3A">
            <w:pPr>
              <w:pStyle w:val="P68B1DB1-Normal12"/>
              <w:spacing w:after="0" w:line="240" w:lineRule="auto"/>
              <w:jc w:val="center"/>
              <w:rPr>
                <w:rFonts w:eastAsia="Times New Roman" w:cstheme="minorHAnsi"/>
                <w:noProof/>
              </w:rPr>
            </w:pPr>
            <w:r>
              <w:rPr>
                <w:noProof/>
              </w:rPr>
              <w:t>8,75</w:t>
            </w:r>
          </w:p>
        </w:tc>
        <w:tc>
          <w:tcPr>
            <w:tcW w:w="567" w:type="dxa"/>
            <w:shd w:val="clear" w:color="auto" w:fill="C4EFCE"/>
            <w:noWrap/>
            <w:vAlign w:val="center"/>
          </w:tcPr>
          <w:p w14:paraId="2B3BB704" w14:textId="092344E2"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2CE8D20C" w14:textId="5A9DDA13"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7ACED5AC" w14:textId="74C3E21E" w:rsidR="00853C3A" w:rsidRDefault="00853C3A" w:rsidP="00853C3A">
            <w:pPr>
              <w:pStyle w:val="P68B1DB1-Normal12"/>
              <w:spacing w:after="0" w:line="240" w:lineRule="auto"/>
              <w:jc w:val="both"/>
              <w:rPr>
                <w:rFonts w:eastAsia="Times New Roman" w:cstheme="minorHAnsi"/>
                <w:noProof/>
              </w:rPr>
            </w:pPr>
            <w:r>
              <w:rPr>
                <w:noProof/>
              </w:rPr>
              <w:t>Legalább 8,75 MW saját fogyasztás céljára telepített villamosenergia-tároló kapacitás.</w:t>
            </w:r>
          </w:p>
        </w:tc>
      </w:tr>
      <w:tr w:rsidR="00DC5EC6" w14:paraId="59FCB201" w14:textId="77777777">
        <w:trPr>
          <w:trHeight w:val="430"/>
        </w:trPr>
        <w:tc>
          <w:tcPr>
            <w:tcW w:w="1135" w:type="dxa"/>
            <w:shd w:val="clear" w:color="auto" w:fill="C4EFCE"/>
            <w:vAlign w:val="center"/>
          </w:tcPr>
          <w:p w14:paraId="16D1E889" w14:textId="1734E102" w:rsidR="00DC5EC6" w:rsidRDefault="003245A4">
            <w:pPr>
              <w:pStyle w:val="P68B1DB1-Normal11"/>
              <w:spacing w:after="0" w:line="240" w:lineRule="auto"/>
              <w:jc w:val="center"/>
              <w:rPr>
                <w:rFonts w:eastAsia="Times New Roman" w:cstheme="minorHAnsi"/>
                <w:noProof/>
              </w:rPr>
            </w:pPr>
            <w:r>
              <w:rPr>
                <w:noProof/>
              </w:rPr>
              <w:t>21.33</w:t>
            </w:r>
          </w:p>
        </w:tc>
        <w:tc>
          <w:tcPr>
            <w:tcW w:w="1276" w:type="dxa"/>
            <w:shd w:val="clear" w:color="auto" w:fill="C4EFCE"/>
            <w:noWrap/>
            <w:vAlign w:val="center"/>
          </w:tcPr>
          <w:p w14:paraId="0DD29FA5" w14:textId="656F08E3" w:rsidR="00DC5EC6" w:rsidRDefault="003245A4">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6443488B" w14:textId="0171A2E8"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0442E0E7" w14:textId="10C4B9DB" w:rsidR="00DC5EC6" w:rsidRDefault="003245A4">
            <w:pPr>
              <w:pStyle w:val="P68B1DB1-Normal12"/>
              <w:spacing w:after="0" w:line="240" w:lineRule="auto"/>
              <w:jc w:val="center"/>
              <w:rPr>
                <w:rFonts w:eastAsia="Times New Roman"/>
                <w:noProof/>
              </w:rPr>
            </w:pPr>
            <w:r>
              <w:rPr>
                <w:noProof/>
              </w:rPr>
              <w:t>A saját fogyasztásra szánt megújulóenergia-termelő egységek beépített kapacitásának növelése és a saját fogyasztás céljára szolgáló beépített tárolókapacitás növelése</w:t>
            </w:r>
          </w:p>
        </w:tc>
        <w:tc>
          <w:tcPr>
            <w:tcW w:w="1275" w:type="dxa"/>
            <w:shd w:val="clear" w:color="auto" w:fill="C4EFCE"/>
            <w:noWrap/>
            <w:vAlign w:val="center"/>
          </w:tcPr>
          <w:p w14:paraId="14BAC0AF"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5B7EA6FB" w14:textId="6D0983F5" w:rsidR="00DC5EC6" w:rsidRDefault="003245A4">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24D8C7DF" w14:textId="21183495" w:rsidR="00DC5EC6" w:rsidRDefault="003245A4">
            <w:pPr>
              <w:pStyle w:val="P68B1DB1-Normal12"/>
              <w:spacing w:after="0" w:line="240" w:lineRule="auto"/>
              <w:jc w:val="center"/>
              <w:rPr>
                <w:rFonts w:eastAsia="Times New Roman" w:cstheme="minorHAnsi"/>
                <w:noProof/>
              </w:rPr>
            </w:pPr>
            <w:r>
              <w:rPr>
                <w:noProof/>
              </w:rPr>
              <w:t xml:space="preserve"> 0</w:t>
            </w:r>
          </w:p>
        </w:tc>
        <w:tc>
          <w:tcPr>
            <w:tcW w:w="992" w:type="dxa"/>
            <w:shd w:val="clear" w:color="auto" w:fill="C4EFCE"/>
            <w:noWrap/>
            <w:vAlign w:val="center"/>
          </w:tcPr>
          <w:p w14:paraId="2B7883F0" w14:textId="7809369D" w:rsidR="00DC5EC6" w:rsidRDefault="003245A4">
            <w:pPr>
              <w:pStyle w:val="P68B1DB1-Normal12"/>
              <w:spacing w:after="0" w:line="240" w:lineRule="auto"/>
              <w:jc w:val="center"/>
              <w:rPr>
                <w:rFonts w:eastAsia="Times New Roman"/>
                <w:noProof/>
              </w:rPr>
            </w:pPr>
            <w:r>
              <w:rPr>
                <w:noProof/>
              </w:rPr>
              <w:t>5.25</w:t>
            </w:r>
          </w:p>
        </w:tc>
        <w:tc>
          <w:tcPr>
            <w:tcW w:w="567" w:type="dxa"/>
            <w:shd w:val="clear" w:color="auto" w:fill="C4EFCE"/>
            <w:noWrap/>
            <w:vAlign w:val="center"/>
          </w:tcPr>
          <w:p w14:paraId="496A646E" w14:textId="564FD23F"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119BAC6D" w14:textId="70C26F2D" w:rsidR="00DC5EC6" w:rsidRDefault="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4F13C5D1" w14:textId="58328E68" w:rsidR="00DC5EC6" w:rsidRDefault="003245A4">
            <w:pPr>
              <w:pStyle w:val="P68B1DB1-Normal12"/>
              <w:spacing w:after="0" w:line="240" w:lineRule="auto"/>
              <w:jc w:val="both"/>
              <w:rPr>
                <w:rFonts w:eastAsia="Times New Roman"/>
                <w:noProof/>
              </w:rPr>
            </w:pPr>
            <w:r>
              <w:rPr>
                <w:noProof/>
              </w:rPr>
              <w:t>Legalább 2,75 MW kapacitást építenek ki a saját fogyasztás céljából történő megújulóenergia-termelésre.</w:t>
            </w:r>
          </w:p>
          <w:p w14:paraId="0A9ABADC" w14:textId="3E09A486" w:rsidR="00DC5EC6" w:rsidRDefault="00DC5EC6">
            <w:pPr>
              <w:spacing w:after="0" w:line="240" w:lineRule="auto"/>
              <w:jc w:val="both"/>
              <w:rPr>
                <w:noProof/>
                <w:sz w:val="16"/>
              </w:rPr>
            </w:pPr>
          </w:p>
          <w:p w14:paraId="1C328A9F" w14:textId="1996C913" w:rsidR="00DC5EC6" w:rsidRDefault="003245A4">
            <w:pPr>
              <w:pStyle w:val="P68B1DB1-Normal12"/>
              <w:spacing w:after="0" w:line="240" w:lineRule="auto"/>
              <w:jc w:val="both"/>
              <w:rPr>
                <w:rFonts w:eastAsia="Times New Roman"/>
                <w:noProof/>
              </w:rPr>
            </w:pPr>
            <w:r>
              <w:rPr>
                <w:noProof/>
              </w:rPr>
              <w:t>Legalább 2,5 MW saját fogyasztású villamosenergia-tároló kapacitást kell kiépíteni.</w:t>
            </w:r>
          </w:p>
        </w:tc>
      </w:tr>
      <w:tr w:rsidR="00853C3A" w14:paraId="5AEA89DD" w14:textId="77777777">
        <w:trPr>
          <w:trHeight w:val="430"/>
        </w:trPr>
        <w:tc>
          <w:tcPr>
            <w:tcW w:w="1135" w:type="dxa"/>
            <w:shd w:val="clear" w:color="auto" w:fill="C4EFCE"/>
            <w:vAlign w:val="center"/>
          </w:tcPr>
          <w:p w14:paraId="06F06D71" w14:textId="1CAAC2A0" w:rsidR="00853C3A" w:rsidRDefault="00853C3A" w:rsidP="00853C3A">
            <w:pPr>
              <w:pStyle w:val="P68B1DB1-Normal11"/>
              <w:spacing w:after="0" w:line="240" w:lineRule="auto"/>
              <w:jc w:val="center"/>
              <w:rPr>
                <w:rFonts w:eastAsia="Times New Roman" w:cstheme="minorHAnsi"/>
                <w:noProof/>
              </w:rPr>
            </w:pPr>
            <w:r>
              <w:rPr>
                <w:noProof/>
              </w:rPr>
              <w:t>21.34</w:t>
            </w:r>
          </w:p>
        </w:tc>
        <w:tc>
          <w:tcPr>
            <w:tcW w:w="1276" w:type="dxa"/>
            <w:shd w:val="clear" w:color="auto" w:fill="C4EFCE"/>
            <w:noWrap/>
            <w:vAlign w:val="center"/>
          </w:tcPr>
          <w:p w14:paraId="50A32A38" w14:textId="6FB4DA15" w:rsidR="00853C3A" w:rsidRDefault="00853C3A" w:rsidP="00853C3A">
            <w:pPr>
              <w:pStyle w:val="P68B1DB1-Normal12"/>
              <w:spacing w:after="0" w:line="240" w:lineRule="auto"/>
              <w:jc w:val="center"/>
              <w:rPr>
                <w:rFonts w:eastAsia="Times New Roman"/>
                <w:noProof/>
              </w:rPr>
            </w:pPr>
            <w:r>
              <w:rPr>
                <w:noProof/>
              </w:rPr>
              <w:t>RP-C21-i11-RAM</w:t>
            </w:r>
          </w:p>
        </w:tc>
        <w:tc>
          <w:tcPr>
            <w:tcW w:w="1134" w:type="dxa"/>
            <w:shd w:val="clear" w:color="auto" w:fill="C4EFCE"/>
            <w:noWrap/>
            <w:vAlign w:val="center"/>
          </w:tcPr>
          <w:p w14:paraId="1E977997" w14:textId="68BD8EDF"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34206821" w14:textId="7D6204F6" w:rsidR="00853C3A" w:rsidRDefault="00853C3A" w:rsidP="00853C3A">
            <w:pPr>
              <w:pStyle w:val="P68B1DB1-Normal12"/>
              <w:spacing w:after="0" w:line="240" w:lineRule="auto"/>
              <w:jc w:val="center"/>
              <w:rPr>
                <w:rFonts w:eastAsia="Times New Roman" w:cstheme="minorHAnsi"/>
                <w:noProof/>
              </w:rPr>
            </w:pPr>
            <w:r>
              <w:rPr>
                <w:noProof/>
              </w:rPr>
              <w:t>A telepített szélenergia-kapacitás megerősítése</w:t>
            </w:r>
          </w:p>
        </w:tc>
        <w:tc>
          <w:tcPr>
            <w:tcW w:w="1275" w:type="dxa"/>
            <w:shd w:val="clear" w:color="auto" w:fill="C4EFCE"/>
            <w:noWrap/>
          </w:tcPr>
          <w:p w14:paraId="5A477E66" w14:textId="3465589D"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3C8E2AE" w14:textId="2F0553A1" w:rsidR="00853C3A" w:rsidRDefault="00853C3A" w:rsidP="00853C3A">
            <w:pPr>
              <w:pStyle w:val="P68B1DB1-Normal12"/>
              <w:spacing w:after="0" w:line="240" w:lineRule="auto"/>
              <w:jc w:val="center"/>
              <w:rPr>
                <w:rFonts w:eastAsia="Times New Roman" w:cstheme="minorHAnsi"/>
                <w:noProof/>
              </w:rPr>
            </w:pPr>
            <w:r>
              <w:rPr>
                <w:noProof/>
              </w:rPr>
              <w:t>MW</w:t>
            </w:r>
          </w:p>
        </w:tc>
        <w:tc>
          <w:tcPr>
            <w:tcW w:w="992" w:type="dxa"/>
            <w:shd w:val="clear" w:color="auto" w:fill="C4EFCE"/>
            <w:noWrap/>
            <w:vAlign w:val="center"/>
          </w:tcPr>
          <w:p w14:paraId="4CACD599" w14:textId="7A662419" w:rsidR="00853C3A" w:rsidRDefault="00853C3A" w:rsidP="00853C3A">
            <w:pPr>
              <w:pStyle w:val="P68B1DB1-Normal12"/>
              <w:spacing w:after="0" w:line="240" w:lineRule="auto"/>
              <w:jc w:val="center"/>
              <w:rPr>
                <w:rFonts w:eastAsia="Times New Roman" w:cstheme="minorHAnsi"/>
                <w:noProof/>
              </w:rPr>
            </w:pPr>
            <w:r>
              <w:rPr>
                <w:noProof/>
              </w:rPr>
              <w:t>0</w:t>
            </w:r>
          </w:p>
        </w:tc>
        <w:tc>
          <w:tcPr>
            <w:tcW w:w="992" w:type="dxa"/>
            <w:shd w:val="clear" w:color="auto" w:fill="C4EFCE"/>
            <w:noWrap/>
            <w:vAlign w:val="center"/>
          </w:tcPr>
          <w:p w14:paraId="1D8B24C1" w14:textId="3B83C067" w:rsidR="00853C3A" w:rsidRDefault="00853C3A" w:rsidP="00853C3A">
            <w:pPr>
              <w:pStyle w:val="P68B1DB1-Normal12"/>
              <w:spacing w:after="0" w:line="240" w:lineRule="auto"/>
              <w:jc w:val="center"/>
              <w:rPr>
                <w:rFonts w:eastAsia="Times New Roman" w:cstheme="minorHAnsi"/>
                <w:noProof/>
              </w:rPr>
            </w:pPr>
            <w:r>
              <w:rPr>
                <w:noProof/>
              </w:rPr>
              <w:t>7</w:t>
            </w:r>
          </w:p>
        </w:tc>
        <w:tc>
          <w:tcPr>
            <w:tcW w:w="567" w:type="dxa"/>
            <w:shd w:val="clear" w:color="auto" w:fill="C4EFCE"/>
            <w:noWrap/>
            <w:vAlign w:val="center"/>
          </w:tcPr>
          <w:p w14:paraId="7E0DAF3D" w14:textId="7B61199F"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6E08C107" w14:textId="667BF99D"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60E20BC6" w14:textId="03E226A0" w:rsidR="00853C3A" w:rsidRDefault="00853C3A" w:rsidP="00853C3A">
            <w:pPr>
              <w:pStyle w:val="P68B1DB1-Normal12"/>
              <w:spacing w:after="0" w:line="240" w:lineRule="auto"/>
              <w:jc w:val="both"/>
              <w:rPr>
                <w:rFonts w:eastAsia="Times New Roman" w:cstheme="minorHAnsi"/>
                <w:noProof/>
              </w:rPr>
            </w:pPr>
            <w:r>
              <w:rPr>
                <w:noProof/>
              </w:rPr>
              <w:t>Porto Santo szigetén a villamosenergia-hálózathoz csatlakoztatott további 7 MW szélenergia-termelési kapacitást kell kiépíteni.</w:t>
            </w:r>
          </w:p>
        </w:tc>
      </w:tr>
      <w:tr w:rsidR="003245A4" w14:paraId="57E89DD0" w14:textId="77777777">
        <w:trPr>
          <w:trHeight w:val="430"/>
        </w:trPr>
        <w:tc>
          <w:tcPr>
            <w:tcW w:w="1135" w:type="dxa"/>
            <w:shd w:val="clear" w:color="auto" w:fill="C4EFCE"/>
            <w:vAlign w:val="center"/>
          </w:tcPr>
          <w:p w14:paraId="5BE74300" w14:textId="459942DF" w:rsidR="003245A4" w:rsidRDefault="003245A4" w:rsidP="003245A4">
            <w:pPr>
              <w:pStyle w:val="P68B1DB1-Normal11"/>
              <w:spacing w:after="0" w:line="240" w:lineRule="auto"/>
              <w:jc w:val="center"/>
              <w:rPr>
                <w:rFonts w:eastAsia="Times New Roman" w:cstheme="minorHAnsi"/>
                <w:noProof/>
              </w:rPr>
            </w:pPr>
            <w:r>
              <w:rPr>
                <w:noProof/>
              </w:rPr>
              <w:t>21.35</w:t>
            </w:r>
          </w:p>
        </w:tc>
        <w:tc>
          <w:tcPr>
            <w:tcW w:w="1276" w:type="dxa"/>
            <w:shd w:val="clear" w:color="auto" w:fill="C4EFCE"/>
            <w:noWrap/>
            <w:vAlign w:val="center"/>
          </w:tcPr>
          <w:p w14:paraId="5202472B" w14:textId="081F4DDF" w:rsidR="003245A4" w:rsidRDefault="003245A4" w:rsidP="003245A4">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3C71133D" w14:textId="339DEA58"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8FBE419" w14:textId="66C41B1C" w:rsidR="003245A4" w:rsidRDefault="003245A4" w:rsidP="003245A4">
            <w:pPr>
              <w:pStyle w:val="P68B1DB1-Normal12"/>
              <w:spacing w:after="0" w:line="240" w:lineRule="auto"/>
              <w:jc w:val="center"/>
              <w:rPr>
                <w:rFonts w:eastAsia="Times New Roman" w:cstheme="minorHAnsi"/>
                <w:noProof/>
              </w:rPr>
            </w:pPr>
            <w:r>
              <w:rPr>
                <w:noProof/>
              </w:rPr>
              <w:t>A tiszta buszok beszerzésére vonatkozó szerződés aláírása a tömegközlekedés szén-dioxid-mentesítési programja keretében</w:t>
            </w:r>
          </w:p>
        </w:tc>
        <w:tc>
          <w:tcPr>
            <w:tcW w:w="1275" w:type="dxa"/>
            <w:shd w:val="clear" w:color="auto" w:fill="C4EFCE"/>
            <w:noWrap/>
          </w:tcPr>
          <w:p w14:paraId="526A8439" w14:textId="21927C98" w:rsidR="003245A4" w:rsidRDefault="003245A4" w:rsidP="003245A4">
            <w:pPr>
              <w:pStyle w:val="P68B1DB1-Normal12"/>
              <w:spacing w:after="0" w:line="240" w:lineRule="auto"/>
              <w:jc w:val="center"/>
              <w:rPr>
                <w:rFonts w:eastAsia="Times New Roman" w:cstheme="minorHAnsi"/>
                <w:noProof/>
              </w:rPr>
            </w:pPr>
            <w:r>
              <w:rPr>
                <w:noProof/>
              </w:rPr>
              <w:t>A tiszta buszok beszerzésére vonatkozó szerződés aláírása a tömegközlekedés szén-dioxid-mentesítési programja keretében</w:t>
            </w:r>
          </w:p>
        </w:tc>
        <w:tc>
          <w:tcPr>
            <w:tcW w:w="993" w:type="dxa"/>
            <w:shd w:val="clear" w:color="auto" w:fill="C4EFCE"/>
            <w:noWrap/>
          </w:tcPr>
          <w:p w14:paraId="5B5F632F" w14:textId="43CF795F"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756CF22A" w14:textId="0AB870C4"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tcPr>
          <w:p w14:paraId="6F932B44" w14:textId="27A48D92"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567" w:type="dxa"/>
            <w:shd w:val="clear" w:color="auto" w:fill="C4EFCE"/>
            <w:noWrap/>
            <w:vAlign w:val="center"/>
          </w:tcPr>
          <w:p w14:paraId="7BEFD333" w14:textId="5C418031"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3A864357" w14:textId="6C2FC1DE" w:rsidR="003245A4" w:rsidRDefault="003245A4" w:rsidP="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BD2252A" w14:textId="03C0FAE2" w:rsidR="003245A4" w:rsidRDefault="003245A4" w:rsidP="003245A4">
            <w:pPr>
              <w:pStyle w:val="P68B1DB1-Normal12"/>
              <w:spacing w:after="0" w:line="240" w:lineRule="auto"/>
              <w:jc w:val="both"/>
              <w:rPr>
                <w:rFonts w:eastAsia="Times New Roman" w:cstheme="minorHAnsi"/>
                <w:noProof/>
              </w:rPr>
            </w:pPr>
            <w:r>
              <w:rPr>
                <w:noProof/>
              </w:rPr>
              <w:t>A kedvezményezettek és az irányító szerv közötti, versenytárgyalási eljáráson alapuló szerződés aláírása, amely 300 kibocsátásmentes (elektromos és hidrogénüzemű) busz megvásárlására vonatkozó kötelezettségvállalást tartalmaz.</w:t>
            </w:r>
          </w:p>
        </w:tc>
      </w:tr>
      <w:tr w:rsidR="003245A4" w14:paraId="716F3052" w14:textId="77777777">
        <w:trPr>
          <w:trHeight w:val="430"/>
        </w:trPr>
        <w:tc>
          <w:tcPr>
            <w:tcW w:w="1135" w:type="dxa"/>
            <w:shd w:val="clear" w:color="auto" w:fill="C4EFCE"/>
            <w:vAlign w:val="center"/>
          </w:tcPr>
          <w:p w14:paraId="3FC90F90" w14:textId="5F27DE07" w:rsidR="003245A4" w:rsidRDefault="003245A4" w:rsidP="003245A4">
            <w:pPr>
              <w:pStyle w:val="P68B1DB1-Normal11"/>
              <w:spacing w:after="0" w:line="240" w:lineRule="auto"/>
              <w:jc w:val="center"/>
              <w:rPr>
                <w:rFonts w:eastAsia="Times New Roman" w:cstheme="minorHAnsi"/>
                <w:noProof/>
              </w:rPr>
            </w:pPr>
            <w:r>
              <w:rPr>
                <w:noProof/>
              </w:rPr>
              <w:t>21.36</w:t>
            </w:r>
          </w:p>
        </w:tc>
        <w:tc>
          <w:tcPr>
            <w:tcW w:w="1276" w:type="dxa"/>
            <w:shd w:val="clear" w:color="auto" w:fill="C4EFCE"/>
            <w:noWrap/>
            <w:vAlign w:val="center"/>
          </w:tcPr>
          <w:p w14:paraId="1F66CCD9" w14:textId="33FB0967" w:rsidR="003245A4" w:rsidRDefault="003245A4" w:rsidP="003245A4">
            <w:pPr>
              <w:pStyle w:val="P68B1DB1-Normal12"/>
              <w:spacing w:after="0" w:line="240" w:lineRule="auto"/>
              <w:jc w:val="center"/>
              <w:rPr>
                <w:rFonts w:eastAsia="Times New Roman"/>
                <w:noProof/>
              </w:rPr>
            </w:pPr>
            <w:r>
              <w:rPr>
                <w:noProof/>
              </w:rPr>
              <w:t>RP-C21–i12</w:t>
            </w:r>
          </w:p>
        </w:tc>
        <w:tc>
          <w:tcPr>
            <w:tcW w:w="1134" w:type="dxa"/>
            <w:shd w:val="clear" w:color="auto" w:fill="C4EFCE"/>
            <w:noWrap/>
            <w:vAlign w:val="center"/>
          </w:tcPr>
          <w:p w14:paraId="45CD69E3" w14:textId="4C7E9777" w:rsidR="003245A4" w:rsidRDefault="003245A4" w:rsidP="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7464071F" w14:textId="2F857C6F" w:rsidR="003245A4" w:rsidRDefault="003245A4" w:rsidP="003245A4">
            <w:pPr>
              <w:pStyle w:val="P68B1DB1-Normal12"/>
              <w:spacing w:after="0" w:line="240" w:lineRule="auto"/>
              <w:jc w:val="center"/>
              <w:rPr>
                <w:rFonts w:eastAsia="Times New Roman" w:cstheme="minorHAnsi"/>
                <w:noProof/>
              </w:rPr>
            </w:pPr>
            <w:r>
              <w:rPr>
                <w:noProof/>
              </w:rPr>
              <w:t>A tömegközlekedésben használt új kibocsátásmentes (elektromos vagy hidrogénüzemű) buszok beszerzése</w:t>
            </w:r>
          </w:p>
        </w:tc>
        <w:tc>
          <w:tcPr>
            <w:tcW w:w="1275" w:type="dxa"/>
            <w:shd w:val="clear" w:color="auto" w:fill="C4EFCE"/>
            <w:noWrap/>
          </w:tcPr>
          <w:p w14:paraId="3C72326A" w14:textId="2F037DC0" w:rsidR="003245A4" w:rsidRDefault="003245A4" w:rsidP="003245A4">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0404D39E" w14:textId="33FBF6E8" w:rsidR="003245A4" w:rsidRDefault="003245A4" w:rsidP="003245A4">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48371656" w14:textId="6BCE283C" w:rsidR="003245A4" w:rsidRDefault="003245A4" w:rsidP="003245A4">
            <w:pPr>
              <w:pStyle w:val="P68B1DB1-Normal12"/>
              <w:spacing w:after="0" w:line="240" w:lineRule="auto"/>
              <w:jc w:val="center"/>
              <w:rPr>
                <w:rFonts w:eastAsia="Times New Roman" w:cstheme="minorHAnsi"/>
                <w:noProof/>
              </w:rPr>
            </w:pPr>
            <w:r>
              <w:rPr>
                <w:noProof/>
              </w:rPr>
              <w:t>145</w:t>
            </w:r>
          </w:p>
        </w:tc>
        <w:tc>
          <w:tcPr>
            <w:tcW w:w="992" w:type="dxa"/>
            <w:shd w:val="clear" w:color="auto" w:fill="C4EFCE"/>
            <w:noWrap/>
            <w:vAlign w:val="center"/>
          </w:tcPr>
          <w:p w14:paraId="0460B517" w14:textId="5EEA6EB2" w:rsidR="003245A4" w:rsidRDefault="003245A4" w:rsidP="003245A4">
            <w:pPr>
              <w:pStyle w:val="P68B1DB1-Normal12"/>
              <w:spacing w:after="0" w:line="240" w:lineRule="auto"/>
              <w:jc w:val="center"/>
              <w:rPr>
                <w:rFonts w:eastAsia="Times New Roman" w:cstheme="minorHAnsi"/>
                <w:noProof/>
              </w:rPr>
            </w:pPr>
            <w:r>
              <w:rPr>
                <w:noProof/>
              </w:rPr>
              <w:t>445</w:t>
            </w:r>
          </w:p>
        </w:tc>
        <w:tc>
          <w:tcPr>
            <w:tcW w:w="567" w:type="dxa"/>
            <w:shd w:val="clear" w:color="auto" w:fill="C4EFCE"/>
            <w:noWrap/>
            <w:vAlign w:val="center"/>
          </w:tcPr>
          <w:p w14:paraId="0D0FF0A6" w14:textId="18E57C5D"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378FDA1C" w14:textId="035B1EE2"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24AF3ACA" w14:textId="54F8D633" w:rsidR="003245A4" w:rsidRDefault="003245A4" w:rsidP="003245A4">
            <w:pPr>
              <w:pStyle w:val="P68B1DB1-Normal12"/>
              <w:spacing w:after="0" w:line="240" w:lineRule="auto"/>
              <w:jc w:val="both"/>
              <w:rPr>
                <w:rFonts w:eastAsia="Times New Roman" w:cstheme="minorHAnsi"/>
                <w:noProof/>
              </w:rPr>
            </w:pPr>
            <w:r>
              <w:rPr>
                <w:noProof/>
              </w:rPr>
              <w:t>300 új (elektromos vagy hidrogén-) kibocsátásmentes buszt kell vásárolni, és a kapcsolódó elektromos vagy egyéb töltőállomásokat ki kell építeni.</w:t>
            </w:r>
          </w:p>
        </w:tc>
      </w:tr>
      <w:tr w:rsidR="00DC5EC6" w14:paraId="384ADCA7" w14:textId="77777777">
        <w:trPr>
          <w:trHeight w:val="430"/>
        </w:trPr>
        <w:tc>
          <w:tcPr>
            <w:tcW w:w="1135" w:type="dxa"/>
            <w:shd w:val="clear" w:color="auto" w:fill="C4EFCE"/>
            <w:vAlign w:val="center"/>
          </w:tcPr>
          <w:p w14:paraId="2962B7B9" w14:textId="4E1C3EE5" w:rsidR="00DC5EC6" w:rsidRDefault="003245A4">
            <w:pPr>
              <w:pStyle w:val="P68B1DB1-Normal11"/>
              <w:spacing w:after="0" w:line="240" w:lineRule="auto"/>
              <w:jc w:val="center"/>
              <w:rPr>
                <w:rFonts w:eastAsia="Times New Roman" w:cstheme="minorHAnsi"/>
                <w:noProof/>
              </w:rPr>
            </w:pPr>
            <w:r>
              <w:rPr>
                <w:noProof/>
              </w:rPr>
              <w:t>21.37</w:t>
            </w:r>
          </w:p>
        </w:tc>
        <w:tc>
          <w:tcPr>
            <w:tcW w:w="1276" w:type="dxa"/>
            <w:shd w:val="clear" w:color="auto" w:fill="C4EFCE"/>
            <w:noWrap/>
            <w:vAlign w:val="center"/>
          </w:tcPr>
          <w:p w14:paraId="4B2F008F" w14:textId="40A48065" w:rsidR="00DC5EC6" w:rsidRDefault="003245A4">
            <w:pPr>
              <w:pStyle w:val="P68B1DB1-Normal12"/>
              <w:spacing w:after="0" w:line="240" w:lineRule="auto"/>
              <w:jc w:val="center"/>
              <w:rPr>
                <w:rFonts w:eastAsia="Times New Roman"/>
                <w:noProof/>
              </w:rPr>
            </w:pPr>
            <w:r>
              <w:rPr>
                <w:noProof/>
              </w:rPr>
              <w:t>RP-C21-i13-RAM</w:t>
            </w:r>
          </w:p>
        </w:tc>
        <w:tc>
          <w:tcPr>
            <w:tcW w:w="1134" w:type="dxa"/>
            <w:shd w:val="clear" w:color="auto" w:fill="C4EFCE"/>
            <w:noWrap/>
            <w:vAlign w:val="center"/>
          </w:tcPr>
          <w:p w14:paraId="65354B4F" w14:textId="517B6DCE"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4896FBFA" w14:textId="04C5CE6F" w:rsidR="00DC5EC6" w:rsidRDefault="003245A4">
            <w:pPr>
              <w:pStyle w:val="P68B1DB1-Normal12"/>
              <w:spacing w:after="0" w:line="240" w:lineRule="auto"/>
              <w:jc w:val="center"/>
              <w:rPr>
                <w:rFonts w:eastAsia="Times New Roman"/>
                <w:noProof/>
              </w:rPr>
            </w:pPr>
            <w:r>
              <w:rPr>
                <w:noProof/>
              </w:rPr>
              <w:t>Tömegközlekedéshez és turisztikai szolgáltatásokhoz használt új kibocsátásmentes (elektromos vagy hidrogénüzemű) buszok beszerzése, valamint a leselejtezett járműveket helyettesítő elektromos autók vásárlása</w:t>
            </w:r>
          </w:p>
        </w:tc>
        <w:tc>
          <w:tcPr>
            <w:tcW w:w="1275" w:type="dxa"/>
            <w:shd w:val="clear" w:color="auto" w:fill="C4EFCE"/>
            <w:noWrap/>
            <w:vAlign w:val="center"/>
          </w:tcPr>
          <w:p w14:paraId="634D7D56"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2ECE2C14" w14:textId="6594762E" w:rsidR="00DC5EC6" w:rsidRDefault="003245A4">
            <w:pPr>
              <w:pStyle w:val="P68B1DB1-Normal12"/>
              <w:spacing w:after="0" w:line="240" w:lineRule="auto"/>
              <w:jc w:val="center"/>
              <w:rPr>
                <w:rFonts w:eastAsia="Times New Roman"/>
                <w:noProof/>
              </w:rPr>
            </w:pPr>
            <w:r>
              <w:rPr>
                <w:noProof/>
              </w:rPr>
              <w:t>Szám</w:t>
            </w:r>
          </w:p>
        </w:tc>
        <w:tc>
          <w:tcPr>
            <w:tcW w:w="992" w:type="dxa"/>
            <w:shd w:val="clear" w:color="auto" w:fill="C4EFCE"/>
            <w:noWrap/>
            <w:vAlign w:val="center"/>
          </w:tcPr>
          <w:p w14:paraId="367DBAF5" w14:textId="0B86A6AB" w:rsidR="00DC5EC6" w:rsidRDefault="003245A4">
            <w:pPr>
              <w:pStyle w:val="P68B1DB1-Normal12"/>
              <w:spacing w:after="0" w:line="240" w:lineRule="auto"/>
              <w:jc w:val="center"/>
              <w:rPr>
                <w:rFonts w:eastAsia="Times New Roman" w:cstheme="minorHAnsi"/>
                <w:noProof/>
              </w:rPr>
            </w:pPr>
            <w:r>
              <w:rPr>
                <w:noProof/>
              </w:rPr>
              <w:t xml:space="preserve"> </w:t>
            </w:r>
          </w:p>
        </w:tc>
        <w:tc>
          <w:tcPr>
            <w:tcW w:w="992" w:type="dxa"/>
            <w:shd w:val="clear" w:color="auto" w:fill="C4EFCE"/>
            <w:noWrap/>
            <w:vAlign w:val="center"/>
          </w:tcPr>
          <w:p w14:paraId="107A0B9E" w14:textId="7CEAB357" w:rsidR="00DC5EC6" w:rsidRDefault="003245A4">
            <w:pPr>
              <w:pStyle w:val="P68B1DB1-Normal12"/>
              <w:spacing w:after="0" w:line="240" w:lineRule="auto"/>
              <w:jc w:val="center"/>
              <w:rPr>
                <w:rFonts w:eastAsia="Times New Roman"/>
                <w:noProof/>
              </w:rPr>
            </w:pPr>
            <w:r>
              <w:rPr>
                <w:noProof/>
              </w:rPr>
              <w:t>576</w:t>
            </w:r>
          </w:p>
        </w:tc>
        <w:tc>
          <w:tcPr>
            <w:tcW w:w="567" w:type="dxa"/>
            <w:shd w:val="clear" w:color="auto" w:fill="C4EFCE"/>
            <w:noWrap/>
            <w:vAlign w:val="center"/>
          </w:tcPr>
          <w:p w14:paraId="351C723C" w14:textId="21A4FF5D"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1F57265D" w14:textId="1B91BDBB" w:rsidR="00DC5EC6" w:rsidRDefault="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1EE77ED" w14:textId="213DF929" w:rsidR="00DC5EC6" w:rsidRDefault="003245A4">
            <w:pPr>
              <w:pStyle w:val="P68B1DB1-Normal12"/>
              <w:spacing w:after="0" w:line="240" w:lineRule="auto"/>
              <w:jc w:val="both"/>
              <w:rPr>
                <w:rFonts w:eastAsia="Times New Roman"/>
                <w:noProof/>
              </w:rPr>
            </w:pPr>
            <w:r>
              <w:rPr>
                <w:noProof/>
              </w:rPr>
              <w:t xml:space="preserve">Madeira autonóm régióban 26 új (elektromos vagy hidrogén-) kibocsátásmentes buszt kell vásárolni, és a relatív elektromos töltőállomásokat ki kell építeni. A megvásárolt buszok közül legalább tízet tömegközlekedési célra kell használni. </w:t>
            </w:r>
          </w:p>
          <w:p w14:paraId="2D49F8EB" w14:textId="3C0DE98F" w:rsidR="00DC5EC6" w:rsidRDefault="00DC5EC6">
            <w:pPr>
              <w:spacing w:after="0" w:line="240" w:lineRule="auto"/>
              <w:jc w:val="both"/>
              <w:rPr>
                <w:noProof/>
                <w:sz w:val="16"/>
              </w:rPr>
            </w:pPr>
          </w:p>
          <w:p w14:paraId="6D678AF5" w14:textId="0E55A84D" w:rsidR="00DC5EC6" w:rsidRDefault="003245A4">
            <w:pPr>
              <w:pStyle w:val="P68B1DB1-Normal12"/>
              <w:spacing w:after="0" w:line="240" w:lineRule="auto"/>
              <w:jc w:val="both"/>
              <w:rPr>
                <w:rFonts w:eastAsia="Times New Roman"/>
                <w:noProof/>
              </w:rPr>
            </w:pPr>
            <w:r>
              <w:rPr>
                <w:noProof/>
              </w:rPr>
              <w:t>Madeira autonóm régióban 550 járművet kell leselejtezni és elektromos járművekkel helyettesíteni.</w:t>
            </w:r>
          </w:p>
        </w:tc>
      </w:tr>
      <w:tr w:rsidR="00DC5EC6" w14:paraId="7128FD55" w14:textId="77777777">
        <w:trPr>
          <w:trHeight w:val="430"/>
        </w:trPr>
        <w:tc>
          <w:tcPr>
            <w:tcW w:w="1135" w:type="dxa"/>
            <w:shd w:val="clear" w:color="auto" w:fill="C4EFCE"/>
            <w:vAlign w:val="center"/>
          </w:tcPr>
          <w:p w14:paraId="3D47AF57" w14:textId="7724070C" w:rsidR="00DC5EC6" w:rsidRDefault="003245A4">
            <w:pPr>
              <w:pStyle w:val="P68B1DB1-Normal11"/>
              <w:spacing w:after="0" w:line="240" w:lineRule="auto"/>
              <w:jc w:val="center"/>
              <w:rPr>
                <w:rFonts w:eastAsia="Times New Roman" w:cstheme="minorHAnsi"/>
                <w:noProof/>
              </w:rPr>
            </w:pPr>
            <w:r>
              <w:rPr>
                <w:noProof/>
              </w:rPr>
              <w:t>21.38</w:t>
            </w:r>
          </w:p>
        </w:tc>
        <w:tc>
          <w:tcPr>
            <w:tcW w:w="1276" w:type="dxa"/>
            <w:shd w:val="clear" w:color="auto" w:fill="C4EFCE"/>
            <w:noWrap/>
            <w:vAlign w:val="center"/>
          </w:tcPr>
          <w:p w14:paraId="021E606B" w14:textId="01DE8394" w:rsidR="00DC5EC6" w:rsidRDefault="003245A4">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6265AB1B" w14:textId="2A284064"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71621A87" w14:textId="60F63A87" w:rsidR="00DC5EC6" w:rsidRDefault="003245A4">
            <w:pPr>
              <w:pStyle w:val="P68B1DB1-Normal12"/>
              <w:spacing w:after="0" w:line="240" w:lineRule="auto"/>
              <w:jc w:val="center"/>
              <w:rPr>
                <w:rFonts w:eastAsia="Times New Roman" w:cstheme="minorHAnsi"/>
                <w:noProof/>
              </w:rPr>
            </w:pPr>
            <w:r>
              <w:rPr>
                <w:noProof/>
              </w:rPr>
              <w:t>A bragai gyorsforgalmi út két vonalának megépítésére vonatkozó szerződés aláírása</w:t>
            </w:r>
          </w:p>
        </w:tc>
        <w:tc>
          <w:tcPr>
            <w:tcW w:w="1275" w:type="dxa"/>
            <w:shd w:val="clear" w:color="auto" w:fill="C4EFCE"/>
            <w:noWrap/>
            <w:vAlign w:val="center"/>
          </w:tcPr>
          <w:p w14:paraId="5BA09737"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3AD601A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F0A5A5B"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0B39241D"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A2B11DA" w14:textId="7CFDC6DF"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51589D34" w14:textId="129F25AC"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4F93B8E5" w14:textId="02E466A0" w:rsidR="00DC5EC6" w:rsidRDefault="003245A4">
            <w:pPr>
              <w:pStyle w:val="P68B1DB1-Normal12"/>
              <w:spacing w:after="0" w:line="240" w:lineRule="auto"/>
              <w:jc w:val="both"/>
              <w:rPr>
                <w:rFonts w:eastAsia="Times New Roman" w:cstheme="minorHAnsi"/>
                <w:noProof/>
              </w:rPr>
            </w:pPr>
            <w:r>
              <w:rPr>
                <w:noProof/>
              </w:rPr>
              <w:t>A hatóságok és a nyílt pályázati eljárás keretében kiválasztott vállalkozó közötti projektvégrehajtási szerződés aláírása. A szerződésben meg kell határozni a vasútállomást Avenida Robert Smith-vel és a Braga Kórházzal összekötő két gyorsforgalmi út megépítését.</w:t>
            </w:r>
          </w:p>
        </w:tc>
      </w:tr>
      <w:tr w:rsidR="003245A4" w14:paraId="1EF25195" w14:textId="77777777">
        <w:trPr>
          <w:trHeight w:val="430"/>
        </w:trPr>
        <w:tc>
          <w:tcPr>
            <w:tcW w:w="1135" w:type="dxa"/>
            <w:shd w:val="clear" w:color="auto" w:fill="C4EFCE"/>
            <w:vAlign w:val="center"/>
          </w:tcPr>
          <w:p w14:paraId="360DF924" w14:textId="1F7490F1" w:rsidR="003245A4" w:rsidRDefault="003245A4" w:rsidP="003245A4">
            <w:pPr>
              <w:pStyle w:val="P68B1DB1-Normal11"/>
              <w:spacing w:after="0" w:line="240" w:lineRule="auto"/>
              <w:jc w:val="center"/>
              <w:rPr>
                <w:rFonts w:eastAsia="Times New Roman" w:cstheme="minorHAnsi"/>
                <w:noProof/>
              </w:rPr>
            </w:pPr>
            <w:r>
              <w:rPr>
                <w:noProof/>
              </w:rPr>
              <w:t>21.39</w:t>
            </w:r>
          </w:p>
        </w:tc>
        <w:tc>
          <w:tcPr>
            <w:tcW w:w="1276" w:type="dxa"/>
            <w:shd w:val="clear" w:color="auto" w:fill="C4EFCE"/>
            <w:noWrap/>
            <w:vAlign w:val="center"/>
          </w:tcPr>
          <w:p w14:paraId="511BB843" w14:textId="506A72EC" w:rsidR="003245A4" w:rsidRDefault="003245A4" w:rsidP="003245A4">
            <w:pPr>
              <w:pStyle w:val="P68B1DB1-Normal12"/>
              <w:spacing w:after="0" w:line="240" w:lineRule="auto"/>
              <w:jc w:val="center"/>
              <w:rPr>
                <w:rFonts w:eastAsia="Times New Roman"/>
                <w:noProof/>
              </w:rPr>
            </w:pPr>
            <w:r>
              <w:rPr>
                <w:noProof/>
              </w:rPr>
              <w:t>RP-C21-i14</w:t>
            </w:r>
          </w:p>
        </w:tc>
        <w:tc>
          <w:tcPr>
            <w:tcW w:w="1134" w:type="dxa"/>
            <w:shd w:val="clear" w:color="auto" w:fill="C4EFCE"/>
            <w:noWrap/>
            <w:vAlign w:val="center"/>
          </w:tcPr>
          <w:p w14:paraId="2F78C88B" w14:textId="006A851A" w:rsidR="003245A4" w:rsidRDefault="003245A4" w:rsidP="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47B24D0B" w14:textId="65A04047" w:rsidR="003245A4" w:rsidRDefault="003245A4" w:rsidP="003245A4">
            <w:pPr>
              <w:pStyle w:val="P68B1DB1-Normal12"/>
              <w:spacing w:after="0" w:line="240" w:lineRule="auto"/>
              <w:jc w:val="center"/>
              <w:rPr>
                <w:rFonts w:eastAsia="Times New Roman" w:cstheme="minorHAnsi"/>
                <w:noProof/>
              </w:rPr>
            </w:pPr>
            <w:r>
              <w:rPr>
                <w:noProof/>
              </w:rPr>
              <w:t>Két gyorsbuszjárat építése Bragában</w:t>
            </w:r>
          </w:p>
        </w:tc>
        <w:tc>
          <w:tcPr>
            <w:tcW w:w="1275" w:type="dxa"/>
            <w:shd w:val="clear" w:color="auto" w:fill="C4EFCE"/>
            <w:noWrap/>
            <w:vAlign w:val="center"/>
          </w:tcPr>
          <w:p w14:paraId="1E4282F4" w14:textId="77777777" w:rsidR="003245A4" w:rsidRDefault="003245A4" w:rsidP="003245A4">
            <w:pPr>
              <w:spacing w:after="0" w:line="240" w:lineRule="auto"/>
              <w:jc w:val="center"/>
              <w:rPr>
                <w:rFonts w:eastAsia="Times New Roman" w:cstheme="minorHAnsi"/>
                <w:noProof/>
                <w:sz w:val="16"/>
              </w:rPr>
            </w:pPr>
          </w:p>
        </w:tc>
        <w:tc>
          <w:tcPr>
            <w:tcW w:w="993" w:type="dxa"/>
            <w:shd w:val="clear" w:color="auto" w:fill="C4EFCE"/>
            <w:noWrap/>
            <w:vAlign w:val="center"/>
          </w:tcPr>
          <w:p w14:paraId="78A689F4" w14:textId="16AF7609" w:rsidR="003245A4" w:rsidRDefault="003245A4" w:rsidP="003245A4">
            <w:pPr>
              <w:pStyle w:val="P68B1DB1-Normal12"/>
              <w:spacing w:after="0" w:line="240" w:lineRule="auto"/>
              <w:jc w:val="center"/>
              <w:rPr>
                <w:rFonts w:eastAsia="Times New Roman" w:cstheme="minorHAnsi"/>
                <w:noProof/>
              </w:rPr>
            </w:pPr>
            <w:r>
              <w:rPr>
                <w:noProof/>
              </w:rPr>
              <w:t>Kilométer</w:t>
            </w:r>
          </w:p>
        </w:tc>
        <w:tc>
          <w:tcPr>
            <w:tcW w:w="992" w:type="dxa"/>
            <w:shd w:val="clear" w:color="auto" w:fill="C4EFCE"/>
            <w:noWrap/>
            <w:vAlign w:val="center"/>
          </w:tcPr>
          <w:p w14:paraId="28074223" w14:textId="77777777" w:rsidR="003245A4" w:rsidRDefault="003245A4" w:rsidP="003245A4">
            <w:pPr>
              <w:spacing w:after="0" w:line="240" w:lineRule="auto"/>
              <w:jc w:val="center"/>
              <w:rPr>
                <w:rFonts w:eastAsia="Times New Roman" w:cstheme="minorHAnsi"/>
                <w:noProof/>
                <w:sz w:val="16"/>
              </w:rPr>
            </w:pPr>
          </w:p>
        </w:tc>
        <w:tc>
          <w:tcPr>
            <w:tcW w:w="992" w:type="dxa"/>
            <w:shd w:val="clear" w:color="auto" w:fill="C4EFCE"/>
            <w:noWrap/>
            <w:vAlign w:val="center"/>
          </w:tcPr>
          <w:p w14:paraId="39811327" w14:textId="644FF319" w:rsidR="003245A4" w:rsidRDefault="003245A4" w:rsidP="003245A4">
            <w:pPr>
              <w:pStyle w:val="P68B1DB1-Normal12"/>
              <w:spacing w:after="0" w:line="240" w:lineRule="auto"/>
              <w:jc w:val="center"/>
              <w:rPr>
                <w:rFonts w:eastAsia="Times New Roman" w:cstheme="minorHAnsi"/>
                <w:noProof/>
              </w:rPr>
            </w:pPr>
            <w:r>
              <w:rPr>
                <w:noProof/>
              </w:rPr>
              <w:t>12.2</w:t>
            </w:r>
          </w:p>
        </w:tc>
        <w:tc>
          <w:tcPr>
            <w:tcW w:w="567" w:type="dxa"/>
            <w:shd w:val="clear" w:color="auto" w:fill="C4EFCE"/>
            <w:noWrap/>
            <w:vAlign w:val="center"/>
          </w:tcPr>
          <w:p w14:paraId="27C8A23A" w14:textId="7B5AAFA0" w:rsidR="003245A4" w:rsidRDefault="003245A4" w:rsidP="003245A4">
            <w:pPr>
              <w:pStyle w:val="P68B1DB1-Normal12"/>
              <w:spacing w:after="0" w:line="240" w:lineRule="auto"/>
              <w:jc w:val="center"/>
              <w:rPr>
                <w:rFonts w:eastAsia="Times New Roman" w:cstheme="minorHAnsi"/>
                <w:noProof/>
              </w:rPr>
            </w:pPr>
            <w:r>
              <w:rPr>
                <w:noProof/>
              </w:rPr>
              <w:t>2. NEGYEDÉV</w:t>
            </w:r>
          </w:p>
        </w:tc>
        <w:tc>
          <w:tcPr>
            <w:tcW w:w="708" w:type="dxa"/>
            <w:shd w:val="clear" w:color="auto" w:fill="C4EFCE"/>
            <w:noWrap/>
            <w:vAlign w:val="center"/>
          </w:tcPr>
          <w:p w14:paraId="5704437E" w14:textId="000EFE9D" w:rsidR="003245A4" w:rsidRDefault="003245A4" w:rsidP="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599E09FF" w14:textId="633D041E" w:rsidR="003245A4" w:rsidRDefault="003245A4" w:rsidP="003245A4">
            <w:pPr>
              <w:pStyle w:val="P68B1DB1-Normal12"/>
              <w:spacing w:after="0" w:line="240" w:lineRule="auto"/>
              <w:jc w:val="both"/>
              <w:rPr>
                <w:rFonts w:eastAsia="Times New Roman"/>
                <w:noProof/>
              </w:rPr>
            </w:pPr>
            <w:r>
              <w:rPr>
                <w:noProof/>
              </w:rPr>
              <w:t>A vasútállomást Avenida Robert Smith és Braga kórház között összekötő bragai gyorsforgalmi utakon 12,2 km hosszú építési munkálatokat kell végezni. A rendszernek többnyire erre a célra kijelölt sávokon kell működnie, és csak kibocsátásmentes buszokkal kell működnie. A beruházásnak ki kell terjednie tíz kibocsátásmentes busz beszerzésére is, beleértve a vezetékek üzemeltetéséhez szükséges töltőállomásokat is. A vonalaknak készen kell állniuk a tervezett szállítási szolgáltatások azonnali üzemeltetésére.</w:t>
            </w:r>
          </w:p>
        </w:tc>
      </w:tr>
      <w:tr w:rsidR="00DC5EC6" w14:paraId="39E29B98" w14:textId="77777777">
        <w:trPr>
          <w:trHeight w:val="430"/>
        </w:trPr>
        <w:tc>
          <w:tcPr>
            <w:tcW w:w="1135" w:type="dxa"/>
            <w:shd w:val="clear" w:color="auto" w:fill="C4EFCE"/>
            <w:vAlign w:val="center"/>
          </w:tcPr>
          <w:p w14:paraId="1E15D547" w14:textId="16041CD9" w:rsidR="00DC5EC6" w:rsidRDefault="003245A4">
            <w:pPr>
              <w:pStyle w:val="P68B1DB1-Normal11"/>
              <w:spacing w:after="0" w:line="240" w:lineRule="auto"/>
              <w:jc w:val="center"/>
              <w:rPr>
                <w:rFonts w:eastAsia="Times New Roman" w:cstheme="minorHAnsi"/>
                <w:noProof/>
              </w:rPr>
            </w:pPr>
            <w:r>
              <w:rPr>
                <w:noProof/>
              </w:rPr>
              <w:t>21.40</w:t>
            </w:r>
          </w:p>
        </w:tc>
        <w:tc>
          <w:tcPr>
            <w:tcW w:w="1276" w:type="dxa"/>
            <w:shd w:val="clear" w:color="auto" w:fill="C4EFCE"/>
            <w:noWrap/>
            <w:vAlign w:val="center"/>
          </w:tcPr>
          <w:p w14:paraId="46A3C78E" w14:textId="1EC79D62" w:rsidR="00DC5EC6" w:rsidRDefault="003245A4">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42B665C" w14:textId="29FC4974"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60028DBE" w14:textId="3E426063" w:rsidR="00DC5EC6" w:rsidRDefault="003245A4">
            <w:pPr>
              <w:pStyle w:val="P68B1DB1-Normal12"/>
              <w:spacing w:after="0" w:line="240" w:lineRule="auto"/>
              <w:jc w:val="center"/>
              <w:rPr>
                <w:rFonts w:eastAsia="Times New Roman" w:cstheme="minorHAnsi"/>
                <w:noProof/>
              </w:rPr>
            </w:pPr>
            <w:r>
              <w:rPr>
                <w:noProof/>
              </w:rPr>
              <w:t>A Pico, Faial és São Jorge szigetek közötti személy- és járműszállításra szolgáló két elektromos komphajó megvásárlására vonatkozó szerződés aláírása</w:t>
            </w:r>
          </w:p>
        </w:tc>
        <w:tc>
          <w:tcPr>
            <w:tcW w:w="1275" w:type="dxa"/>
            <w:shd w:val="clear" w:color="auto" w:fill="C4EFCE"/>
            <w:noWrap/>
          </w:tcPr>
          <w:p w14:paraId="5D04A650" w14:textId="77777777" w:rsidR="00DC5EC6" w:rsidRDefault="00DC5EC6">
            <w:pPr>
              <w:spacing w:after="0" w:line="240" w:lineRule="auto"/>
              <w:jc w:val="center"/>
              <w:rPr>
                <w:rFonts w:eastAsia="Times New Roman" w:cstheme="minorHAnsi"/>
                <w:noProof/>
                <w:sz w:val="16"/>
              </w:rPr>
            </w:pPr>
          </w:p>
        </w:tc>
        <w:tc>
          <w:tcPr>
            <w:tcW w:w="993" w:type="dxa"/>
            <w:shd w:val="clear" w:color="auto" w:fill="C4EFCE"/>
            <w:noWrap/>
            <w:vAlign w:val="center"/>
          </w:tcPr>
          <w:p w14:paraId="166D214F"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73A389CB"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63EA367E"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2B396275" w14:textId="18CF12E2"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5382DE72" w14:textId="0911A6D2"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5E9CA13D" w14:textId="0D1554CF" w:rsidR="00DC5EC6" w:rsidRDefault="003245A4">
            <w:pPr>
              <w:pStyle w:val="P68B1DB1-Normal12"/>
              <w:spacing w:after="0" w:line="240" w:lineRule="auto"/>
              <w:jc w:val="both"/>
              <w:rPr>
                <w:rFonts w:eastAsia="Times New Roman" w:cstheme="minorHAnsi"/>
                <w:noProof/>
              </w:rPr>
            </w:pPr>
            <w:r>
              <w:rPr>
                <w:noProof/>
              </w:rPr>
              <w:t>A Pico, Faial és São Jorge szigetek közötti két elektromos komphajó beszerzésére vonatkozó, a hatóságok és a nyílt közbeszerzési eljárás keretében kiválasztott vállalkozó közötti szerződés aláírása.</w:t>
            </w:r>
          </w:p>
        </w:tc>
      </w:tr>
      <w:tr w:rsidR="00853C3A" w14:paraId="532849A0" w14:textId="77777777">
        <w:trPr>
          <w:trHeight w:val="430"/>
        </w:trPr>
        <w:tc>
          <w:tcPr>
            <w:tcW w:w="1135" w:type="dxa"/>
            <w:shd w:val="clear" w:color="auto" w:fill="C4EFCE"/>
            <w:vAlign w:val="center"/>
          </w:tcPr>
          <w:p w14:paraId="55C6CC28" w14:textId="1C4AEDF6" w:rsidR="00853C3A" w:rsidRDefault="00853C3A" w:rsidP="00853C3A">
            <w:pPr>
              <w:pStyle w:val="P68B1DB1-Normal11"/>
              <w:spacing w:after="0" w:line="240" w:lineRule="auto"/>
              <w:jc w:val="center"/>
              <w:rPr>
                <w:rFonts w:eastAsia="Times New Roman" w:cstheme="minorHAnsi"/>
                <w:noProof/>
              </w:rPr>
            </w:pPr>
            <w:r>
              <w:rPr>
                <w:noProof/>
              </w:rPr>
              <w:t>21.41</w:t>
            </w:r>
          </w:p>
        </w:tc>
        <w:tc>
          <w:tcPr>
            <w:tcW w:w="1276" w:type="dxa"/>
            <w:shd w:val="clear" w:color="auto" w:fill="C4EFCE"/>
            <w:noWrap/>
            <w:vAlign w:val="center"/>
          </w:tcPr>
          <w:p w14:paraId="4692FE69" w14:textId="6AED7451" w:rsidR="00853C3A" w:rsidRDefault="00853C3A" w:rsidP="00853C3A">
            <w:pPr>
              <w:pStyle w:val="P68B1DB1-Normal12"/>
              <w:spacing w:after="0" w:line="240" w:lineRule="auto"/>
              <w:jc w:val="center"/>
              <w:rPr>
                <w:rFonts w:eastAsia="Times New Roman"/>
                <w:noProof/>
              </w:rPr>
            </w:pPr>
            <w:r>
              <w:rPr>
                <w:noProof/>
              </w:rPr>
              <w:t>RP-C21-i15-RAA</w:t>
            </w:r>
          </w:p>
        </w:tc>
        <w:tc>
          <w:tcPr>
            <w:tcW w:w="1134" w:type="dxa"/>
            <w:shd w:val="clear" w:color="auto" w:fill="C4EFCE"/>
            <w:noWrap/>
            <w:vAlign w:val="center"/>
          </w:tcPr>
          <w:p w14:paraId="1036E0DB" w14:textId="5894D827" w:rsidR="00853C3A" w:rsidRDefault="00853C3A" w:rsidP="00853C3A">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245CFBD1" w14:textId="6135298E" w:rsidR="00853C3A" w:rsidRDefault="00853C3A" w:rsidP="00853C3A">
            <w:pPr>
              <w:pStyle w:val="P68B1DB1-Normal12"/>
              <w:spacing w:after="0" w:line="240" w:lineRule="auto"/>
              <w:jc w:val="center"/>
              <w:rPr>
                <w:rFonts w:eastAsia="Times New Roman" w:cstheme="minorHAnsi"/>
                <w:noProof/>
              </w:rPr>
            </w:pPr>
            <w:r>
              <w:rPr>
                <w:noProof/>
              </w:rPr>
              <w:t>Két új elektromos komphajó üzembe helyezése</w:t>
            </w:r>
          </w:p>
        </w:tc>
        <w:tc>
          <w:tcPr>
            <w:tcW w:w="1275" w:type="dxa"/>
            <w:shd w:val="clear" w:color="auto" w:fill="C4EFCE"/>
            <w:noWrap/>
          </w:tcPr>
          <w:p w14:paraId="1E3534A1" w14:textId="4F88212C" w:rsidR="00853C3A" w:rsidRDefault="00853C3A" w:rsidP="00853C3A">
            <w:pPr>
              <w:pStyle w:val="P68B1DB1-Normal12"/>
              <w:spacing w:after="0" w:line="240" w:lineRule="auto"/>
              <w:jc w:val="center"/>
              <w:rPr>
                <w:rFonts w:eastAsia="Times New Roman" w:cstheme="minorHAnsi"/>
                <w:noProof/>
              </w:rPr>
            </w:pPr>
            <w:r>
              <w:rPr>
                <w:noProof/>
              </w:rPr>
              <w:t xml:space="preserve"> </w:t>
            </w:r>
          </w:p>
        </w:tc>
        <w:tc>
          <w:tcPr>
            <w:tcW w:w="993" w:type="dxa"/>
            <w:shd w:val="clear" w:color="auto" w:fill="C4EFCE"/>
            <w:noWrap/>
            <w:vAlign w:val="center"/>
          </w:tcPr>
          <w:p w14:paraId="7A30C4B3" w14:textId="346D871A" w:rsidR="00853C3A" w:rsidRDefault="00853C3A" w:rsidP="00853C3A">
            <w:pPr>
              <w:pStyle w:val="P68B1DB1-Normal12"/>
              <w:spacing w:after="0" w:line="240" w:lineRule="auto"/>
              <w:jc w:val="center"/>
              <w:rPr>
                <w:rFonts w:eastAsia="Times New Roman" w:cstheme="minorHAnsi"/>
                <w:noProof/>
              </w:rPr>
            </w:pPr>
            <w:r>
              <w:rPr>
                <w:noProof/>
              </w:rPr>
              <w:t>Szám</w:t>
            </w:r>
          </w:p>
        </w:tc>
        <w:tc>
          <w:tcPr>
            <w:tcW w:w="992" w:type="dxa"/>
            <w:shd w:val="clear" w:color="auto" w:fill="C4EFCE"/>
            <w:noWrap/>
            <w:vAlign w:val="center"/>
          </w:tcPr>
          <w:p w14:paraId="3BF6FA6B" w14:textId="77777777" w:rsidR="00853C3A" w:rsidRDefault="00853C3A" w:rsidP="00853C3A">
            <w:pPr>
              <w:spacing w:after="0" w:line="240" w:lineRule="auto"/>
              <w:jc w:val="center"/>
              <w:rPr>
                <w:rFonts w:eastAsia="Times New Roman" w:cstheme="minorHAnsi"/>
                <w:noProof/>
                <w:sz w:val="16"/>
              </w:rPr>
            </w:pPr>
          </w:p>
        </w:tc>
        <w:tc>
          <w:tcPr>
            <w:tcW w:w="992" w:type="dxa"/>
            <w:shd w:val="clear" w:color="auto" w:fill="C4EFCE"/>
            <w:noWrap/>
            <w:vAlign w:val="center"/>
          </w:tcPr>
          <w:p w14:paraId="0CF1AA39" w14:textId="68E4BC6C" w:rsidR="00853C3A" w:rsidRDefault="00853C3A" w:rsidP="00853C3A">
            <w:pPr>
              <w:pStyle w:val="P68B1DB1-Normal12"/>
              <w:spacing w:after="0" w:line="240" w:lineRule="auto"/>
              <w:jc w:val="center"/>
              <w:rPr>
                <w:rFonts w:eastAsia="Times New Roman" w:cstheme="minorHAnsi"/>
                <w:noProof/>
              </w:rPr>
            </w:pPr>
            <w:r>
              <w:rPr>
                <w:noProof/>
              </w:rPr>
              <w:t>2</w:t>
            </w:r>
          </w:p>
        </w:tc>
        <w:tc>
          <w:tcPr>
            <w:tcW w:w="567" w:type="dxa"/>
            <w:shd w:val="clear" w:color="auto" w:fill="C4EFCE"/>
            <w:noWrap/>
            <w:vAlign w:val="center"/>
          </w:tcPr>
          <w:p w14:paraId="2E1C0DE5" w14:textId="54866F76" w:rsidR="00853C3A" w:rsidRDefault="00853C3A" w:rsidP="00853C3A">
            <w:pPr>
              <w:pStyle w:val="P68B1DB1-Normal12"/>
              <w:spacing w:after="0" w:line="240" w:lineRule="auto"/>
              <w:jc w:val="center"/>
              <w:rPr>
                <w:rFonts w:eastAsia="Times New Roman" w:cstheme="minorHAnsi"/>
                <w:noProof/>
              </w:rPr>
            </w:pPr>
            <w:r>
              <w:rPr>
                <w:noProof/>
              </w:rPr>
              <w:t>4. NEGYEDÉV</w:t>
            </w:r>
          </w:p>
        </w:tc>
        <w:tc>
          <w:tcPr>
            <w:tcW w:w="708" w:type="dxa"/>
            <w:shd w:val="clear" w:color="auto" w:fill="C4EFCE"/>
            <w:noWrap/>
            <w:vAlign w:val="center"/>
          </w:tcPr>
          <w:p w14:paraId="054DE515" w14:textId="4363BF6B" w:rsidR="00853C3A" w:rsidRDefault="00853C3A" w:rsidP="00853C3A">
            <w:pPr>
              <w:pStyle w:val="P68B1DB1-Normal12"/>
              <w:spacing w:after="0" w:line="240" w:lineRule="auto"/>
              <w:jc w:val="center"/>
              <w:rPr>
                <w:rFonts w:eastAsia="Times New Roman" w:cstheme="minorHAnsi"/>
                <w:noProof/>
              </w:rPr>
            </w:pPr>
            <w:r>
              <w:rPr>
                <w:noProof/>
              </w:rPr>
              <w:t>2025</w:t>
            </w:r>
          </w:p>
        </w:tc>
        <w:tc>
          <w:tcPr>
            <w:tcW w:w="3969" w:type="dxa"/>
            <w:shd w:val="clear" w:color="auto" w:fill="C4EFCE"/>
            <w:vAlign w:val="center"/>
          </w:tcPr>
          <w:p w14:paraId="185A16C5" w14:textId="6AA0A3D6" w:rsidR="00853C3A" w:rsidRDefault="00853C3A" w:rsidP="00853C3A">
            <w:pPr>
              <w:pStyle w:val="P68B1DB1-Normal12"/>
              <w:spacing w:after="0" w:line="240" w:lineRule="auto"/>
              <w:jc w:val="both"/>
              <w:rPr>
                <w:rFonts w:eastAsia="Times New Roman" w:cstheme="minorHAnsi"/>
                <w:noProof/>
              </w:rPr>
            </w:pPr>
            <w:r>
              <w:rPr>
                <w:noProof/>
              </w:rPr>
              <w:t>A Pico, Faial és São Jorge szigetek közötti személy- és járműszállításhoz két új elektromos kompot kell beszerezni és működtetni. A kompok befogadóképessége legalább 200, illetve 100 utas.</w:t>
            </w:r>
          </w:p>
        </w:tc>
      </w:tr>
      <w:tr w:rsidR="00DC5EC6" w14:paraId="1DF1176B" w14:textId="77777777">
        <w:trPr>
          <w:trHeight w:val="430"/>
        </w:trPr>
        <w:tc>
          <w:tcPr>
            <w:tcW w:w="1135" w:type="dxa"/>
            <w:shd w:val="clear" w:color="auto" w:fill="C4EFCE"/>
            <w:vAlign w:val="center"/>
          </w:tcPr>
          <w:p w14:paraId="3EF0FD70" w14:textId="48FA3140" w:rsidR="00DC5EC6" w:rsidRDefault="003245A4">
            <w:pPr>
              <w:pStyle w:val="P68B1DB1-Normal11"/>
              <w:spacing w:after="0" w:line="240" w:lineRule="auto"/>
              <w:jc w:val="center"/>
              <w:rPr>
                <w:rFonts w:eastAsia="Times New Roman" w:cstheme="minorHAnsi"/>
                <w:noProof/>
              </w:rPr>
            </w:pPr>
            <w:r>
              <w:rPr>
                <w:noProof/>
              </w:rPr>
              <w:t>21.42</w:t>
            </w:r>
          </w:p>
        </w:tc>
        <w:tc>
          <w:tcPr>
            <w:tcW w:w="1276" w:type="dxa"/>
            <w:shd w:val="clear" w:color="auto" w:fill="C4EFCE"/>
            <w:noWrap/>
            <w:vAlign w:val="center"/>
          </w:tcPr>
          <w:p w14:paraId="3E37980A" w14:textId="32943EB6" w:rsidR="00DC5EC6" w:rsidRDefault="003245A4">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75D0961D" w14:textId="5C584069" w:rsidR="00DC5EC6" w:rsidRDefault="003245A4">
            <w:pPr>
              <w:pStyle w:val="P68B1DB1-Normal12"/>
              <w:spacing w:after="0" w:line="240" w:lineRule="auto"/>
              <w:jc w:val="center"/>
              <w:rPr>
                <w:rFonts w:eastAsia="Times New Roman" w:cstheme="minorHAnsi"/>
                <w:noProof/>
              </w:rPr>
            </w:pPr>
            <w:r>
              <w:rPr>
                <w:noProof/>
              </w:rPr>
              <w:t>M</w:t>
            </w:r>
          </w:p>
        </w:tc>
        <w:tc>
          <w:tcPr>
            <w:tcW w:w="1701" w:type="dxa"/>
            <w:shd w:val="clear" w:color="auto" w:fill="C4EFCE"/>
            <w:noWrap/>
            <w:vAlign w:val="center"/>
          </w:tcPr>
          <w:p w14:paraId="5E1BD89C" w14:textId="0763BBE2" w:rsidR="00DC5EC6" w:rsidRDefault="003245A4">
            <w:pPr>
              <w:pStyle w:val="P68B1DB1-Normal12"/>
              <w:spacing w:after="0" w:line="240" w:lineRule="auto"/>
              <w:jc w:val="center"/>
              <w:rPr>
                <w:rFonts w:eastAsia="Times New Roman" w:cstheme="minorHAnsi"/>
                <w:noProof/>
              </w:rPr>
            </w:pPr>
            <w:r>
              <w:rPr>
                <w:noProof/>
              </w:rPr>
              <w:t>A projekt végrehajtására vonatkozó szerződés aláírása</w:t>
            </w:r>
          </w:p>
        </w:tc>
        <w:tc>
          <w:tcPr>
            <w:tcW w:w="1275" w:type="dxa"/>
            <w:shd w:val="clear" w:color="auto" w:fill="C4EFCE"/>
            <w:noWrap/>
            <w:vAlign w:val="center"/>
          </w:tcPr>
          <w:p w14:paraId="6D51BF19" w14:textId="1E92AFD0" w:rsidR="00DC5EC6" w:rsidRDefault="003245A4">
            <w:pPr>
              <w:pStyle w:val="P68B1DB1-Normal12"/>
              <w:spacing w:after="0" w:line="240" w:lineRule="auto"/>
              <w:jc w:val="center"/>
              <w:rPr>
                <w:rFonts w:eastAsia="Times New Roman" w:cstheme="minorHAnsi"/>
                <w:noProof/>
              </w:rPr>
            </w:pPr>
            <w:r>
              <w:rPr>
                <w:noProof/>
              </w:rPr>
              <w:t>A szerződés aláírása</w:t>
            </w:r>
          </w:p>
        </w:tc>
        <w:tc>
          <w:tcPr>
            <w:tcW w:w="993" w:type="dxa"/>
            <w:shd w:val="clear" w:color="auto" w:fill="C4EFCE"/>
            <w:noWrap/>
            <w:vAlign w:val="center"/>
          </w:tcPr>
          <w:p w14:paraId="741D0788"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18B6EA83"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C4F720A"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4ED6CA4A" w14:textId="07A3DEB9" w:rsidR="00DC5EC6" w:rsidRDefault="00853C3A">
            <w:pPr>
              <w:pStyle w:val="P68B1DB1-Normal12"/>
              <w:spacing w:after="0" w:line="240" w:lineRule="auto"/>
              <w:jc w:val="center"/>
              <w:rPr>
                <w:rFonts w:eastAsia="Times New Roman" w:cstheme="minorHAnsi"/>
                <w:noProof/>
              </w:rPr>
            </w:pPr>
            <w:r>
              <w:rPr>
                <w:noProof/>
              </w:rPr>
              <w:t xml:space="preserve">3. </w:t>
            </w:r>
            <w:r w:rsidR="003245A4">
              <w:rPr>
                <w:noProof/>
              </w:rPr>
              <w:t>NEGYEDÉV</w:t>
            </w:r>
          </w:p>
        </w:tc>
        <w:tc>
          <w:tcPr>
            <w:tcW w:w="708" w:type="dxa"/>
            <w:shd w:val="clear" w:color="auto" w:fill="C4EFCE"/>
            <w:noWrap/>
            <w:vAlign w:val="center"/>
          </w:tcPr>
          <w:p w14:paraId="211B5EDD" w14:textId="5AF255BE" w:rsidR="00DC5EC6" w:rsidRDefault="003245A4">
            <w:pPr>
              <w:pStyle w:val="P68B1DB1-Normal12"/>
              <w:spacing w:after="0" w:line="240" w:lineRule="auto"/>
              <w:jc w:val="center"/>
              <w:rPr>
                <w:rFonts w:eastAsia="Times New Roman" w:cstheme="minorHAnsi"/>
                <w:noProof/>
              </w:rPr>
            </w:pPr>
            <w:r>
              <w:rPr>
                <w:noProof/>
              </w:rPr>
              <w:t>2024</w:t>
            </w:r>
          </w:p>
        </w:tc>
        <w:tc>
          <w:tcPr>
            <w:tcW w:w="3969" w:type="dxa"/>
            <w:shd w:val="clear" w:color="auto" w:fill="C4EFCE"/>
            <w:vAlign w:val="center"/>
          </w:tcPr>
          <w:p w14:paraId="3212FFEE" w14:textId="40EC26CF" w:rsidR="00DC5EC6" w:rsidRDefault="003245A4">
            <w:pPr>
              <w:pStyle w:val="P68B1DB1-Normal12"/>
              <w:spacing w:after="0" w:line="240" w:lineRule="auto"/>
              <w:jc w:val="both"/>
              <w:rPr>
                <w:rFonts w:eastAsia="Times New Roman" w:cstheme="minorHAnsi"/>
                <w:noProof/>
              </w:rPr>
            </w:pPr>
            <w:r>
              <w:rPr>
                <w:noProof/>
              </w:rPr>
              <w:t>A hatóságok és a nemzetközi nyílt pályázati eljárás keretében kiválasztott vállalkozó közötti projektvégrehajtási szerződés aláírása.</w:t>
            </w:r>
          </w:p>
        </w:tc>
      </w:tr>
      <w:tr w:rsidR="00DC5EC6" w14:paraId="529C25C3" w14:textId="77777777">
        <w:trPr>
          <w:trHeight w:val="430"/>
        </w:trPr>
        <w:tc>
          <w:tcPr>
            <w:tcW w:w="1135" w:type="dxa"/>
            <w:shd w:val="clear" w:color="auto" w:fill="C4EFCE"/>
            <w:vAlign w:val="center"/>
          </w:tcPr>
          <w:p w14:paraId="2ADCAD91" w14:textId="62A09313" w:rsidR="00DC5EC6" w:rsidRDefault="003245A4">
            <w:pPr>
              <w:pStyle w:val="P68B1DB1-Normal11"/>
              <w:spacing w:after="0" w:line="240" w:lineRule="auto"/>
              <w:jc w:val="center"/>
              <w:rPr>
                <w:rFonts w:eastAsia="Times New Roman" w:cstheme="minorHAnsi"/>
                <w:noProof/>
              </w:rPr>
            </w:pPr>
            <w:r>
              <w:rPr>
                <w:noProof/>
              </w:rPr>
              <w:t>21.43</w:t>
            </w:r>
          </w:p>
        </w:tc>
        <w:tc>
          <w:tcPr>
            <w:tcW w:w="1276" w:type="dxa"/>
            <w:shd w:val="clear" w:color="auto" w:fill="C4EFCE"/>
            <w:noWrap/>
            <w:vAlign w:val="center"/>
          </w:tcPr>
          <w:p w14:paraId="6EFB5CCE" w14:textId="7C36AC8C" w:rsidR="00DC5EC6" w:rsidRDefault="003245A4">
            <w:pPr>
              <w:pStyle w:val="P68B1DB1-Normal12"/>
              <w:spacing w:after="0" w:line="240" w:lineRule="auto"/>
              <w:jc w:val="center"/>
              <w:rPr>
                <w:rFonts w:eastAsia="Times New Roman"/>
                <w:noProof/>
              </w:rPr>
            </w:pPr>
            <w:r>
              <w:rPr>
                <w:noProof/>
              </w:rPr>
              <w:t>RP-C21–i16</w:t>
            </w:r>
          </w:p>
        </w:tc>
        <w:tc>
          <w:tcPr>
            <w:tcW w:w="1134" w:type="dxa"/>
            <w:shd w:val="clear" w:color="auto" w:fill="C4EFCE"/>
            <w:noWrap/>
            <w:vAlign w:val="center"/>
          </w:tcPr>
          <w:p w14:paraId="3C242F77" w14:textId="218D6D72" w:rsidR="00DC5EC6" w:rsidRDefault="003245A4">
            <w:pPr>
              <w:pStyle w:val="P68B1DB1-Normal12"/>
              <w:spacing w:after="0" w:line="240" w:lineRule="auto"/>
              <w:jc w:val="center"/>
              <w:rPr>
                <w:rFonts w:eastAsia="Times New Roman" w:cstheme="minorHAnsi"/>
                <w:noProof/>
              </w:rPr>
            </w:pPr>
            <w:r>
              <w:rPr>
                <w:noProof/>
              </w:rPr>
              <w:t>T</w:t>
            </w:r>
          </w:p>
        </w:tc>
        <w:tc>
          <w:tcPr>
            <w:tcW w:w="1701" w:type="dxa"/>
            <w:shd w:val="clear" w:color="auto" w:fill="C4EFCE"/>
            <w:noWrap/>
            <w:vAlign w:val="center"/>
          </w:tcPr>
          <w:p w14:paraId="533DBFF8" w14:textId="384221C4" w:rsidR="00DC5EC6" w:rsidRDefault="003245A4">
            <w:pPr>
              <w:pStyle w:val="P68B1DB1-Normal12"/>
              <w:spacing w:after="0" w:line="240" w:lineRule="auto"/>
              <w:jc w:val="center"/>
              <w:rPr>
                <w:rFonts w:eastAsia="Times New Roman"/>
                <w:noProof/>
              </w:rPr>
            </w:pPr>
            <w:r>
              <w:rPr>
                <w:noProof/>
              </w:rPr>
              <w:t>Szórakoztató építése</w:t>
            </w:r>
          </w:p>
        </w:tc>
        <w:tc>
          <w:tcPr>
            <w:tcW w:w="1275" w:type="dxa"/>
            <w:shd w:val="clear" w:color="auto" w:fill="C4EFCE"/>
            <w:noWrap/>
            <w:vAlign w:val="center"/>
          </w:tcPr>
          <w:p w14:paraId="02FA81D6" w14:textId="764DECD3" w:rsidR="00DC5EC6" w:rsidRDefault="003245A4">
            <w:pPr>
              <w:pStyle w:val="P68B1DB1-Normal12"/>
              <w:spacing w:after="0" w:line="240" w:lineRule="auto"/>
              <w:jc w:val="center"/>
              <w:rPr>
                <w:rFonts w:eastAsia="Times New Roman" w:cstheme="minorHAnsi"/>
                <w:noProof/>
              </w:rPr>
            </w:pPr>
            <w:r>
              <w:rPr>
                <w:noProof/>
              </w:rPr>
              <w:t>A működés megkezdése</w:t>
            </w:r>
          </w:p>
        </w:tc>
        <w:tc>
          <w:tcPr>
            <w:tcW w:w="993" w:type="dxa"/>
            <w:shd w:val="clear" w:color="auto" w:fill="C4EFCE"/>
            <w:noWrap/>
            <w:vAlign w:val="center"/>
          </w:tcPr>
          <w:p w14:paraId="5F53A211"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267D5047" w14:textId="77777777" w:rsidR="00DC5EC6" w:rsidRDefault="00DC5EC6">
            <w:pPr>
              <w:spacing w:after="0" w:line="240" w:lineRule="auto"/>
              <w:jc w:val="center"/>
              <w:rPr>
                <w:rFonts w:eastAsia="Times New Roman" w:cstheme="minorHAnsi"/>
                <w:noProof/>
                <w:sz w:val="16"/>
              </w:rPr>
            </w:pPr>
          </w:p>
        </w:tc>
        <w:tc>
          <w:tcPr>
            <w:tcW w:w="992" w:type="dxa"/>
            <w:shd w:val="clear" w:color="auto" w:fill="C4EFCE"/>
            <w:noWrap/>
            <w:vAlign w:val="center"/>
          </w:tcPr>
          <w:p w14:paraId="307D8611" w14:textId="77777777" w:rsidR="00DC5EC6" w:rsidRDefault="00DC5EC6">
            <w:pPr>
              <w:spacing w:after="0" w:line="240" w:lineRule="auto"/>
              <w:jc w:val="center"/>
              <w:rPr>
                <w:rFonts w:eastAsia="Times New Roman" w:cstheme="minorHAnsi"/>
                <w:noProof/>
                <w:sz w:val="16"/>
              </w:rPr>
            </w:pPr>
          </w:p>
        </w:tc>
        <w:tc>
          <w:tcPr>
            <w:tcW w:w="567" w:type="dxa"/>
            <w:shd w:val="clear" w:color="auto" w:fill="C4EFCE"/>
            <w:noWrap/>
            <w:vAlign w:val="center"/>
          </w:tcPr>
          <w:p w14:paraId="5A8CFE96" w14:textId="1470A0A1" w:rsidR="00DC5EC6" w:rsidRDefault="00853C3A">
            <w:pPr>
              <w:pStyle w:val="P68B1DB1-Normal12"/>
              <w:spacing w:after="0" w:line="240" w:lineRule="auto"/>
              <w:jc w:val="center"/>
              <w:rPr>
                <w:rFonts w:eastAsia="Times New Roman" w:cstheme="minorHAnsi"/>
                <w:noProof/>
              </w:rPr>
            </w:pPr>
            <w:r>
              <w:rPr>
                <w:noProof/>
              </w:rPr>
              <w:t>1.</w:t>
            </w:r>
            <w:r w:rsidR="003245A4">
              <w:rPr>
                <w:noProof/>
              </w:rPr>
              <w:t>NEGYEDÉV</w:t>
            </w:r>
          </w:p>
        </w:tc>
        <w:tc>
          <w:tcPr>
            <w:tcW w:w="708" w:type="dxa"/>
            <w:shd w:val="clear" w:color="auto" w:fill="C4EFCE"/>
            <w:noWrap/>
            <w:vAlign w:val="center"/>
          </w:tcPr>
          <w:p w14:paraId="6E0F941C" w14:textId="1527F901" w:rsidR="00DC5EC6" w:rsidRDefault="003245A4">
            <w:pPr>
              <w:pStyle w:val="P68B1DB1-Normal12"/>
              <w:spacing w:after="0" w:line="240" w:lineRule="auto"/>
              <w:jc w:val="center"/>
              <w:rPr>
                <w:rFonts w:eastAsia="Times New Roman" w:cstheme="minorHAnsi"/>
                <w:noProof/>
              </w:rPr>
            </w:pPr>
            <w:r>
              <w:rPr>
                <w:noProof/>
              </w:rPr>
              <w:t>2026</w:t>
            </w:r>
          </w:p>
        </w:tc>
        <w:tc>
          <w:tcPr>
            <w:tcW w:w="3969" w:type="dxa"/>
            <w:shd w:val="clear" w:color="auto" w:fill="C4EFCE"/>
            <w:vAlign w:val="center"/>
          </w:tcPr>
          <w:p w14:paraId="66B1EB48" w14:textId="691924FE" w:rsidR="00DC5EC6" w:rsidRDefault="003245A4">
            <w:pPr>
              <w:pStyle w:val="P68B1DB1-Normal12"/>
              <w:spacing w:after="0" w:line="240" w:lineRule="auto"/>
              <w:jc w:val="both"/>
              <w:rPr>
                <w:rFonts w:eastAsia="Times New Roman"/>
                <w:noProof/>
              </w:rPr>
            </w:pPr>
            <w:r>
              <w:rPr>
                <w:noProof/>
              </w:rPr>
              <w:t>A Pedreneira területét Nazaré falu alsó területével összekötő, körülbelül 200 méter hosszú mechanikus szállítóoldatnak kell készen állnia az azonnali működésre.</w:t>
            </w:r>
          </w:p>
        </w:tc>
      </w:tr>
    </w:tbl>
    <w:p w14:paraId="35ED878F" w14:textId="77777777" w:rsidR="00DC5EC6" w:rsidRDefault="00DC5EC6">
      <w:pPr>
        <w:spacing w:after="0"/>
        <w:jc w:val="both"/>
        <w:rPr>
          <w:rFonts w:ascii="Times New Roman" w:hAnsi="Times New Roman" w:cs="Times New Roman"/>
          <w:noProof/>
          <w:sz w:val="24"/>
        </w:rPr>
        <w:sectPr w:rsidR="00DC5EC6" w:rsidSect="00587917">
          <w:headerReference w:type="even" r:id="rId374"/>
          <w:headerReference w:type="default" r:id="rId375"/>
          <w:footerReference w:type="even" r:id="rId376"/>
          <w:footerReference w:type="default" r:id="rId377"/>
          <w:headerReference w:type="first" r:id="rId378"/>
          <w:footerReference w:type="first" r:id="rId379"/>
          <w:pgSz w:w="16838" w:h="11906" w:orient="landscape"/>
          <w:pgMar w:top="1134" w:right="1134" w:bottom="1134" w:left="1134" w:header="567" w:footer="567" w:gutter="0"/>
          <w:cols w:space="708"/>
          <w:docGrid w:linePitch="360"/>
        </w:sectPr>
      </w:pPr>
    </w:p>
    <w:p w14:paraId="236D10E6" w14:textId="3DAE2E2E" w:rsidR="00DC5EC6" w:rsidRDefault="003245A4">
      <w:pPr>
        <w:pStyle w:val="P68B1DB1-Normal3"/>
        <w:keepNext/>
        <w:spacing w:before="40" w:after="0" w:line="259" w:lineRule="auto"/>
        <w:ind w:left="130" w:firstLine="720"/>
        <w:jc w:val="both"/>
        <w:outlineLvl w:val="1"/>
        <w:rPr>
          <w:rFonts w:eastAsiaTheme="minorEastAsia" w:cs="Times New Roman"/>
          <w:noProof/>
        </w:rPr>
      </w:pPr>
      <w:r>
        <w:rPr>
          <w:noProof/>
        </w:rPr>
        <w:t xml:space="preserve">V. 22. </w:t>
      </w:r>
      <w:r w:rsidR="00342815">
        <w:rPr>
          <w:noProof/>
        </w:rPr>
        <w:t>KOMPONENS</w:t>
      </w:r>
      <w:r>
        <w:rPr>
          <w:noProof/>
        </w:rPr>
        <w:t>: Ellenőrzés és ellenőrzés</w:t>
      </w:r>
    </w:p>
    <w:p w14:paraId="44234FA0"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p w14:paraId="12542E50" w14:textId="77777777"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V.1. A reform leírása</w:t>
      </w:r>
    </w:p>
    <w:p w14:paraId="4C7B8830" w14:textId="27F623A3" w:rsidR="00DC5EC6" w:rsidRDefault="003245A4">
      <w:pPr>
        <w:pStyle w:val="P68B1DB1-Normal5"/>
        <w:keepNext/>
        <w:spacing w:before="240" w:after="0" w:line="259" w:lineRule="auto"/>
        <w:ind w:left="851"/>
        <w:jc w:val="both"/>
        <w:outlineLvl w:val="2"/>
        <w:rPr>
          <w:rFonts w:eastAsiaTheme="minorEastAsia" w:cs="Times New Roman"/>
          <w:noProof/>
        </w:rPr>
      </w:pPr>
      <w:r>
        <w:rPr>
          <w:noProof/>
        </w:rPr>
        <w:t>RE-C22-r49 reform: A helyreállítási és rezilienciaépítési terv nyomon követésére és végrehajtására vonatkozó rendelkezések</w:t>
      </w:r>
    </w:p>
    <w:p w14:paraId="180C4631" w14:textId="314000A4" w:rsidR="00DC5EC6" w:rsidRDefault="003245A4">
      <w:pPr>
        <w:pStyle w:val="P68B1DB1-Normal4"/>
        <w:spacing w:after="0" w:line="240" w:lineRule="auto"/>
        <w:jc w:val="both"/>
        <w:rPr>
          <w:rFonts w:cs="Times New Roman"/>
          <w:noProof/>
        </w:rPr>
      </w:pPr>
      <w:r>
        <w:rPr>
          <w:noProof/>
        </w:rPr>
        <w:t>Az intézkedés célja a helyreállítási és rezilienciaépítési terv nyomon követésének és végrehajtásának javítása. Az arányos csalás- és korrupcióellenes intézkedések hatékony végrehajtásának biztosítása érdekében Portugália módosítja az „EMRP” koordináló szerv és a helyreállítási és rezilienciaépítési terv végrehajtásáért felelős valamennyi hatóság között aláírt szerződéseket annak érdekében, hogy a végrehajtó szervek jogi kötelezettséggel egészítsék ki azt a jogi kötelezettséget, hogy a szerződéseik módosításától számított három hónapon belül végezzenek csaláskockázat-értékelést, és amennyiben a csaláskockázat-értékelés olyan kockázatokat tár fel, amelyekkel a meglévő ellenőrzések nem foglalkoznak, dolgozzon ki egy további ellenőrzéseket tartalmazó cselekvési tervet. E kötelezettségnek tükröződnie kell a koordináló szerv eljárási kézikönyvében. A koordináló szerv hivatalos technikai iránymutatást is megküld valamennyi végrehajtó szervnek, hogy támogassa őket a csaláskockázat-értékelés elvégzésében. Portugália továbbá javítja a kettős finanszírozás kockázatának csökkentésére vagy csökkentésére irányuló eljárásokat azáltal, hogy a hatékony és eredményes pénzgazdálkodás elvével összhangban hatékony és szisztematikus keresztellenőrzéseket vezet be a Helyreállítási és Rezilienciaépítési Eszközön belüli, valamint a Helyreállítási és Rezilienciaépítési Eszköz és más uniós programok közötti potenciális finanszírozás iránti kérelmekre vonatkozóan. A koordináló szervnek be kell nyújtania egy dokumentumot, amely ismerteti a kettős finanszírozás javasolt részletes keresztellenőrzéseit annak megerősítése érdekében, hogy megfelelő eljárások vannak érvényben a kettős finanszírozás elkerülésére.</w:t>
      </w:r>
    </w:p>
    <w:p w14:paraId="74765BC7" w14:textId="77777777" w:rsidR="00DC5EC6" w:rsidRDefault="00DC5EC6">
      <w:pPr>
        <w:spacing w:before="40" w:after="0" w:line="259" w:lineRule="auto"/>
        <w:jc w:val="both"/>
        <w:rPr>
          <w:rFonts w:ascii="Times New Roman" w:hAnsi="Times New Roman" w:cs="Times New Roman"/>
          <w:noProof/>
          <w:sz w:val="24"/>
        </w:rPr>
        <w:sectPr w:rsidR="00DC5EC6" w:rsidSect="00737670">
          <w:headerReference w:type="even" r:id="rId380"/>
          <w:headerReference w:type="default" r:id="rId381"/>
          <w:footerReference w:type="even" r:id="rId382"/>
          <w:footerReference w:type="default" r:id="rId383"/>
          <w:headerReference w:type="first" r:id="rId384"/>
          <w:footerReference w:type="first" r:id="rId385"/>
          <w:pgSz w:w="11906" w:h="16838"/>
          <w:pgMar w:top="1134" w:right="1134" w:bottom="1134" w:left="1134" w:header="567" w:footer="567" w:gutter="0"/>
          <w:cols w:space="708"/>
          <w:docGrid w:linePitch="360"/>
        </w:sectPr>
      </w:pPr>
    </w:p>
    <w:p w14:paraId="3636EC65" w14:textId="77777777" w:rsidR="00DC5EC6" w:rsidRDefault="00DC5EC6">
      <w:pPr>
        <w:spacing w:before="40" w:after="0" w:line="259" w:lineRule="auto"/>
        <w:jc w:val="both"/>
        <w:rPr>
          <w:rFonts w:ascii="Times New Roman" w:hAnsi="Times New Roman" w:cs="Times New Roman"/>
          <w:noProof/>
          <w:sz w:val="24"/>
        </w:rPr>
      </w:pPr>
    </w:p>
    <w:p w14:paraId="2CBAD660" w14:textId="647AAFB2" w:rsidR="00DC5EC6" w:rsidRDefault="003245A4">
      <w:pPr>
        <w:pStyle w:val="P68B1DB1-Normal3"/>
        <w:keepNext/>
        <w:spacing w:before="40" w:after="0" w:line="259" w:lineRule="auto"/>
        <w:ind w:left="130" w:firstLine="720"/>
        <w:jc w:val="both"/>
        <w:outlineLvl w:val="2"/>
        <w:rPr>
          <w:rFonts w:eastAsiaTheme="minorEastAsia" w:cs="Times New Roman"/>
          <w:noProof/>
        </w:rPr>
      </w:pPr>
      <w:r>
        <w:rPr>
          <w:noProof/>
        </w:rPr>
        <w:t>V.2. A nyomon követésre és a végrehajtásra vonatkozó mérföldkövek, célok, mutatók és ütemterv</w:t>
      </w:r>
    </w:p>
    <w:p w14:paraId="68A62073" w14:textId="77777777"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1134"/>
        <w:gridCol w:w="1984"/>
        <w:gridCol w:w="1134"/>
        <w:gridCol w:w="851"/>
        <w:gridCol w:w="992"/>
        <w:gridCol w:w="709"/>
        <w:gridCol w:w="567"/>
        <w:gridCol w:w="708"/>
        <w:gridCol w:w="4395"/>
      </w:tblGrid>
      <w:tr w:rsidR="00DC5EC6" w14:paraId="7A27D3D1" w14:textId="77777777">
        <w:trPr>
          <w:trHeight w:val="300"/>
          <w:tblHeader/>
        </w:trPr>
        <w:tc>
          <w:tcPr>
            <w:tcW w:w="1135" w:type="dxa"/>
            <w:vMerge w:val="restart"/>
            <w:shd w:val="clear" w:color="auto" w:fill="BDD6EE"/>
            <w:vAlign w:val="center"/>
            <w:hideMark/>
          </w:tcPr>
          <w:p w14:paraId="5CC94774"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276" w:type="dxa"/>
            <w:vMerge w:val="restart"/>
            <w:shd w:val="clear" w:color="auto" w:fill="BDD6EE"/>
            <w:noWrap/>
            <w:vAlign w:val="center"/>
            <w:hideMark/>
          </w:tcPr>
          <w:p w14:paraId="30C71F68" w14:textId="77777777" w:rsidR="00DC5EC6" w:rsidRDefault="003245A4">
            <w:pPr>
              <w:pStyle w:val="P68B1DB1-Normal6"/>
              <w:spacing w:after="0" w:line="240" w:lineRule="auto"/>
              <w:jc w:val="center"/>
              <w:rPr>
                <w:rFonts w:eastAsia="Times New Roman" w:cs="Times New Roman"/>
                <w:noProof/>
              </w:rPr>
            </w:pPr>
            <w:r>
              <w:rPr>
                <w:noProof/>
              </w:rPr>
              <w:t>Intézkedés (reform vagy beruházás)</w:t>
            </w:r>
          </w:p>
        </w:tc>
        <w:tc>
          <w:tcPr>
            <w:tcW w:w="1134" w:type="dxa"/>
            <w:vMerge w:val="restart"/>
            <w:shd w:val="clear" w:color="auto" w:fill="BDD6EE"/>
            <w:noWrap/>
            <w:vAlign w:val="center"/>
            <w:hideMark/>
          </w:tcPr>
          <w:p w14:paraId="620CB2B2"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1984" w:type="dxa"/>
            <w:vMerge w:val="restart"/>
            <w:shd w:val="clear" w:color="auto" w:fill="BDD6EE"/>
            <w:noWrap/>
            <w:vAlign w:val="center"/>
            <w:hideMark/>
          </w:tcPr>
          <w:p w14:paraId="1C302F4F" w14:textId="77777777" w:rsidR="00DC5EC6" w:rsidRDefault="003245A4">
            <w:pPr>
              <w:pStyle w:val="P68B1DB1-Normal6"/>
              <w:spacing w:after="0" w:line="240" w:lineRule="auto"/>
              <w:jc w:val="center"/>
              <w:rPr>
                <w:rFonts w:eastAsia="Times New Roman" w:cs="Times New Roman"/>
                <w:noProof/>
              </w:rPr>
            </w:pPr>
            <w:r>
              <w:rPr>
                <w:noProof/>
              </w:rPr>
              <w:t>Név</w:t>
            </w:r>
          </w:p>
        </w:tc>
        <w:tc>
          <w:tcPr>
            <w:tcW w:w="1134" w:type="dxa"/>
            <w:vMerge w:val="restart"/>
            <w:shd w:val="clear" w:color="auto" w:fill="BDD6EE"/>
            <w:noWrap/>
            <w:vAlign w:val="center"/>
            <w:hideMark/>
          </w:tcPr>
          <w:p w14:paraId="7F93989A" w14:textId="77777777" w:rsidR="00DC5EC6" w:rsidRDefault="003245A4">
            <w:pPr>
              <w:pStyle w:val="P68B1DB1-Normal6"/>
              <w:spacing w:after="0" w:line="240" w:lineRule="auto"/>
              <w:jc w:val="center"/>
              <w:rPr>
                <w:rFonts w:eastAsia="Times New Roman" w:cs="Times New Roman"/>
                <w:noProof/>
              </w:rPr>
            </w:pPr>
            <w:r>
              <w:rPr>
                <w:noProof/>
              </w:rPr>
              <w:t>Minőségi mutatók (a mérföldkövekhez)</w:t>
            </w:r>
          </w:p>
        </w:tc>
        <w:tc>
          <w:tcPr>
            <w:tcW w:w="2552" w:type="dxa"/>
            <w:gridSpan w:val="3"/>
            <w:shd w:val="clear" w:color="auto" w:fill="BDD6EE"/>
            <w:noWrap/>
            <w:vAlign w:val="center"/>
            <w:hideMark/>
          </w:tcPr>
          <w:p w14:paraId="5C5240E8" w14:textId="77777777" w:rsidR="00DC5EC6" w:rsidRDefault="003245A4">
            <w:pPr>
              <w:pStyle w:val="P68B1DB1-Normal6"/>
              <w:spacing w:after="0" w:line="240" w:lineRule="auto"/>
              <w:jc w:val="center"/>
              <w:rPr>
                <w:rFonts w:eastAsia="Times New Roman" w:cs="Times New Roman"/>
                <w:noProof/>
              </w:rPr>
            </w:pPr>
            <w:r>
              <w:rPr>
                <w:noProof/>
              </w:rPr>
              <w:t>Mennyiségi mutatók (a célokhoz)</w:t>
            </w:r>
          </w:p>
        </w:tc>
        <w:tc>
          <w:tcPr>
            <w:tcW w:w="1275" w:type="dxa"/>
            <w:gridSpan w:val="2"/>
            <w:shd w:val="clear" w:color="auto" w:fill="BDD6EE"/>
            <w:noWrap/>
            <w:vAlign w:val="center"/>
            <w:hideMark/>
          </w:tcPr>
          <w:p w14:paraId="5A90F2F3" w14:textId="77777777" w:rsidR="00DC5EC6" w:rsidRDefault="003245A4">
            <w:pPr>
              <w:pStyle w:val="P68B1DB1-Normal6"/>
              <w:spacing w:after="0" w:line="240" w:lineRule="auto"/>
              <w:jc w:val="center"/>
              <w:rPr>
                <w:rFonts w:eastAsia="Times New Roman" w:cs="Times New Roman"/>
                <w:noProof/>
              </w:rPr>
            </w:pPr>
            <w:r>
              <w:rPr>
                <w:noProof/>
              </w:rPr>
              <w:t>A teljesítés ütemezése</w:t>
            </w:r>
          </w:p>
        </w:tc>
        <w:tc>
          <w:tcPr>
            <w:tcW w:w="4395" w:type="dxa"/>
            <w:vMerge w:val="restart"/>
            <w:shd w:val="clear" w:color="auto" w:fill="BDD6EE"/>
            <w:vAlign w:val="center"/>
            <w:hideMark/>
          </w:tcPr>
          <w:p w14:paraId="05C538FC" w14:textId="77777777" w:rsidR="00DC5EC6" w:rsidRDefault="003245A4">
            <w:pPr>
              <w:pStyle w:val="P68B1DB1-Normal6"/>
              <w:spacing w:after="0" w:line="240" w:lineRule="auto"/>
              <w:jc w:val="center"/>
              <w:rPr>
                <w:rFonts w:eastAsia="Times New Roman" w:cs="Times New Roman"/>
                <w:noProof/>
              </w:rPr>
            </w:pPr>
            <w:r>
              <w:rPr>
                <w:noProof/>
              </w:rPr>
              <w:t>Az egyes mérföldkövek és célok leírása és egyértelmű meghatározása</w:t>
            </w:r>
          </w:p>
        </w:tc>
      </w:tr>
      <w:tr w:rsidR="00DC5EC6" w14:paraId="791474D6" w14:textId="77777777">
        <w:trPr>
          <w:trHeight w:val="300"/>
          <w:tblHeader/>
        </w:trPr>
        <w:tc>
          <w:tcPr>
            <w:tcW w:w="1135" w:type="dxa"/>
            <w:vMerge/>
            <w:vAlign w:val="center"/>
            <w:hideMark/>
          </w:tcPr>
          <w:p w14:paraId="64F5E293" w14:textId="77777777" w:rsidR="00DC5EC6" w:rsidRDefault="00DC5EC6">
            <w:pPr>
              <w:spacing w:after="0" w:line="240" w:lineRule="auto"/>
              <w:rPr>
                <w:rFonts w:ascii="Times New Roman" w:eastAsia="Times New Roman" w:hAnsi="Times New Roman" w:cs="Times New Roman"/>
                <w:b/>
                <w:noProof/>
                <w:sz w:val="18"/>
              </w:rPr>
            </w:pPr>
          </w:p>
        </w:tc>
        <w:tc>
          <w:tcPr>
            <w:tcW w:w="1276" w:type="dxa"/>
            <w:vMerge/>
            <w:vAlign w:val="center"/>
            <w:hideMark/>
          </w:tcPr>
          <w:p w14:paraId="4801FFBD"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noWrap/>
            <w:vAlign w:val="center"/>
            <w:hideMark/>
          </w:tcPr>
          <w:p w14:paraId="0FBCC370" w14:textId="77777777" w:rsidR="00DC5EC6" w:rsidRDefault="00DC5EC6">
            <w:pPr>
              <w:spacing w:after="0" w:line="240" w:lineRule="auto"/>
              <w:jc w:val="center"/>
              <w:rPr>
                <w:rFonts w:ascii="Times New Roman" w:eastAsia="Times New Roman" w:hAnsi="Times New Roman" w:cs="Times New Roman"/>
                <w:b/>
                <w:noProof/>
                <w:sz w:val="18"/>
              </w:rPr>
            </w:pPr>
          </w:p>
        </w:tc>
        <w:tc>
          <w:tcPr>
            <w:tcW w:w="1984" w:type="dxa"/>
            <w:vMerge/>
            <w:vAlign w:val="center"/>
            <w:hideMark/>
          </w:tcPr>
          <w:p w14:paraId="57A267FE" w14:textId="77777777" w:rsidR="00DC5EC6" w:rsidRDefault="00DC5EC6">
            <w:pPr>
              <w:spacing w:after="0" w:line="240" w:lineRule="auto"/>
              <w:rPr>
                <w:rFonts w:ascii="Times New Roman" w:eastAsia="Times New Roman" w:hAnsi="Times New Roman" w:cs="Times New Roman"/>
                <w:b/>
                <w:noProof/>
                <w:sz w:val="18"/>
              </w:rPr>
            </w:pPr>
          </w:p>
        </w:tc>
        <w:tc>
          <w:tcPr>
            <w:tcW w:w="1134" w:type="dxa"/>
            <w:vMerge/>
            <w:vAlign w:val="center"/>
            <w:hideMark/>
          </w:tcPr>
          <w:p w14:paraId="0C7C5FFB" w14:textId="77777777" w:rsidR="00DC5EC6" w:rsidRDefault="00DC5EC6">
            <w:pPr>
              <w:spacing w:after="0" w:line="240" w:lineRule="auto"/>
              <w:rPr>
                <w:rFonts w:ascii="Times New Roman" w:eastAsia="Times New Roman" w:hAnsi="Times New Roman" w:cs="Times New Roman"/>
                <w:b/>
                <w:noProof/>
                <w:sz w:val="18"/>
              </w:rPr>
            </w:pPr>
          </w:p>
        </w:tc>
        <w:tc>
          <w:tcPr>
            <w:tcW w:w="851" w:type="dxa"/>
            <w:shd w:val="clear" w:color="auto" w:fill="BDD6EE"/>
            <w:noWrap/>
            <w:vAlign w:val="center"/>
            <w:hideMark/>
          </w:tcPr>
          <w:p w14:paraId="1A7AD875" w14:textId="77777777" w:rsidR="00DC5EC6" w:rsidRDefault="003245A4">
            <w:pPr>
              <w:pStyle w:val="P68B1DB1-Normal6"/>
              <w:spacing w:after="0" w:line="240" w:lineRule="auto"/>
              <w:jc w:val="center"/>
              <w:rPr>
                <w:rFonts w:eastAsia="Times New Roman" w:cs="Times New Roman"/>
                <w:noProof/>
              </w:rPr>
            </w:pPr>
            <w:r>
              <w:rPr>
                <w:noProof/>
              </w:rPr>
              <w:t>Mértékegység</w:t>
            </w:r>
          </w:p>
        </w:tc>
        <w:tc>
          <w:tcPr>
            <w:tcW w:w="992" w:type="dxa"/>
            <w:shd w:val="clear" w:color="auto" w:fill="BDD6EE"/>
            <w:noWrap/>
            <w:vAlign w:val="center"/>
            <w:hideMark/>
          </w:tcPr>
          <w:p w14:paraId="75CEC3C9" w14:textId="77777777" w:rsidR="00DC5EC6" w:rsidRDefault="003245A4">
            <w:pPr>
              <w:pStyle w:val="P68B1DB1-Normal6"/>
              <w:spacing w:after="0" w:line="240" w:lineRule="auto"/>
              <w:jc w:val="center"/>
              <w:rPr>
                <w:rFonts w:eastAsia="Times New Roman" w:cs="Times New Roman"/>
                <w:noProof/>
              </w:rPr>
            </w:pPr>
            <w:r>
              <w:rPr>
                <w:noProof/>
              </w:rPr>
              <w:t>Kiindulási</w:t>
            </w:r>
          </w:p>
        </w:tc>
        <w:tc>
          <w:tcPr>
            <w:tcW w:w="709" w:type="dxa"/>
            <w:shd w:val="clear" w:color="auto" w:fill="BDD6EE"/>
            <w:noWrap/>
            <w:vAlign w:val="center"/>
            <w:hideMark/>
          </w:tcPr>
          <w:p w14:paraId="1839FA92" w14:textId="77777777" w:rsidR="00DC5EC6" w:rsidRDefault="003245A4">
            <w:pPr>
              <w:pStyle w:val="P68B1DB1-Normal6"/>
              <w:spacing w:after="0" w:line="240" w:lineRule="auto"/>
              <w:jc w:val="center"/>
              <w:rPr>
                <w:rFonts w:eastAsia="Times New Roman" w:cs="Times New Roman"/>
                <w:noProof/>
              </w:rPr>
            </w:pPr>
            <w:r>
              <w:rPr>
                <w:noProof/>
              </w:rPr>
              <w:t>Cél</w:t>
            </w:r>
          </w:p>
        </w:tc>
        <w:tc>
          <w:tcPr>
            <w:tcW w:w="567" w:type="dxa"/>
            <w:shd w:val="clear" w:color="auto" w:fill="BDD6EE"/>
            <w:noWrap/>
            <w:vAlign w:val="center"/>
            <w:hideMark/>
          </w:tcPr>
          <w:p w14:paraId="034E72F5" w14:textId="3E2D9349" w:rsidR="00DC5EC6" w:rsidRDefault="003245A4">
            <w:pPr>
              <w:pStyle w:val="P68B1DB1-Normal6"/>
              <w:spacing w:after="0" w:line="240" w:lineRule="auto"/>
              <w:jc w:val="center"/>
              <w:rPr>
                <w:rFonts w:eastAsia="Times New Roman" w:cs="Times New Roman"/>
                <w:noProof/>
              </w:rPr>
            </w:pPr>
            <w:r>
              <w:rPr>
                <w:noProof/>
              </w:rPr>
              <w:t>Negyedév</w:t>
            </w:r>
          </w:p>
        </w:tc>
        <w:tc>
          <w:tcPr>
            <w:tcW w:w="708" w:type="dxa"/>
            <w:shd w:val="clear" w:color="auto" w:fill="BDD6EE"/>
            <w:noWrap/>
            <w:vAlign w:val="center"/>
            <w:hideMark/>
          </w:tcPr>
          <w:p w14:paraId="739CD227" w14:textId="75781DE0" w:rsidR="00DC5EC6" w:rsidRDefault="003245A4">
            <w:pPr>
              <w:pStyle w:val="P68B1DB1-Normal6"/>
              <w:spacing w:after="0" w:line="240" w:lineRule="auto"/>
              <w:jc w:val="center"/>
              <w:rPr>
                <w:rFonts w:eastAsia="Times New Roman" w:cs="Times New Roman"/>
                <w:noProof/>
              </w:rPr>
            </w:pPr>
            <w:r>
              <w:rPr>
                <w:noProof/>
              </w:rPr>
              <w:t>Év</w:t>
            </w:r>
          </w:p>
        </w:tc>
        <w:tc>
          <w:tcPr>
            <w:tcW w:w="4395" w:type="dxa"/>
            <w:vMerge/>
            <w:vAlign w:val="center"/>
            <w:hideMark/>
          </w:tcPr>
          <w:p w14:paraId="6237285D" w14:textId="77777777" w:rsidR="00DC5EC6" w:rsidRDefault="00DC5EC6">
            <w:pPr>
              <w:spacing w:after="0" w:line="240" w:lineRule="auto"/>
              <w:rPr>
                <w:rFonts w:ascii="Times New Roman" w:eastAsia="Times New Roman" w:hAnsi="Times New Roman" w:cs="Times New Roman"/>
                <w:b/>
                <w:noProof/>
                <w:sz w:val="18"/>
              </w:rPr>
            </w:pPr>
          </w:p>
        </w:tc>
      </w:tr>
      <w:tr w:rsidR="00DC5EC6" w14:paraId="6842EF63" w14:textId="77777777">
        <w:trPr>
          <w:trHeight w:val="1260"/>
          <w:tblHeader/>
        </w:trPr>
        <w:tc>
          <w:tcPr>
            <w:tcW w:w="1135" w:type="dxa"/>
            <w:shd w:val="clear" w:color="auto" w:fill="C4EFCE"/>
            <w:noWrap/>
            <w:vAlign w:val="center"/>
          </w:tcPr>
          <w:p w14:paraId="20D33C04" w14:textId="3BE29466" w:rsidR="00DC5EC6" w:rsidRDefault="003245A4">
            <w:pPr>
              <w:pStyle w:val="P68B1DB1-Normal7"/>
              <w:spacing w:after="0" w:line="240" w:lineRule="auto"/>
              <w:jc w:val="center"/>
              <w:rPr>
                <w:rFonts w:eastAsia="Times New Roman" w:cs="Calibri"/>
                <w:noProof/>
              </w:rPr>
            </w:pPr>
            <w:r>
              <w:rPr>
                <w:noProof/>
              </w:rPr>
              <w:t>22.1</w:t>
            </w:r>
          </w:p>
        </w:tc>
        <w:tc>
          <w:tcPr>
            <w:tcW w:w="1276" w:type="dxa"/>
            <w:shd w:val="clear" w:color="auto" w:fill="C4EFCE"/>
            <w:noWrap/>
            <w:vAlign w:val="center"/>
          </w:tcPr>
          <w:p w14:paraId="62B22C1C" w14:textId="0E34FE03" w:rsidR="00DC5EC6" w:rsidRDefault="003245A4">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8531306" w14:textId="7F47F2D7" w:rsidR="00DC5EC6" w:rsidRDefault="003245A4">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560DB9C0" w14:textId="2B36040C" w:rsidR="00DC5EC6" w:rsidRDefault="003245A4">
            <w:pPr>
              <w:pStyle w:val="P68B1DB1-Normal8"/>
              <w:spacing w:after="0" w:line="240" w:lineRule="auto"/>
              <w:jc w:val="center"/>
              <w:rPr>
                <w:rFonts w:eastAsia="Times New Roman" w:cs="Calibri"/>
                <w:noProof/>
              </w:rPr>
            </w:pPr>
            <w:r>
              <w:rPr>
                <w:noProof/>
              </w:rPr>
              <w:t>Az EMKP és a végrehajtó szervek közötti finanszírozási szerződések módosítása a csaláskockázat-értékelés elvégzésére vonatkozó kötelezettség beillesztése érdekében</w:t>
            </w:r>
          </w:p>
        </w:tc>
        <w:tc>
          <w:tcPr>
            <w:tcW w:w="1134" w:type="dxa"/>
            <w:shd w:val="clear" w:color="auto" w:fill="C4EFCE"/>
            <w:noWrap/>
            <w:vAlign w:val="center"/>
          </w:tcPr>
          <w:p w14:paraId="205B0F66" w14:textId="77777777" w:rsidR="00DC5EC6" w:rsidRDefault="00DC5EC6">
            <w:pPr>
              <w:spacing w:after="0" w:line="240" w:lineRule="auto"/>
              <w:rPr>
                <w:rFonts w:ascii="Calibri" w:hAnsi="Calibri" w:cs="Calibri"/>
                <w:noProof/>
                <w:sz w:val="16"/>
              </w:rPr>
            </w:pPr>
          </w:p>
          <w:p w14:paraId="679BDC28" w14:textId="5A459A31" w:rsidR="00DC5EC6" w:rsidRDefault="003245A4">
            <w:pPr>
              <w:pStyle w:val="P68B1DB1-Normal8"/>
              <w:jc w:val="center"/>
              <w:rPr>
                <w:rFonts w:cs="Calibri"/>
                <w:noProof/>
              </w:rPr>
            </w:pPr>
            <w:r>
              <w:rPr>
                <w:noProof/>
              </w:rPr>
              <w:t>Módosított szerződések</w:t>
            </w:r>
          </w:p>
        </w:tc>
        <w:tc>
          <w:tcPr>
            <w:tcW w:w="851" w:type="dxa"/>
            <w:shd w:val="clear" w:color="auto" w:fill="C4EFCE"/>
            <w:noWrap/>
            <w:vAlign w:val="center"/>
          </w:tcPr>
          <w:p w14:paraId="6159C977"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4C92B964"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33DEFF08"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0CEA973F" w14:textId="6BE1F018" w:rsidR="00DC5EC6" w:rsidRDefault="00853C3A">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tcPr>
          <w:p w14:paraId="1EB90E5A" w14:textId="798D8660" w:rsidR="00DC5EC6" w:rsidRDefault="003245A4">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23E3766D" w14:textId="2A2CD04B" w:rsidR="00DC5EC6" w:rsidRDefault="003245A4">
            <w:pPr>
              <w:pStyle w:val="P68B1DB1-Normal8"/>
              <w:spacing w:after="0" w:line="240" w:lineRule="auto"/>
              <w:jc w:val="both"/>
              <w:rPr>
                <w:rFonts w:eastAsia="Times New Roman" w:cs="Calibri"/>
                <w:noProof/>
              </w:rPr>
            </w:pPr>
            <w:r>
              <w:rPr>
                <w:noProof/>
              </w:rPr>
              <w:t>Az „EMRP” koordináló szerv módosítja a helyreállítási és rezilienciaépítési terv végrehajtásáért felelős valamennyi hatósággal aláírt szerződéseket annak érdekében, hogy a végrehajtó szervek a szerződéseik módosításától számított három hónapon belül végezzenek csaláskockázat-értékelést, és amennyiben a csaláskockázat-értékelés olyan kockázatokat azonosít, amelyekkel a meglévő ellenőrzések nem foglalkoznak, dolgozzon ki egy további ellenőrzéseket tartalmazó cselekvési tervet. E kötelezettségnek tükröződnie kell a koordináló szerv eljárási kézikönyvében. A koordináló szerv hivatalos technikai iránymutatást is megküld valamennyi végrehajtó szervnek, hogy támogassa őket a csaláskockázat-értékelés elvégzésében.</w:t>
            </w:r>
          </w:p>
        </w:tc>
      </w:tr>
      <w:tr w:rsidR="00DC5EC6" w14:paraId="4F83E9D0" w14:textId="77777777">
        <w:trPr>
          <w:trHeight w:val="1050"/>
          <w:tblHeader/>
        </w:trPr>
        <w:tc>
          <w:tcPr>
            <w:tcW w:w="1135" w:type="dxa"/>
            <w:shd w:val="clear" w:color="auto" w:fill="C4EFCE"/>
            <w:noWrap/>
            <w:vAlign w:val="center"/>
          </w:tcPr>
          <w:p w14:paraId="6AE6A737" w14:textId="1AC80AEF" w:rsidR="00DC5EC6" w:rsidRDefault="003245A4">
            <w:pPr>
              <w:pStyle w:val="P68B1DB1-Normal7"/>
              <w:spacing w:after="0" w:line="240" w:lineRule="auto"/>
              <w:jc w:val="center"/>
              <w:rPr>
                <w:rFonts w:eastAsia="Times New Roman" w:cs="Calibri"/>
                <w:noProof/>
              </w:rPr>
            </w:pPr>
            <w:r>
              <w:rPr>
                <w:noProof/>
              </w:rPr>
              <w:t>22.2</w:t>
            </w:r>
          </w:p>
        </w:tc>
        <w:tc>
          <w:tcPr>
            <w:tcW w:w="1276" w:type="dxa"/>
            <w:shd w:val="clear" w:color="auto" w:fill="C4EFCE"/>
            <w:noWrap/>
            <w:vAlign w:val="center"/>
          </w:tcPr>
          <w:p w14:paraId="2DA9EBA8" w14:textId="6B386F7E" w:rsidR="00DC5EC6" w:rsidRDefault="003245A4">
            <w:pPr>
              <w:pStyle w:val="P68B1DB1-Normal8"/>
              <w:spacing w:after="0" w:line="240" w:lineRule="auto"/>
              <w:jc w:val="center"/>
              <w:rPr>
                <w:rFonts w:eastAsia="Times New Roman" w:cs="Calibri"/>
                <w:noProof/>
              </w:rPr>
            </w:pPr>
            <w:r>
              <w:rPr>
                <w:noProof/>
              </w:rPr>
              <w:t>Re-C22-r49</w:t>
            </w:r>
          </w:p>
        </w:tc>
        <w:tc>
          <w:tcPr>
            <w:tcW w:w="1134" w:type="dxa"/>
            <w:shd w:val="clear" w:color="auto" w:fill="C4EFCE"/>
            <w:noWrap/>
            <w:vAlign w:val="center"/>
          </w:tcPr>
          <w:p w14:paraId="6AC25D7A" w14:textId="40D4B45C" w:rsidR="00DC5EC6" w:rsidRDefault="003245A4">
            <w:pPr>
              <w:pStyle w:val="P68B1DB1-Normal8"/>
              <w:spacing w:after="0" w:line="240" w:lineRule="auto"/>
              <w:jc w:val="center"/>
              <w:rPr>
                <w:rFonts w:eastAsia="Times New Roman" w:cs="Calibri"/>
                <w:noProof/>
              </w:rPr>
            </w:pPr>
            <w:r>
              <w:rPr>
                <w:noProof/>
              </w:rPr>
              <w:t>M</w:t>
            </w:r>
          </w:p>
        </w:tc>
        <w:tc>
          <w:tcPr>
            <w:tcW w:w="1984" w:type="dxa"/>
            <w:shd w:val="clear" w:color="auto" w:fill="C4EFCE"/>
            <w:noWrap/>
            <w:vAlign w:val="center"/>
          </w:tcPr>
          <w:p w14:paraId="3D88FC2B" w14:textId="5245F9E7" w:rsidR="00DC5EC6" w:rsidRDefault="003245A4">
            <w:pPr>
              <w:pStyle w:val="P68B1DB1-Normal8"/>
              <w:spacing w:after="0" w:line="240" w:lineRule="auto"/>
              <w:jc w:val="center"/>
              <w:rPr>
                <w:rFonts w:eastAsia="Times New Roman" w:cs="Calibri"/>
                <w:noProof/>
              </w:rPr>
            </w:pPr>
            <w:r>
              <w:rPr>
                <w:noProof/>
              </w:rPr>
              <w:t>A kettős finanszírozás keresztellenőrzésének bevezetése</w:t>
            </w:r>
          </w:p>
        </w:tc>
        <w:tc>
          <w:tcPr>
            <w:tcW w:w="1134" w:type="dxa"/>
            <w:shd w:val="clear" w:color="auto" w:fill="C4EFCE"/>
            <w:noWrap/>
            <w:vAlign w:val="center"/>
          </w:tcPr>
          <w:p w14:paraId="4B3ED836" w14:textId="6F92F713" w:rsidR="00DC5EC6" w:rsidRDefault="003245A4">
            <w:pPr>
              <w:pStyle w:val="P68B1DB1-Normal8"/>
              <w:spacing w:after="0" w:line="240" w:lineRule="auto"/>
              <w:jc w:val="center"/>
              <w:rPr>
                <w:rFonts w:eastAsia="Times New Roman" w:cs="Calibri"/>
                <w:noProof/>
              </w:rPr>
            </w:pPr>
            <w:r>
              <w:rPr>
                <w:noProof/>
              </w:rPr>
              <w:t xml:space="preserve">Megfelelő eljárások végrehajtása </w:t>
            </w:r>
          </w:p>
        </w:tc>
        <w:tc>
          <w:tcPr>
            <w:tcW w:w="851" w:type="dxa"/>
            <w:shd w:val="clear" w:color="auto" w:fill="C4EFCE"/>
            <w:noWrap/>
            <w:vAlign w:val="center"/>
          </w:tcPr>
          <w:p w14:paraId="44F95A3F" w14:textId="77777777" w:rsidR="00DC5EC6" w:rsidRDefault="00DC5EC6">
            <w:pPr>
              <w:spacing w:after="0" w:line="240" w:lineRule="auto"/>
              <w:jc w:val="center"/>
              <w:rPr>
                <w:rFonts w:ascii="Calibri" w:eastAsia="Times New Roman" w:hAnsi="Calibri" w:cs="Calibri"/>
                <w:noProof/>
                <w:sz w:val="16"/>
              </w:rPr>
            </w:pPr>
          </w:p>
        </w:tc>
        <w:tc>
          <w:tcPr>
            <w:tcW w:w="992" w:type="dxa"/>
            <w:shd w:val="clear" w:color="auto" w:fill="C4EFCE"/>
            <w:noWrap/>
            <w:vAlign w:val="center"/>
          </w:tcPr>
          <w:p w14:paraId="2D07F96E" w14:textId="77777777" w:rsidR="00DC5EC6" w:rsidRDefault="00DC5EC6">
            <w:pPr>
              <w:spacing w:after="0" w:line="240" w:lineRule="auto"/>
              <w:jc w:val="center"/>
              <w:rPr>
                <w:rFonts w:ascii="Calibri" w:eastAsia="Times New Roman" w:hAnsi="Calibri" w:cs="Calibri"/>
                <w:noProof/>
                <w:sz w:val="16"/>
              </w:rPr>
            </w:pPr>
          </w:p>
        </w:tc>
        <w:tc>
          <w:tcPr>
            <w:tcW w:w="709" w:type="dxa"/>
            <w:shd w:val="clear" w:color="auto" w:fill="C4EFCE"/>
            <w:noWrap/>
            <w:vAlign w:val="center"/>
          </w:tcPr>
          <w:p w14:paraId="25F8C2EF" w14:textId="77777777" w:rsidR="00DC5EC6" w:rsidRDefault="00DC5EC6">
            <w:pPr>
              <w:spacing w:after="0" w:line="240" w:lineRule="auto"/>
              <w:jc w:val="center"/>
              <w:rPr>
                <w:rFonts w:ascii="Calibri" w:eastAsia="Times New Roman" w:hAnsi="Calibri" w:cs="Calibri"/>
                <w:noProof/>
                <w:sz w:val="16"/>
              </w:rPr>
            </w:pPr>
          </w:p>
        </w:tc>
        <w:tc>
          <w:tcPr>
            <w:tcW w:w="567" w:type="dxa"/>
            <w:shd w:val="clear" w:color="auto" w:fill="C4EFCE"/>
            <w:noWrap/>
            <w:vAlign w:val="center"/>
          </w:tcPr>
          <w:p w14:paraId="535B19B9" w14:textId="5E4C0545" w:rsidR="00DC5EC6" w:rsidRDefault="00853C3A">
            <w:pPr>
              <w:pStyle w:val="P68B1DB1-Normal8"/>
              <w:spacing w:after="0" w:line="240" w:lineRule="auto"/>
              <w:jc w:val="center"/>
              <w:rPr>
                <w:rFonts w:eastAsia="Times New Roman" w:cs="Calibri"/>
                <w:noProof/>
              </w:rPr>
            </w:pPr>
            <w:r>
              <w:rPr>
                <w:noProof/>
              </w:rPr>
              <w:t xml:space="preserve">3. </w:t>
            </w:r>
            <w:r w:rsidR="003245A4">
              <w:rPr>
                <w:noProof/>
              </w:rPr>
              <w:t>NEGYEDÉV</w:t>
            </w:r>
          </w:p>
        </w:tc>
        <w:tc>
          <w:tcPr>
            <w:tcW w:w="708" w:type="dxa"/>
            <w:shd w:val="clear" w:color="auto" w:fill="C4EFCE"/>
            <w:noWrap/>
            <w:vAlign w:val="center"/>
          </w:tcPr>
          <w:p w14:paraId="68F6B24F" w14:textId="4C019A52" w:rsidR="00DC5EC6" w:rsidRDefault="003245A4">
            <w:pPr>
              <w:pStyle w:val="P68B1DB1-Normal8"/>
              <w:spacing w:after="0" w:line="240" w:lineRule="auto"/>
              <w:jc w:val="center"/>
              <w:rPr>
                <w:rFonts w:eastAsia="Times New Roman" w:cs="Calibri"/>
                <w:noProof/>
              </w:rPr>
            </w:pPr>
            <w:r>
              <w:rPr>
                <w:noProof/>
              </w:rPr>
              <w:t>2023</w:t>
            </w:r>
          </w:p>
        </w:tc>
        <w:tc>
          <w:tcPr>
            <w:tcW w:w="4395" w:type="dxa"/>
            <w:shd w:val="clear" w:color="auto" w:fill="C4EFCE"/>
          </w:tcPr>
          <w:p w14:paraId="02C4B5ED" w14:textId="533404F6" w:rsidR="00DC5EC6" w:rsidRDefault="003245A4">
            <w:pPr>
              <w:pStyle w:val="P68B1DB1-Normal8"/>
              <w:spacing w:after="0" w:line="240" w:lineRule="auto"/>
              <w:jc w:val="both"/>
              <w:rPr>
                <w:rFonts w:eastAsia="Times New Roman" w:cs="Calibri"/>
                <w:noProof/>
              </w:rPr>
            </w:pPr>
            <w:r>
              <w:rPr>
                <w:noProof/>
              </w:rPr>
              <w:t>A portugál hatóságok a hatékony és eredményes pénzgazdálkodás elvével összhangban javítják és végrehajtják a kettős finanszírozás kockázatának csökkentésére vagy csökkentésére irányuló megfelelő eljárásokat azáltal, hogy hatékony és szisztematikus keresztellenőrzéseket vezetnek be a Helyreállítási és Rezilienciaépítési Eszközön belüli, valamint a Helyreállítási és Rezilienciaépítési Eszköz és más uniós programok közötti potenciális finanszírozásra irányuló kérelmekre vonatkozóan.</w:t>
            </w:r>
          </w:p>
        </w:tc>
      </w:tr>
    </w:tbl>
    <w:p w14:paraId="43BA5E3A" w14:textId="40FA9800" w:rsidR="00DC5EC6" w:rsidRDefault="00DC5EC6">
      <w:pPr>
        <w:keepNext/>
        <w:spacing w:before="40" w:after="0" w:line="259" w:lineRule="auto"/>
        <w:ind w:left="130" w:firstLine="720"/>
        <w:jc w:val="both"/>
        <w:outlineLvl w:val="1"/>
        <w:rPr>
          <w:rFonts w:ascii="Times New Roman" w:eastAsiaTheme="minorEastAsia" w:hAnsi="Times New Roman" w:cs="Times New Roman"/>
          <w:b/>
          <w:noProof/>
          <w:sz w:val="24"/>
          <w:u w:val="single"/>
        </w:rPr>
        <w:sectPr w:rsidR="00DC5EC6" w:rsidSect="00587917">
          <w:headerReference w:type="even" r:id="rId386"/>
          <w:headerReference w:type="default" r:id="rId387"/>
          <w:footerReference w:type="even" r:id="rId388"/>
          <w:footerReference w:type="default" r:id="rId389"/>
          <w:headerReference w:type="first" r:id="rId390"/>
          <w:footerReference w:type="first" r:id="rId391"/>
          <w:pgSz w:w="16838" w:h="11906" w:orient="landscape"/>
          <w:pgMar w:top="1134" w:right="1134" w:bottom="1134" w:left="1134" w:header="567" w:footer="567" w:gutter="0"/>
          <w:cols w:space="708"/>
          <w:docGrid w:linePitch="360"/>
        </w:sectPr>
      </w:pPr>
    </w:p>
    <w:p w14:paraId="38339004" w14:textId="15E78D3A" w:rsidR="00DC5EC6" w:rsidRDefault="003245A4">
      <w:pPr>
        <w:pStyle w:val="P68B1DB1-Normal3"/>
        <w:keepNext/>
        <w:spacing w:before="40" w:after="0" w:line="259" w:lineRule="auto"/>
        <w:ind w:left="130" w:firstLine="720"/>
        <w:jc w:val="both"/>
        <w:outlineLvl w:val="1"/>
        <w:rPr>
          <w:rFonts w:eastAsiaTheme="majorEastAsia" w:cs="Times New Roman"/>
          <w:noProof/>
        </w:rPr>
      </w:pPr>
      <w:r>
        <w:rPr>
          <w:noProof/>
        </w:rPr>
        <w:t>2. A helyreállítási és rezilienciaépítési terv becsült összköltsége</w:t>
      </w:r>
    </w:p>
    <w:p w14:paraId="7A12B998" w14:textId="77777777" w:rsidR="00DC5EC6" w:rsidRDefault="00DC5EC6">
      <w:pPr>
        <w:jc w:val="both"/>
        <w:rPr>
          <w:rFonts w:ascii="Times New Roman" w:eastAsia="Calibri" w:hAnsi="Times New Roman" w:cs="Times New Roman"/>
          <w:noProof/>
          <w:sz w:val="24"/>
        </w:rPr>
      </w:pPr>
    </w:p>
    <w:p w14:paraId="2D28C8C3" w14:textId="5C177C46" w:rsidR="00DC5EC6" w:rsidRDefault="003245A4">
      <w:pPr>
        <w:pStyle w:val="P68B1DB1-Normal4"/>
        <w:spacing w:before="40" w:after="0" w:line="259" w:lineRule="auto"/>
        <w:jc w:val="both"/>
        <w:rPr>
          <w:rFonts w:eastAsia="Calibri" w:cs="Times New Roman"/>
          <w:noProof/>
        </w:rPr>
      </w:pPr>
      <w:r>
        <w:rPr>
          <w:noProof/>
        </w:rPr>
        <w:t>Portugália helyreállítási és rezilienciaépítési tervének becsült összköltsége 22 215 870 313 EUR.</w:t>
      </w:r>
    </w:p>
    <w:p w14:paraId="10AABC7B" w14:textId="5DB77EB7" w:rsidR="00DC5EC6" w:rsidRDefault="003245A4">
      <w:pPr>
        <w:pStyle w:val="P68B1DB1-Normal4"/>
        <w:spacing w:before="40" w:after="0" w:line="259" w:lineRule="auto"/>
        <w:jc w:val="both"/>
        <w:rPr>
          <w:rFonts w:eastAsia="Calibri" w:cs="Times New Roman"/>
          <w:noProof/>
        </w:rPr>
      </w:pPr>
      <w:r>
        <w:rPr>
          <w:noProof/>
        </w:rPr>
        <w:t>A REPowerEU-fejezet becsült összköltsége 855 400 000 EUR. Az (EU) 2023/435 rendelet 21c. cikke (3) bekezdésének a) pontjában említett intézkedések becsült összköltsége 0 EUR, míg a REPowerEU-fejezetben szereplő egyéb intézkedések költsége 855 400 000 EUR.</w:t>
      </w:r>
    </w:p>
    <w:p w14:paraId="1303DF5E" w14:textId="77777777" w:rsidR="00DC5EC6" w:rsidRDefault="00DC5EC6">
      <w:pPr>
        <w:keepNext/>
        <w:spacing w:before="40" w:after="0" w:line="259" w:lineRule="auto"/>
        <w:jc w:val="both"/>
        <w:outlineLvl w:val="1"/>
        <w:rPr>
          <w:noProof/>
        </w:rPr>
      </w:pPr>
    </w:p>
    <w:p w14:paraId="515F6B1D" w14:textId="2D642D65" w:rsidR="00DC5EC6" w:rsidRDefault="003245A4">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t>2</w:t>
      </w:r>
      <w:r>
        <w:rPr>
          <w:rFonts w:ascii="Times New Roman" w:hAnsi="Times New Roman"/>
          <w:b/>
          <w:smallCaps/>
          <w:noProof/>
          <w:sz w:val="24"/>
        </w:rPr>
        <w:t xml:space="preserve">. SZAKASZ: PÉNZÜGYI TÁMOGATÁS </w:t>
      </w:r>
    </w:p>
    <w:p w14:paraId="549D205C" w14:textId="77777777" w:rsidR="00DC5EC6" w:rsidRDefault="003245A4">
      <w:pPr>
        <w:pStyle w:val="P68B1DB1-Normal3"/>
        <w:keepNext/>
        <w:numPr>
          <w:ilvl w:val="1"/>
          <w:numId w:val="46"/>
        </w:numPr>
        <w:spacing w:before="40" w:after="0" w:line="259" w:lineRule="auto"/>
        <w:jc w:val="both"/>
        <w:outlineLvl w:val="1"/>
        <w:rPr>
          <w:rFonts w:eastAsiaTheme="majorEastAsia" w:cs="Times New Roman"/>
          <w:noProof/>
        </w:rPr>
      </w:pPr>
      <w:r>
        <w:rPr>
          <w:noProof/>
        </w:rPr>
        <w:t xml:space="preserve">Pénzügyi hozzájárulás </w:t>
      </w:r>
    </w:p>
    <w:p w14:paraId="2AEF47AF"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389DCB62" w14:textId="77777777" w:rsidR="00DC5EC6" w:rsidRDefault="003245A4">
      <w:pPr>
        <w:pStyle w:val="P68B1DB1-Normal4"/>
        <w:keepNext/>
        <w:spacing w:before="40" w:after="160" w:line="259" w:lineRule="auto"/>
        <w:contextualSpacing/>
        <w:jc w:val="both"/>
        <w:rPr>
          <w:rFonts w:eastAsiaTheme="minorEastAsia" w:cs="Times New Roman"/>
          <w:noProof/>
        </w:rPr>
      </w:pPr>
      <w:r>
        <w:rPr>
          <w:noProof/>
        </w:rPr>
        <w:t>A 2. cikk (2) bekezdésében említett részösszegek szerkezete a következő:</w:t>
      </w:r>
    </w:p>
    <w:p w14:paraId="18903B08"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0355FDF"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Első kifizetési kérelem (vissza nem térítendő támogatás): </w:t>
      </w:r>
    </w:p>
    <w:p w14:paraId="4AABD02B"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46EFA30C" w14:textId="77777777">
        <w:trPr>
          <w:trHeight w:val="509"/>
          <w:tblHeader/>
        </w:trPr>
        <w:tc>
          <w:tcPr>
            <w:tcW w:w="1200" w:type="dxa"/>
            <w:vMerge w:val="restart"/>
            <w:shd w:val="clear" w:color="auto" w:fill="BDD7EE"/>
            <w:vAlign w:val="center"/>
            <w:hideMark/>
          </w:tcPr>
          <w:p w14:paraId="3C5DD9AA"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777412A4"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AFC0D26"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7291301C"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9D8F5D2" w14:textId="77777777">
        <w:trPr>
          <w:trHeight w:val="509"/>
          <w:tblHeader/>
        </w:trPr>
        <w:tc>
          <w:tcPr>
            <w:tcW w:w="1200" w:type="dxa"/>
            <w:vMerge/>
            <w:vAlign w:val="center"/>
            <w:hideMark/>
          </w:tcPr>
          <w:p w14:paraId="724EED61"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58F5A343"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62853973"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2BF9D123" w14:textId="77777777" w:rsidR="00DC5EC6" w:rsidRDefault="00DC5EC6">
            <w:pPr>
              <w:spacing w:after="0" w:line="240" w:lineRule="auto"/>
              <w:rPr>
                <w:rFonts w:ascii="Times New Roman" w:eastAsia="Times New Roman" w:hAnsi="Times New Roman" w:cs="Times New Roman"/>
                <w:noProof/>
                <w:sz w:val="20"/>
              </w:rPr>
            </w:pPr>
          </w:p>
        </w:tc>
      </w:tr>
      <w:tr w:rsidR="00DC5EC6" w14:paraId="6BFB7F1C" w14:textId="77777777">
        <w:trPr>
          <w:trHeight w:val="440"/>
        </w:trPr>
        <w:tc>
          <w:tcPr>
            <w:tcW w:w="1200" w:type="dxa"/>
            <w:shd w:val="clear" w:color="auto" w:fill="C4EFCE"/>
            <w:vAlign w:val="center"/>
            <w:hideMark/>
          </w:tcPr>
          <w:p w14:paraId="035B456C" w14:textId="77777777" w:rsidR="00DC5EC6" w:rsidRDefault="003245A4">
            <w:pPr>
              <w:pStyle w:val="P68B1DB1-Normal23"/>
              <w:spacing w:after="0"/>
              <w:jc w:val="center"/>
              <w:rPr>
                <w:noProof/>
              </w:rPr>
            </w:pPr>
            <w:r>
              <w:rPr>
                <w:noProof/>
              </w:rPr>
              <w:t>1.29</w:t>
            </w:r>
          </w:p>
        </w:tc>
        <w:tc>
          <w:tcPr>
            <w:tcW w:w="1760" w:type="dxa"/>
            <w:shd w:val="clear" w:color="auto" w:fill="C4EFCE"/>
            <w:vAlign w:val="center"/>
            <w:hideMark/>
          </w:tcPr>
          <w:p w14:paraId="5F82E253" w14:textId="77777777" w:rsidR="00DC5EC6" w:rsidRDefault="003245A4">
            <w:pPr>
              <w:pStyle w:val="P68B1DB1-Normal23"/>
              <w:spacing w:after="0"/>
              <w:jc w:val="center"/>
              <w:rPr>
                <w:noProof/>
              </w:rPr>
            </w:pPr>
            <w:r>
              <w:rPr>
                <w:noProof/>
              </w:rPr>
              <w:t xml:space="preserve">Re-C01-i05-RAM </w:t>
            </w:r>
          </w:p>
        </w:tc>
        <w:tc>
          <w:tcPr>
            <w:tcW w:w="1520" w:type="dxa"/>
            <w:shd w:val="clear" w:color="auto" w:fill="C4EFCE"/>
            <w:vAlign w:val="center"/>
            <w:hideMark/>
          </w:tcPr>
          <w:p w14:paraId="3B317CC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748D4E23" w14:textId="77777777" w:rsidR="00DC5EC6" w:rsidRDefault="003245A4">
            <w:pPr>
              <w:pStyle w:val="P68B1DB1-Normal23"/>
              <w:spacing w:after="0"/>
              <w:jc w:val="both"/>
              <w:rPr>
                <w:rFonts w:eastAsia="Calibri" w:cs="Calibri"/>
                <w:noProof/>
              </w:rPr>
            </w:pPr>
            <w:r>
              <w:rPr>
                <w:noProof/>
              </w:rPr>
              <w:t>Az integrált folyamatos ápolási-gondozási szolgáltatásokra vonatkozó osztályozási rendszer, funkcionális profil és felhasználói beterjesztési rendszer bevezetése Madeira regionális modelljéhez</w:t>
            </w:r>
          </w:p>
        </w:tc>
      </w:tr>
      <w:tr w:rsidR="00DC5EC6" w14:paraId="3069A8FF" w14:textId="77777777">
        <w:trPr>
          <w:trHeight w:val="440"/>
        </w:trPr>
        <w:tc>
          <w:tcPr>
            <w:tcW w:w="1200" w:type="dxa"/>
            <w:shd w:val="clear" w:color="auto" w:fill="C4EFCE"/>
            <w:vAlign w:val="center"/>
            <w:hideMark/>
          </w:tcPr>
          <w:p w14:paraId="2A4852AE" w14:textId="77777777" w:rsidR="00DC5EC6" w:rsidRDefault="003245A4">
            <w:pPr>
              <w:pStyle w:val="P68B1DB1-Normal23"/>
              <w:spacing w:after="0"/>
              <w:jc w:val="center"/>
              <w:rPr>
                <w:noProof/>
              </w:rPr>
            </w:pPr>
            <w:r>
              <w:rPr>
                <w:noProof/>
              </w:rPr>
              <w:t>1.4</w:t>
            </w:r>
          </w:p>
        </w:tc>
        <w:tc>
          <w:tcPr>
            <w:tcW w:w="1760" w:type="dxa"/>
            <w:shd w:val="clear" w:color="auto" w:fill="C4EFCE"/>
            <w:vAlign w:val="center"/>
            <w:hideMark/>
          </w:tcPr>
          <w:p w14:paraId="33989A47" w14:textId="77777777" w:rsidR="00DC5EC6" w:rsidRDefault="003245A4">
            <w:pPr>
              <w:pStyle w:val="P68B1DB1-Normal23"/>
              <w:spacing w:after="0"/>
              <w:jc w:val="center"/>
              <w:rPr>
                <w:noProof/>
              </w:rPr>
            </w:pPr>
            <w:r>
              <w:rPr>
                <w:noProof/>
              </w:rPr>
              <w:t xml:space="preserve">Re-C01-r02 </w:t>
            </w:r>
          </w:p>
        </w:tc>
        <w:tc>
          <w:tcPr>
            <w:tcW w:w="1520" w:type="dxa"/>
            <w:shd w:val="clear" w:color="auto" w:fill="C4EFCE"/>
            <w:vAlign w:val="center"/>
            <w:hideMark/>
          </w:tcPr>
          <w:p w14:paraId="0063710F"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1F50912" w14:textId="77777777" w:rsidR="00DC5EC6" w:rsidRDefault="003245A4">
            <w:pPr>
              <w:pStyle w:val="P68B1DB1-Normal23"/>
              <w:spacing w:after="0"/>
              <w:jc w:val="both"/>
              <w:rPr>
                <w:rFonts w:eastAsia="Calibri" w:cs="Calibri"/>
                <w:noProof/>
              </w:rPr>
            </w:pPr>
            <w:r>
              <w:rPr>
                <w:noProof/>
              </w:rPr>
              <w:t>A mentális egészségről szóló új törvényerejű rendelet hatálybalépése, amely meghatározza a mentális egészségügyi szolgáltatások szervezésének elveit</w:t>
            </w:r>
          </w:p>
        </w:tc>
      </w:tr>
      <w:tr w:rsidR="00DC5EC6" w14:paraId="2344BBFE" w14:textId="77777777">
        <w:trPr>
          <w:trHeight w:val="440"/>
        </w:trPr>
        <w:tc>
          <w:tcPr>
            <w:tcW w:w="1200" w:type="dxa"/>
            <w:shd w:val="clear" w:color="auto" w:fill="C4EFCE"/>
            <w:vAlign w:val="center"/>
            <w:hideMark/>
          </w:tcPr>
          <w:p w14:paraId="6084FBFD" w14:textId="77777777" w:rsidR="00DC5EC6" w:rsidRDefault="003245A4">
            <w:pPr>
              <w:pStyle w:val="P68B1DB1-Normal23"/>
              <w:spacing w:after="0"/>
              <w:jc w:val="center"/>
              <w:rPr>
                <w:noProof/>
              </w:rPr>
            </w:pPr>
            <w:r>
              <w:rPr>
                <w:noProof/>
              </w:rPr>
              <w:t>2.13</w:t>
            </w:r>
          </w:p>
        </w:tc>
        <w:tc>
          <w:tcPr>
            <w:tcW w:w="1760" w:type="dxa"/>
            <w:shd w:val="clear" w:color="auto" w:fill="C4EFCE"/>
            <w:vAlign w:val="center"/>
            <w:hideMark/>
          </w:tcPr>
          <w:p w14:paraId="68C41028" w14:textId="77777777" w:rsidR="00DC5EC6" w:rsidRDefault="003245A4">
            <w:pPr>
              <w:pStyle w:val="P68B1DB1-Normal23"/>
              <w:spacing w:after="0"/>
              <w:jc w:val="center"/>
              <w:rPr>
                <w:noProof/>
              </w:rPr>
            </w:pPr>
            <w:r>
              <w:rPr>
                <w:noProof/>
              </w:rPr>
              <w:t xml:space="preserve">Re-C02-i04-RAA </w:t>
            </w:r>
          </w:p>
        </w:tc>
        <w:tc>
          <w:tcPr>
            <w:tcW w:w="1520" w:type="dxa"/>
            <w:shd w:val="clear" w:color="auto" w:fill="C4EFCE"/>
            <w:vAlign w:val="center"/>
            <w:hideMark/>
          </w:tcPr>
          <w:p w14:paraId="44ACBEA0"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3219CFC6" w14:textId="77777777" w:rsidR="00DC5EC6" w:rsidRDefault="003245A4">
            <w:pPr>
              <w:pStyle w:val="P68B1DB1-Normal23"/>
              <w:spacing w:after="0"/>
              <w:jc w:val="both"/>
              <w:rPr>
                <w:rFonts w:eastAsia="Calibri" w:cs="Calibri"/>
                <w:noProof/>
              </w:rPr>
            </w:pPr>
            <w:r>
              <w:rPr>
                <w:noProof/>
              </w:rPr>
              <w:t>Beavatkozások az Azori-szigetek Autonóm Régió köztulajdonú lakásállományában</w:t>
            </w:r>
          </w:p>
        </w:tc>
      </w:tr>
      <w:tr w:rsidR="00DC5EC6" w14:paraId="3FC1CC3B" w14:textId="77777777">
        <w:trPr>
          <w:trHeight w:val="440"/>
        </w:trPr>
        <w:tc>
          <w:tcPr>
            <w:tcW w:w="1200" w:type="dxa"/>
            <w:shd w:val="clear" w:color="auto" w:fill="C4EFCE"/>
            <w:vAlign w:val="center"/>
            <w:hideMark/>
          </w:tcPr>
          <w:p w14:paraId="1EECC9AE" w14:textId="77777777" w:rsidR="00DC5EC6" w:rsidRDefault="003245A4">
            <w:pPr>
              <w:pStyle w:val="P68B1DB1-Normal23"/>
              <w:spacing w:after="0"/>
              <w:jc w:val="center"/>
              <w:rPr>
                <w:noProof/>
              </w:rPr>
            </w:pPr>
            <w:r>
              <w:rPr>
                <w:noProof/>
              </w:rPr>
              <w:t>2.14</w:t>
            </w:r>
          </w:p>
        </w:tc>
        <w:tc>
          <w:tcPr>
            <w:tcW w:w="1760" w:type="dxa"/>
            <w:shd w:val="clear" w:color="auto" w:fill="C4EFCE"/>
            <w:vAlign w:val="center"/>
            <w:hideMark/>
          </w:tcPr>
          <w:p w14:paraId="7D01D9D8" w14:textId="77777777" w:rsidR="00DC5EC6" w:rsidRDefault="003245A4">
            <w:pPr>
              <w:pStyle w:val="P68B1DB1-Normal23"/>
              <w:spacing w:after="0"/>
              <w:jc w:val="center"/>
              <w:rPr>
                <w:noProof/>
              </w:rPr>
            </w:pPr>
            <w:r>
              <w:rPr>
                <w:noProof/>
              </w:rPr>
              <w:t xml:space="preserve">Re-C02-i04-RAA </w:t>
            </w:r>
          </w:p>
        </w:tc>
        <w:tc>
          <w:tcPr>
            <w:tcW w:w="1520" w:type="dxa"/>
            <w:shd w:val="clear" w:color="auto" w:fill="C4EFCE"/>
            <w:vAlign w:val="center"/>
            <w:hideMark/>
          </w:tcPr>
          <w:p w14:paraId="4B0F382B"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21EA9779"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felújítás</w:t>
            </w:r>
          </w:p>
        </w:tc>
      </w:tr>
      <w:tr w:rsidR="00DC5EC6" w14:paraId="27E2DD10" w14:textId="77777777">
        <w:trPr>
          <w:trHeight w:val="440"/>
        </w:trPr>
        <w:tc>
          <w:tcPr>
            <w:tcW w:w="1200" w:type="dxa"/>
            <w:shd w:val="clear" w:color="auto" w:fill="C4EFCE"/>
            <w:vAlign w:val="center"/>
            <w:hideMark/>
          </w:tcPr>
          <w:p w14:paraId="08C4D405" w14:textId="77777777" w:rsidR="00DC5EC6" w:rsidRDefault="003245A4">
            <w:pPr>
              <w:pStyle w:val="P68B1DB1-Normal23"/>
              <w:spacing w:after="0"/>
              <w:jc w:val="center"/>
              <w:rPr>
                <w:noProof/>
              </w:rPr>
            </w:pPr>
            <w:r>
              <w:rPr>
                <w:noProof/>
              </w:rPr>
              <w:t>2.19</w:t>
            </w:r>
          </w:p>
        </w:tc>
        <w:tc>
          <w:tcPr>
            <w:tcW w:w="1760" w:type="dxa"/>
            <w:shd w:val="clear" w:color="auto" w:fill="C4EFCE"/>
            <w:vAlign w:val="center"/>
            <w:hideMark/>
          </w:tcPr>
          <w:p w14:paraId="02067C77" w14:textId="77777777" w:rsidR="00DC5EC6" w:rsidRDefault="003245A4">
            <w:pPr>
              <w:pStyle w:val="P68B1DB1-Normal23"/>
              <w:spacing w:after="0"/>
              <w:jc w:val="center"/>
              <w:rPr>
                <w:noProof/>
              </w:rPr>
            </w:pPr>
            <w:r>
              <w:rPr>
                <w:noProof/>
              </w:rPr>
              <w:t xml:space="preserve">Re-C02-r04 </w:t>
            </w:r>
          </w:p>
        </w:tc>
        <w:tc>
          <w:tcPr>
            <w:tcW w:w="1520" w:type="dxa"/>
            <w:shd w:val="clear" w:color="auto" w:fill="C4EFCE"/>
            <w:vAlign w:val="center"/>
            <w:hideMark/>
          </w:tcPr>
          <w:p w14:paraId="4DE1A0FE"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3EA2037" w14:textId="77777777" w:rsidR="00DC5EC6" w:rsidRDefault="003245A4">
            <w:pPr>
              <w:pStyle w:val="P68B1DB1-Normal23"/>
              <w:spacing w:after="0"/>
              <w:jc w:val="both"/>
              <w:rPr>
                <w:rFonts w:eastAsia="Calibri" w:cs="Calibri"/>
                <w:noProof/>
              </w:rPr>
            </w:pPr>
            <w:r>
              <w:rPr>
                <w:noProof/>
              </w:rPr>
              <w:t>A nemzeti sürgősségi és ideiglenes lakhatási terv jogi keretét jóváhagyó törvényerejű rendelet hatálybalépése</w:t>
            </w:r>
          </w:p>
        </w:tc>
      </w:tr>
      <w:tr w:rsidR="00DC5EC6" w14:paraId="1A823EEC" w14:textId="77777777">
        <w:trPr>
          <w:trHeight w:val="440"/>
        </w:trPr>
        <w:tc>
          <w:tcPr>
            <w:tcW w:w="1200" w:type="dxa"/>
            <w:shd w:val="clear" w:color="auto" w:fill="C4EFCE"/>
            <w:vAlign w:val="center"/>
            <w:hideMark/>
          </w:tcPr>
          <w:p w14:paraId="454764B0" w14:textId="77777777" w:rsidR="00DC5EC6" w:rsidRDefault="003245A4">
            <w:pPr>
              <w:pStyle w:val="P68B1DB1-Normal23"/>
              <w:spacing w:after="0"/>
              <w:jc w:val="center"/>
              <w:rPr>
                <w:noProof/>
              </w:rPr>
            </w:pPr>
            <w:r>
              <w:rPr>
                <w:noProof/>
              </w:rPr>
              <w:t>3.17</w:t>
            </w:r>
          </w:p>
        </w:tc>
        <w:tc>
          <w:tcPr>
            <w:tcW w:w="1760" w:type="dxa"/>
            <w:shd w:val="clear" w:color="auto" w:fill="C4EFCE"/>
            <w:vAlign w:val="center"/>
            <w:hideMark/>
          </w:tcPr>
          <w:p w14:paraId="5EEE7E6A" w14:textId="77777777" w:rsidR="00DC5EC6" w:rsidRDefault="003245A4">
            <w:pPr>
              <w:pStyle w:val="P68B1DB1-Normal23"/>
              <w:spacing w:after="0"/>
              <w:jc w:val="center"/>
              <w:rPr>
                <w:noProof/>
              </w:rPr>
            </w:pPr>
            <w:r>
              <w:rPr>
                <w:noProof/>
              </w:rPr>
              <w:t xml:space="preserve">Re-C03-i05 </w:t>
            </w:r>
          </w:p>
        </w:tc>
        <w:tc>
          <w:tcPr>
            <w:tcW w:w="1520" w:type="dxa"/>
            <w:shd w:val="clear" w:color="auto" w:fill="C4EFCE"/>
            <w:vAlign w:val="center"/>
            <w:hideMark/>
          </w:tcPr>
          <w:p w14:paraId="7E749779"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59E3FD88" w14:textId="77777777" w:rsidR="00DC5EC6" w:rsidRDefault="003245A4">
            <w:pPr>
              <w:pStyle w:val="P68B1DB1-Normal23"/>
              <w:spacing w:after="0"/>
              <w:jc w:val="both"/>
              <w:rPr>
                <w:rFonts w:eastAsia="Calibri" w:cs="Calibri"/>
                <w:noProof/>
              </w:rPr>
            </w:pPr>
            <w:r>
              <w:rPr>
                <w:noProof/>
              </w:rPr>
              <w:t>A „Digitális infrastruktúra kiépítése a 360°-os akadálymentesség érdekében” pályázat közzététele</w:t>
            </w:r>
          </w:p>
        </w:tc>
      </w:tr>
      <w:tr w:rsidR="00DC5EC6" w14:paraId="4A7CD219" w14:textId="77777777">
        <w:trPr>
          <w:trHeight w:val="440"/>
        </w:trPr>
        <w:tc>
          <w:tcPr>
            <w:tcW w:w="1200" w:type="dxa"/>
            <w:shd w:val="clear" w:color="auto" w:fill="C4EFCE"/>
            <w:vAlign w:val="center"/>
            <w:hideMark/>
          </w:tcPr>
          <w:p w14:paraId="11B4A886" w14:textId="77777777" w:rsidR="00DC5EC6" w:rsidRDefault="003245A4">
            <w:pPr>
              <w:pStyle w:val="P68B1DB1-Normal23"/>
              <w:spacing w:after="0"/>
              <w:jc w:val="center"/>
              <w:rPr>
                <w:noProof/>
              </w:rPr>
            </w:pPr>
            <w:r>
              <w:rPr>
                <w:noProof/>
              </w:rPr>
              <w:t>3.20</w:t>
            </w:r>
          </w:p>
        </w:tc>
        <w:tc>
          <w:tcPr>
            <w:tcW w:w="1760" w:type="dxa"/>
            <w:shd w:val="clear" w:color="auto" w:fill="C4EFCE"/>
            <w:vAlign w:val="center"/>
            <w:hideMark/>
          </w:tcPr>
          <w:p w14:paraId="5AB1C66A" w14:textId="77777777" w:rsidR="00DC5EC6" w:rsidRDefault="003245A4">
            <w:pPr>
              <w:pStyle w:val="P68B1DB1-Normal23"/>
              <w:spacing w:after="0"/>
              <w:jc w:val="center"/>
              <w:rPr>
                <w:noProof/>
              </w:rPr>
            </w:pPr>
            <w:r>
              <w:rPr>
                <w:noProof/>
              </w:rPr>
              <w:t xml:space="preserve">Re-C03-r08 </w:t>
            </w:r>
          </w:p>
        </w:tc>
        <w:tc>
          <w:tcPr>
            <w:tcW w:w="1520" w:type="dxa"/>
            <w:shd w:val="clear" w:color="auto" w:fill="C4EFCE"/>
            <w:vAlign w:val="center"/>
            <w:hideMark/>
          </w:tcPr>
          <w:p w14:paraId="7115B103"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834BE7E" w14:textId="77777777" w:rsidR="00DC5EC6" w:rsidRDefault="003245A4">
            <w:pPr>
              <w:pStyle w:val="P68B1DB1-Normal23"/>
              <w:spacing w:after="0"/>
              <w:jc w:val="both"/>
              <w:rPr>
                <w:rFonts w:eastAsia="Calibri" w:cs="Calibri"/>
                <w:noProof/>
              </w:rPr>
            </w:pPr>
            <w:r>
              <w:rPr>
                <w:noProof/>
              </w:rPr>
              <w:t>A szegénység elleni küzdelemre irányuló nemzeti stratégia elfogadása</w:t>
            </w:r>
          </w:p>
        </w:tc>
      </w:tr>
      <w:tr w:rsidR="00DC5EC6" w14:paraId="1EA1FEC6" w14:textId="77777777">
        <w:trPr>
          <w:trHeight w:val="440"/>
        </w:trPr>
        <w:tc>
          <w:tcPr>
            <w:tcW w:w="1200" w:type="dxa"/>
            <w:shd w:val="clear" w:color="auto" w:fill="C4EFCE"/>
            <w:vAlign w:val="center"/>
            <w:hideMark/>
          </w:tcPr>
          <w:p w14:paraId="3194D942" w14:textId="77777777" w:rsidR="00DC5EC6" w:rsidRDefault="003245A4">
            <w:pPr>
              <w:pStyle w:val="P68B1DB1-Normal23"/>
              <w:spacing w:after="0"/>
              <w:jc w:val="center"/>
              <w:rPr>
                <w:noProof/>
              </w:rPr>
            </w:pPr>
            <w:r>
              <w:rPr>
                <w:noProof/>
              </w:rPr>
              <w:t>3.21</w:t>
            </w:r>
          </w:p>
        </w:tc>
        <w:tc>
          <w:tcPr>
            <w:tcW w:w="1760" w:type="dxa"/>
            <w:shd w:val="clear" w:color="auto" w:fill="C4EFCE"/>
            <w:vAlign w:val="center"/>
            <w:hideMark/>
          </w:tcPr>
          <w:p w14:paraId="365F7A17" w14:textId="77777777" w:rsidR="00DC5EC6" w:rsidRDefault="003245A4">
            <w:pPr>
              <w:pStyle w:val="P68B1DB1-Normal23"/>
              <w:spacing w:after="0"/>
              <w:jc w:val="center"/>
              <w:rPr>
                <w:noProof/>
              </w:rPr>
            </w:pPr>
            <w:r>
              <w:rPr>
                <w:noProof/>
              </w:rPr>
              <w:t xml:space="preserve">Re-C03-r06 </w:t>
            </w:r>
          </w:p>
        </w:tc>
        <w:tc>
          <w:tcPr>
            <w:tcW w:w="1520" w:type="dxa"/>
            <w:shd w:val="clear" w:color="auto" w:fill="C4EFCE"/>
            <w:vAlign w:val="center"/>
            <w:hideMark/>
          </w:tcPr>
          <w:p w14:paraId="07DB9847"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E6DA00E" w14:textId="77777777" w:rsidR="00DC5EC6" w:rsidRDefault="003245A4">
            <w:pPr>
              <w:pStyle w:val="P68B1DB1-Normal23"/>
              <w:spacing w:after="0"/>
              <w:jc w:val="both"/>
              <w:rPr>
                <w:rFonts w:eastAsia="Calibri" w:cs="Calibri"/>
                <w:noProof/>
              </w:rPr>
            </w:pPr>
            <w:r>
              <w:rPr>
                <w:noProof/>
              </w:rPr>
              <w:t>A fogyatékossággal élő személyek befogadására vonatkozó 2021–2025-ös nemzeti stratégia elfogadása</w:t>
            </w:r>
          </w:p>
        </w:tc>
      </w:tr>
      <w:tr w:rsidR="00DC5EC6" w14:paraId="35F21874" w14:textId="77777777">
        <w:trPr>
          <w:trHeight w:val="440"/>
        </w:trPr>
        <w:tc>
          <w:tcPr>
            <w:tcW w:w="1200" w:type="dxa"/>
            <w:shd w:val="clear" w:color="auto" w:fill="C4EFCE"/>
            <w:vAlign w:val="center"/>
            <w:hideMark/>
          </w:tcPr>
          <w:p w14:paraId="47B7A28F" w14:textId="77777777" w:rsidR="00DC5EC6" w:rsidRDefault="003245A4">
            <w:pPr>
              <w:pStyle w:val="P68B1DB1-Normal23"/>
              <w:spacing w:after="0"/>
              <w:jc w:val="center"/>
              <w:rPr>
                <w:noProof/>
              </w:rPr>
            </w:pPr>
            <w:r>
              <w:rPr>
                <w:noProof/>
              </w:rPr>
              <w:t>3.22</w:t>
            </w:r>
          </w:p>
        </w:tc>
        <w:tc>
          <w:tcPr>
            <w:tcW w:w="1760" w:type="dxa"/>
            <w:shd w:val="clear" w:color="auto" w:fill="C4EFCE"/>
            <w:vAlign w:val="center"/>
            <w:hideMark/>
          </w:tcPr>
          <w:p w14:paraId="6AE41D5D" w14:textId="77777777" w:rsidR="00DC5EC6" w:rsidRDefault="003245A4">
            <w:pPr>
              <w:pStyle w:val="P68B1DB1-Normal23"/>
              <w:spacing w:after="0"/>
              <w:jc w:val="center"/>
              <w:rPr>
                <w:noProof/>
              </w:rPr>
            </w:pPr>
            <w:r>
              <w:rPr>
                <w:noProof/>
              </w:rPr>
              <w:t xml:space="preserve">Re-C03-r05 </w:t>
            </w:r>
          </w:p>
        </w:tc>
        <w:tc>
          <w:tcPr>
            <w:tcW w:w="1520" w:type="dxa"/>
            <w:shd w:val="clear" w:color="auto" w:fill="C4EFCE"/>
            <w:vAlign w:val="center"/>
            <w:hideMark/>
          </w:tcPr>
          <w:p w14:paraId="4C477BAF"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D60CF00" w14:textId="77777777" w:rsidR="00DC5EC6" w:rsidRDefault="003245A4">
            <w:pPr>
              <w:pStyle w:val="P68B1DB1-Normal23"/>
              <w:spacing w:after="0"/>
              <w:jc w:val="both"/>
              <w:rPr>
                <w:rFonts w:eastAsia="Calibri" w:cs="Calibri"/>
                <w:noProof/>
              </w:rPr>
            </w:pPr>
            <w:r>
              <w:rPr>
                <w:noProof/>
              </w:rPr>
              <w:t>Az egyszerűsített szociális berendezések telepítési rendszerének hatálybalépése</w:t>
            </w:r>
          </w:p>
        </w:tc>
      </w:tr>
      <w:tr w:rsidR="00DC5EC6" w14:paraId="4430CD28" w14:textId="77777777">
        <w:trPr>
          <w:trHeight w:val="440"/>
        </w:trPr>
        <w:tc>
          <w:tcPr>
            <w:tcW w:w="1200" w:type="dxa"/>
            <w:shd w:val="clear" w:color="auto" w:fill="C4EFCE"/>
            <w:vAlign w:val="center"/>
            <w:hideMark/>
          </w:tcPr>
          <w:p w14:paraId="23A0F1E2" w14:textId="77777777" w:rsidR="00DC5EC6" w:rsidRDefault="003245A4">
            <w:pPr>
              <w:pStyle w:val="P68B1DB1-Normal23"/>
              <w:spacing w:after="0"/>
              <w:jc w:val="center"/>
              <w:rPr>
                <w:noProof/>
              </w:rPr>
            </w:pPr>
            <w:r>
              <w:rPr>
                <w:noProof/>
              </w:rPr>
              <w:t>3.23</w:t>
            </w:r>
          </w:p>
        </w:tc>
        <w:tc>
          <w:tcPr>
            <w:tcW w:w="1760" w:type="dxa"/>
            <w:shd w:val="clear" w:color="auto" w:fill="C4EFCE"/>
            <w:vAlign w:val="center"/>
            <w:hideMark/>
          </w:tcPr>
          <w:p w14:paraId="706C3979" w14:textId="77777777" w:rsidR="00DC5EC6" w:rsidRDefault="003245A4">
            <w:pPr>
              <w:pStyle w:val="P68B1DB1-Normal23"/>
              <w:spacing w:after="0"/>
              <w:jc w:val="center"/>
              <w:rPr>
                <w:noProof/>
              </w:rPr>
            </w:pPr>
            <w:r>
              <w:rPr>
                <w:noProof/>
              </w:rPr>
              <w:t xml:space="preserve">Re-C03-r07 </w:t>
            </w:r>
          </w:p>
        </w:tc>
        <w:tc>
          <w:tcPr>
            <w:tcW w:w="1520" w:type="dxa"/>
            <w:shd w:val="clear" w:color="auto" w:fill="C4EFCE"/>
            <w:vAlign w:val="center"/>
            <w:hideMark/>
          </w:tcPr>
          <w:p w14:paraId="02E5D703"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67651E6" w14:textId="77777777" w:rsidR="00DC5EC6" w:rsidRDefault="003245A4">
            <w:pPr>
              <w:pStyle w:val="P68B1DB1-Normal23"/>
              <w:spacing w:after="0"/>
              <w:jc w:val="both"/>
              <w:rPr>
                <w:rFonts w:eastAsia="Calibri" w:cs="Calibri"/>
                <w:noProof/>
              </w:rPr>
            </w:pPr>
            <w:r>
              <w:rPr>
                <w:noProof/>
              </w:rPr>
              <w:t>A lisszaboni és portói nagyvárosi területek hátrányos helyzetű közösségeire vonatkozó cselekvési tervek jóváhagyása</w:t>
            </w:r>
          </w:p>
        </w:tc>
      </w:tr>
      <w:tr w:rsidR="00DC5EC6" w14:paraId="0188275D" w14:textId="77777777">
        <w:trPr>
          <w:trHeight w:val="440"/>
        </w:trPr>
        <w:tc>
          <w:tcPr>
            <w:tcW w:w="1200" w:type="dxa"/>
            <w:shd w:val="clear" w:color="auto" w:fill="C4EFCE"/>
            <w:vAlign w:val="center"/>
            <w:hideMark/>
          </w:tcPr>
          <w:p w14:paraId="1F3B57E4" w14:textId="77777777" w:rsidR="00DC5EC6" w:rsidRDefault="003245A4">
            <w:pPr>
              <w:pStyle w:val="P68B1DB1-Normal23"/>
              <w:spacing w:after="0"/>
              <w:jc w:val="center"/>
              <w:rPr>
                <w:noProof/>
              </w:rPr>
            </w:pPr>
            <w:r>
              <w:rPr>
                <w:noProof/>
              </w:rPr>
              <w:t>5.1</w:t>
            </w:r>
          </w:p>
        </w:tc>
        <w:tc>
          <w:tcPr>
            <w:tcW w:w="1760" w:type="dxa"/>
            <w:shd w:val="clear" w:color="auto" w:fill="C4EFCE"/>
            <w:vAlign w:val="center"/>
            <w:hideMark/>
          </w:tcPr>
          <w:p w14:paraId="42A78FEF" w14:textId="77777777" w:rsidR="00DC5EC6" w:rsidRDefault="003245A4">
            <w:pPr>
              <w:pStyle w:val="P68B1DB1-Normal23"/>
              <w:spacing w:after="0"/>
              <w:jc w:val="center"/>
              <w:rPr>
                <w:noProof/>
              </w:rPr>
            </w:pPr>
            <w:r>
              <w:rPr>
                <w:noProof/>
              </w:rPr>
              <w:t xml:space="preserve">Re-C05-r09 </w:t>
            </w:r>
          </w:p>
        </w:tc>
        <w:tc>
          <w:tcPr>
            <w:tcW w:w="1520" w:type="dxa"/>
            <w:shd w:val="clear" w:color="auto" w:fill="C4EFCE"/>
            <w:vAlign w:val="center"/>
            <w:hideMark/>
          </w:tcPr>
          <w:p w14:paraId="31498FF4"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E244C18" w14:textId="77777777" w:rsidR="00DC5EC6" w:rsidRDefault="003245A4">
            <w:pPr>
              <w:pStyle w:val="P68B1DB1-Normal23"/>
              <w:spacing w:after="0"/>
              <w:jc w:val="both"/>
              <w:rPr>
                <w:rFonts w:eastAsia="Calibri" w:cs="Calibri"/>
                <w:noProof/>
              </w:rPr>
            </w:pPr>
            <w:r>
              <w:rPr>
                <w:noProof/>
              </w:rPr>
              <w:t>A 2030-ig tartó időszakra vonatkozó technológiai és üzleti innovációs stratégiára vonatkozó iránymutatások aktualizálása</w:t>
            </w:r>
          </w:p>
        </w:tc>
      </w:tr>
      <w:tr w:rsidR="00DC5EC6" w14:paraId="78C3ED81" w14:textId="77777777">
        <w:trPr>
          <w:trHeight w:val="440"/>
        </w:trPr>
        <w:tc>
          <w:tcPr>
            <w:tcW w:w="1200" w:type="dxa"/>
            <w:shd w:val="clear" w:color="auto" w:fill="C4EFCE"/>
            <w:vAlign w:val="center"/>
            <w:hideMark/>
          </w:tcPr>
          <w:p w14:paraId="5F5ACAF6" w14:textId="77777777" w:rsidR="00DC5EC6" w:rsidRDefault="003245A4">
            <w:pPr>
              <w:pStyle w:val="P68B1DB1-Normal23"/>
              <w:spacing w:after="0"/>
              <w:jc w:val="center"/>
              <w:rPr>
                <w:noProof/>
              </w:rPr>
            </w:pPr>
            <w:r>
              <w:rPr>
                <w:noProof/>
              </w:rPr>
              <w:t>5.11</w:t>
            </w:r>
          </w:p>
        </w:tc>
        <w:tc>
          <w:tcPr>
            <w:tcW w:w="1760" w:type="dxa"/>
            <w:shd w:val="clear" w:color="auto" w:fill="C4EFCE"/>
            <w:vAlign w:val="center"/>
            <w:hideMark/>
          </w:tcPr>
          <w:p w14:paraId="392937B4" w14:textId="77777777" w:rsidR="00DC5EC6" w:rsidRDefault="003245A4">
            <w:pPr>
              <w:pStyle w:val="P68B1DB1-Normal23"/>
              <w:spacing w:after="0"/>
              <w:jc w:val="center"/>
              <w:rPr>
                <w:noProof/>
              </w:rPr>
            </w:pPr>
            <w:r>
              <w:rPr>
                <w:noProof/>
              </w:rPr>
              <w:t xml:space="preserve">Re-C05-i03 </w:t>
            </w:r>
          </w:p>
        </w:tc>
        <w:tc>
          <w:tcPr>
            <w:tcW w:w="1520" w:type="dxa"/>
            <w:shd w:val="clear" w:color="auto" w:fill="C4EFCE"/>
            <w:vAlign w:val="center"/>
            <w:hideMark/>
          </w:tcPr>
          <w:p w14:paraId="7D4ACEC0"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39EA9E33" w14:textId="77777777" w:rsidR="00DC5EC6" w:rsidRDefault="003245A4">
            <w:pPr>
              <w:pStyle w:val="P68B1DB1-Normal23"/>
              <w:spacing w:after="0"/>
              <w:jc w:val="both"/>
              <w:rPr>
                <w:rFonts w:eastAsia="Calibri" w:cs="Calibri"/>
                <w:noProof/>
              </w:rPr>
            </w:pPr>
            <w:r>
              <w:rPr>
                <w:noProof/>
              </w:rPr>
              <w:t>Pályázati eljárás kutatási és innovációs projektekre</w:t>
            </w:r>
          </w:p>
        </w:tc>
      </w:tr>
      <w:tr w:rsidR="00DC5EC6" w14:paraId="1D0B4AB1" w14:textId="77777777">
        <w:trPr>
          <w:trHeight w:val="440"/>
        </w:trPr>
        <w:tc>
          <w:tcPr>
            <w:tcW w:w="1200" w:type="dxa"/>
            <w:shd w:val="clear" w:color="auto" w:fill="C4EFCE"/>
            <w:vAlign w:val="center"/>
            <w:hideMark/>
          </w:tcPr>
          <w:p w14:paraId="0F7B6C0C" w14:textId="77777777" w:rsidR="00DC5EC6" w:rsidRDefault="003245A4">
            <w:pPr>
              <w:pStyle w:val="P68B1DB1-Normal23"/>
              <w:spacing w:after="0"/>
              <w:jc w:val="center"/>
              <w:rPr>
                <w:noProof/>
              </w:rPr>
            </w:pPr>
            <w:r>
              <w:rPr>
                <w:noProof/>
              </w:rPr>
              <w:t>5.15</w:t>
            </w:r>
          </w:p>
        </w:tc>
        <w:tc>
          <w:tcPr>
            <w:tcW w:w="1760" w:type="dxa"/>
            <w:shd w:val="clear" w:color="auto" w:fill="C4EFCE"/>
            <w:vAlign w:val="center"/>
            <w:hideMark/>
          </w:tcPr>
          <w:p w14:paraId="0CECB758" w14:textId="77777777" w:rsidR="00DC5EC6" w:rsidRDefault="003245A4">
            <w:pPr>
              <w:pStyle w:val="P68B1DB1-Normal23"/>
              <w:spacing w:after="0"/>
              <w:jc w:val="center"/>
              <w:rPr>
                <w:noProof/>
              </w:rPr>
            </w:pPr>
            <w:r>
              <w:rPr>
                <w:noProof/>
              </w:rPr>
              <w:t xml:space="preserve">Re-C05-i04-RAA </w:t>
            </w:r>
          </w:p>
        </w:tc>
        <w:tc>
          <w:tcPr>
            <w:tcW w:w="1520" w:type="dxa"/>
            <w:shd w:val="clear" w:color="auto" w:fill="C4EFCE"/>
            <w:vAlign w:val="center"/>
            <w:hideMark/>
          </w:tcPr>
          <w:p w14:paraId="70425A2C"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3C8A3475" w14:textId="77777777" w:rsidR="00DC5EC6" w:rsidRDefault="003245A4">
            <w:pPr>
              <w:pStyle w:val="P68B1DB1-Normal23"/>
              <w:spacing w:after="0"/>
              <w:jc w:val="both"/>
              <w:rPr>
                <w:rFonts w:eastAsia="Calibri" w:cs="Calibri"/>
                <w:noProof/>
              </w:rPr>
            </w:pPr>
            <w:r>
              <w:rPr>
                <w:noProof/>
              </w:rPr>
              <w:t>Az Azori-szigeteken működő vállalkozások feltőkésítési eszközéről szóló rendelet elfogadása</w:t>
            </w:r>
          </w:p>
        </w:tc>
      </w:tr>
      <w:tr w:rsidR="00DC5EC6" w14:paraId="176FDD0D" w14:textId="77777777">
        <w:trPr>
          <w:trHeight w:val="440"/>
        </w:trPr>
        <w:tc>
          <w:tcPr>
            <w:tcW w:w="1200" w:type="dxa"/>
            <w:shd w:val="clear" w:color="auto" w:fill="C4EFCE"/>
            <w:vAlign w:val="center"/>
            <w:hideMark/>
          </w:tcPr>
          <w:p w14:paraId="553D2824" w14:textId="77777777" w:rsidR="00DC5EC6" w:rsidRDefault="003245A4">
            <w:pPr>
              <w:pStyle w:val="P68B1DB1-Normal23"/>
              <w:spacing w:after="0"/>
              <w:jc w:val="center"/>
              <w:rPr>
                <w:noProof/>
              </w:rPr>
            </w:pPr>
            <w:r>
              <w:rPr>
                <w:noProof/>
              </w:rPr>
              <w:t>5.16</w:t>
            </w:r>
          </w:p>
        </w:tc>
        <w:tc>
          <w:tcPr>
            <w:tcW w:w="1760" w:type="dxa"/>
            <w:shd w:val="clear" w:color="auto" w:fill="C4EFCE"/>
            <w:vAlign w:val="center"/>
            <w:hideMark/>
          </w:tcPr>
          <w:p w14:paraId="2639BDA1" w14:textId="77777777" w:rsidR="00DC5EC6" w:rsidRDefault="003245A4">
            <w:pPr>
              <w:pStyle w:val="P68B1DB1-Normal23"/>
              <w:spacing w:after="0"/>
              <w:jc w:val="center"/>
              <w:rPr>
                <w:noProof/>
              </w:rPr>
            </w:pPr>
            <w:r>
              <w:rPr>
                <w:noProof/>
              </w:rPr>
              <w:t xml:space="preserve">Re-C05-i04-RAA </w:t>
            </w:r>
          </w:p>
        </w:tc>
        <w:tc>
          <w:tcPr>
            <w:tcW w:w="1520" w:type="dxa"/>
            <w:shd w:val="clear" w:color="auto" w:fill="C4EFCE"/>
            <w:vAlign w:val="center"/>
            <w:hideMark/>
          </w:tcPr>
          <w:p w14:paraId="102C8715"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746EFF2" w14:textId="77777777" w:rsidR="00DC5EC6" w:rsidRDefault="003245A4">
            <w:pPr>
              <w:pStyle w:val="P68B1DB1-Normal23"/>
              <w:spacing w:after="0"/>
              <w:jc w:val="both"/>
              <w:rPr>
                <w:rFonts w:eastAsia="Calibri" w:cs="Calibri"/>
                <w:noProof/>
              </w:rPr>
            </w:pPr>
            <w:r>
              <w:rPr>
                <w:noProof/>
              </w:rPr>
              <w:t>A vállalkozások feltőkésítési eszközére vonatkozó beruházási politika elfogadása az Azori-szigeteken</w:t>
            </w:r>
          </w:p>
        </w:tc>
      </w:tr>
      <w:tr w:rsidR="00DC5EC6" w14:paraId="07EDB729" w14:textId="77777777">
        <w:trPr>
          <w:trHeight w:val="440"/>
        </w:trPr>
        <w:tc>
          <w:tcPr>
            <w:tcW w:w="1200" w:type="dxa"/>
            <w:shd w:val="clear" w:color="auto" w:fill="C4EFCE"/>
            <w:vAlign w:val="center"/>
            <w:hideMark/>
          </w:tcPr>
          <w:p w14:paraId="397FEFCC" w14:textId="77777777" w:rsidR="00DC5EC6" w:rsidRDefault="003245A4">
            <w:pPr>
              <w:pStyle w:val="P68B1DB1-Normal23"/>
              <w:spacing w:after="0"/>
              <w:jc w:val="center"/>
              <w:rPr>
                <w:noProof/>
              </w:rPr>
            </w:pPr>
            <w:r>
              <w:rPr>
                <w:noProof/>
              </w:rPr>
              <w:t>5.2</w:t>
            </w:r>
          </w:p>
        </w:tc>
        <w:tc>
          <w:tcPr>
            <w:tcW w:w="1760" w:type="dxa"/>
            <w:shd w:val="clear" w:color="auto" w:fill="C4EFCE"/>
            <w:vAlign w:val="center"/>
            <w:hideMark/>
          </w:tcPr>
          <w:p w14:paraId="7C1F4829" w14:textId="77777777" w:rsidR="00DC5EC6" w:rsidRDefault="003245A4">
            <w:pPr>
              <w:pStyle w:val="P68B1DB1-Normal23"/>
              <w:spacing w:after="0"/>
              <w:jc w:val="center"/>
              <w:rPr>
                <w:noProof/>
              </w:rPr>
            </w:pPr>
            <w:r>
              <w:rPr>
                <w:noProof/>
              </w:rPr>
              <w:t xml:space="preserve">Re-C05-r11 </w:t>
            </w:r>
          </w:p>
        </w:tc>
        <w:tc>
          <w:tcPr>
            <w:tcW w:w="1520" w:type="dxa"/>
            <w:shd w:val="clear" w:color="auto" w:fill="C4EFCE"/>
            <w:vAlign w:val="center"/>
            <w:hideMark/>
          </w:tcPr>
          <w:p w14:paraId="5720520B"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0DF8414C" w14:textId="77777777" w:rsidR="00DC5EC6" w:rsidRDefault="003245A4">
            <w:pPr>
              <w:pStyle w:val="P68B1DB1-Normal23"/>
              <w:spacing w:after="0"/>
              <w:jc w:val="both"/>
              <w:rPr>
                <w:rFonts w:eastAsia="Calibri" w:cs="Calibri"/>
                <w:noProof/>
              </w:rPr>
            </w:pPr>
            <w:r>
              <w:rPr>
                <w:noProof/>
              </w:rPr>
              <w:t>Az elismert együttműködő laboratóriumok hálózatának bővítése</w:t>
            </w:r>
          </w:p>
        </w:tc>
      </w:tr>
      <w:tr w:rsidR="00DC5EC6" w14:paraId="5A009809" w14:textId="77777777">
        <w:trPr>
          <w:trHeight w:val="440"/>
        </w:trPr>
        <w:tc>
          <w:tcPr>
            <w:tcW w:w="1200" w:type="dxa"/>
            <w:shd w:val="clear" w:color="auto" w:fill="C4EFCE"/>
            <w:vAlign w:val="center"/>
            <w:hideMark/>
          </w:tcPr>
          <w:p w14:paraId="45985C5D" w14:textId="77777777" w:rsidR="00DC5EC6" w:rsidRDefault="003245A4">
            <w:pPr>
              <w:pStyle w:val="P68B1DB1-Normal23"/>
              <w:spacing w:after="0"/>
              <w:jc w:val="center"/>
              <w:rPr>
                <w:noProof/>
              </w:rPr>
            </w:pPr>
            <w:r>
              <w:rPr>
                <w:noProof/>
              </w:rPr>
              <w:t>5.3</w:t>
            </w:r>
          </w:p>
        </w:tc>
        <w:tc>
          <w:tcPr>
            <w:tcW w:w="1760" w:type="dxa"/>
            <w:shd w:val="clear" w:color="auto" w:fill="C4EFCE"/>
            <w:vAlign w:val="center"/>
            <w:hideMark/>
          </w:tcPr>
          <w:p w14:paraId="011C25AB" w14:textId="77777777" w:rsidR="00DC5EC6" w:rsidRDefault="003245A4">
            <w:pPr>
              <w:pStyle w:val="P68B1DB1-Normal23"/>
              <w:spacing w:after="0"/>
              <w:jc w:val="center"/>
              <w:rPr>
                <w:noProof/>
              </w:rPr>
            </w:pPr>
            <w:r>
              <w:rPr>
                <w:noProof/>
              </w:rPr>
              <w:t xml:space="preserve">Re-C05-r11 </w:t>
            </w:r>
          </w:p>
        </w:tc>
        <w:tc>
          <w:tcPr>
            <w:tcW w:w="1520" w:type="dxa"/>
            <w:shd w:val="clear" w:color="auto" w:fill="C4EFCE"/>
            <w:vAlign w:val="center"/>
            <w:hideMark/>
          </w:tcPr>
          <w:p w14:paraId="2FDDC858"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A5BACC9" w14:textId="77777777" w:rsidR="00DC5EC6" w:rsidRDefault="003245A4">
            <w:pPr>
              <w:pStyle w:val="P68B1DB1-Normal23"/>
              <w:spacing w:after="0"/>
              <w:jc w:val="both"/>
              <w:rPr>
                <w:rFonts w:eastAsia="Calibri" w:cs="Calibri"/>
                <w:noProof/>
              </w:rPr>
            </w:pPr>
            <w:r>
              <w:rPr>
                <w:noProof/>
              </w:rPr>
              <w:t>A technológiai és innovációs központokra vonatkozó új jogi szabályozás hatálybalépése</w:t>
            </w:r>
          </w:p>
        </w:tc>
      </w:tr>
      <w:tr w:rsidR="00DC5EC6" w14:paraId="19FDD4F0" w14:textId="77777777">
        <w:trPr>
          <w:trHeight w:val="440"/>
        </w:trPr>
        <w:tc>
          <w:tcPr>
            <w:tcW w:w="1200" w:type="dxa"/>
            <w:shd w:val="clear" w:color="auto" w:fill="C4EFCE"/>
            <w:vAlign w:val="center"/>
            <w:hideMark/>
          </w:tcPr>
          <w:p w14:paraId="63D580E9" w14:textId="77777777" w:rsidR="00DC5EC6" w:rsidRDefault="003245A4">
            <w:pPr>
              <w:pStyle w:val="P68B1DB1-Normal23"/>
              <w:spacing w:after="0"/>
              <w:jc w:val="center"/>
              <w:rPr>
                <w:noProof/>
              </w:rPr>
            </w:pPr>
            <w:r>
              <w:rPr>
                <w:noProof/>
              </w:rPr>
              <w:t>5.4</w:t>
            </w:r>
          </w:p>
        </w:tc>
        <w:tc>
          <w:tcPr>
            <w:tcW w:w="1760" w:type="dxa"/>
            <w:shd w:val="clear" w:color="auto" w:fill="C4EFCE"/>
            <w:vAlign w:val="center"/>
            <w:hideMark/>
          </w:tcPr>
          <w:p w14:paraId="10BF5D37" w14:textId="77777777" w:rsidR="00DC5EC6" w:rsidRDefault="003245A4">
            <w:pPr>
              <w:pStyle w:val="P68B1DB1-Normal23"/>
              <w:spacing w:after="0"/>
              <w:jc w:val="center"/>
              <w:rPr>
                <w:noProof/>
              </w:rPr>
            </w:pPr>
            <w:r>
              <w:rPr>
                <w:noProof/>
              </w:rPr>
              <w:t xml:space="preserve">Re-C05-r12 </w:t>
            </w:r>
          </w:p>
        </w:tc>
        <w:tc>
          <w:tcPr>
            <w:tcW w:w="1520" w:type="dxa"/>
            <w:shd w:val="clear" w:color="auto" w:fill="C4EFCE"/>
            <w:vAlign w:val="center"/>
            <w:hideMark/>
          </w:tcPr>
          <w:p w14:paraId="1867B00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5CD95E27" w14:textId="77777777" w:rsidR="00DC5EC6" w:rsidRDefault="003245A4">
            <w:pPr>
              <w:pStyle w:val="P68B1DB1-Normal23"/>
              <w:spacing w:after="0"/>
              <w:jc w:val="both"/>
              <w:rPr>
                <w:rFonts w:eastAsia="Calibri" w:cs="Calibri"/>
                <w:noProof/>
              </w:rPr>
            </w:pPr>
            <w:r>
              <w:rPr>
                <w:noProof/>
              </w:rPr>
              <w:t>A mezőgazdasági innovációs terv jóváhagyása</w:t>
            </w:r>
          </w:p>
        </w:tc>
      </w:tr>
      <w:tr w:rsidR="00DC5EC6" w14:paraId="12F9AFB2" w14:textId="77777777">
        <w:trPr>
          <w:trHeight w:val="440"/>
        </w:trPr>
        <w:tc>
          <w:tcPr>
            <w:tcW w:w="1200" w:type="dxa"/>
            <w:shd w:val="clear" w:color="auto" w:fill="C4EFCE"/>
            <w:vAlign w:val="center"/>
            <w:hideMark/>
          </w:tcPr>
          <w:p w14:paraId="39DEBBB4" w14:textId="77777777" w:rsidR="00DC5EC6" w:rsidRDefault="003245A4">
            <w:pPr>
              <w:pStyle w:val="P68B1DB1-Normal23"/>
              <w:spacing w:after="0"/>
              <w:jc w:val="center"/>
              <w:rPr>
                <w:noProof/>
              </w:rPr>
            </w:pPr>
            <w:r>
              <w:rPr>
                <w:noProof/>
              </w:rPr>
              <w:t>6.13</w:t>
            </w:r>
          </w:p>
        </w:tc>
        <w:tc>
          <w:tcPr>
            <w:tcW w:w="1760" w:type="dxa"/>
            <w:shd w:val="clear" w:color="auto" w:fill="C4EFCE"/>
            <w:vAlign w:val="center"/>
            <w:hideMark/>
          </w:tcPr>
          <w:p w14:paraId="30D3AAEE" w14:textId="77777777" w:rsidR="00DC5EC6" w:rsidRDefault="003245A4">
            <w:pPr>
              <w:pStyle w:val="P68B1DB1-Normal23"/>
              <w:spacing w:after="0"/>
              <w:jc w:val="center"/>
              <w:rPr>
                <w:noProof/>
              </w:rPr>
            </w:pPr>
            <w:r>
              <w:rPr>
                <w:noProof/>
              </w:rPr>
              <w:t xml:space="preserve">Re-C06-r15 </w:t>
            </w:r>
          </w:p>
        </w:tc>
        <w:tc>
          <w:tcPr>
            <w:tcW w:w="1520" w:type="dxa"/>
            <w:shd w:val="clear" w:color="auto" w:fill="C4EFCE"/>
            <w:vAlign w:val="center"/>
            <w:hideMark/>
          </w:tcPr>
          <w:p w14:paraId="43512B53"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BF7F834" w14:textId="77777777" w:rsidR="00DC5EC6" w:rsidRDefault="003245A4">
            <w:pPr>
              <w:pStyle w:val="P68B1DB1-Normal23"/>
              <w:spacing w:after="0"/>
              <w:jc w:val="both"/>
              <w:rPr>
                <w:rFonts w:eastAsia="Calibri" w:cs="Calibri"/>
                <w:noProof/>
              </w:rPr>
            </w:pPr>
            <w:r>
              <w:rPr>
                <w:noProof/>
              </w:rPr>
              <w:t>A felsőoktatásba való felvétel céljából speciális versenyvizsgákat létrehozó törvény hatálybalépése</w:t>
            </w:r>
          </w:p>
        </w:tc>
      </w:tr>
      <w:tr w:rsidR="00DC5EC6" w14:paraId="61C18867" w14:textId="77777777">
        <w:trPr>
          <w:trHeight w:val="440"/>
        </w:trPr>
        <w:tc>
          <w:tcPr>
            <w:tcW w:w="1200" w:type="dxa"/>
            <w:shd w:val="clear" w:color="auto" w:fill="C4EFCE"/>
            <w:vAlign w:val="center"/>
            <w:hideMark/>
          </w:tcPr>
          <w:p w14:paraId="0FD5FA1D" w14:textId="77777777" w:rsidR="00DC5EC6" w:rsidRDefault="003245A4">
            <w:pPr>
              <w:pStyle w:val="P68B1DB1-Normal23"/>
              <w:spacing w:after="0"/>
              <w:jc w:val="center"/>
              <w:rPr>
                <w:noProof/>
              </w:rPr>
            </w:pPr>
            <w:r>
              <w:rPr>
                <w:noProof/>
              </w:rPr>
              <w:t>6.14</w:t>
            </w:r>
          </w:p>
        </w:tc>
        <w:tc>
          <w:tcPr>
            <w:tcW w:w="1760" w:type="dxa"/>
            <w:shd w:val="clear" w:color="auto" w:fill="C4EFCE"/>
            <w:vAlign w:val="center"/>
            <w:hideMark/>
          </w:tcPr>
          <w:p w14:paraId="1EE8D1BA" w14:textId="77777777" w:rsidR="00DC5EC6" w:rsidRDefault="003245A4">
            <w:pPr>
              <w:pStyle w:val="P68B1DB1-Normal23"/>
              <w:spacing w:after="0"/>
              <w:jc w:val="center"/>
              <w:rPr>
                <w:noProof/>
              </w:rPr>
            </w:pPr>
            <w:r>
              <w:rPr>
                <w:noProof/>
              </w:rPr>
              <w:t xml:space="preserve">Re-C06-r15 </w:t>
            </w:r>
          </w:p>
        </w:tc>
        <w:tc>
          <w:tcPr>
            <w:tcW w:w="1520" w:type="dxa"/>
            <w:shd w:val="clear" w:color="auto" w:fill="C4EFCE"/>
            <w:vAlign w:val="center"/>
            <w:hideMark/>
          </w:tcPr>
          <w:p w14:paraId="64C27FF8"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4B43E2A" w14:textId="77777777" w:rsidR="00DC5EC6" w:rsidRDefault="003245A4">
            <w:pPr>
              <w:pStyle w:val="P68B1DB1-Normal23"/>
              <w:spacing w:after="0"/>
              <w:jc w:val="both"/>
              <w:rPr>
                <w:rFonts w:eastAsia="Calibri" w:cs="Calibri"/>
                <w:noProof/>
              </w:rPr>
            </w:pPr>
            <w:r>
              <w:rPr>
                <w:noProof/>
              </w:rPr>
              <w:t>A felsőoktatási intézmények, a közigazgatás és a vállalkozások közötti együttműködést szabályozó új jogi keret hatálybalépése</w:t>
            </w:r>
          </w:p>
        </w:tc>
      </w:tr>
      <w:tr w:rsidR="00DC5EC6" w14:paraId="4A58B578" w14:textId="77777777">
        <w:trPr>
          <w:trHeight w:val="440"/>
        </w:trPr>
        <w:tc>
          <w:tcPr>
            <w:tcW w:w="1200" w:type="dxa"/>
            <w:shd w:val="clear" w:color="auto" w:fill="C4EFCE"/>
            <w:vAlign w:val="center"/>
            <w:hideMark/>
          </w:tcPr>
          <w:p w14:paraId="589ACBA1" w14:textId="77777777" w:rsidR="00DC5EC6" w:rsidRDefault="003245A4">
            <w:pPr>
              <w:pStyle w:val="P68B1DB1-Normal23"/>
              <w:spacing w:after="0"/>
              <w:jc w:val="center"/>
              <w:rPr>
                <w:noProof/>
              </w:rPr>
            </w:pPr>
            <w:r>
              <w:rPr>
                <w:noProof/>
              </w:rPr>
              <w:t>7.13</w:t>
            </w:r>
          </w:p>
        </w:tc>
        <w:tc>
          <w:tcPr>
            <w:tcW w:w="1760" w:type="dxa"/>
            <w:shd w:val="clear" w:color="auto" w:fill="C4EFCE"/>
            <w:vAlign w:val="center"/>
            <w:hideMark/>
          </w:tcPr>
          <w:p w14:paraId="4582D520" w14:textId="77777777" w:rsidR="00DC5EC6" w:rsidRDefault="003245A4">
            <w:pPr>
              <w:pStyle w:val="P68B1DB1-Normal23"/>
              <w:spacing w:after="0"/>
              <w:jc w:val="center"/>
              <w:rPr>
                <w:noProof/>
              </w:rPr>
            </w:pPr>
            <w:r>
              <w:rPr>
                <w:noProof/>
              </w:rPr>
              <w:t xml:space="preserve">Re-C07-i05-RAA </w:t>
            </w:r>
          </w:p>
        </w:tc>
        <w:tc>
          <w:tcPr>
            <w:tcW w:w="1520" w:type="dxa"/>
            <w:shd w:val="clear" w:color="auto" w:fill="C4EFCE"/>
            <w:vAlign w:val="center"/>
            <w:hideMark/>
          </w:tcPr>
          <w:p w14:paraId="47370D35"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26028944" w14:textId="77777777" w:rsidR="00DC5EC6" w:rsidRDefault="003245A4">
            <w:pPr>
              <w:pStyle w:val="P68B1DB1-Normal23"/>
              <w:spacing w:after="0"/>
              <w:jc w:val="both"/>
              <w:rPr>
                <w:rFonts w:eastAsia="Calibri" w:cs="Calibri"/>
                <w:noProof/>
              </w:rPr>
            </w:pPr>
            <w:r>
              <w:rPr>
                <w:noProof/>
              </w:rPr>
              <w:t>2 közúti projektre aláírt szerződés</w:t>
            </w:r>
          </w:p>
        </w:tc>
      </w:tr>
      <w:tr w:rsidR="00DC5EC6" w14:paraId="5A75393F" w14:textId="77777777">
        <w:trPr>
          <w:trHeight w:val="440"/>
        </w:trPr>
        <w:tc>
          <w:tcPr>
            <w:tcW w:w="1200" w:type="dxa"/>
            <w:shd w:val="clear" w:color="auto" w:fill="C4EFCE"/>
            <w:vAlign w:val="center"/>
            <w:hideMark/>
          </w:tcPr>
          <w:p w14:paraId="4836862C" w14:textId="77777777" w:rsidR="00DC5EC6" w:rsidRDefault="003245A4">
            <w:pPr>
              <w:pStyle w:val="P68B1DB1-Normal23"/>
              <w:spacing w:after="0"/>
              <w:jc w:val="center"/>
              <w:rPr>
                <w:noProof/>
              </w:rPr>
            </w:pPr>
            <w:r>
              <w:rPr>
                <w:noProof/>
              </w:rPr>
              <w:t>7.4</w:t>
            </w:r>
          </w:p>
        </w:tc>
        <w:tc>
          <w:tcPr>
            <w:tcW w:w="1760" w:type="dxa"/>
            <w:shd w:val="clear" w:color="auto" w:fill="C4EFCE"/>
            <w:vAlign w:val="center"/>
            <w:hideMark/>
          </w:tcPr>
          <w:p w14:paraId="6EC62E0F" w14:textId="77777777" w:rsidR="00DC5EC6" w:rsidRDefault="003245A4">
            <w:pPr>
              <w:pStyle w:val="P68B1DB1-Normal23"/>
              <w:spacing w:after="0"/>
              <w:jc w:val="center"/>
              <w:rPr>
                <w:noProof/>
              </w:rPr>
            </w:pPr>
            <w:r>
              <w:rPr>
                <w:noProof/>
              </w:rPr>
              <w:t xml:space="preserve">Re-C07-i01 </w:t>
            </w:r>
          </w:p>
        </w:tc>
        <w:tc>
          <w:tcPr>
            <w:tcW w:w="1520" w:type="dxa"/>
            <w:shd w:val="clear" w:color="auto" w:fill="C4EFCE"/>
            <w:vAlign w:val="center"/>
            <w:hideMark/>
          </w:tcPr>
          <w:p w14:paraId="43E1DAC1"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A91E7C4" w14:textId="77777777" w:rsidR="00DC5EC6" w:rsidRDefault="003245A4">
            <w:pPr>
              <w:pStyle w:val="P68B1DB1-Normal23"/>
              <w:spacing w:after="0"/>
              <w:jc w:val="both"/>
              <w:rPr>
                <w:rFonts w:eastAsia="Calibri" w:cs="Calibri"/>
                <w:noProof/>
              </w:rPr>
            </w:pPr>
            <w:r>
              <w:rPr>
                <w:noProof/>
              </w:rPr>
              <w:t>Üzleti befogadási területek kiválasztása a környezeti fenntarthatóság és a digitalizáció javítását célzó beavatkozásokra</w:t>
            </w:r>
          </w:p>
        </w:tc>
      </w:tr>
      <w:tr w:rsidR="00DC5EC6" w14:paraId="75CC5DDC" w14:textId="77777777">
        <w:trPr>
          <w:trHeight w:val="440"/>
        </w:trPr>
        <w:tc>
          <w:tcPr>
            <w:tcW w:w="1200" w:type="dxa"/>
            <w:shd w:val="clear" w:color="auto" w:fill="C4EFCE"/>
            <w:vAlign w:val="center"/>
            <w:hideMark/>
          </w:tcPr>
          <w:p w14:paraId="5E220711" w14:textId="77777777" w:rsidR="00DC5EC6" w:rsidRDefault="003245A4">
            <w:pPr>
              <w:pStyle w:val="P68B1DB1-Normal23"/>
              <w:spacing w:after="0"/>
              <w:jc w:val="center"/>
              <w:rPr>
                <w:noProof/>
              </w:rPr>
            </w:pPr>
            <w:r>
              <w:rPr>
                <w:noProof/>
              </w:rPr>
              <w:t>7.6</w:t>
            </w:r>
          </w:p>
        </w:tc>
        <w:tc>
          <w:tcPr>
            <w:tcW w:w="1760" w:type="dxa"/>
            <w:shd w:val="clear" w:color="auto" w:fill="C4EFCE"/>
            <w:vAlign w:val="center"/>
            <w:hideMark/>
          </w:tcPr>
          <w:p w14:paraId="5A760791" w14:textId="77777777" w:rsidR="00DC5EC6" w:rsidRDefault="003245A4">
            <w:pPr>
              <w:pStyle w:val="P68B1DB1-Normal23"/>
              <w:spacing w:after="0"/>
              <w:jc w:val="center"/>
              <w:rPr>
                <w:noProof/>
              </w:rPr>
            </w:pPr>
            <w:r>
              <w:rPr>
                <w:noProof/>
              </w:rPr>
              <w:t xml:space="preserve">Re-C07-i02 </w:t>
            </w:r>
          </w:p>
        </w:tc>
        <w:tc>
          <w:tcPr>
            <w:tcW w:w="1520" w:type="dxa"/>
            <w:shd w:val="clear" w:color="auto" w:fill="C4EFCE"/>
            <w:vAlign w:val="center"/>
            <w:hideMark/>
          </w:tcPr>
          <w:p w14:paraId="7D0D3132"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7E253E1A" w14:textId="77777777" w:rsidR="00DC5EC6" w:rsidRDefault="003245A4">
            <w:pPr>
              <w:pStyle w:val="P68B1DB1-Normal23"/>
              <w:spacing w:after="0"/>
              <w:jc w:val="both"/>
              <w:rPr>
                <w:rFonts w:eastAsia="Calibri" w:cs="Calibri"/>
                <w:noProof/>
              </w:rPr>
            </w:pPr>
            <w:r>
              <w:rPr>
                <w:noProof/>
              </w:rPr>
              <w:t>1 közúti projektre aláírt szerződés</w:t>
            </w:r>
          </w:p>
        </w:tc>
      </w:tr>
      <w:tr w:rsidR="00DC5EC6" w14:paraId="5BEA9678" w14:textId="77777777">
        <w:trPr>
          <w:trHeight w:val="440"/>
        </w:trPr>
        <w:tc>
          <w:tcPr>
            <w:tcW w:w="1200" w:type="dxa"/>
            <w:shd w:val="clear" w:color="auto" w:fill="C4EFCE"/>
            <w:vAlign w:val="center"/>
            <w:hideMark/>
          </w:tcPr>
          <w:p w14:paraId="3C39A8D9" w14:textId="77777777" w:rsidR="00DC5EC6" w:rsidRDefault="003245A4">
            <w:pPr>
              <w:pStyle w:val="P68B1DB1-Normal23"/>
              <w:spacing w:after="0"/>
              <w:jc w:val="center"/>
              <w:rPr>
                <w:noProof/>
              </w:rPr>
            </w:pPr>
            <w:r>
              <w:rPr>
                <w:noProof/>
              </w:rPr>
              <w:t>8.17</w:t>
            </w:r>
          </w:p>
        </w:tc>
        <w:tc>
          <w:tcPr>
            <w:tcW w:w="1760" w:type="dxa"/>
            <w:shd w:val="clear" w:color="auto" w:fill="C4EFCE"/>
            <w:vAlign w:val="center"/>
            <w:hideMark/>
          </w:tcPr>
          <w:p w14:paraId="0B0F6447" w14:textId="77777777" w:rsidR="00DC5EC6" w:rsidRDefault="003245A4">
            <w:pPr>
              <w:pStyle w:val="P68B1DB1-Normal23"/>
              <w:spacing w:after="0"/>
              <w:jc w:val="center"/>
              <w:rPr>
                <w:noProof/>
              </w:rPr>
            </w:pPr>
            <w:r>
              <w:rPr>
                <w:noProof/>
              </w:rPr>
              <w:t xml:space="preserve">Re-C08-r19 </w:t>
            </w:r>
          </w:p>
        </w:tc>
        <w:tc>
          <w:tcPr>
            <w:tcW w:w="1520" w:type="dxa"/>
            <w:shd w:val="clear" w:color="auto" w:fill="C4EFCE"/>
            <w:vAlign w:val="center"/>
            <w:hideMark/>
          </w:tcPr>
          <w:p w14:paraId="6886AA4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13FE96C" w14:textId="77777777" w:rsidR="00DC5EC6" w:rsidRDefault="003245A4">
            <w:pPr>
              <w:pStyle w:val="P68B1DB1-Normal23"/>
              <w:spacing w:after="0"/>
              <w:jc w:val="both"/>
              <w:rPr>
                <w:rFonts w:eastAsia="Calibri" w:cs="Calibri"/>
                <w:noProof/>
              </w:rPr>
            </w:pPr>
            <w:r>
              <w:rPr>
                <w:noProof/>
              </w:rPr>
              <w:t>A vidéki földterületek erdészeti területeken történő kötelező birtoklására vonatkozó jogi keret</w:t>
            </w:r>
          </w:p>
        </w:tc>
      </w:tr>
      <w:tr w:rsidR="00DC5EC6" w14:paraId="5B8ABD10" w14:textId="77777777">
        <w:trPr>
          <w:trHeight w:val="440"/>
        </w:trPr>
        <w:tc>
          <w:tcPr>
            <w:tcW w:w="1200" w:type="dxa"/>
            <w:shd w:val="clear" w:color="auto" w:fill="C4EFCE"/>
            <w:vAlign w:val="center"/>
            <w:hideMark/>
          </w:tcPr>
          <w:p w14:paraId="519B6950" w14:textId="77777777" w:rsidR="00DC5EC6" w:rsidRDefault="003245A4">
            <w:pPr>
              <w:pStyle w:val="P68B1DB1-Normal23"/>
              <w:spacing w:after="0"/>
              <w:jc w:val="center"/>
              <w:rPr>
                <w:noProof/>
              </w:rPr>
            </w:pPr>
            <w:r>
              <w:rPr>
                <w:noProof/>
              </w:rPr>
              <w:t>8.19</w:t>
            </w:r>
          </w:p>
        </w:tc>
        <w:tc>
          <w:tcPr>
            <w:tcW w:w="1760" w:type="dxa"/>
            <w:shd w:val="clear" w:color="auto" w:fill="C4EFCE"/>
            <w:vAlign w:val="center"/>
            <w:hideMark/>
          </w:tcPr>
          <w:p w14:paraId="5223F53B" w14:textId="77777777" w:rsidR="00DC5EC6" w:rsidRDefault="003245A4">
            <w:pPr>
              <w:pStyle w:val="P68B1DB1-Normal23"/>
              <w:spacing w:after="0"/>
              <w:jc w:val="center"/>
              <w:rPr>
                <w:noProof/>
              </w:rPr>
            </w:pPr>
            <w:r>
              <w:rPr>
                <w:noProof/>
              </w:rPr>
              <w:t xml:space="preserve">Re-C08-r21 </w:t>
            </w:r>
          </w:p>
        </w:tc>
        <w:tc>
          <w:tcPr>
            <w:tcW w:w="1520" w:type="dxa"/>
            <w:shd w:val="clear" w:color="auto" w:fill="C4EFCE"/>
            <w:vAlign w:val="center"/>
            <w:hideMark/>
          </w:tcPr>
          <w:p w14:paraId="4883CA1A"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2ED0FFB" w14:textId="77777777" w:rsidR="00DC5EC6" w:rsidRDefault="003245A4">
            <w:pPr>
              <w:pStyle w:val="P68B1DB1-Normal23"/>
              <w:spacing w:after="0"/>
              <w:jc w:val="both"/>
              <w:rPr>
                <w:rFonts w:eastAsia="Calibri" w:cs="Calibri"/>
                <w:noProof/>
              </w:rPr>
            </w:pPr>
            <w:r>
              <w:rPr>
                <w:noProof/>
              </w:rPr>
              <w:t>A vidéki tűzvészek integrált irányítási rendszerének létrehozásáról szóló törvény (SGIFR)</w:t>
            </w:r>
          </w:p>
        </w:tc>
      </w:tr>
      <w:tr w:rsidR="00DC5EC6" w14:paraId="7BBE62F1" w14:textId="77777777">
        <w:trPr>
          <w:trHeight w:val="440"/>
        </w:trPr>
        <w:tc>
          <w:tcPr>
            <w:tcW w:w="1200" w:type="dxa"/>
            <w:shd w:val="clear" w:color="auto" w:fill="C4EFCE"/>
            <w:vAlign w:val="center"/>
            <w:hideMark/>
          </w:tcPr>
          <w:p w14:paraId="74840772" w14:textId="77777777" w:rsidR="00DC5EC6" w:rsidRDefault="003245A4">
            <w:pPr>
              <w:pStyle w:val="P68B1DB1-Normal23"/>
              <w:spacing w:after="0"/>
              <w:jc w:val="center"/>
              <w:rPr>
                <w:noProof/>
              </w:rPr>
            </w:pPr>
            <w:r>
              <w:rPr>
                <w:noProof/>
              </w:rPr>
              <w:t>10.1</w:t>
            </w:r>
          </w:p>
        </w:tc>
        <w:tc>
          <w:tcPr>
            <w:tcW w:w="1760" w:type="dxa"/>
            <w:shd w:val="clear" w:color="auto" w:fill="C4EFCE"/>
            <w:vAlign w:val="center"/>
            <w:hideMark/>
          </w:tcPr>
          <w:p w14:paraId="081EA232" w14:textId="77777777" w:rsidR="00DC5EC6" w:rsidRDefault="003245A4">
            <w:pPr>
              <w:pStyle w:val="P68B1DB1-Normal23"/>
              <w:spacing w:after="0"/>
              <w:jc w:val="center"/>
              <w:rPr>
                <w:noProof/>
              </w:rPr>
            </w:pPr>
            <w:r>
              <w:rPr>
                <w:noProof/>
              </w:rPr>
              <w:t xml:space="preserve">TC-C10-r23 </w:t>
            </w:r>
          </w:p>
        </w:tc>
        <w:tc>
          <w:tcPr>
            <w:tcW w:w="1520" w:type="dxa"/>
            <w:shd w:val="clear" w:color="auto" w:fill="C4EFCE"/>
            <w:vAlign w:val="center"/>
            <w:hideMark/>
          </w:tcPr>
          <w:p w14:paraId="1A40FC5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A1DFEA2" w14:textId="77777777" w:rsidR="00DC5EC6" w:rsidRDefault="003245A4">
            <w:pPr>
              <w:pStyle w:val="P68B1DB1-Normal23"/>
              <w:spacing w:after="0"/>
              <w:jc w:val="both"/>
              <w:rPr>
                <w:rFonts w:eastAsia="Calibri" w:cs="Calibri"/>
                <w:noProof/>
              </w:rPr>
            </w:pPr>
            <w:r>
              <w:rPr>
                <w:noProof/>
              </w:rPr>
              <w:t>A tengeri gazdaság és innováció finanszírozási kapacitásának a kék alapon keresztül történő megerősítésére vonatkozó tengerügyi minisztériumi jogi aktusok felülvizsgálatának hatálybalépése</w:t>
            </w:r>
          </w:p>
        </w:tc>
      </w:tr>
      <w:tr w:rsidR="00DC5EC6" w14:paraId="595FF18B" w14:textId="77777777">
        <w:trPr>
          <w:trHeight w:val="440"/>
        </w:trPr>
        <w:tc>
          <w:tcPr>
            <w:tcW w:w="1200" w:type="dxa"/>
            <w:shd w:val="clear" w:color="auto" w:fill="C4EFCE"/>
            <w:vAlign w:val="center"/>
            <w:hideMark/>
          </w:tcPr>
          <w:p w14:paraId="51E6AC70" w14:textId="77777777" w:rsidR="00DC5EC6" w:rsidRDefault="003245A4">
            <w:pPr>
              <w:pStyle w:val="P68B1DB1-Normal23"/>
              <w:spacing w:after="0"/>
              <w:jc w:val="center"/>
              <w:rPr>
                <w:noProof/>
              </w:rPr>
            </w:pPr>
            <w:r>
              <w:rPr>
                <w:noProof/>
              </w:rPr>
              <w:t>11.1</w:t>
            </w:r>
          </w:p>
        </w:tc>
        <w:tc>
          <w:tcPr>
            <w:tcW w:w="1760" w:type="dxa"/>
            <w:shd w:val="clear" w:color="auto" w:fill="C4EFCE"/>
            <w:vAlign w:val="center"/>
            <w:hideMark/>
          </w:tcPr>
          <w:p w14:paraId="19722C51" w14:textId="77777777" w:rsidR="00DC5EC6" w:rsidRDefault="003245A4">
            <w:pPr>
              <w:pStyle w:val="P68B1DB1-Normal23"/>
              <w:spacing w:after="0"/>
              <w:jc w:val="center"/>
              <w:rPr>
                <w:noProof/>
              </w:rPr>
            </w:pPr>
            <w:r>
              <w:rPr>
                <w:noProof/>
              </w:rPr>
              <w:t xml:space="preserve">TC-C11–i01 </w:t>
            </w:r>
          </w:p>
        </w:tc>
        <w:tc>
          <w:tcPr>
            <w:tcW w:w="1520" w:type="dxa"/>
            <w:shd w:val="clear" w:color="auto" w:fill="C4EFCE"/>
            <w:vAlign w:val="center"/>
            <w:hideMark/>
          </w:tcPr>
          <w:p w14:paraId="4C1ADAE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3D4D4BC1" w14:textId="77777777" w:rsidR="00DC5EC6" w:rsidRDefault="003245A4">
            <w:pPr>
              <w:pStyle w:val="P68B1DB1-Normal23"/>
              <w:spacing w:after="0"/>
              <w:jc w:val="both"/>
              <w:rPr>
                <w:rFonts w:eastAsia="Calibri" w:cs="Calibri"/>
                <w:noProof/>
              </w:rPr>
            </w:pPr>
            <w:r>
              <w:rPr>
                <w:noProof/>
              </w:rPr>
              <w:t>Első ajánlati felhívás ipari dekarbonizációs projektekre</w:t>
            </w:r>
          </w:p>
        </w:tc>
      </w:tr>
      <w:tr w:rsidR="00DC5EC6" w14:paraId="31460A21" w14:textId="77777777">
        <w:trPr>
          <w:trHeight w:val="440"/>
        </w:trPr>
        <w:tc>
          <w:tcPr>
            <w:tcW w:w="1200" w:type="dxa"/>
            <w:shd w:val="clear" w:color="auto" w:fill="C4EFCE"/>
            <w:vAlign w:val="center"/>
            <w:hideMark/>
          </w:tcPr>
          <w:p w14:paraId="50C257CF" w14:textId="77777777" w:rsidR="00DC5EC6" w:rsidRDefault="003245A4">
            <w:pPr>
              <w:pStyle w:val="P68B1DB1-Normal23"/>
              <w:spacing w:after="0"/>
              <w:jc w:val="center"/>
              <w:rPr>
                <w:noProof/>
              </w:rPr>
            </w:pPr>
            <w:r>
              <w:rPr>
                <w:noProof/>
              </w:rPr>
              <w:t>12.1</w:t>
            </w:r>
          </w:p>
        </w:tc>
        <w:tc>
          <w:tcPr>
            <w:tcW w:w="1760" w:type="dxa"/>
            <w:shd w:val="clear" w:color="auto" w:fill="C4EFCE"/>
            <w:vAlign w:val="center"/>
            <w:hideMark/>
          </w:tcPr>
          <w:p w14:paraId="4AAF72C5" w14:textId="77777777" w:rsidR="00DC5EC6" w:rsidRDefault="003245A4">
            <w:pPr>
              <w:pStyle w:val="P68B1DB1-Normal23"/>
              <w:spacing w:after="0"/>
              <w:jc w:val="center"/>
              <w:rPr>
                <w:noProof/>
              </w:rPr>
            </w:pPr>
            <w:r>
              <w:rPr>
                <w:noProof/>
              </w:rPr>
              <w:t xml:space="preserve">TC-C12–i01 </w:t>
            </w:r>
          </w:p>
        </w:tc>
        <w:tc>
          <w:tcPr>
            <w:tcW w:w="1520" w:type="dxa"/>
            <w:shd w:val="clear" w:color="auto" w:fill="C4EFCE"/>
            <w:vAlign w:val="center"/>
            <w:hideMark/>
          </w:tcPr>
          <w:p w14:paraId="47D2CFD9"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7D7CA154" w14:textId="77777777" w:rsidR="00DC5EC6" w:rsidRDefault="003245A4">
            <w:pPr>
              <w:pStyle w:val="P68B1DB1-Normal23"/>
              <w:spacing w:after="0"/>
              <w:jc w:val="both"/>
              <w:rPr>
                <w:rFonts w:eastAsia="Calibri" w:cs="Calibri"/>
                <w:noProof/>
              </w:rPr>
            </w:pPr>
            <w:r>
              <w:rPr>
                <w:noProof/>
              </w:rPr>
              <w:t>A Resineiros Vigilantes program 2021. évi jegyzőkönyvének aláírása</w:t>
            </w:r>
          </w:p>
        </w:tc>
      </w:tr>
      <w:tr w:rsidR="00DC5EC6" w14:paraId="64499990" w14:textId="77777777">
        <w:trPr>
          <w:trHeight w:val="440"/>
        </w:trPr>
        <w:tc>
          <w:tcPr>
            <w:tcW w:w="1200" w:type="dxa"/>
            <w:shd w:val="clear" w:color="auto" w:fill="C4EFCE"/>
            <w:vAlign w:val="center"/>
            <w:hideMark/>
          </w:tcPr>
          <w:p w14:paraId="66FF5C24" w14:textId="77777777" w:rsidR="00DC5EC6" w:rsidRDefault="003245A4">
            <w:pPr>
              <w:pStyle w:val="P68B1DB1-Normal23"/>
              <w:spacing w:after="0"/>
              <w:jc w:val="center"/>
              <w:rPr>
                <w:noProof/>
              </w:rPr>
            </w:pPr>
            <w:r>
              <w:rPr>
                <w:noProof/>
              </w:rPr>
              <w:t>12.5</w:t>
            </w:r>
          </w:p>
        </w:tc>
        <w:tc>
          <w:tcPr>
            <w:tcW w:w="1760" w:type="dxa"/>
            <w:shd w:val="clear" w:color="auto" w:fill="C4EFCE"/>
            <w:vAlign w:val="center"/>
            <w:hideMark/>
          </w:tcPr>
          <w:p w14:paraId="6D7ECE35" w14:textId="77777777" w:rsidR="00DC5EC6" w:rsidRDefault="003245A4">
            <w:pPr>
              <w:pStyle w:val="P68B1DB1-Normal23"/>
              <w:spacing w:after="0"/>
              <w:jc w:val="center"/>
              <w:rPr>
                <w:noProof/>
              </w:rPr>
            </w:pPr>
            <w:r>
              <w:rPr>
                <w:noProof/>
              </w:rPr>
              <w:t xml:space="preserve">TC-C12-r25 </w:t>
            </w:r>
          </w:p>
        </w:tc>
        <w:tc>
          <w:tcPr>
            <w:tcW w:w="1520" w:type="dxa"/>
            <w:shd w:val="clear" w:color="auto" w:fill="C4EFCE"/>
            <w:vAlign w:val="center"/>
            <w:hideMark/>
          </w:tcPr>
          <w:p w14:paraId="34B9AE22"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525A10F6" w14:textId="77777777" w:rsidR="00DC5EC6" w:rsidRDefault="003245A4">
            <w:pPr>
              <w:pStyle w:val="P68B1DB1-Normal23"/>
              <w:spacing w:after="0"/>
              <w:jc w:val="both"/>
              <w:rPr>
                <w:rFonts w:eastAsia="Calibri" w:cs="Calibri"/>
                <w:noProof/>
              </w:rPr>
            </w:pPr>
            <w:r>
              <w:rPr>
                <w:noProof/>
              </w:rPr>
              <w:t>Az új általános hulladékgazdálkodási rendszer hatálybalépése</w:t>
            </w:r>
          </w:p>
        </w:tc>
      </w:tr>
      <w:tr w:rsidR="00DC5EC6" w14:paraId="3629E8EE" w14:textId="77777777">
        <w:trPr>
          <w:trHeight w:val="440"/>
        </w:trPr>
        <w:tc>
          <w:tcPr>
            <w:tcW w:w="1200" w:type="dxa"/>
            <w:shd w:val="clear" w:color="auto" w:fill="C4EFCE"/>
            <w:vAlign w:val="center"/>
            <w:hideMark/>
          </w:tcPr>
          <w:p w14:paraId="76950E3D" w14:textId="77777777" w:rsidR="00DC5EC6" w:rsidRDefault="003245A4">
            <w:pPr>
              <w:pStyle w:val="P68B1DB1-Normal23"/>
              <w:spacing w:after="0"/>
              <w:jc w:val="center"/>
              <w:rPr>
                <w:noProof/>
              </w:rPr>
            </w:pPr>
            <w:r>
              <w:rPr>
                <w:noProof/>
              </w:rPr>
              <w:t>14.1</w:t>
            </w:r>
          </w:p>
        </w:tc>
        <w:tc>
          <w:tcPr>
            <w:tcW w:w="1760" w:type="dxa"/>
            <w:shd w:val="clear" w:color="auto" w:fill="C4EFCE"/>
            <w:vAlign w:val="center"/>
            <w:hideMark/>
          </w:tcPr>
          <w:p w14:paraId="4F502DB3" w14:textId="77777777" w:rsidR="00DC5EC6" w:rsidRDefault="003245A4">
            <w:pPr>
              <w:pStyle w:val="P68B1DB1-Normal23"/>
              <w:spacing w:after="0"/>
              <w:jc w:val="center"/>
              <w:rPr>
                <w:noProof/>
              </w:rPr>
            </w:pPr>
            <w:r>
              <w:rPr>
                <w:noProof/>
              </w:rPr>
              <w:t xml:space="preserve">TC-C14-r29 </w:t>
            </w:r>
          </w:p>
        </w:tc>
        <w:tc>
          <w:tcPr>
            <w:tcW w:w="1520" w:type="dxa"/>
            <w:shd w:val="clear" w:color="auto" w:fill="C4EFCE"/>
            <w:vAlign w:val="center"/>
            <w:hideMark/>
          </w:tcPr>
          <w:p w14:paraId="51F6097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6D5E11C" w14:textId="77777777" w:rsidR="00DC5EC6" w:rsidRDefault="003245A4">
            <w:pPr>
              <w:pStyle w:val="P68B1DB1-Normal23"/>
              <w:spacing w:after="0"/>
              <w:jc w:val="both"/>
              <w:rPr>
                <w:rFonts w:eastAsia="Calibri" w:cs="Calibri"/>
                <w:noProof/>
              </w:rPr>
            </w:pPr>
            <w:r>
              <w:rPr>
                <w:noProof/>
              </w:rPr>
              <w:t>A Nemzeti Gázszállítási Hálózatról és a Nemzeti Gázelosztó Hálózatról szóló rendelet hatálybalépése</w:t>
            </w:r>
          </w:p>
        </w:tc>
      </w:tr>
      <w:tr w:rsidR="00DC5EC6" w14:paraId="10966324" w14:textId="77777777">
        <w:trPr>
          <w:trHeight w:val="440"/>
        </w:trPr>
        <w:tc>
          <w:tcPr>
            <w:tcW w:w="1200" w:type="dxa"/>
            <w:shd w:val="clear" w:color="auto" w:fill="C4EFCE"/>
            <w:vAlign w:val="center"/>
            <w:hideMark/>
          </w:tcPr>
          <w:p w14:paraId="00D9D2AC" w14:textId="77777777" w:rsidR="00DC5EC6" w:rsidRDefault="003245A4">
            <w:pPr>
              <w:pStyle w:val="P68B1DB1-Normal23"/>
              <w:spacing w:after="0"/>
              <w:jc w:val="center"/>
              <w:rPr>
                <w:noProof/>
              </w:rPr>
            </w:pPr>
            <w:r>
              <w:rPr>
                <w:noProof/>
              </w:rPr>
              <w:t>14.2</w:t>
            </w:r>
          </w:p>
        </w:tc>
        <w:tc>
          <w:tcPr>
            <w:tcW w:w="1760" w:type="dxa"/>
            <w:shd w:val="clear" w:color="auto" w:fill="C4EFCE"/>
            <w:vAlign w:val="center"/>
            <w:hideMark/>
          </w:tcPr>
          <w:p w14:paraId="3F73CCA7" w14:textId="77777777" w:rsidR="00DC5EC6" w:rsidRDefault="003245A4">
            <w:pPr>
              <w:pStyle w:val="P68B1DB1-Normal23"/>
              <w:spacing w:after="0"/>
              <w:jc w:val="center"/>
              <w:rPr>
                <w:noProof/>
              </w:rPr>
            </w:pPr>
            <w:r>
              <w:rPr>
                <w:noProof/>
              </w:rPr>
              <w:t xml:space="preserve">TC-C14-i01 </w:t>
            </w:r>
          </w:p>
        </w:tc>
        <w:tc>
          <w:tcPr>
            <w:tcW w:w="1520" w:type="dxa"/>
            <w:shd w:val="clear" w:color="auto" w:fill="C4EFCE"/>
            <w:vAlign w:val="center"/>
            <w:hideMark/>
          </w:tcPr>
          <w:p w14:paraId="587EF70A"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9D80DCE" w14:textId="77777777" w:rsidR="00DC5EC6" w:rsidRDefault="003245A4">
            <w:pPr>
              <w:pStyle w:val="P68B1DB1-Normal23"/>
              <w:spacing w:after="0"/>
              <w:jc w:val="both"/>
              <w:rPr>
                <w:rFonts w:eastAsia="Calibri" w:cs="Calibri"/>
                <w:noProof/>
              </w:rPr>
            </w:pPr>
            <w:r>
              <w:rPr>
                <w:noProof/>
              </w:rPr>
              <w:t>Első pályázati felhívás megújulógáz-termelési projektekre</w:t>
            </w:r>
          </w:p>
        </w:tc>
      </w:tr>
      <w:tr w:rsidR="00DC5EC6" w14:paraId="757BF45A" w14:textId="77777777">
        <w:trPr>
          <w:trHeight w:val="440"/>
        </w:trPr>
        <w:tc>
          <w:tcPr>
            <w:tcW w:w="1200" w:type="dxa"/>
            <w:shd w:val="clear" w:color="auto" w:fill="C4EFCE"/>
            <w:vAlign w:val="center"/>
            <w:hideMark/>
          </w:tcPr>
          <w:p w14:paraId="7466249B" w14:textId="77777777" w:rsidR="00DC5EC6" w:rsidRDefault="003245A4">
            <w:pPr>
              <w:pStyle w:val="P68B1DB1-Normal23"/>
              <w:spacing w:after="0"/>
              <w:jc w:val="center"/>
              <w:rPr>
                <w:noProof/>
              </w:rPr>
            </w:pPr>
            <w:r>
              <w:rPr>
                <w:noProof/>
              </w:rPr>
              <w:t>16.13</w:t>
            </w:r>
          </w:p>
        </w:tc>
        <w:tc>
          <w:tcPr>
            <w:tcW w:w="1760" w:type="dxa"/>
            <w:shd w:val="clear" w:color="auto" w:fill="C4EFCE"/>
            <w:vAlign w:val="center"/>
            <w:hideMark/>
          </w:tcPr>
          <w:p w14:paraId="0D9747EC" w14:textId="77777777" w:rsidR="00DC5EC6" w:rsidRDefault="003245A4">
            <w:pPr>
              <w:pStyle w:val="P68B1DB1-Normal23"/>
              <w:spacing w:after="0"/>
              <w:jc w:val="center"/>
              <w:rPr>
                <w:noProof/>
              </w:rPr>
            </w:pPr>
            <w:r>
              <w:rPr>
                <w:noProof/>
              </w:rPr>
              <w:t xml:space="preserve">TD-C16-i03 </w:t>
            </w:r>
          </w:p>
        </w:tc>
        <w:tc>
          <w:tcPr>
            <w:tcW w:w="1520" w:type="dxa"/>
            <w:shd w:val="clear" w:color="auto" w:fill="C4EFCE"/>
            <w:vAlign w:val="center"/>
            <w:hideMark/>
          </w:tcPr>
          <w:p w14:paraId="7FAED4B7"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71236238" w14:textId="77777777" w:rsidR="00DC5EC6" w:rsidRDefault="003245A4">
            <w:pPr>
              <w:pStyle w:val="P68B1DB1-Normal23"/>
              <w:spacing w:after="0"/>
              <w:jc w:val="both"/>
              <w:rPr>
                <w:rFonts w:eastAsia="Calibri" w:cs="Calibri"/>
                <w:noProof/>
              </w:rPr>
            </w:pPr>
            <w:r>
              <w:rPr>
                <w:noProof/>
              </w:rPr>
              <w:t>Digitális innovációs központok</w:t>
            </w:r>
          </w:p>
        </w:tc>
      </w:tr>
      <w:tr w:rsidR="00DC5EC6" w14:paraId="52D708E9" w14:textId="77777777">
        <w:trPr>
          <w:trHeight w:val="440"/>
        </w:trPr>
        <w:tc>
          <w:tcPr>
            <w:tcW w:w="1200" w:type="dxa"/>
            <w:shd w:val="clear" w:color="auto" w:fill="C4EFCE"/>
            <w:vAlign w:val="center"/>
            <w:hideMark/>
          </w:tcPr>
          <w:p w14:paraId="2F5A2432" w14:textId="77777777" w:rsidR="00DC5EC6" w:rsidRDefault="003245A4">
            <w:pPr>
              <w:pStyle w:val="P68B1DB1-Normal23"/>
              <w:spacing w:after="0"/>
              <w:jc w:val="center"/>
              <w:rPr>
                <w:noProof/>
              </w:rPr>
            </w:pPr>
            <w:r>
              <w:rPr>
                <w:noProof/>
              </w:rPr>
              <w:t>17.6</w:t>
            </w:r>
          </w:p>
        </w:tc>
        <w:tc>
          <w:tcPr>
            <w:tcW w:w="1760" w:type="dxa"/>
            <w:shd w:val="clear" w:color="auto" w:fill="C4EFCE"/>
            <w:vAlign w:val="center"/>
            <w:hideMark/>
          </w:tcPr>
          <w:p w14:paraId="302B639D"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0B99428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199C2E8" w14:textId="77777777" w:rsidR="00DC5EC6" w:rsidRDefault="003245A4">
            <w:pPr>
              <w:pStyle w:val="P68B1DB1-Normal23"/>
              <w:spacing w:after="0"/>
              <w:jc w:val="both"/>
              <w:rPr>
                <w:rFonts w:eastAsia="Calibri" w:cs="Calibri"/>
                <w:noProof/>
              </w:rPr>
            </w:pPr>
            <w:r>
              <w:rPr>
                <w:noProof/>
              </w:rPr>
              <w:t>Az új üzemeltetési szerződésminta hatálybalépése az állami tulajdonú vállalatok irányítására vonatkozó új ösztönző/szankciós rendszer keretében</w:t>
            </w:r>
          </w:p>
        </w:tc>
      </w:tr>
      <w:tr w:rsidR="00DC5EC6" w14:paraId="5F2EFFB2" w14:textId="77777777">
        <w:trPr>
          <w:trHeight w:val="440"/>
        </w:trPr>
        <w:tc>
          <w:tcPr>
            <w:tcW w:w="1200" w:type="dxa"/>
            <w:shd w:val="clear" w:color="auto" w:fill="C4EFCE"/>
            <w:vAlign w:val="center"/>
            <w:hideMark/>
          </w:tcPr>
          <w:p w14:paraId="1E7DA930" w14:textId="77777777" w:rsidR="00DC5EC6" w:rsidRDefault="003245A4">
            <w:pPr>
              <w:pStyle w:val="P68B1DB1-Normal23"/>
              <w:spacing w:after="0"/>
              <w:jc w:val="center"/>
              <w:rPr>
                <w:noProof/>
              </w:rPr>
            </w:pPr>
            <w:r>
              <w:rPr>
                <w:noProof/>
              </w:rPr>
              <w:t>19.22</w:t>
            </w:r>
          </w:p>
        </w:tc>
        <w:tc>
          <w:tcPr>
            <w:tcW w:w="1760" w:type="dxa"/>
            <w:shd w:val="clear" w:color="auto" w:fill="C4EFCE"/>
            <w:vAlign w:val="center"/>
            <w:hideMark/>
          </w:tcPr>
          <w:p w14:paraId="55D06868" w14:textId="77777777" w:rsidR="00DC5EC6" w:rsidRDefault="003245A4">
            <w:pPr>
              <w:pStyle w:val="P68B1DB1-Normal23"/>
              <w:spacing w:after="0"/>
              <w:jc w:val="center"/>
              <w:rPr>
                <w:noProof/>
              </w:rPr>
            </w:pPr>
            <w:r>
              <w:rPr>
                <w:noProof/>
              </w:rPr>
              <w:t xml:space="preserve">TD-C19–r34 </w:t>
            </w:r>
          </w:p>
        </w:tc>
        <w:tc>
          <w:tcPr>
            <w:tcW w:w="1520" w:type="dxa"/>
            <w:shd w:val="clear" w:color="auto" w:fill="C4EFCE"/>
            <w:vAlign w:val="center"/>
            <w:hideMark/>
          </w:tcPr>
          <w:p w14:paraId="3742530B"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678B11B" w14:textId="77777777" w:rsidR="00DC5EC6" w:rsidRDefault="003245A4">
            <w:pPr>
              <w:pStyle w:val="P68B1DB1-Normal23"/>
              <w:spacing w:after="0"/>
              <w:jc w:val="both"/>
              <w:rPr>
                <w:rFonts w:eastAsia="Calibri" w:cs="Calibri"/>
                <w:noProof/>
              </w:rPr>
            </w:pPr>
            <w:r>
              <w:rPr>
                <w:noProof/>
              </w:rPr>
              <w:t>A közigazgatás digitális átalakulására vonatkozó jogi keret hatálybalépése</w:t>
            </w:r>
          </w:p>
        </w:tc>
      </w:tr>
      <w:tr w:rsidR="00DC5EC6" w14:paraId="6872084D" w14:textId="77777777">
        <w:trPr>
          <w:trHeight w:val="440"/>
        </w:trPr>
        <w:tc>
          <w:tcPr>
            <w:tcW w:w="1200" w:type="dxa"/>
            <w:shd w:val="clear" w:color="auto" w:fill="C4EFCE"/>
            <w:vAlign w:val="center"/>
            <w:hideMark/>
          </w:tcPr>
          <w:p w14:paraId="291433EB" w14:textId="77777777" w:rsidR="00DC5EC6" w:rsidRDefault="003245A4">
            <w:pPr>
              <w:pStyle w:val="P68B1DB1-Normal23"/>
              <w:spacing w:after="0"/>
              <w:jc w:val="center"/>
              <w:rPr>
                <w:noProof/>
              </w:rPr>
            </w:pPr>
            <w:r>
              <w:rPr>
                <w:noProof/>
              </w:rPr>
              <w:t>19.24</w:t>
            </w:r>
          </w:p>
        </w:tc>
        <w:tc>
          <w:tcPr>
            <w:tcW w:w="1760" w:type="dxa"/>
            <w:shd w:val="clear" w:color="auto" w:fill="C4EFCE"/>
            <w:vAlign w:val="center"/>
            <w:hideMark/>
          </w:tcPr>
          <w:p w14:paraId="07189990" w14:textId="77777777" w:rsidR="00DC5EC6" w:rsidRDefault="003245A4">
            <w:pPr>
              <w:pStyle w:val="P68B1DB1-Normal23"/>
              <w:spacing w:after="0"/>
              <w:jc w:val="center"/>
              <w:rPr>
                <w:noProof/>
              </w:rPr>
            </w:pPr>
            <w:r>
              <w:rPr>
                <w:noProof/>
              </w:rPr>
              <w:t xml:space="preserve">TD-C19–r36 </w:t>
            </w:r>
          </w:p>
        </w:tc>
        <w:tc>
          <w:tcPr>
            <w:tcW w:w="1520" w:type="dxa"/>
            <w:shd w:val="clear" w:color="auto" w:fill="C4EFCE"/>
            <w:vAlign w:val="center"/>
            <w:hideMark/>
          </w:tcPr>
          <w:p w14:paraId="55C7DEF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6FC15F4D" w14:textId="77777777" w:rsidR="00DC5EC6" w:rsidRDefault="003245A4">
            <w:pPr>
              <w:pStyle w:val="P68B1DB1-Normal23"/>
              <w:spacing w:after="0"/>
              <w:jc w:val="both"/>
              <w:rPr>
                <w:rFonts w:eastAsia="Calibri" w:cs="Calibri"/>
                <w:noProof/>
              </w:rPr>
            </w:pPr>
            <w:r>
              <w:rPr>
                <w:noProof/>
              </w:rPr>
              <w:t>A Nemzeti Közigazgatási Intézet (National Institute of Administration, I.P.) létrehozása</w:t>
            </w:r>
          </w:p>
        </w:tc>
      </w:tr>
      <w:tr w:rsidR="00DC5EC6" w14:paraId="3A0CB96A" w14:textId="77777777">
        <w:trPr>
          <w:trHeight w:val="440"/>
        </w:trPr>
        <w:tc>
          <w:tcPr>
            <w:tcW w:w="1200" w:type="dxa"/>
            <w:shd w:val="clear" w:color="auto" w:fill="C4EFCE"/>
            <w:vAlign w:val="center"/>
            <w:hideMark/>
          </w:tcPr>
          <w:p w14:paraId="79B57193" w14:textId="77777777" w:rsidR="00DC5EC6" w:rsidRDefault="003245A4">
            <w:pPr>
              <w:pStyle w:val="P68B1DB1-Normal23"/>
              <w:spacing w:after="0"/>
              <w:jc w:val="center"/>
              <w:rPr>
                <w:noProof/>
              </w:rPr>
            </w:pPr>
            <w:r>
              <w:rPr>
                <w:noProof/>
              </w:rPr>
              <w:t>20.2</w:t>
            </w:r>
          </w:p>
        </w:tc>
        <w:tc>
          <w:tcPr>
            <w:tcW w:w="1760" w:type="dxa"/>
            <w:shd w:val="clear" w:color="auto" w:fill="C4EFCE"/>
            <w:vAlign w:val="center"/>
            <w:hideMark/>
          </w:tcPr>
          <w:p w14:paraId="40D2FB0E" w14:textId="77777777" w:rsidR="00DC5EC6" w:rsidRDefault="003245A4">
            <w:pPr>
              <w:pStyle w:val="P68B1DB1-Normal23"/>
              <w:spacing w:after="0"/>
              <w:jc w:val="center"/>
              <w:rPr>
                <w:noProof/>
              </w:rPr>
            </w:pPr>
            <w:r>
              <w:rPr>
                <w:noProof/>
              </w:rPr>
              <w:t xml:space="preserve">TD-C20-i01 </w:t>
            </w:r>
          </w:p>
        </w:tc>
        <w:tc>
          <w:tcPr>
            <w:tcW w:w="1520" w:type="dxa"/>
            <w:shd w:val="clear" w:color="auto" w:fill="C4EFCE"/>
            <w:vAlign w:val="center"/>
            <w:hideMark/>
          </w:tcPr>
          <w:p w14:paraId="78F61C3A"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14A5DC9A" w14:textId="77777777" w:rsidR="00DC5EC6" w:rsidRDefault="003245A4">
            <w:pPr>
              <w:pStyle w:val="P68B1DB1-Normal23"/>
              <w:spacing w:after="0"/>
              <w:jc w:val="both"/>
              <w:rPr>
                <w:rFonts w:eastAsia="Calibri" w:cs="Calibri"/>
                <w:noProof/>
              </w:rPr>
            </w:pPr>
            <w:r>
              <w:rPr>
                <w:noProof/>
              </w:rPr>
              <w:t>Egyedi számítógépek tanulók és tanárok számára történő megvásárlására vonatkozó szerződések aláírása</w:t>
            </w:r>
          </w:p>
        </w:tc>
      </w:tr>
      <w:tr w:rsidR="00DC5EC6" w14:paraId="6E3E4880" w14:textId="77777777">
        <w:trPr>
          <w:trHeight w:val="440"/>
        </w:trPr>
        <w:tc>
          <w:tcPr>
            <w:tcW w:w="1200" w:type="dxa"/>
            <w:shd w:val="clear" w:color="auto" w:fill="C4EFCE"/>
            <w:vAlign w:val="center"/>
            <w:hideMark/>
          </w:tcPr>
          <w:p w14:paraId="1531FD90"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9D93FED"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E762CEE"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76A68B63" w14:textId="6ADCE395" w:rsidR="00DC5EC6" w:rsidRDefault="003245A4">
            <w:pPr>
              <w:pStyle w:val="P68B1DB1-Normal25"/>
              <w:spacing w:after="0" w:line="240" w:lineRule="auto"/>
              <w:jc w:val="center"/>
              <w:rPr>
                <w:rFonts w:cs="Calibri"/>
                <w:noProof/>
              </w:rPr>
            </w:pPr>
            <w:r>
              <w:rPr>
                <w:noProof/>
              </w:rPr>
              <w:t xml:space="preserve">·EURÓPAI BIZOTTSÁG 636 139 080 EUR </w:t>
            </w:r>
          </w:p>
        </w:tc>
      </w:tr>
    </w:tbl>
    <w:p w14:paraId="66705A4C" w14:textId="77777777" w:rsidR="00DC5EC6" w:rsidRDefault="00DC5EC6">
      <w:pPr>
        <w:keepNext/>
        <w:spacing w:after="160" w:line="259" w:lineRule="auto"/>
        <w:ind w:left="1571" w:hanging="360"/>
        <w:contextualSpacing/>
        <w:jc w:val="both"/>
        <w:rPr>
          <w:rFonts w:ascii="Times New Roman" w:eastAsiaTheme="minorEastAsia" w:hAnsi="Times New Roman" w:cs="Times New Roman"/>
          <w:noProof/>
          <w:sz w:val="24"/>
        </w:rPr>
      </w:pPr>
    </w:p>
    <w:p w14:paraId="7F4502ED"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 Második kifizetési kérelem (vissza nem térítendő támogatás): </w:t>
      </w:r>
    </w:p>
    <w:p w14:paraId="158E3ED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352FB160" w14:textId="77777777">
        <w:trPr>
          <w:trHeight w:val="509"/>
          <w:tblHeader/>
        </w:trPr>
        <w:tc>
          <w:tcPr>
            <w:tcW w:w="1200" w:type="dxa"/>
            <w:vMerge w:val="restart"/>
            <w:shd w:val="clear" w:color="auto" w:fill="BDD7EE"/>
            <w:vAlign w:val="center"/>
            <w:hideMark/>
          </w:tcPr>
          <w:p w14:paraId="0D0D00E4"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46E7F54F"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4BBAA04E"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51A4AA8D"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1F6741B5" w14:textId="77777777">
        <w:trPr>
          <w:trHeight w:val="509"/>
          <w:tblHeader/>
        </w:trPr>
        <w:tc>
          <w:tcPr>
            <w:tcW w:w="1200" w:type="dxa"/>
            <w:vMerge/>
            <w:vAlign w:val="center"/>
            <w:hideMark/>
          </w:tcPr>
          <w:p w14:paraId="01B474AA"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02EC477F"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3D7F8D49"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615BF232" w14:textId="77777777" w:rsidR="00DC5EC6" w:rsidRDefault="00DC5EC6">
            <w:pPr>
              <w:spacing w:after="0" w:line="240" w:lineRule="auto"/>
              <w:rPr>
                <w:rFonts w:ascii="Times New Roman" w:eastAsia="Times New Roman" w:hAnsi="Times New Roman" w:cs="Times New Roman"/>
                <w:noProof/>
                <w:sz w:val="20"/>
              </w:rPr>
            </w:pPr>
          </w:p>
        </w:tc>
      </w:tr>
      <w:tr w:rsidR="00DC5EC6" w14:paraId="4081C04E" w14:textId="77777777">
        <w:trPr>
          <w:trHeight w:val="440"/>
        </w:trPr>
        <w:tc>
          <w:tcPr>
            <w:tcW w:w="1200" w:type="dxa"/>
            <w:shd w:val="clear" w:color="auto" w:fill="C4EFCE"/>
            <w:vAlign w:val="center"/>
            <w:hideMark/>
          </w:tcPr>
          <w:p w14:paraId="5750728D" w14:textId="77777777" w:rsidR="00DC5EC6" w:rsidRDefault="003245A4">
            <w:pPr>
              <w:pStyle w:val="P68B1DB1-Normal23"/>
              <w:spacing w:after="0"/>
              <w:jc w:val="center"/>
              <w:rPr>
                <w:rFonts w:eastAsia="Calibri" w:cs="Calibri"/>
                <w:noProof/>
              </w:rPr>
            </w:pPr>
            <w:r>
              <w:rPr>
                <w:noProof/>
              </w:rPr>
              <w:t>1.13</w:t>
            </w:r>
          </w:p>
        </w:tc>
        <w:tc>
          <w:tcPr>
            <w:tcW w:w="1760" w:type="dxa"/>
            <w:shd w:val="clear" w:color="auto" w:fill="C4EFCE"/>
            <w:vAlign w:val="center"/>
            <w:hideMark/>
          </w:tcPr>
          <w:p w14:paraId="44477519" w14:textId="77777777" w:rsidR="00DC5EC6" w:rsidRDefault="003245A4">
            <w:pPr>
              <w:pStyle w:val="P68B1DB1-Normal23"/>
              <w:spacing w:after="0"/>
              <w:jc w:val="center"/>
              <w:rPr>
                <w:rFonts w:eastAsia="Calibri" w:cs="Calibri"/>
                <w:noProof/>
              </w:rPr>
            </w:pPr>
            <w:r>
              <w:rPr>
                <w:noProof/>
              </w:rPr>
              <w:t xml:space="preserve">Re-C01-i02 </w:t>
            </w:r>
          </w:p>
        </w:tc>
        <w:tc>
          <w:tcPr>
            <w:tcW w:w="1520" w:type="dxa"/>
            <w:shd w:val="clear" w:color="auto" w:fill="C4EFCE"/>
            <w:vAlign w:val="center"/>
            <w:hideMark/>
          </w:tcPr>
          <w:p w14:paraId="04640CD0"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D4C3B0B" w14:textId="77777777" w:rsidR="00DC5EC6" w:rsidRDefault="003245A4">
            <w:pPr>
              <w:pStyle w:val="P68B1DB1-Normal23"/>
              <w:spacing w:after="0"/>
              <w:jc w:val="both"/>
              <w:rPr>
                <w:rFonts w:eastAsia="Calibri" w:cs="Calibri"/>
                <w:noProof/>
              </w:rPr>
            </w:pPr>
            <w:r>
              <w:rPr>
                <w:noProof/>
              </w:rPr>
              <w:t>A más típusú egészségügyi szolgáltatások – beleértve az egészségügyi alapellátást is – kórházi sürgősségi szolgáltatásokban fehér, kék vagy zöld színnel átvilágított sürgősségi epizódokra való hivatkozás feltételeinek hatálybalépése</w:t>
            </w:r>
          </w:p>
        </w:tc>
      </w:tr>
      <w:tr w:rsidR="00DC5EC6" w14:paraId="0C6EEC60" w14:textId="77777777">
        <w:trPr>
          <w:trHeight w:val="440"/>
        </w:trPr>
        <w:tc>
          <w:tcPr>
            <w:tcW w:w="1200" w:type="dxa"/>
            <w:shd w:val="clear" w:color="auto" w:fill="C4EFCE"/>
            <w:vAlign w:val="center"/>
            <w:hideMark/>
          </w:tcPr>
          <w:p w14:paraId="4CBB49BA" w14:textId="77777777" w:rsidR="00DC5EC6" w:rsidRDefault="003245A4">
            <w:pPr>
              <w:pStyle w:val="P68B1DB1-Normal23"/>
              <w:spacing w:after="0"/>
              <w:jc w:val="center"/>
              <w:rPr>
                <w:rFonts w:eastAsia="Calibri" w:cs="Calibri"/>
                <w:noProof/>
              </w:rPr>
            </w:pPr>
            <w:r>
              <w:rPr>
                <w:noProof/>
              </w:rPr>
              <w:t>1.20</w:t>
            </w:r>
          </w:p>
        </w:tc>
        <w:tc>
          <w:tcPr>
            <w:tcW w:w="1760" w:type="dxa"/>
            <w:shd w:val="clear" w:color="auto" w:fill="C4EFCE"/>
            <w:vAlign w:val="center"/>
            <w:hideMark/>
          </w:tcPr>
          <w:p w14:paraId="480832CC" w14:textId="77777777" w:rsidR="00DC5EC6" w:rsidRDefault="003245A4">
            <w:pPr>
              <w:pStyle w:val="P68B1DB1-Normal23"/>
              <w:spacing w:after="0"/>
              <w:jc w:val="center"/>
              <w:rPr>
                <w:rFonts w:eastAsia="Calibri" w:cs="Calibri"/>
                <w:noProof/>
              </w:rPr>
            </w:pPr>
            <w:r>
              <w:rPr>
                <w:noProof/>
              </w:rPr>
              <w:t xml:space="preserve">Re-C01-r03 </w:t>
            </w:r>
          </w:p>
        </w:tc>
        <w:tc>
          <w:tcPr>
            <w:tcW w:w="1520" w:type="dxa"/>
            <w:shd w:val="clear" w:color="auto" w:fill="C4EFCE"/>
            <w:vAlign w:val="center"/>
            <w:hideMark/>
          </w:tcPr>
          <w:p w14:paraId="7D9187DC"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315F543" w14:textId="77777777" w:rsidR="00DC5EC6" w:rsidRDefault="003245A4">
            <w:pPr>
              <w:pStyle w:val="P68B1DB1-Normal23"/>
              <w:spacing w:after="0"/>
              <w:jc w:val="both"/>
              <w:rPr>
                <w:rFonts w:eastAsia="Calibri" w:cs="Calibri"/>
                <w:noProof/>
              </w:rPr>
            </w:pPr>
            <w:r>
              <w:rPr>
                <w:noProof/>
              </w:rPr>
              <w:t>A regionális egészségügyi hatóságok által nyújtott pénzügyi támogatás elosztásáról szóló rendelet hatálybalépése</w:t>
            </w:r>
          </w:p>
        </w:tc>
      </w:tr>
      <w:tr w:rsidR="00DC5EC6" w14:paraId="69F0FF9C" w14:textId="77777777">
        <w:trPr>
          <w:trHeight w:val="440"/>
        </w:trPr>
        <w:tc>
          <w:tcPr>
            <w:tcW w:w="1200" w:type="dxa"/>
            <w:shd w:val="clear" w:color="auto" w:fill="C4EFCE"/>
            <w:vAlign w:val="center"/>
            <w:hideMark/>
          </w:tcPr>
          <w:p w14:paraId="166EDAF8" w14:textId="31004DB1" w:rsidR="00DC5EC6" w:rsidRDefault="003245A4">
            <w:pPr>
              <w:pStyle w:val="P68B1DB1-Normal23"/>
              <w:spacing w:after="0"/>
              <w:jc w:val="center"/>
              <w:rPr>
                <w:rFonts w:eastAsia="Calibri" w:cs="Calibri"/>
                <w:noProof/>
              </w:rPr>
            </w:pPr>
            <w:r>
              <w:rPr>
                <w:noProof/>
              </w:rPr>
              <w:t>1.6</w:t>
            </w:r>
          </w:p>
        </w:tc>
        <w:tc>
          <w:tcPr>
            <w:tcW w:w="1760" w:type="dxa"/>
            <w:shd w:val="clear" w:color="auto" w:fill="C4EFCE"/>
            <w:vAlign w:val="center"/>
            <w:hideMark/>
          </w:tcPr>
          <w:p w14:paraId="35D3297F" w14:textId="77777777" w:rsidR="00DC5EC6" w:rsidRDefault="003245A4">
            <w:pPr>
              <w:pStyle w:val="P68B1DB1-Normal23"/>
              <w:spacing w:after="0"/>
              <w:jc w:val="center"/>
              <w:rPr>
                <w:rFonts w:eastAsia="Calibri" w:cs="Calibri"/>
                <w:noProof/>
              </w:rPr>
            </w:pPr>
            <w:r>
              <w:rPr>
                <w:noProof/>
              </w:rPr>
              <w:t xml:space="preserve">Re-C01-i01 </w:t>
            </w:r>
          </w:p>
        </w:tc>
        <w:tc>
          <w:tcPr>
            <w:tcW w:w="1520" w:type="dxa"/>
            <w:shd w:val="clear" w:color="auto" w:fill="C4EFCE"/>
            <w:vAlign w:val="center"/>
            <w:hideMark/>
          </w:tcPr>
          <w:p w14:paraId="00EBB8F8"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E23AEAC" w14:textId="77777777" w:rsidR="00DC5EC6" w:rsidRDefault="003245A4">
            <w:pPr>
              <w:pStyle w:val="P68B1DB1-Normal23"/>
              <w:spacing w:after="0"/>
              <w:jc w:val="both"/>
              <w:rPr>
                <w:rFonts w:eastAsia="Calibri" w:cs="Calibri"/>
                <w:noProof/>
              </w:rPr>
            </w:pPr>
            <w:r>
              <w:rPr>
                <w:noProof/>
              </w:rPr>
              <w:t>Az új üzemeltetési szerződéssablon hatálybalépése</w:t>
            </w:r>
          </w:p>
        </w:tc>
      </w:tr>
      <w:tr w:rsidR="00DC5EC6" w14:paraId="5EFCE41E" w14:textId="77777777">
        <w:trPr>
          <w:trHeight w:val="440"/>
        </w:trPr>
        <w:tc>
          <w:tcPr>
            <w:tcW w:w="1200" w:type="dxa"/>
            <w:shd w:val="clear" w:color="auto" w:fill="C4EFCE"/>
            <w:vAlign w:val="center"/>
            <w:hideMark/>
          </w:tcPr>
          <w:p w14:paraId="5D8AE41A" w14:textId="77777777" w:rsidR="00DC5EC6" w:rsidRDefault="003245A4">
            <w:pPr>
              <w:pStyle w:val="P68B1DB1-Normal23"/>
              <w:spacing w:after="0"/>
              <w:jc w:val="center"/>
              <w:rPr>
                <w:rFonts w:eastAsia="Calibri" w:cs="Calibri"/>
                <w:noProof/>
              </w:rPr>
            </w:pPr>
            <w:r>
              <w:rPr>
                <w:noProof/>
              </w:rPr>
              <w:t>3.24</w:t>
            </w:r>
          </w:p>
        </w:tc>
        <w:tc>
          <w:tcPr>
            <w:tcW w:w="1760" w:type="dxa"/>
            <w:shd w:val="clear" w:color="auto" w:fill="C4EFCE"/>
            <w:vAlign w:val="center"/>
            <w:hideMark/>
          </w:tcPr>
          <w:p w14:paraId="345DB0E2" w14:textId="77777777" w:rsidR="00DC5EC6" w:rsidRDefault="003245A4">
            <w:pPr>
              <w:pStyle w:val="P68B1DB1-Normal23"/>
              <w:spacing w:after="0"/>
              <w:jc w:val="center"/>
              <w:rPr>
                <w:rFonts w:eastAsia="Calibri" w:cs="Calibri"/>
                <w:noProof/>
              </w:rPr>
            </w:pPr>
            <w:r>
              <w:rPr>
                <w:noProof/>
              </w:rPr>
              <w:t xml:space="preserve">Re-C03-i01 </w:t>
            </w:r>
          </w:p>
        </w:tc>
        <w:tc>
          <w:tcPr>
            <w:tcW w:w="1520" w:type="dxa"/>
            <w:shd w:val="clear" w:color="auto" w:fill="C4EFCE"/>
            <w:vAlign w:val="center"/>
            <w:hideMark/>
          </w:tcPr>
          <w:p w14:paraId="0957961C"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0267902" w14:textId="77777777" w:rsidR="00DC5EC6" w:rsidRDefault="003245A4">
            <w:pPr>
              <w:pStyle w:val="P68B1DB1-Normal23"/>
              <w:spacing w:after="0"/>
              <w:jc w:val="both"/>
              <w:rPr>
                <w:rFonts w:eastAsia="Calibri" w:cs="Calibri"/>
                <w:noProof/>
              </w:rPr>
            </w:pPr>
            <w:r>
              <w:rPr>
                <w:noProof/>
              </w:rPr>
              <w:t>A lisszaboni/portói önkormányzatok és a helyi műszaki egységek közötti megállapodások aláírása, amelyek meghatározzák a támogatandó intézkedések körét.</w:t>
            </w:r>
          </w:p>
        </w:tc>
      </w:tr>
      <w:tr w:rsidR="00DC5EC6" w14:paraId="6D1DB67B" w14:textId="77777777">
        <w:trPr>
          <w:trHeight w:val="440"/>
        </w:trPr>
        <w:tc>
          <w:tcPr>
            <w:tcW w:w="1200" w:type="dxa"/>
            <w:shd w:val="clear" w:color="auto" w:fill="C4EFCE"/>
            <w:vAlign w:val="center"/>
            <w:hideMark/>
          </w:tcPr>
          <w:p w14:paraId="26C83B0D" w14:textId="77777777" w:rsidR="00DC5EC6" w:rsidRDefault="003245A4">
            <w:pPr>
              <w:pStyle w:val="P68B1DB1-Normal23"/>
              <w:spacing w:after="0"/>
              <w:jc w:val="center"/>
              <w:rPr>
                <w:rFonts w:eastAsia="Calibri" w:cs="Calibri"/>
                <w:noProof/>
              </w:rPr>
            </w:pPr>
            <w:r>
              <w:rPr>
                <w:noProof/>
              </w:rPr>
              <w:t>3.3</w:t>
            </w:r>
          </w:p>
        </w:tc>
        <w:tc>
          <w:tcPr>
            <w:tcW w:w="1760" w:type="dxa"/>
            <w:shd w:val="clear" w:color="auto" w:fill="C4EFCE"/>
            <w:vAlign w:val="center"/>
            <w:hideMark/>
          </w:tcPr>
          <w:p w14:paraId="6A8E3604" w14:textId="77777777" w:rsidR="00DC5EC6" w:rsidRDefault="003245A4">
            <w:pPr>
              <w:pStyle w:val="P68B1DB1-Normal23"/>
              <w:spacing w:after="0"/>
              <w:jc w:val="center"/>
              <w:rPr>
                <w:rFonts w:eastAsia="Calibri" w:cs="Calibri"/>
                <w:noProof/>
              </w:rPr>
            </w:pPr>
            <w:r>
              <w:rPr>
                <w:noProof/>
              </w:rPr>
              <w:t xml:space="preserve">Re-C03-i06 </w:t>
            </w:r>
          </w:p>
        </w:tc>
        <w:tc>
          <w:tcPr>
            <w:tcW w:w="1520" w:type="dxa"/>
            <w:shd w:val="clear" w:color="auto" w:fill="C4EFCE"/>
            <w:vAlign w:val="center"/>
            <w:hideMark/>
          </w:tcPr>
          <w:p w14:paraId="6CBB1E8D"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1900507" w14:textId="77777777" w:rsidR="00DC5EC6" w:rsidRDefault="003245A4">
            <w:pPr>
              <w:pStyle w:val="P68B1DB1-Normal23"/>
              <w:spacing w:after="0"/>
              <w:jc w:val="both"/>
              <w:rPr>
                <w:rFonts w:eastAsia="Calibri" w:cs="Calibri"/>
                <w:noProof/>
              </w:rPr>
            </w:pPr>
            <w:r>
              <w:rPr>
                <w:noProof/>
              </w:rPr>
              <w:t>A szociális létesítmények/szociális válaszok hálózatának létrehozására és bővítésére irányuló támogató szervezetek támogatására irányuló szerződések odaítélése.</w:t>
            </w:r>
          </w:p>
        </w:tc>
      </w:tr>
      <w:tr w:rsidR="00DC5EC6" w14:paraId="5CF43042" w14:textId="77777777">
        <w:trPr>
          <w:trHeight w:val="440"/>
        </w:trPr>
        <w:tc>
          <w:tcPr>
            <w:tcW w:w="1200" w:type="dxa"/>
            <w:shd w:val="clear" w:color="auto" w:fill="C4EFCE"/>
            <w:vAlign w:val="center"/>
            <w:hideMark/>
          </w:tcPr>
          <w:p w14:paraId="27EE7DD4" w14:textId="77777777" w:rsidR="00DC5EC6" w:rsidRDefault="003245A4">
            <w:pPr>
              <w:pStyle w:val="P68B1DB1-Normal23"/>
              <w:spacing w:after="0"/>
              <w:jc w:val="center"/>
              <w:rPr>
                <w:rFonts w:eastAsia="Calibri" w:cs="Calibri"/>
                <w:noProof/>
              </w:rPr>
            </w:pPr>
            <w:r>
              <w:rPr>
                <w:noProof/>
              </w:rPr>
              <w:t>4.1</w:t>
            </w:r>
          </w:p>
        </w:tc>
        <w:tc>
          <w:tcPr>
            <w:tcW w:w="1760" w:type="dxa"/>
            <w:shd w:val="clear" w:color="auto" w:fill="C4EFCE"/>
            <w:vAlign w:val="center"/>
            <w:hideMark/>
          </w:tcPr>
          <w:p w14:paraId="035DEC49" w14:textId="625BA17C" w:rsidR="00DC5EC6" w:rsidRDefault="003245A4">
            <w:pPr>
              <w:pStyle w:val="P68B1DB1-Normal23"/>
              <w:spacing w:after="0"/>
              <w:jc w:val="center"/>
              <w:rPr>
                <w:rFonts w:eastAsia="Calibri" w:cs="Calibri"/>
                <w:noProof/>
              </w:rPr>
            </w:pPr>
            <w:r>
              <w:rPr>
                <w:noProof/>
              </w:rPr>
              <w:t xml:space="preserve">Re-C04-i01 </w:t>
            </w:r>
          </w:p>
        </w:tc>
        <w:tc>
          <w:tcPr>
            <w:tcW w:w="1520" w:type="dxa"/>
            <w:shd w:val="clear" w:color="auto" w:fill="C4EFCE"/>
            <w:vAlign w:val="center"/>
            <w:hideMark/>
          </w:tcPr>
          <w:p w14:paraId="453E5DD3"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4A22F10" w14:textId="77777777" w:rsidR="00DC5EC6" w:rsidRDefault="003245A4">
            <w:pPr>
              <w:pStyle w:val="P68B1DB1-Normal23"/>
              <w:spacing w:after="0"/>
              <w:jc w:val="both"/>
              <w:rPr>
                <w:rFonts w:eastAsia="Calibri" w:cs="Calibri"/>
                <w:noProof/>
              </w:rPr>
            </w:pPr>
            <w:r>
              <w:rPr>
                <w:noProof/>
              </w:rPr>
              <w:t>A kulturális létesítmények hálózatára vonatkozó műszaki előírások</w:t>
            </w:r>
          </w:p>
        </w:tc>
      </w:tr>
      <w:tr w:rsidR="00DC5EC6" w14:paraId="1D67278E" w14:textId="77777777">
        <w:trPr>
          <w:trHeight w:val="440"/>
        </w:trPr>
        <w:tc>
          <w:tcPr>
            <w:tcW w:w="1200" w:type="dxa"/>
            <w:shd w:val="clear" w:color="auto" w:fill="C4EFCE"/>
            <w:vAlign w:val="center"/>
            <w:hideMark/>
          </w:tcPr>
          <w:p w14:paraId="1EEC3DB4" w14:textId="77777777" w:rsidR="00DC5EC6" w:rsidRDefault="003245A4">
            <w:pPr>
              <w:pStyle w:val="P68B1DB1-Normal23"/>
              <w:spacing w:after="0"/>
              <w:jc w:val="center"/>
              <w:rPr>
                <w:rFonts w:eastAsia="Calibri" w:cs="Calibri"/>
                <w:noProof/>
              </w:rPr>
            </w:pPr>
            <w:r>
              <w:rPr>
                <w:noProof/>
              </w:rPr>
              <w:t>5.18</w:t>
            </w:r>
          </w:p>
        </w:tc>
        <w:tc>
          <w:tcPr>
            <w:tcW w:w="1760" w:type="dxa"/>
            <w:shd w:val="clear" w:color="auto" w:fill="C4EFCE"/>
            <w:vAlign w:val="center"/>
            <w:hideMark/>
          </w:tcPr>
          <w:p w14:paraId="6807E12E" w14:textId="77777777" w:rsidR="00DC5EC6" w:rsidRDefault="003245A4">
            <w:pPr>
              <w:pStyle w:val="P68B1DB1-Normal23"/>
              <w:spacing w:after="0"/>
              <w:jc w:val="center"/>
              <w:rPr>
                <w:rFonts w:eastAsia="Calibri" w:cs="Calibri"/>
                <w:noProof/>
              </w:rPr>
            </w:pPr>
            <w:r>
              <w:rPr>
                <w:noProof/>
              </w:rPr>
              <w:t xml:space="preserve">Re-C05-i05-RAA </w:t>
            </w:r>
          </w:p>
        </w:tc>
        <w:tc>
          <w:tcPr>
            <w:tcW w:w="1520" w:type="dxa"/>
            <w:shd w:val="clear" w:color="auto" w:fill="C4EFCE"/>
            <w:vAlign w:val="center"/>
            <w:hideMark/>
          </w:tcPr>
          <w:p w14:paraId="115683CC"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F0AD3AB" w14:textId="77777777" w:rsidR="00DC5EC6" w:rsidRDefault="003245A4">
            <w:pPr>
              <w:pStyle w:val="P68B1DB1-Normal23"/>
              <w:spacing w:after="0"/>
              <w:jc w:val="both"/>
              <w:rPr>
                <w:rFonts w:eastAsia="Calibri" w:cs="Calibri"/>
                <w:noProof/>
              </w:rPr>
            </w:pPr>
            <w:r>
              <w:rPr>
                <w:noProof/>
              </w:rPr>
              <w:t>Az Azori-szigetek mezőgazdasági innovációs és digitalizációs programjának közzététele</w:t>
            </w:r>
          </w:p>
        </w:tc>
      </w:tr>
      <w:tr w:rsidR="00DC5EC6" w14:paraId="12652084" w14:textId="77777777">
        <w:trPr>
          <w:trHeight w:val="440"/>
        </w:trPr>
        <w:tc>
          <w:tcPr>
            <w:tcW w:w="1200" w:type="dxa"/>
            <w:shd w:val="clear" w:color="auto" w:fill="C4EFCE"/>
            <w:vAlign w:val="center"/>
            <w:hideMark/>
          </w:tcPr>
          <w:p w14:paraId="196543A9" w14:textId="77777777" w:rsidR="00DC5EC6" w:rsidRDefault="003245A4">
            <w:pPr>
              <w:pStyle w:val="P68B1DB1-Normal23"/>
              <w:spacing w:after="0"/>
              <w:jc w:val="center"/>
              <w:rPr>
                <w:rFonts w:eastAsia="Calibri" w:cs="Calibri"/>
                <w:noProof/>
              </w:rPr>
            </w:pPr>
            <w:r>
              <w:rPr>
                <w:noProof/>
              </w:rPr>
              <w:t>8.14</w:t>
            </w:r>
          </w:p>
        </w:tc>
        <w:tc>
          <w:tcPr>
            <w:tcW w:w="1760" w:type="dxa"/>
            <w:shd w:val="clear" w:color="auto" w:fill="C4EFCE"/>
            <w:vAlign w:val="center"/>
            <w:hideMark/>
          </w:tcPr>
          <w:p w14:paraId="5CE17266" w14:textId="77777777" w:rsidR="00DC5EC6" w:rsidRDefault="003245A4">
            <w:pPr>
              <w:pStyle w:val="P68B1DB1-Normal23"/>
              <w:spacing w:after="0"/>
              <w:jc w:val="center"/>
              <w:rPr>
                <w:rFonts w:eastAsia="Calibri" w:cs="Calibri"/>
                <w:noProof/>
              </w:rPr>
            </w:pPr>
            <w:r>
              <w:rPr>
                <w:noProof/>
              </w:rPr>
              <w:t xml:space="preserve">Re-C08-i02 </w:t>
            </w:r>
          </w:p>
        </w:tc>
        <w:tc>
          <w:tcPr>
            <w:tcW w:w="1520" w:type="dxa"/>
            <w:shd w:val="clear" w:color="auto" w:fill="C4EFCE"/>
            <w:vAlign w:val="center"/>
            <w:hideMark/>
          </w:tcPr>
          <w:p w14:paraId="4FEEA23F" w14:textId="77777777" w:rsidR="00DC5EC6" w:rsidRDefault="003245A4">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0D33A02" w14:textId="77777777" w:rsidR="00DC5EC6" w:rsidRDefault="003245A4">
            <w:pPr>
              <w:pStyle w:val="P68B1DB1-Normal23"/>
              <w:spacing w:after="0"/>
              <w:jc w:val="both"/>
              <w:rPr>
                <w:rFonts w:eastAsia="Calibri" w:cs="Calibri"/>
                <w:noProof/>
              </w:rPr>
            </w:pPr>
            <w:r>
              <w:rPr>
                <w:noProof/>
              </w:rPr>
              <w:t>A nemzeti vészhelyzeti és polgári védelmi hatóság (ANEPC) regionális és szubregionális struktúráinak létrehozása</w:t>
            </w:r>
          </w:p>
        </w:tc>
      </w:tr>
      <w:tr w:rsidR="00DC5EC6" w14:paraId="35EFEA47" w14:textId="77777777">
        <w:trPr>
          <w:trHeight w:val="440"/>
        </w:trPr>
        <w:tc>
          <w:tcPr>
            <w:tcW w:w="1200" w:type="dxa"/>
            <w:shd w:val="clear" w:color="auto" w:fill="C4EFCE"/>
            <w:vAlign w:val="center"/>
            <w:hideMark/>
          </w:tcPr>
          <w:p w14:paraId="4C9D2DDC" w14:textId="77777777" w:rsidR="00DC5EC6" w:rsidRDefault="003245A4">
            <w:pPr>
              <w:pStyle w:val="P68B1DB1-Normal23"/>
              <w:spacing w:after="0"/>
              <w:jc w:val="center"/>
              <w:rPr>
                <w:rFonts w:eastAsia="Calibri" w:cs="Calibri"/>
                <w:noProof/>
              </w:rPr>
            </w:pPr>
            <w:r>
              <w:rPr>
                <w:noProof/>
              </w:rPr>
              <w:t>8.15</w:t>
            </w:r>
          </w:p>
        </w:tc>
        <w:tc>
          <w:tcPr>
            <w:tcW w:w="1760" w:type="dxa"/>
            <w:shd w:val="clear" w:color="auto" w:fill="C4EFCE"/>
            <w:vAlign w:val="center"/>
            <w:hideMark/>
          </w:tcPr>
          <w:p w14:paraId="44F53CD2" w14:textId="77777777" w:rsidR="00DC5EC6" w:rsidRDefault="003245A4">
            <w:pPr>
              <w:pStyle w:val="P68B1DB1-Normal23"/>
              <w:spacing w:after="0"/>
              <w:jc w:val="center"/>
              <w:rPr>
                <w:rFonts w:eastAsia="Calibri" w:cs="Calibri"/>
                <w:noProof/>
              </w:rPr>
            </w:pPr>
            <w:r>
              <w:rPr>
                <w:noProof/>
              </w:rPr>
              <w:t xml:space="preserve">Újra-C08-i03 </w:t>
            </w:r>
          </w:p>
        </w:tc>
        <w:tc>
          <w:tcPr>
            <w:tcW w:w="1520" w:type="dxa"/>
            <w:shd w:val="clear" w:color="auto" w:fill="C4EFCE"/>
            <w:vAlign w:val="center"/>
            <w:hideMark/>
          </w:tcPr>
          <w:p w14:paraId="0F2B0D59"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01ABC6A2" w14:textId="77777777" w:rsidR="00DC5EC6" w:rsidRDefault="003245A4">
            <w:pPr>
              <w:pStyle w:val="P68B1DB1-Normal23"/>
              <w:spacing w:after="0"/>
              <w:jc w:val="both"/>
              <w:rPr>
                <w:rFonts w:eastAsia="Calibri" w:cs="Calibri"/>
                <w:noProof/>
              </w:rPr>
            </w:pPr>
            <w:r>
              <w:rPr>
                <w:noProof/>
              </w:rPr>
              <w:t>A Természetvédelmi és Erdészeti Intézet bevezető jelentésének közzététele, I.P.</w:t>
            </w:r>
          </w:p>
        </w:tc>
      </w:tr>
      <w:tr w:rsidR="00DC5EC6" w14:paraId="07159476" w14:textId="77777777">
        <w:trPr>
          <w:trHeight w:val="440"/>
        </w:trPr>
        <w:tc>
          <w:tcPr>
            <w:tcW w:w="1200" w:type="dxa"/>
            <w:shd w:val="clear" w:color="auto" w:fill="C4EFCE"/>
            <w:vAlign w:val="center"/>
            <w:hideMark/>
          </w:tcPr>
          <w:p w14:paraId="4FFB6CD4" w14:textId="77777777" w:rsidR="00DC5EC6" w:rsidRDefault="003245A4">
            <w:pPr>
              <w:pStyle w:val="P68B1DB1-Normal23"/>
              <w:spacing w:after="0"/>
              <w:jc w:val="center"/>
              <w:rPr>
                <w:rFonts w:eastAsia="Calibri" w:cs="Calibri"/>
                <w:noProof/>
              </w:rPr>
            </w:pPr>
            <w:r>
              <w:rPr>
                <w:noProof/>
              </w:rPr>
              <w:t>8.4</w:t>
            </w:r>
          </w:p>
        </w:tc>
        <w:tc>
          <w:tcPr>
            <w:tcW w:w="1760" w:type="dxa"/>
            <w:shd w:val="clear" w:color="auto" w:fill="C4EFCE"/>
            <w:vAlign w:val="center"/>
            <w:hideMark/>
          </w:tcPr>
          <w:p w14:paraId="7B8AD2FC" w14:textId="77777777" w:rsidR="00DC5EC6" w:rsidRDefault="003245A4">
            <w:pPr>
              <w:pStyle w:val="P68B1DB1-Normal23"/>
              <w:spacing w:after="0"/>
              <w:jc w:val="center"/>
              <w:rPr>
                <w:rFonts w:eastAsia="Calibri" w:cs="Calibri"/>
                <w:noProof/>
              </w:rPr>
            </w:pPr>
            <w:r>
              <w:rPr>
                <w:noProof/>
              </w:rPr>
              <w:t xml:space="preserve">Újra-C08-i05 </w:t>
            </w:r>
          </w:p>
        </w:tc>
        <w:tc>
          <w:tcPr>
            <w:tcW w:w="1520" w:type="dxa"/>
            <w:shd w:val="clear" w:color="auto" w:fill="C4EFCE"/>
            <w:vAlign w:val="center"/>
            <w:hideMark/>
          </w:tcPr>
          <w:p w14:paraId="17CD02D0"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2EF1A361" w14:textId="77777777" w:rsidR="00DC5EC6" w:rsidRDefault="003245A4">
            <w:pPr>
              <w:pStyle w:val="P68B1DB1-Normal23"/>
              <w:spacing w:after="0"/>
              <w:jc w:val="both"/>
              <w:rPr>
                <w:rFonts w:eastAsia="Calibri" w:cs="Calibri"/>
                <w:noProof/>
              </w:rPr>
            </w:pPr>
            <w:r>
              <w:rPr>
                <w:noProof/>
              </w:rPr>
              <w:t>Előrelépés a BUPi 2.0 platform felé</w:t>
            </w:r>
          </w:p>
        </w:tc>
      </w:tr>
      <w:tr w:rsidR="00DC5EC6" w14:paraId="6124AF89" w14:textId="77777777">
        <w:trPr>
          <w:trHeight w:val="440"/>
        </w:trPr>
        <w:tc>
          <w:tcPr>
            <w:tcW w:w="1200" w:type="dxa"/>
            <w:shd w:val="clear" w:color="auto" w:fill="C4EFCE"/>
            <w:vAlign w:val="center"/>
            <w:hideMark/>
          </w:tcPr>
          <w:p w14:paraId="61ED2CA3" w14:textId="77777777" w:rsidR="00DC5EC6" w:rsidRDefault="003245A4">
            <w:pPr>
              <w:pStyle w:val="P68B1DB1-Normal23"/>
              <w:spacing w:after="0"/>
              <w:jc w:val="center"/>
              <w:rPr>
                <w:rFonts w:eastAsia="Calibri" w:cs="Calibri"/>
                <w:noProof/>
              </w:rPr>
            </w:pPr>
            <w:r>
              <w:rPr>
                <w:noProof/>
              </w:rPr>
              <w:t>8.7</w:t>
            </w:r>
          </w:p>
        </w:tc>
        <w:tc>
          <w:tcPr>
            <w:tcW w:w="1760" w:type="dxa"/>
            <w:shd w:val="clear" w:color="auto" w:fill="C4EFCE"/>
            <w:vAlign w:val="center"/>
            <w:hideMark/>
          </w:tcPr>
          <w:p w14:paraId="62D644C7" w14:textId="77777777" w:rsidR="00DC5EC6" w:rsidRDefault="003245A4">
            <w:pPr>
              <w:pStyle w:val="P68B1DB1-Normal23"/>
              <w:spacing w:after="0"/>
              <w:jc w:val="center"/>
              <w:rPr>
                <w:rFonts w:eastAsia="Calibri" w:cs="Calibri"/>
                <w:noProof/>
              </w:rPr>
            </w:pPr>
            <w:r>
              <w:rPr>
                <w:noProof/>
              </w:rPr>
              <w:t xml:space="preserve">Újra-C08-i05 </w:t>
            </w:r>
          </w:p>
        </w:tc>
        <w:tc>
          <w:tcPr>
            <w:tcW w:w="1520" w:type="dxa"/>
            <w:shd w:val="clear" w:color="auto" w:fill="C4EFCE"/>
            <w:vAlign w:val="center"/>
            <w:hideMark/>
          </w:tcPr>
          <w:p w14:paraId="51195EC8"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5560C5A" w14:textId="77777777" w:rsidR="00DC5EC6" w:rsidRDefault="003245A4">
            <w:pPr>
              <w:pStyle w:val="P68B1DB1-Normal23"/>
              <w:spacing w:after="0"/>
              <w:jc w:val="both"/>
              <w:rPr>
                <w:rFonts w:eastAsia="Calibri" w:cs="Calibri"/>
                <w:noProof/>
              </w:rPr>
            </w:pPr>
            <w:r>
              <w:rPr>
                <w:noProof/>
              </w:rPr>
              <w:t>Az elsődleges tüzelőanyag-gazdálkodással kapcsolatos szerkezeti hálózatra (RPFGC) vonatkozó szerződés közzététele</w:t>
            </w:r>
          </w:p>
        </w:tc>
      </w:tr>
      <w:tr w:rsidR="00DC5EC6" w14:paraId="119565A8" w14:textId="77777777">
        <w:trPr>
          <w:trHeight w:val="440"/>
        </w:trPr>
        <w:tc>
          <w:tcPr>
            <w:tcW w:w="1200" w:type="dxa"/>
            <w:shd w:val="clear" w:color="auto" w:fill="C4EFCE"/>
            <w:vAlign w:val="center"/>
            <w:hideMark/>
          </w:tcPr>
          <w:p w14:paraId="576F089D" w14:textId="77777777" w:rsidR="00DC5EC6" w:rsidRDefault="003245A4">
            <w:pPr>
              <w:pStyle w:val="P68B1DB1-Normal23"/>
              <w:spacing w:after="0"/>
              <w:jc w:val="center"/>
              <w:rPr>
                <w:rFonts w:eastAsia="Calibri" w:cs="Calibri"/>
                <w:noProof/>
              </w:rPr>
            </w:pPr>
            <w:r>
              <w:rPr>
                <w:noProof/>
              </w:rPr>
              <w:t>9.9</w:t>
            </w:r>
          </w:p>
        </w:tc>
        <w:tc>
          <w:tcPr>
            <w:tcW w:w="1760" w:type="dxa"/>
            <w:shd w:val="clear" w:color="auto" w:fill="C4EFCE"/>
            <w:vAlign w:val="center"/>
            <w:hideMark/>
          </w:tcPr>
          <w:p w14:paraId="59AA53D0" w14:textId="77777777" w:rsidR="00DC5EC6" w:rsidRDefault="003245A4">
            <w:pPr>
              <w:pStyle w:val="P68B1DB1-Normal23"/>
              <w:spacing w:after="0"/>
              <w:jc w:val="center"/>
              <w:rPr>
                <w:rFonts w:eastAsia="Calibri" w:cs="Calibri"/>
                <w:noProof/>
              </w:rPr>
            </w:pPr>
            <w:r>
              <w:rPr>
                <w:noProof/>
              </w:rPr>
              <w:t xml:space="preserve">Re-C09-i02 </w:t>
            </w:r>
          </w:p>
        </w:tc>
        <w:tc>
          <w:tcPr>
            <w:tcW w:w="1520" w:type="dxa"/>
            <w:shd w:val="clear" w:color="auto" w:fill="C4EFCE"/>
            <w:vAlign w:val="center"/>
            <w:hideMark/>
          </w:tcPr>
          <w:p w14:paraId="765E382A"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179D88CA" w14:textId="77777777" w:rsidR="00DC5EC6" w:rsidRDefault="003245A4">
            <w:pPr>
              <w:pStyle w:val="P68B1DB1-Normal23"/>
              <w:spacing w:after="0"/>
              <w:jc w:val="both"/>
              <w:rPr>
                <w:rFonts w:eastAsia="Calibri" w:cs="Calibri"/>
                <w:noProof/>
              </w:rPr>
            </w:pPr>
            <w:r>
              <w:rPr>
                <w:noProof/>
              </w:rPr>
              <w:t>Az intézkedés tervezési dokumentációjának közzététele, amely teljes mértékben tartalmazza a környezeti hatásvizsgálat eredményeit és feltételeit</w:t>
            </w:r>
          </w:p>
        </w:tc>
      </w:tr>
      <w:tr w:rsidR="00DC5EC6" w14:paraId="22E0EAB1" w14:textId="77777777">
        <w:trPr>
          <w:trHeight w:val="440"/>
        </w:trPr>
        <w:tc>
          <w:tcPr>
            <w:tcW w:w="1200" w:type="dxa"/>
            <w:shd w:val="clear" w:color="auto" w:fill="C4EFCE"/>
            <w:vAlign w:val="center"/>
            <w:hideMark/>
          </w:tcPr>
          <w:p w14:paraId="2B69A152" w14:textId="77777777" w:rsidR="00DC5EC6" w:rsidRDefault="003245A4">
            <w:pPr>
              <w:pStyle w:val="P68B1DB1-Normal23"/>
              <w:spacing w:after="0"/>
              <w:jc w:val="center"/>
              <w:rPr>
                <w:rFonts w:eastAsia="Calibri" w:cs="Calibri"/>
                <w:noProof/>
              </w:rPr>
            </w:pPr>
            <w:r>
              <w:rPr>
                <w:noProof/>
              </w:rPr>
              <w:t>12.2</w:t>
            </w:r>
          </w:p>
        </w:tc>
        <w:tc>
          <w:tcPr>
            <w:tcW w:w="1760" w:type="dxa"/>
            <w:shd w:val="clear" w:color="auto" w:fill="C4EFCE"/>
            <w:vAlign w:val="center"/>
            <w:hideMark/>
          </w:tcPr>
          <w:p w14:paraId="0E5E7E9D" w14:textId="77777777" w:rsidR="00DC5EC6" w:rsidRDefault="003245A4">
            <w:pPr>
              <w:pStyle w:val="P68B1DB1-Normal23"/>
              <w:spacing w:after="0"/>
              <w:jc w:val="center"/>
              <w:rPr>
                <w:rFonts w:eastAsia="Calibri" w:cs="Calibri"/>
                <w:noProof/>
              </w:rPr>
            </w:pPr>
            <w:r>
              <w:rPr>
                <w:noProof/>
              </w:rPr>
              <w:t xml:space="preserve">TC-C12–i01 </w:t>
            </w:r>
          </w:p>
        </w:tc>
        <w:tc>
          <w:tcPr>
            <w:tcW w:w="1520" w:type="dxa"/>
            <w:shd w:val="clear" w:color="auto" w:fill="C4EFCE"/>
            <w:vAlign w:val="center"/>
            <w:hideMark/>
          </w:tcPr>
          <w:p w14:paraId="5A2C0CDF"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66F6BDEC" w14:textId="77777777" w:rsidR="00DC5EC6" w:rsidRDefault="003245A4">
            <w:pPr>
              <w:pStyle w:val="P68B1DB1-Normal23"/>
              <w:spacing w:after="0"/>
              <w:jc w:val="both"/>
              <w:rPr>
                <w:rFonts w:eastAsia="Calibri" w:cs="Calibri"/>
                <w:noProof/>
              </w:rPr>
            </w:pPr>
            <w:r>
              <w:rPr>
                <w:noProof/>
              </w:rPr>
              <w:t>A konzorciumok által a textil- és ruházati, a lábbeli- és a természetes gyantaágazatban új biogazdasági termékek, technológiák és eljárások kifejlesztésére benyújtott projektek jóváhagyása</w:t>
            </w:r>
          </w:p>
        </w:tc>
      </w:tr>
      <w:tr w:rsidR="00DC5EC6" w14:paraId="714F199C" w14:textId="77777777">
        <w:trPr>
          <w:trHeight w:val="440"/>
        </w:trPr>
        <w:tc>
          <w:tcPr>
            <w:tcW w:w="1200" w:type="dxa"/>
            <w:shd w:val="clear" w:color="auto" w:fill="C4EFCE"/>
            <w:vAlign w:val="center"/>
            <w:hideMark/>
          </w:tcPr>
          <w:p w14:paraId="2998479E" w14:textId="77777777" w:rsidR="00DC5EC6" w:rsidRDefault="003245A4">
            <w:pPr>
              <w:pStyle w:val="P68B1DB1-Normal23"/>
              <w:spacing w:after="0"/>
              <w:jc w:val="center"/>
              <w:rPr>
                <w:rFonts w:eastAsia="Calibri" w:cs="Calibri"/>
                <w:noProof/>
              </w:rPr>
            </w:pPr>
            <w:r>
              <w:rPr>
                <w:noProof/>
              </w:rPr>
              <w:t>15.10</w:t>
            </w:r>
          </w:p>
        </w:tc>
        <w:tc>
          <w:tcPr>
            <w:tcW w:w="1760" w:type="dxa"/>
            <w:shd w:val="clear" w:color="auto" w:fill="C4EFCE"/>
            <w:vAlign w:val="center"/>
            <w:hideMark/>
          </w:tcPr>
          <w:p w14:paraId="52003E88" w14:textId="77777777" w:rsidR="00DC5EC6" w:rsidRDefault="003245A4">
            <w:pPr>
              <w:pStyle w:val="P68B1DB1-Normal23"/>
              <w:spacing w:after="0"/>
              <w:jc w:val="center"/>
              <w:rPr>
                <w:rFonts w:eastAsia="Calibri" w:cs="Calibri"/>
                <w:noProof/>
              </w:rPr>
            </w:pPr>
            <w:r>
              <w:rPr>
                <w:noProof/>
              </w:rPr>
              <w:t xml:space="preserve">TC-C15–i04 </w:t>
            </w:r>
          </w:p>
        </w:tc>
        <w:tc>
          <w:tcPr>
            <w:tcW w:w="1520" w:type="dxa"/>
            <w:shd w:val="clear" w:color="auto" w:fill="C4EFCE"/>
            <w:vAlign w:val="center"/>
            <w:hideMark/>
          </w:tcPr>
          <w:p w14:paraId="6E6BC1D8"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6F85E86" w14:textId="77777777" w:rsidR="00DC5EC6" w:rsidRDefault="003245A4">
            <w:pPr>
              <w:pStyle w:val="P68B1DB1-Normal23"/>
              <w:spacing w:after="0"/>
              <w:jc w:val="both"/>
              <w:rPr>
                <w:rFonts w:eastAsia="Calibri" w:cs="Calibri"/>
                <w:noProof/>
              </w:rPr>
            </w:pPr>
            <w:r>
              <w:rPr>
                <w:noProof/>
              </w:rPr>
              <w:t>A Portóban található Praça do Império és Praça Albuquerque Mouzinho közötti gyorsforgalmi út megépítésére vonatkozó szerződés aláírása</w:t>
            </w:r>
          </w:p>
        </w:tc>
      </w:tr>
      <w:tr w:rsidR="00DC5EC6" w14:paraId="533E7E79" w14:textId="77777777">
        <w:trPr>
          <w:trHeight w:val="440"/>
        </w:trPr>
        <w:tc>
          <w:tcPr>
            <w:tcW w:w="1200" w:type="dxa"/>
            <w:shd w:val="clear" w:color="auto" w:fill="C4EFCE"/>
            <w:vAlign w:val="center"/>
            <w:hideMark/>
          </w:tcPr>
          <w:p w14:paraId="02967B33" w14:textId="77777777" w:rsidR="00DC5EC6" w:rsidRDefault="003245A4">
            <w:pPr>
              <w:pStyle w:val="P68B1DB1-Normal23"/>
              <w:spacing w:after="0"/>
              <w:jc w:val="center"/>
              <w:rPr>
                <w:rFonts w:eastAsia="Calibri" w:cs="Calibri"/>
                <w:noProof/>
              </w:rPr>
            </w:pPr>
            <w:r>
              <w:rPr>
                <w:noProof/>
              </w:rPr>
              <w:t>16.1</w:t>
            </w:r>
          </w:p>
        </w:tc>
        <w:tc>
          <w:tcPr>
            <w:tcW w:w="1760" w:type="dxa"/>
            <w:shd w:val="clear" w:color="auto" w:fill="C4EFCE"/>
            <w:vAlign w:val="center"/>
            <w:hideMark/>
          </w:tcPr>
          <w:p w14:paraId="6200FB03" w14:textId="77777777" w:rsidR="00DC5EC6" w:rsidRDefault="003245A4">
            <w:pPr>
              <w:pStyle w:val="P68B1DB1-Normal23"/>
              <w:spacing w:after="0"/>
              <w:jc w:val="center"/>
              <w:rPr>
                <w:rFonts w:eastAsia="Calibri" w:cs="Calibri"/>
                <w:noProof/>
              </w:rPr>
            </w:pPr>
            <w:r>
              <w:rPr>
                <w:noProof/>
              </w:rPr>
              <w:t xml:space="preserve">TD-C16-r31 </w:t>
            </w:r>
          </w:p>
        </w:tc>
        <w:tc>
          <w:tcPr>
            <w:tcW w:w="1520" w:type="dxa"/>
            <w:shd w:val="clear" w:color="auto" w:fill="C4EFCE"/>
            <w:vAlign w:val="center"/>
            <w:hideMark/>
          </w:tcPr>
          <w:p w14:paraId="5AAA97BA"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5D8BB228" w14:textId="77777777" w:rsidR="00DC5EC6" w:rsidRDefault="003245A4">
            <w:pPr>
              <w:pStyle w:val="P68B1DB1-Normal23"/>
              <w:spacing w:after="0"/>
              <w:jc w:val="both"/>
              <w:rPr>
                <w:rFonts w:eastAsia="Calibri" w:cs="Calibri"/>
                <w:noProof/>
              </w:rPr>
            </w:pPr>
            <w:r>
              <w:rPr>
                <w:noProof/>
              </w:rPr>
              <w:t>A digitális készségek területére vonatkozó modulokra, valamint a digitális aláírások és bélyegzők létrehozására vonatkozó jogszabályokra vagy rendeletre vonatkozó nemzeti képesítési katalógusban szereplő képzési tartalom felülvizsgálatának hatálybalépése</w:t>
            </w:r>
          </w:p>
        </w:tc>
      </w:tr>
      <w:tr w:rsidR="00DC5EC6" w14:paraId="5CC4D3D1" w14:textId="77777777">
        <w:trPr>
          <w:trHeight w:val="440"/>
        </w:trPr>
        <w:tc>
          <w:tcPr>
            <w:tcW w:w="1200" w:type="dxa"/>
            <w:shd w:val="clear" w:color="auto" w:fill="C4EFCE"/>
            <w:vAlign w:val="center"/>
            <w:hideMark/>
          </w:tcPr>
          <w:p w14:paraId="1F86CEE9" w14:textId="77777777" w:rsidR="00DC5EC6" w:rsidRDefault="003245A4">
            <w:pPr>
              <w:pStyle w:val="P68B1DB1-Normal23"/>
              <w:spacing w:after="0"/>
              <w:jc w:val="center"/>
              <w:rPr>
                <w:rFonts w:eastAsia="Calibri" w:cs="Calibri"/>
                <w:noProof/>
              </w:rPr>
            </w:pPr>
            <w:r>
              <w:rPr>
                <w:noProof/>
              </w:rPr>
              <w:t>16.2</w:t>
            </w:r>
          </w:p>
        </w:tc>
        <w:tc>
          <w:tcPr>
            <w:tcW w:w="1760" w:type="dxa"/>
            <w:shd w:val="clear" w:color="auto" w:fill="C4EFCE"/>
            <w:vAlign w:val="center"/>
            <w:hideMark/>
          </w:tcPr>
          <w:p w14:paraId="11BC8A27" w14:textId="77777777" w:rsidR="00DC5EC6" w:rsidRDefault="003245A4">
            <w:pPr>
              <w:pStyle w:val="P68B1DB1-Normal23"/>
              <w:spacing w:after="0"/>
              <w:jc w:val="center"/>
              <w:rPr>
                <w:rFonts w:eastAsia="Calibri" w:cs="Calibri"/>
                <w:noProof/>
              </w:rPr>
            </w:pPr>
            <w:r>
              <w:rPr>
                <w:noProof/>
              </w:rPr>
              <w:t xml:space="preserve">TD-C16-i01 </w:t>
            </w:r>
          </w:p>
        </w:tc>
        <w:tc>
          <w:tcPr>
            <w:tcW w:w="1520" w:type="dxa"/>
            <w:shd w:val="clear" w:color="auto" w:fill="C4EFCE"/>
            <w:vAlign w:val="center"/>
            <w:hideMark/>
          </w:tcPr>
          <w:p w14:paraId="090CB4EA"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47853812" w14:textId="77777777" w:rsidR="00DC5EC6" w:rsidRDefault="003245A4">
            <w:pPr>
              <w:pStyle w:val="P68B1DB1-Normal23"/>
              <w:spacing w:after="0"/>
              <w:jc w:val="both"/>
              <w:rPr>
                <w:rFonts w:eastAsia="Calibri" w:cs="Calibri"/>
                <w:noProof/>
              </w:rPr>
            </w:pPr>
            <w:r>
              <w:rPr>
                <w:noProof/>
              </w:rPr>
              <w:t>A portugál Digitális Akadémia és foglalkoztatás + digitális programok elindítása</w:t>
            </w:r>
          </w:p>
        </w:tc>
      </w:tr>
      <w:tr w:rsidR="00DC5EC6" w14:paraId="3200DC7C" w14:textId="77777777">
        <w:trPr>
          <w:trHeight w:val="440"/>
        </w:trPr>
        <w:tc>
          <w:tcPr>
            <w:tcW w:w="1200" w:type="dxa"/>
            <w:shd w:val="clear" w:color="auto" w:fill="C4EFCE"/>
            <w:vAlign w:val="center"/>
            <w:hideMark/>
          </w:tcPr>
          <w:p w14:paraId="05FEEB7F" w14:textId="77777777" w:rsidR="00DC5EC6" w:rsidRDefault="003245A4">
            <w:pPr>
              <w:pStyle w:val="P68B1DB1-Normal23"/>
              <w:spacing w:after="0"/>
              <w:jc w:val="center"/>
              <w:rPr>
                <w:rFonts w:eastAsia="Calibri" w:cs="Calibri"/>
                <w:noProof/>
              </w:rPr>
            </w:pPr>
            <w:r>
              <w:rPr>
                <w:noProof/>
              </w:rPr>
              <w:t>17.15</w:t>
            </w:r>
          </w:p>
        </w:tc>
        <w:tc>
          <w:tcPr>
            <w:tcW w:w="1760" w:type="dxa"/>
            <w:shd w:val="clear" w:color="auto" w:fill="C4EFCE"/>
            <w:vAlign w:val="center"/>
            <w:hideMark/>
          </w:tcPr>
          <w:p w14:paraId="1F9D1033" w14:textId="77777777" w:rsidR="00DC5EC6" w:rsidRDefault="003245A4">
            <w:pPr>
              <w:pStyle w:val="P68B1DB1-Normal23"/>
              <w:spacing w:after="0"/>
              <w:jc w:val="center"/>
              <w:rPr>
                <w:rFonts w:eastAsia="Calibri" w:cs="Calibri"/>
                <w:noProof/>
              </w:rPr>
            </w:pPr>
            <w:r>
              <w:rPr>
                <w:noProof/>
              </w:rPr>
              <w:t xml:space="preserve">TD-C17-i02 </w:t>
            </w:r>
          </w:p>
        </w:tc>
        <w:tc>
          <w:tcPr>
            <w:tcW w:w="1520" w:type="dxa"/>
            <w:shd w:val="clear" w:color="auto" w:fill="C4EFCE"/>
            <w:vAlign w:val="center"/>
            <w:hideMark/>
          </w:tcPr>
          <w:p w14:paraId="67833CAE" w14:textId="77777777" w:rsidR="00DC5EC6" w:rsidRDefault="003245A4">
            <w:pPr>
              <w:pStyle w:val="P68B1DB1-Normal23"/>
              <w:spacing w:after="0"/>
              <w:jc w:val="center"/>
              <w:rPr>
                <w:rFonts w:eastAsia="Calibri" w:cs="Calibri"/>
                <w:noProof/>
              </w:rPr>
            </w:pPr>
            <w:r>
              <w:rPr>
                <w:noProof/>
              </w:rPr>
              <w:t xml:space="preserve">M </w:t>
            </w:r>
          </w:p>
        </w:tc>
        <w:tc>
          <w:tcPr>
            <w:tcW w:w="5060" w:type="dxa"/>
            <w:shd w:val="clear" w:color="auto" w:fill="C4EFCE"/>
            <w:vAlign w:val="center"/>
            <w:hideMark/>
          </w:tcPr>
          <w:p w14:paraId="30BBDC58" w14:textId="77777777" w:rsidR="00DC5EC6" w:rsidRDefault="003245A4">
            <w:pPr>
              <w:pStyle w:val="P68B1DB1-Normal23"/>
              <w:spacing w:after="0"/>
              <w:jc w:val="both"/>
              <w:rPr>
                <w:rFonts w:eastAsia="Calibri" w:cs="Calibri"/>
                <w:noProof/>
              </w:rPr>
            </w:pPr>
            <w:r>
              <w:rPr>
                <w:noProof/>
              </w:rPr>
              <w:t>Befejezi az önkormányzati ingatlanadó (IMI) 1. mintabevallásának előzetes kitöltését az Adó- és Vámhatóság rendelkezésére álló adatok alapján</w:t>
            </w:r>
          </w:p>
        </w:tc>
      </w:tr>
      <w:tr w:rsidR="00DC5EC6" w14:paraId="67713344" w14:textId="77777777">
        <w:trPr>
          <w:trHeight w:val="440"/>
        </w:trPr>
        <w:tc>
          <w:tcPr>
            <w:tcW w:w="1200" w:type="dxa"/>
            <w:shd w:val="clear" w:color="auto" w:fill="C4EFCE"/>
            <w:vAlign w:val="center"/>
            <w:hideMark/>
          </w:tcPr>
          <w:p w14:paraId="66174395" w14:textId="77777777" w:rsidR="00DC5EC6" w:rsidRDefault="003245A4">
            <w:pPr>
              <w:pStyle w:val="P68B1DB1-Normal23"/>
              <w:spacing w:after="0"/>
              <w:jc w:val="center"/>
              <w:rPr>
                <w:rFonts w:eastAsia="Calibri" w:cs="Calibri"/>
                <w:noProof/>
              </w:rPr>
            </w:pPr>
            <w:r>
              <w:rPr>
                <w:noProof/>
              </w:rPr>
              <w:t>19.11</w:t>
            </w:r>
          </w:p>
        </w:tc>
        <w:tc>
          <w:tcPr>
            <w:tcW w:w="1760" w:type="dxa"/>
            <w:shd w:val="clear" w:color="auto" w:fill="C4EFCE"/>
            <w:vAlign w:val="center"/>
            <w:hideMark/>
          </w:tcPr>
          <w:p w14:paraId="2588905C" w14:textId="77777777" w:rsidR="00DC5EC6" w:rsidRDefault="003245A4">
            <w:pPr>
              <w:pStyle w:val="P68B1DB1-Normal23"/>
              <w:spacing w:after="0"/>
              <w:jc w:val="center"/>
              <w:rPr>
                <w:rFonts w:eastAsia="Calibri" w:cs="Calibri"/>
                <w:noProof/>
              </w:rPr>
            </w:pPr>
            <w:r>
              <w:rPr>
                <w:noProof/>
              </w:rPr>
              <w:t xml:space="preserve">TD-C19-i04 </w:t>
            </w:r>
          </w:p>
        </w:tc>
        <w:tc>
          <w:tcPr>
            <w:tcW w:w="1520" w:type="dxa"/>
            <w:shd w:val="clear" w:color="auto" w:fill="C4EFCE"/>
            <w:vAlign w:val="center"/>
            <w:hideMark/>
          </w:tcPr>
          <w:p w14:paraId="0316DC1D" w14:textId="77777777" w:rsidR="00DC5EC6" w:rsidRDefault="003245A4">
            <w:pPr>
              <w:pStyle w:val="P68B1DB1-Normal23"/>
              <w:spacing w:after="0"/>
              <w:jc w:val="center"/>
              <w:rPr>
                <w:rFonts w:eastAsia="Calibri" w:cs="Calibri"/>
                <w:noProof/>
              </w:rPr>
            </w:pPr>
            <w:r>
              <w:rPr>
                <w:noProof/>
              </w:rPr>
              <w:t xml:space="preserve">T </w:t>
            </w:r>
          </w:p>
        </w:tc>
        <w:tc>
          <w:tcPr>
            <w:tcW w:w="5060" w:type="dxa"/>
            <w:shd w:val="clear" w:color="auto" w:fill="C4EFCE"/>
            <w:vAlign w:val="center"/>
            <w:hideMark/>
          </w:tcPr>
          <w:p w14:paraId="1F06EAFA" w14:textId="77777777" w:rsidR="00DC5EC6" w:rsidRDefault="003245A4">
            <w:pPr>
              <w:pStyle w:val="P68B1DB1-Normal23"/>
              <w:spacing w:after="0"/>
              <w:jc w:val="both"/>
              <w:rPr>
                <w:rFonts w:eastAsia="Calibri" w:cs="Calibri"/>
                <w:noProof/>
              </w:rPr>
            </w:pPr>
            <w:r>
              <w:rPr>
                <w:noProof/>
              </w:rPr>
              <w:t>Biztonságos mobilhírközlési rendszer a kormányzati alkalmazottak számára</w:t>
            </w:r>
          </w:p>
        </w:tc>
      </w:tr>
      <w:tr w:rsidR="00DC5EC6" w14:paraId="53A0C5D6" w14:textId="77777777">
        <w:trPr>
          <w:trHeight w:val="440"/>
        </w:trPr>
        <w:tc>
          <w:tcPr>
            <w:tcW w:w="1200" w:type="dxa"/>
            <w:shd w:val="clear" w:color="auto" w:fill="C4EFCE"/>
            <w:vAlign w:val="center"/>
            <w:hideMark/>
          </w:tcPr>
          <w:p w14:paraId="7CC89C41"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371F60AD"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49CC9873"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4901582E" w14:textId="2E4933F5" w:rsidR="00DC5EC6" w:rsidRDefault="003245A4">
            <w:pPr>
              <w:pStyle w:val="P68B1DB1-Normal25"/>
              <w:spacing w:after="0" w:line="240" w:lineRule="auto"/>
              <w:jc w:val="center"/>
              <w:rPr>
                <w:rFonts w:cs="Calibri"/>
                <w:noProof/>
              </w:rPr>
            </w:pPr>
            <w:r>
              <w:rPr>
                <w:noProof/>
              </w:rPr>
              <w:t xml:space="preserve"> ·EURÓPAI BIZOTTSÁG 1 967 365 517 EUR</w:t>
            </w:r>
          </w:p>
        </w:tc>
      </w:tr>
    </w:tbl>
    <w:p w14:paraId="59D27683"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7A195C46"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Harmadik kifizetési kérelem (vissza nem térítendő támogatás): </w:t>
      </w:r>
    </w:p>
    <w:p w14:paraId="39F5DDB8"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1430A9DC" w14:textId="77777777">
        <w:trPr>
          <w:trHeight w:val="1018"/>
          <w:tblHeader/>
        </w:trPr>
        <w:tc>
          <w:tcPr>
            <w:tcW w:w="1200" w:type="dxa"/>
            <w:shd w:val="clear" w:color="auto" w:fill="BDD7EE"/>
            <w:vAlign w:val="center"/>
            <w:hideMark/>
          </w:tcPr>
          <w:p w14:paraId="2847B217"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shd w:val="clear" w:color="auto" w:fill="BDD7EE"/>
            <w:vAlign w:val="center"/>
            <w:hideMark/>
          </w:tcPr>
          <w:p w14:paraId="6187D274"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shd w:val="clear" w:color="auto" w:fill="BDD7EE"/>
            <w:vAlign w:val="center"/>
            <w:hideMark/>
          </w:tcPr>
          <w:p w14:paraId="32A18B87"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shd w:val="clear" w:color="auto" w:fill="BDD7EE"/>
            <w:vAlign w:val="center"/>
            <w:hideMark/>
          </w:tcPr>
          <w:p w14:paraId="7A727648"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433173AD" w14:textId="77777777">
        <w:trPr>
          <w:trHeight w:val="440"/>
        </w:trPr>
        <w:tc>
          <w:tcPr>
            <w:tcW w:w="1200" w:type="dxa"/>
            <w:shd w:val="clear" w:color="auto" w:fill="C4EFCE"/>
            <w:vAlign w:val="center"/>
            <w:hideMark/>
          </w:tcPr>
          <w:p w14:paraId="29F12095" w14:textId="77777777" w:rsidR="00DC5EC6" w:rsidRDefault="003245A4">
            <w:pPr>
              <w:pStyle w:val="P68B1DB1-Normal23"/>
              <w:spacing w:after="0"/>
              <w:jc w:val="center"/>
              <w:rPr>
                <w:noProof/>
              </w:rPr>
            </w:pPr>
            <w:r>
              <w:rPr>
                <w:noProof/>
              </w:rPr>
              <w:t>1.3</w:t>
            </w:r>
          </w:p>
        </w:tc>
        <w:tc>
          <w:tcPr>
            <w:tcW w:w="1760" w:type="dxa"/>
            <w:shd w:val="clear" w:color="auto" w:fill="C4EFCE"/>
            <w:vAlign w:val="center"/>
            <w:hideMark/>
          </w:tcPr>
          <w:p w14:paraId="227BCECB" w14:textId="77777777" w:rsidR="00DC5EC6" w:rsidRDefault="003245A4">
            <w:pPr>
              <w:pStyle w:val="P68B1DB1-Normal23"/>
              <w:spacing w:after="0"/>
              <w:jc w:val="center"/>
              <w:rPr>
                <w:noProof/>
              </w:rPr>
            </w:pPr>
            <w:r>
              <w:rPr>
                <w:noProof/>
              </w:rPr>
              <w:t xml:space="preserve">Re-C01-r01 </w:t>
            </w:r>
          </w:p>
        </w:tc>
        <w:tc>
          <w:tcPr>
            <w:tcW w:w="1520" w:type="dxa"/>
            <w:shd w:val="clear" w:color="auto" w:fill="C4EFCE"/>
            <w:vAlign w:val="center"/>
            <w:hideMark/>
          </w:tcPr>
          <w:p w14:paraId="02B9135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127E965" w14:textId="77777777" w:rsidR="00DC5EC6" w:rsidRDefault="003245A4">
            <w:pPr>
              <w:pStyle w:val="P68B1DB1-Normal23"/>
              <w:spacing w:after="0"/>
              <w:jc w:val="both"/>
              <w:rPr>
                <w:rFonts w:eastAsia="Calibri" w:cs="Calibri"/>
                <w:noProof/>
              </w:rPr>
            </w:pPr>
            <w:r>
              <w:rPr>
                <w:noProof/>
              </w:rPr>
              <w:t>Az egészségügyi felelősségi körök decentralizálási folyamatának lezárása a településeken</w:t>
            </w:r>
          </w:p>
        </w:tc>
      </w:tr>
      <w:tr w:rsidR="00DC5EC6" w14:paraId="35C8B374" w14:textId="77777777">
        <w:trPr>
          <w:trHeight w:val="440"/>
        </w:trPr>
        <w:tc>
          <w:tcPr>
            <w:tcW w:w="1200" w:type="dxa"/>
            <w:shd w:val="clear" w:color="auto" w:fill="C4EFCE"/>
            <w:vAlign w:val="center"/>
            <w:hideMark/>
          </w:tcPr>
          <w:p w14:paraId="5B2F963A" w14:textId="77777777" w:rsidR="00DC5EC6" w:rsidRDefault="003245A4">
            <w:pPr>
              <w:pStyle w:val="P68B1DB1-Normal23"/>
              <w:spacing w:after="0"/>
              <w:jc w:val="center"/>
              <w:rPr>
                <w:noProof/>
              </w:rPr>
            </w:pPr>
            <w:r>
              <w:rPr>
                <w:noProof/>
              </w:rPr>
              <w:t>1.8</w:t>
            </w:r>
          </w:p>
        </w:tc>
        <w:tc>
          <w:tcPr>
            <w:tcW w:w="1760" w:type="dxa"/>
            <w:shd w:val="clear" w:color="auto" w:fill="C4EFCE"/>
            <w:vAlign w:val="center"/>
            <w:hideMark/>
          </w:tcPr>
          <w:p w14:paraId="4BA31BDE" w14:textId="77777777" w:rsidR="00DC5EC6" w:rsidRDefault="003245A4">
            <w:pPr>
              <w:pStyle w:val="P68B1DB1-Normal23"/>
              <w:spacing w:after="0"/>
              <w:jc w:val="center"/>
              <w:rPr>
                <w:noProof/>
              </w:rPr>
            </w:pPr>
            <w:r>
              <w:rPr>
                <w:noProof/>
              </w:rPr>
              <w:t xml:space="preserve">Re-C01-r03 </w:t>
            </w:r>
          </w:p>
        </w:tc>
        <w:tc>
          <w:tcPr>
            <w:tcW w:w="1520" w:type="dxa"/>
            <w:shd w:val="clear" w:color="auto" w:fill="C4EFCE"/>
            <w:vAlign w:val="center"/>
            <w:hideMark/>
          </w:tcPr>
          <w:p w14:paraId="4B70E39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D83727" w14:textId="77777777" w:rsidR="00DC5EC6" w:rsidRDefault="003245A4">
            <w:pPr>
              <w:pStyle w:val="P68B1DB1-Normal23"/>
              <w:spacing w:after="0"/>
              <w:jc w:val="both"/>
              <w:rPr>
                <w:rFonts w:eastAsia="Calibri" w:cs="Calibri"/>
                <w:noProof/>
              </w:rPr>
            </w:pPr>
            <w:r>
              <w:rPr>
                <w:noProof/>
              </w:rPr>
              <w:t>Új integrált felelősségi központok létrehozása a nemzeti egészségügyi szolgálat kórházaiban</w:t>
            </w:r>
          </w:p>
        </w:tc>
      </w:tr>
      <w:tr w:rsidR="00DC5EC6" w14:paraId="612E7BD9" w14:textId="77777777">
        <w:trPr>
          <w:trHeight w:val="440"/>
        </w:trPr>
        <w:tc>
          <w:tcPr>
            <w:tcW w:w="1200" w:type="dxa"/>
            <w:shd w:val="clear" w:color="auto" w:fill="C4EFCE"/>
            <w:vAlign w:val="center"/>
            <w:hideMark/>
          </w:tcPr>
          <w:p w14:paraId="6F992C46" w14:textId="77777777" w:rsidR="00DC5EC6" w:rsidRDefault="003245A4">
            <w:pPr>
              <w:pStyle w:val="P68B1DB1-Normal23"/>
              <w:spacing w:after="0"/>
              <w:jc w:val="center"/>
              <w:rPr>
                <w:noProof/>
              </w:rPr>
            </w:pPr>
            <w:r>
              <w:rPr>
                <w:noProof/>
              </w:rPr>
              <w:t>1.24</w:t>
            </w:r>
          </w:p>
        </w:tc>
        <w:tc>
          <w:tcPr>
            <w:tcW w:w="1760" w:type="dxa"/>
            <w:shd w:val="clear" w:color="auto" w:fill="C4EFCE"/>
            <w:vAlign w:val="center"/>
            <w:hideMark/>
          </w:tcPr>
          <w:p w14:paraId="6244700A" w14:textId="77777777" w:rsidR="00DC5EC6" w:rsidRDefault="003245A4">
            <w:pPr>
              <w:pStyle w:val="P68B1DB1-Normal23"/>
              <w:spacing w:after="0"/>
              <w:jc w:val="center"/>
              <w:rPr>
                <w:noProof/>
              </w:rPr>
            </w:pPr>
            <w:r>
              <w:rPr>
                <w:noProof/>
              </w:rPr>
              <w:t xml:space="preserve">Re-C01-i03 </w:t>
            </w:r>
          </w:p>
        </w:tc>
        <w:tc>
          <w:tcPr>
            <w:tcW w:w="1520" w:type="dxa"/>
            <w:shd w:val="clear" w:color="auto" w:fill="C4EFCE"/>
            <w:vAlign w:val="center"/>
            <w:hideMark/>
          </w:tcPr>
          <w:p w14:paraId="768B1E26"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21094EF" w14:textId="77777777" w:rsidR="00DC5EC6" w:rsidRDefault="003245A4">
            <w:pPr>
              <w:pStyle w:val="P68B1DB1-Normal23"/>
              <w:spacing w:after="0"/>
              <w:jc w:val="both"/>
              <w:rPr>
                <w:rFonts w:eastAsia="Calibri" w:cs="Calibri"/>
                <w:noProof/>
              </w:rPr>
            </w:pPr>
            <w:r>
              <w:rPr>
                <w:noProof/>
              </w:rPr>
              <w:t>Figyelemfelhívó és képzési intézkedések kidolgozása „a betegek útvonalainak kiépítése” érdekében a demenciákkal összefüggésben</w:t>
            </w:r>
          </w:p>
        </w:tc>
      </w:tr>
      <w:tr w:rsidR="00DC5EC6" w14:paraId="16774000" w14:textId="77777777">
        <w:trPr>
          <w:trHeight w:val="440"/>
        </w:trPr>
        <w:tc>
          <w:tcPr>
            <w:tcW w:w="1200" w:type="dxa"/>
            <w:shd w:val="clear" w:color="auto" w:fill="C4EFCE"/>
            <w:vAlign w:val="center"/>
            <w:hideMark/>
          </w:tcPr>
          <w:p w14:paraId="4F522AAB" w14:textId="77777777" w:rsidR="00DC5EC6" w:rsidRDefault="003245A4">
            <w:pPr>
              <w:pStyle w:val="P68B1DB1-Normal23"/>
              <w:spacing w:after="0"/>
              <w:jc w:val="center"/>
              <w:rPr>
                <w:noProof/>
              </w:rPr>
            </w:pPr>
            <w:r>
              <w:rPr>
                <w:noProof/>
              </w:rPr>
              <w:t>1.32</w:t>
            </w:r>
          </w:p>
        </w:tc>
        <w:tc>
          <w:tcPr>
            <w:tcW w:w="1760" w:type="dxa"/>
            <w:shd w:val="clear" w:color="auto" w:fill="C4EFCE"/>
            <w:vAlign w:val="center"/>
            <w:hideMark/>
          </w:tcPr>
          <w:p w14:paraId="1E3BBF1C" w14:textId="77777777" w:rsidR="00DC5EC6" w:rsidRDefault="003245A4">
            <w:pPr>
              <w:pStyle w:val="P68B1DB1-Normal23"/>
              <w:spacing w:after="0"/>
              <w:jc w:val="center"/>
              <w:rPr>
                <w:noProof/>
              </w:rPr>
            </w:pPr>
            <w:r>
              <w:rPr>
                <w:noProof/>
              </w:rPr>
              <w:t xml:space="preserve">Vissza-C01-i06 </w:t>
            </w:r>
          </w:p>
        </w:tc>
        <w:tc>
          <w:tcPr>
            <w:tcW w:w="1520" w:type="dxa"/>
            <w:shd w:val="clear" w:color="auto" w:fill="C4EFCE"/>
            <w:vAlign w:val="center"/>
            <w:hideMark/>
          </w:tcPr>
          <w:p w14:paraId="751F589B"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E971E6E" w14:textId="77777777" w:rsidR="00DC5EC6" w:rsidRDefault="003245A4">
            <w:pPr>
              <w:pStyle w:val="P68B1DB1-Normal23"/>
              <w:spacing w:after="0"/>
              <w:jc w:val="both"/>
              <w:rPr>
                <w:rFonts w:eastAsia="Calibri" w:cs="Calibri"/>
                <w:noProof/>
              </w:rPr>
            </w:pPr>
            <w:r>
              <w:rPr>
                <w:noProof/>
              </w:rPr>
              <w:t>A helyi információtechnológiai hálózatok korszerűsítése</w:t>
            </w:r>
          </w:p>
        </w:tc>
      </w:tr>
      <w:tr w:rsidR="00DC5EC6" w14:paraId="30A3EA71" w14:textId="77777777">
        <w:trPr>
          <w:trHeight w:val="440"/>
        </w:trPr>
        <w:tc>
          <w:tcPr>
            <w:tcW w:w="1200" w:type="dxa"/>
            <w:shd w:val="clear" w:color="auto" w:fill="C4EFCE"/>
            <w:vAlign w:val="center"/>
            <w:hideMark/>
          </w:tcPr>
          <w:p w14:paraId="77DEF1E6" w14:textId="77777777" w:rsidR="00DC5EC6" w:rsidRDefault="003245A4">
            <w:pPr>
              <w:pStyle w:val="P68B1DB1-Normal23"/>
              <w:spacing w:after="0"/>
              <w:jc w:val="center"/>
              <w:rPr>
                <w:noProof/>
              </w:rPr>
            </w:pPr>
            <w:r>
              <w:rPr>
                <w:noProof/>
              </w:rPr>
              <w:t>1.33</w:t>
            </w:r>
          </w:p>
        </w:tc>
        <w:tc>
          <w:tcPr>
            <w:tcW w:w="1760" w:type="dxa"/>
            <w:shd w:val="clear" w:color="auto" w:fill="C4EFCE"/>
            <w:vAlign w:val="center"/>
            <w:hideMark/>
          </w:tcPr>
          <w:p w14:paraId="3EF303B5" w14:textId="77777777" w:rsidR="00DC5EC6" w:rsidRDefault="003245A4">
            <w:pPr>
              <w:pStyle w:val="P68B1DB1-Normal23"/>
              <w:spacing w:after="0"/>
              <w:jc w:val="center"/>
              <w:rPr>
                <w:noProof/>
              </w:rPr>
            </w:pPr>
            <w:r>
              <w:rPr>
                <w:noProof/>
              </w:rPr>
              <w:t xml:space="preserve">Vissza-C01-i06 </w:t>
            </w:r>
          </w:p>
        </w:tc>
        <w:tc>
          <w:tcPr>
            <w:tcW w:w="1520" w:type="dxa"/>
            <w:shd w:val="clear" w:color="auto" w:fill="C4EFCE"/>
            <w:vAlign w:val="center"/>
            <w:hideMark/>
          </w:tcPr>
          <w:p w14:paraId="0BE21A0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0D9898" w14:textId="77777777" w:rsidR="00DC5EC6" w:rsidRDefault="003245A4">
            <w:pPr>
              <w:pStyle w:val="P68B1DB1-Normal23"/>
              <w:spacing w:after="0"/>
              <w:jc w:val="both"/>
              <w:rPr>
                <w:rFonts w:eastAsia="Calibri" w:cs="Calibri"/>
                <w:noProof/>
              </w:rPr>
            </w:pPr>
            <w:r>
              <w:rPr>
                <w:noProof/>
              </w:rPr>
              <w:t>A távegészségügyi és távellenőrzési funkciók megvalósítása</w:t>
            </w:r>
          </w:p>
        </w:tc>
      </w:tr>
      <w:tr w:rsidR="00DC5EC6" w14:paraId="32F2658E" w14:textId="77777777">
        <w:trPr>
          <w:trHeight w:val="440"/>
        </w:trPr>
        <w:tc>
          <w:tcPr>
            <w:tcW w:w="1200" w:type="dxa"/>
            <w:shd w:val="clear" w:color="auto" w:fill="C4EFCE"/>
            <w:vAlign w:val="center"/>
            <w:hideMark/>
          </w:tcPr>
          <w:p w14:paraId="1B65C832" w14:textId="77777777" w:rsidR="00DC5EC6" w:rsidRDefault="003245A4">
            <w:pPr>
              <w:pStyle w:val="P68B1DB1-Normal23"/>
              <w:spacing w:after="0"/>
              <w:jc w:val="center"/>
              <w:rPr>
                <w:noProof/>
              </w:rPr>
            </w:pPr>
            <w:r>
              <w:rPr>
                <w:noProof/>
              </w:rPr>
              <w:t>2.1</w:t>
            </w:r>
          </w:p>
        </w:tc>
        <w:tc>
          <w:tcPr>
            <w:tcW w:w="1760" w:type="dxa"/>
            <w:shd w:val="clear" w:color="auto" w:fill="C4EFCE"/>
            <w:vAlign w:val="center"/>
            <w:hideMark/>
          </w:tcPr>
          <w:p w14:paraId="2ABDE328" w14:textId="77777777" w:rsidR="00DC5EC6" w:rsidRDefault="003245A4">
            <w:pPr>
              <w:pStyle w:val="P68B1DB1-Normal23"/>
              <w:spacing w:after="0"/>
              <w:jc w:val="center"/>
              <w:rPr>
                <w:noProof/>
              </w:rPr>
            </w:pPr>
            <w:r>
              <w:rPr>
                <w:noProof/>
              </w:rPr>
              <w:t xml:space="preserve">Re-C02-i01 </w:t>
            </w:r>
          </w:p>
        </w:tc>
        <w:tc>
          <w:tcPr>
            <w:tcW w:w="1520" w:type="dxa"/>
            <w:shd w:val="clear" w:color="auto" w:fill="C4EFCE"/>
            <w:vAlign w:val="center"/>
            <w:hideMark/>
          </w:tcPr>
          <w:p w14:paraId="51C049D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8DD0AC1" w14:textId="77777777" w:rsidR="00DC5EC6" w:rsidRDefault="003245A4">
            <w:pPr>
              <w:pStyle w:val="P68B1DB1-Normal23"/>
              <w:spacing w:after="0"/>
              <w:jc w:val="both"/>
              <w:rPr>
                <w:rFonts w:eastAsia="Calibri" w:cs="Calibri"/>
                <w:noProof/>
              </w:rPr>
            </w:pPr>
            <w:r>
              <w:rPr>
                <w:noProof/>
              </w:rPr>
              <w:t>A lakhatáshoz való hozzáférést támogató program – aláírt együttműködési vagy finanszírozási megállapodások</w:t>
            </w:r>
          </w:p>
        </w:tc>
      </w:tr>
      <w:tr w:rsidR="00DC5EC6" w14:paraId="1B2D04E4" w14:textId="77777777">
        <w:trPr>
          <w:trHeight w:val="440"/>
        </w:trPr>
        <w:tc>
          <w:tcPr>
            <w:tcW w:w="1200" w:type="dxa"/>
            <w:shd w:val="clear" w:color="auto" w:fill="C4EFCE"/>
            <w:vAlign w:val="center"/>
            <w:hideMark/>
          </w:tcPr>
          <w:p w14:paraId="182ED174" w14:textId="77777777" w:rsidR="00DC5EC6" w:rsidRDefault="003245A4">
            <w:pPr>
              <w:pStyle w:val="P68B1DB1-Normal23"/>
              <w:spacing w:after="0"/>
              <w:jc w:val="center"/>
              <w:rPr>
                <w:noProof/>
              </w:rPr>
            </w:pPr>
            <w:r>
              <w:rPr>
                <w:noProof/>
              </w:rPr>
              <w:t>2.4</w:t>
            </w:r>
          </w:p>
        </w:tc>
        <w:tc>
          <w:tcPr>
            <w:tcW w:w="1760" w:type="dxa"/>
            <w:shd w:val="clear" w:color="auto" w:fill="C4EFCE"/>
            <w:vAlign w:val="center"/>
            <w:hideMark/>
          </w:tcPr>
          <w:p w14:paraId="572612F3" w14:textId="77777777" w:rsidR="00DC5EC6" w:rsidRDefault="003245A4">
            <w:pPr>
              <w:pStyle w:val="P68B1DB1-Normal23"/>
              <w:spacing w:after="0"/>
              <w:jc w:val="center"/>
              <w:rPr>
                <w:noProof/>
              </w:rPr>
            </w:pPr>
            <w:r>
              <w:rPr>
                <w:noProof/>
              </w:rPr>
              <w:t xml:space="preserve">Re-C02-i02 </w:t>
            </w:r>
          </w:p>
        </w:tc>
        <w:tc>
          <w:tcPr>
            <w:tcW w:w="1520" w:type="dxa"/>
            <w:shd w:val="clear" w:color="auto" w:fill="C4EFCE"/>
            <w:vAlign w:val="center"/>
            <w:hideMark/>
          </w:tcPr>
          <w:p w14:paraId="6AB1DCE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4736D18" w14:textId="77777777" w:rsidR="00DC5EC6" w:rsidRDefault="003245A4">
            <w:pPr>
              <w:pStyle w:val="P68B1DB1-Normal23"/>
              <w:spacing w:after="0"/>
              <w:jc w:val="both"/>
              <w:rPr>
                <w:rFonts w:eastAsia="Calibri" w:cs="Calibri"/>
                <w:noProof/>
              </w:rPr>
            </w:pPr>
            <w:r>
              <w:rPr>
                <w:noProof/>
              </w:rPr>
              <w:t>Nemzeti szükséghelyzeti és ideiglenes lakhatási támogatás – A sürgősségi és átmeneti szállásra vonatkozó finanszírozási megállapodások aláírása</w:t>
            </w:r>
          </w:p>
        </w:tc>
      </w:tr>
      <w:tr w:rsidR="00DC5EC6" w14:paraId="193180B9" w14:textId="77777777">
        <w:trPr>
          <w:trHeight w:val="440"/>
        </w:trPr>
        <w:tc>
          <w:tcPr>
            <w:tcW w:w="1200" w:type="dxa"/>
            <w:shd w:val="clear" w:color="auto" w:fill="C4EFCE"/>
            <w:vAlign w:val="center"/>
            <w:hideMark/>
          </w:tcPr>
          <w:p w14:paraId="29216A22" w14:textId="77777777" w:rsidR="00DC5EC6" w:rsidRDefault="003245A4">
            <w:pPr>
              <w:pStyle w:val="P68B1DB1-Normal23"/>
              <w:spacing w:after="0"/>
              <w:jc w:val="center"/>
              <w:rPr>
                <w:noProof/>
              </w:rPr>
            </w:pPr>
            <w:r>
              <w:rPr>
                <w:noProof/>
              </w:rPr>
              <w:t>3.11</w:t>
            </w:r>
          </w:p>
        </w:tc>
        <w:tc>
          <w:tcPr>
            <w:tcW w:w="1760" w:type="dxa"/>
            <w:shd w:val="clear" w:color="auto" w:fill="C4EFCE"/>
            <w:vAlign w:val="center"/>
            <w:hideMark/>
          </w:tcPr>
          <w:p w14:paraId="01F162E3" w14:textId="77777777" w:rsidR="00DC5EC6" w:rsidRDefault="003245A4">
            <w:pPr>
              <w:pStyle w:val="P68B1DB1-Normal23"/>
              <w:spacing w:after="0"/>
              <w:jc w:val="center"/>
              <w:rPr>
                <w:noProof/>
              </w:rPr>
            </w:pPr>
            <w:r>
              <w:rPr>
                <w:noProof/>
              </w:rPr>
              <w:t xml:space="preserve">Re-C03-i03-RAM </w:t>
            </w:r>
          </w:p>
        </w:tc>
        <w:tc>
          <w:tcPr>
            <w:tcW w:w="1520" w:type="dxa"/>
            <w:shd w:val="clear" w:color="auto" w:fill="C4EFCE"/>
            <w:vAlign w:val="center"/>
            <w:hideMark/>
          </w:tcPr>
          <w:p w14:paraId="246B4B5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336679B" w14:textId="77777777" w:rsidR="00DC5EC6" w:rsidRDefault="003245A4">
            <w:pPr>
              <w:pStyle w:val="P68B1DB1-Normal23"/>
              <w:spacing w:after="0"/>
              <w:jc w:val="both"/>
              <w:rPr>
                <w:rFonts w:eastAsia="Calibri" w:cs="Calibri"/>
                <w:noProof/>
              </w:rPr>
            </w:pPr>
            <w:r>
              <w:rPr>
                <w:noProof/>
              </w:rPr>
              <w:t>A hajléktalanok integrációját célzó élettervek.</w:t>
            </w:r>
          </w:p>
        </w:tc>
      </w:tr>
      <w:tr w:rsidR="00DC5EC6" w14:paraId="0BC61039" w14:textId="77777777">
        <w:trPr>
          <w:trHeight w:val="440"/>
        </w:trPr>
        <w:tc>
          <w:tcPr>
            <w:tcW w:w="1200" w:type="dxa"/>
            <w:shd w:val="clear" w:color="auto" w:fill="C4EFCE"/>
            <w:vAlign w:val="center"/>
            <w:hideMark/>
          </w:tcPr>
          <w:p w14:paraId="1B2403C3" w14:textId="77777777" w:rsidR="00DC5EC6" w:rsidRDefault="003245A4">
            <w:pPr>
              <w:pStyle w:val="P68B1DB1-Normal23"/>
              <w:spacing w:after="0"/>
              <w:jc w:val="center"/>
              <w:rPr>
                <w:noProof/>
              </w:rPr>
            </w:pPr>
            <w:r>
              <w:rPr>
                <w:noProof/>
              </w:rPr>
              <w:t>4.6</w:t>
            </w:r>
          </w:p>
        </w:tc>
        <w:tc>
          <w:tcPr>
            <w:tcW w:w="1760" w:type="dxa"/>
            <w:shd w:val="clear" w:color="auto" w:fill="C4EFCE"/>
            <w:vAlign w:val="center"/>
            <w:hideMark/>
          </w:tcPr>
          <w:p w14:paraId="4FB11F6A" w14:textId="292D12E2" w:rsidR="00DC5EC6" w:rsidRDefault="003245A4">
            <w:pPr>
              <w:pStyle w:val="P68B1DB1-Normal23"/>
              <w:spacing w:after="0"/>
              <w:jc w:val="center"/>
              <w:rPr>
                <w:noProof/>
              </w:rPr>
            </w:pPr>
            <w:r>
              <w:rPr>
                <w:noProof/>
              </w:rPr>
              <w:t xml:space="preserve">Re-C04-i02 </w:t>
            </w:r>
          </w:p>
        </w:tc>
        <w:tc>
          <w:tcPr>
            <w:tcW w:w="1520" w:type="dxa"/>
            <w:shd w:val="clear" w:color="auto" w:fill="C4EFCE"/>
            <w:vAlign w:val="center"/>
            <w:hideMark/>
          </w:tcPr>
          <w:p w14:paraId="590EFB99"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ED71179" w14:textId="77777777" w:rsidR="00DC5EC6" w:rsidRDefault="003245A4">
            <w:pPr>
              <w:pStyle w:val="P68B1DB1-Normal23"/>
              <w:spacing w:after="0"/>
              <w:jc w:val="both"/>
              <w:rPr>
                <w:rFonts w:eastAsia="Calibri" w:cs="Calibri"/>
                <w:noProof/>
              </w:rPr>
            </w:pPr>
            <w:r>
              <w:rPr>
                <w:noProof/>
              </w:rPr>
              <w:t>A „Saber Fazer” hálózat létrehozása</w:t>
            </w:r>
          </w:p>
        </w:tc>
      </w:tr>
      <w:tr w:rsidR="00DC5EC6" w14:paraId="0D67E78F" w14:textId="77777777">
        <w:trPr>
          <w:trHeight w:val="440"/>
        </w:trPr>
        <w:tc>
          <w:tcPr>
            <w:tcW w:w="1200" w:type="dxa"/>
            <w:shd w:val="clear" w:color="auto" w:fill="C4EFCE"/>
            <w:vAlign w:val="center"/>
            <w:hideMark/>
          </w:tcPr>
          <w:p w14:paraId="48691633" w14:textId="77777777" w:rsidR="00DC5EC6" w:rsidRDefault="003245A4">
            <w:pPr>
              <w:pStyle w:val="P68B1DB1-Normal23"/>
              <w:spacing w:after="0"/>
              <w:jc w:val="center"/>
              <w:rPr>
                <w:noProof/>
              </w:rPr>
            </w:pPr>
            <w:r>
              <w:rPr>
                <w:noProof/>
              </w:rPr>
              <w:t>5.5</w:t>
            </w:r>
          </w:p>
        </w:tc>
        <w:tc>
          <w:tcPr>
            <w:tcW w:w="1760" w:type="dxa"/>
            <w:shd w:val="clear" w:color="auto" w:fill="C4EFCE"/>
            <w:vAlign w:val="center"/>
            <w:hideMark/>
          </w:tcPr>
          <w:p w14:paraId="028584EA" w14:textId="77777777" w:rsidR="00DC5EC6" w:rsidRDefault="003245A4">
            <w:pPr>
              <w:pStyle w:val="P68B1DB1-Normal23"/>
              <w:spacing w:after="0"/>
              <w:jc w:val="center"/>
              <w:rPr>
                <w:noProof/>
              </w:rPr>
            </w:pPr>
            <w:r>
              <w:rPr>
                <w:noProof/>
              </w:rPr>
              <w:t xml:space="preserve">Re-C05-i01.01 </w:t>
            </w:r>
          </w:p>
        </w:tc>
        <w:tc>
          <w:tcPr>
            <w:tcW w:w="1520" w:type="dxa"/>
            <w:shd w:val="clear" w:color="auto" w:fill="C4EFCE"/>
            <w:vAlign w:val="center"/>
            <w:hideMark/>
          </w:tcPr>
          <w:p w14:paraId="5748A51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8F1C038" w14:textId="413A3F05" w:rsidR="00DC5EC6" w:rsidRDefault="003245A4">
            <w:pPr>
              <w:pStyle w:val="P68B1DB1-Normal23"/>
              <w:spacing w:after="0"/>
              <w:jc w:val="both"/>
              <w:rPr>
                <w:rFonts w:eastAsia="Calibri" w:cs="Calibri"/>
                <w:noProof/>
              </w:rPr>
            </w:pPr>
            <w:r>
              <w:rPr>
                <w:noProof/>
              </w:rPr>
              <w:t>Szerződések megkötése új termékek, eljárások vagy szolgáltatások kifejlesztésére a releváns stratégiai területeken (innovációs menetrendek).</w:t>
            </w:r>
          </w:p>
        </w:tc>
      </w:tr>
      <w:tr w:rsidR="00DC5EC6" w14:paraId="6F9BDCC5" w14:textId="77777777">
        <w:trPr>
          <w:trHeight w:val="440"/>
        </w:trPr>
        <w:tc>
          <w:tcPr>
            <w:tcW w:w="1200" w:type="dxa"/>
            <w:shd w:val="clear" w:color="auto" w:fill="C4EFCE"/>
            <w:vAlign w:val="center"/>
            <w:hideMark/>
          </w:tcPr>
          <w:p w14:paraId="662B09CD" w14:textId="77777777" w:rsidR="00DC5EC6" w:rsidRDefault="003245A4">
            <w:pPr>
              <w:pStyle w:val="P68B1DB1-Normal23"/>
              <w:spacing w:after="0"/>
              <w:jc w:val="center"/>
              <w:rPr>
                <w:noProof/>
              </w:rPr>
            </w:pPr>
            <w:r>
              <w:rPr>
                <w:noProof/>
              </w:rPr>
              <w:t>5.7</w:t>
            </w:r>
          </w:p>
        </w:tc>
        <w:tc>
          <w:tcPr>
            <w:tcW w:w="1760" w:type="dxa"/>
            <w:shd w:val="clear" w:color="auto" w:fill="C4EFCE"/>
            <w:vAlign w:val="center"/>
            <w:hideMark/>
          </w:tcPr>
          <w:p w14:paraId="1C23E7CC" w14:textId="77777777" w:rsidR="00DC5EC6" w:rsidRDefault="003245A4">
            <w:pPr>
              <w:pStyle w:val="P68B1DB1-Normal23"/>
              <w:spacing w:after="0"/>
              <w:jc w:val="center"/>
              <w:rPr>
                <w:noProof/>
              </w:rPr>
            </w:pPr>
            <w:r>
              <w:rPr>
                <w:noProof/>
              </w:rPr>
              <w:t xml:space="preserve">Re-C05-i01.02 </w:t>
            </w:r>
          </w:p>
        </w:tc>
        <w:tc>
          <w:tcPr>
            <w:tcW w:w="1520" w:type="dxa"/>
            <w:shd w:val="clear" w:color="auto" w:fill="C4EFCE"/>
            <w:vAlign w:val="center"/>
            <w:hideMark/>
          </w:tcPr>
          <w:p w14:paraId="28804D4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D21AAA1" w14:textId="598F18A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r>
      <w:tr w:rsidR="00DC5EC6" w14:paraId="5C327989" w14:textId="77777777">
        <w:trPr>
          <w:trHeight w:val="440"/>
        </w:trPr>
        <w:tc>
          <w:tcPr>
            <w:tcW w:w="1200" w:type="dxa"/>
            <w:shd w:val="clear" w:color="auto" w:fill="C4EFCE"/>
            <w:vAlign w:val="center"/>
            <w:hideMark/>
          </w:tcPr>
          <w:p w14:paraId="49715C30" w14:textId="77777777" w:rsidR="00DC5EC6" w:rsidRDefault="003245A4">
            <w:pPr>
              <w:pStyle w:val="P68B1DB1-Normal23"/>
              <w:spacing w:after="0"/>
              <w:jc w:val="center"/>
              <w:rPr>
                <w:noProof/>
              </w:rPr>
            </w:pPr>
            <w:r>
              <w:rPr>
                <w:noProof/>
              </w:rPr>
              <w:t>5.9</w:t>
            </w:r>
          </w:p>
        </w:tc>
        <w:tc>
          <w:tcPr>
            <w:tcW w:w="1760" w:type="dxa"/>
            <w:shd w:val="clear" w:color="auto" w:fill="C4EFCE"/>
            <w:vAlign w:val="center"/>
            <w:hideMark/>
          </w:tcPr>
          <w:p w14:paraId="1CEA8990" w14:textId="77777777" w:rsidR="00DC5EC6" w:rsidRDefault="003245A4">
            <w:pPr>
              <w:pStyle w:val="P68B1DB1-Normal23"/>
              <w:spacing w:after="0"/>
              <w:jc w:val="center"/>
              <w:rPr>
                <w:noProof/>
              </w:rPr>
            </w:pPr>
            <w:r>
              <w:rPr>
                <w:noProof/>
              </w:rPr>
              <w:t xml:space="preserve">Re-C05-i02 </w:t>
            </w:r>
          </w:p>
        </w:tc>
        <w:tc>
          <w:tcPr>
            <w:tcW w:w="1520" w:type="dxa"/>
            <w:shd w:val="clear" w:color="auto" w:fill="C4EFCE"/>
            <w:vAlign w:val="center"/>
            <w:hideMark/>
          </w:tcPr>
          <w:p w14:paraId="6CAC10E8"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0118BF2" w14:textId="77777777" w:rsidR="00DC5EC6" w:rsidRDefault="003245A4">
            <w:pPr>
              <w:pStyle w:val="P68B1DB1-Normal23"/>
              <w:spacing w:after="0"/>
              <w:jc w:val="both"/>
              <w:rPr>
                <w:rFonts w:eastAsia="Calibri" w:cs="Calibri"/>
                <w:noProof/>
              </w:rPr>
            </w:pPr>
            <w:r>
              <w:rPr>
                <w:noProof/>
              </w:rPr>
              <w:t>Az interfészt biztosító szervezetekkel, köztük az együttműködő laboratóriumokkal – Colabs-okkal kötött szerződések,</w:t>
            </w:r>
          </w:p>
        </w:tc>
      </w:tr>
      <w:tr w:rsidR="00DC5EC6" w14:paraId="03C3F9A8" w14:textId="77777777">
        <w:trPr>
          <w:trHeight w:val="440"/>
        </w:trPr>
        <w:tc>
          <w:tcPr>
            <w:tcW w:w="1200" w:type="dxa"/>
            <w:shd w:val="clear" w:color="auto" w:fill="C4EFCE"/>
            <w:vAlign w:val="center"/>
            <w:hideMark/>
          </w:tcPr>
          <w:p w14:paraId="176D6692" w14:textId="77777777" w:rsidR="00DC5EC6" w:rsidRDefault="003245A4">
            <w:pPr>
              <w:pStyle w:val="P68B1DB1-Normal23"/>
              <w:spacing w:after="0"/>
              <w:jc w:val="center"/>
              <w:rPr>
                <w:noProof/>
              </w:rPr>
            </w:pPr>
            <w:r>
              <w:rPr>
                <w:noProof/>
              </w:rPr>
              <w:t>6.15</w:t>
            </w:r>
          </w:p>
        </w:tc>
        <w:tc>
          <w:tcPr>
            <w:tcW w:w="1760" w:type="dxa"/>
            <w:shd w:val="clear" w:color="auto" w:fill="C4EFCE"/>
            <w:vAlign w:val="center"/>
            <w:hideMark/>
          </w:tcPr>
          <w:p w14:paraId="5B04B4CC" w14:textId="77777777" w:rsidR="00DC5EC6" w:rsidRDefault="003245A4">
            <w:pPr>
              <w:pStyle w:val="P68B1DB1-Normal23"/>
              <w:spacing w:after="0"/>
              <w:jc w:val="center"/>
              <w:rPr>
                <w:noProof/>
              </w:rPr>
            </w:pPr>
            <w:r>
              <w:rPr>
                <w:noProof/>
              </w:rPr>
              <w:t xml:space="preserve">Re-C06-r16 </w:t>
            </w:r>
          </w:p>
        </w:tc>
        <w:tc>
          <w:tcPr>
            <w:tcW w:w="1520" w:type="dxa"/>
            <w:shd w:val="clear" w:color="auto" w:fill="C4EFCE"/>
            <w:vAlign w:val="center"/>
            <w:hideMark/>
          </w:tcPr>
          <w:p w14:paraId="5E98D411"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280C87D7" w14:textId="77777777" w:rsidR="00DC5EC6" w:rsidRDefault="003245A4">
            <w:pPr>
              <w:pStyle w:val="P68B1DB1-Normal23"/>
              <w:spacing w:after="0"/>
              <w:jc w:val="both"/>
              <w:rPr>
                <w:rFonts w:eastAsia="Calibri" w:cs="Calibri"/>
                <w:noProof/>
              </w:rPr>
            </w:pPr>
            <w:r>
              <w:rPr>
                <w:noProof/>
              </w:rPr>
              <w:t>A szabályozott szakmákról szóló törvény hatálybalépése</w:t>
            </w:r>
          </w:p>
        </w:tc>
      </w:tr>
      <w:tr w:rsidR="00DC5EC6" w14:paraId="4983771D" w14:textId="77777777">
        <w:trPr>
          <w:trHeight w:val="440"/>
        </w:trPr>
        <w:tc>
          <w:tcPr>
            <w:tcW w:w="1200" w:type="dxa"/>
            <w:shd w:val="clear" w:color="auto" w:fill="C4EFCE"/>
            <w:vAlign w:val="center"/>
            <w:hideMark/>
          </w:tcPr>
          <w:p w14:paraId="104D5E80" w14:textId="77777777" w:rsidR="00DC5EC6" w:rsidRDefault="003245A4">
            <w:pPr>
              <w:pStyle w:val="P68B1DB1-Normal23"/>
              <w:spacing w:after="0"/>
              <w:jc w:val="center"/>
              <w:rPr>
                <w:noProof/>
              </w:rPr>
            </w:pPr>
            <w:r>
              <w:rPr>
                <w:noProof/>
              </w:rPr>
              <w:t>7.1</w:t>
            </w:r>
          </w:p>
        </w:tc>
        <w:tc>
          <w:tcPr>
            <w:tcW w:w="1760" w:type="dxa"/>
            <w:shd w:val="clear" w:color="auto" w:fill="C4EFCE"/>
            <w:vAlign w:val="center"/>
            <w:hideMark/>
          </w:tcPr>
          <w:p w14:paraId="032F1E62" w14:textId="77777777" w:rsidR="00DC5EC6" w:rsidRDefault="003245A4">
            <w:pPr>
              <w:pStyle w:val="P68B1DB1-Normal23"/>
              <w:spacing w:after="0"/>
              <w:jc w:val="center"/>
              <w:rPr>
                <w:noProof/>
              </w:rPr>
            </w:pPr>
            <w:r>
              <w:rPr>
                <w:noProof/>
              </w:rPr>
              <w:t xml:space="preserve">Vissza-C07-i00 </w:t>
            </w:r>
          </w:p>
        </w:tc>
        <w:tc>
          <w:tcPr>
            <w:tcW w:w="1520" w:type="dxa"/>
            <w:shd w:val="clear" w:color="auto" w:fill="C4EFCE"/>
            <w:vAlign w:val="center"/>
            <w:hideMark/>
          </w:tcPr>
          <w:p w14:paraId="41AD4CD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0690F7A" w14:textId="7B4FDF4A" w:rsidR="00DC5EC6" w:rsidRDefault="003245A4">
            <w:pPr>
              <w:pStyle w:val="P68B1DB1-Normal23"/>
              <w:spacing w:after="0"/>
              <w:jc w:val="both"/>
              <w:rPr>
                <w:rFonts w:eastAsia="Calibri" w:cs="Calibri"/>
                <w:noProof/>
              </w:rPr>
            </w:pPr>
            <w:r>
              <w:rPr>
                <w:noProof/>
              </w:rPr>
              <w:t>Elektromos járművek nyilvánosan hozzáférhető töltőállomásai</w:t>
            </w:r>
          </w:p>
        </w:tc>
      </w:tr>
      <w:tr w:rsidR="00DC5EC6" w14:paraId="70665A7A" w14:textId="77777777">
        <w:trPr>
          <w:trHeight w:val="440"/>
        </w:trPr>
        <w:tc>
          <w:tcPr>
            <w:tcW w:w="1200" w:type="dxa"/>
            <w:shd w:val="clear" w:color="auto" w:fill="C4EFCE"/>
            <w:vAlign w:val="center"/>
            <w:hideMark/>
          </w:tcPr>
          <w:p w14:paraId="537D6B6D" w14:textId="77777777" w:rsidR="00DC5EC6" w:rsidRDefault="003245A4">
            <w:pPr>
              <w:pStyle w:val="P68B1DB1-Normal23"/>
              <w:spacing w:after="0"/>
              <w:jc w:val="center"/>
              <w:rPr>
                <w:noProof/>
              </w:rPr>
            </w:pPr>
            <w:r>
              <w:rPr>
                <w:noProof/>
              </w:rPr>
              <w:t>7.7</w:t>
            </w:r>
          </w:p>
        </w:tc>
        <w:tc>
          <w:tcPr>
            <w:tcW w:w="1760" w:type="dxa"/>
            <w:shd w:val="clear" w:color="auto" w:fill="C4EFCE"/>
            <w:vAlign w:val="center"/>
            <w:hideMark/>
          </w:tcPr>
          <w:p w14:paraId="0D8F10EA" w14:textId="77777777" w:rsidR="00DC5EC6" w:rsidRDefault="003245A4">
            <w:pPr>
              <w:pStyle w:val="P68B1DB1-Normal23"/>
              <w:spacing w:after="0"/>
              <w:jc w:val="center"/>
              <w:rPr>
                <w:noProof/>
              </w:rPr>
            </w:pPr>
            <w:r>
              <w:rPr>
                <w:noProof/>
              </w:rPr>
              <w:t xml:space="preserve">Re-C07-i02 </w:t>
            </w:r>
          </w:p>
        </w:tc>
        <w:tc>
          <w:tcPr>
            <w:tcW w:w="1520" w:type="dxa"/>
            <w:shd w:val="clear" w:color="auto" w:fill="C4EFCE"/>
            <w:vAlign w:val="center"/>
            <w:hideMark/>
          </w:tcPr>
          <w:p w14:paraId="44888C17"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733934" w14:textId="77777777" w:rsidR="00DC5EC6" w:rsidRDefault="003245A4">
            <w:pPr>
              <w:pStyle w:val="P68B1DB1-Normal23"/>
              <w:spacing w:after="0"/>
              <w:jc w:val="both"/>
              <w:rPr>
                <w:rFonts w:eastAsia="Calibri" w:cs="Calibri"/>
                <w:noProof/>
              </w:rPr>
            </w:pPr>
            <w:r>
              <w:rPr>
                <w:noProof/>
              </w:rPr>
              <w:t>2 közúti projektre aláírt szerződés</w:t>
            </w:r>
          </w:p>
        </w:tc>
      </w:tr>
      <w:tr w:rsidR="00DC5EC6" w14:paraId="621AF830" w14:textId="77777777">
        <w:trPr>
          <w:trHeight w:val="440"/>
        </w:trPr>
        <w:tc>
          <w:tcPr>
            <w:tcW w:w="1200" w:type="dxa"/>
            <w:shd w:val="clear" w:color="auto" w:fill="C4EFCE"/>
            <w:vAlign w:val="center"/>
            <w:hideMark/>
          </w:tcPr>
          <w:p w14:paraId="21A9EB50" w14:textId="77777777" w:rsidR="00DC5EC6" w:rsidRDefault="003245A4">
            <w:pPr>
              <w:pStyle w:val="P68B1DB1-Normal23"/>
              <w:spacing w:after="0"/>
              <w:jc w:val="center"/>
              <w:rPr>
                <w:noProof/>
              </w:rPr>
            </w:pPr>
            <w:r>
              <w:rPr>
                <w:noProof/>
              </w:rPr>
              <w:t>8.18</w:t>
            </w:r>
          </w:p>
        </w:tc>
        <w:tc>
          <w:tcPr>
            <w:tcW w:w="1760" w:type="dxa"/>
            <w:shd w:val="clear" w:color="auto" w:fill="C4EFCE"/>
            <w:vAlign w:val="center"/>
            <w:hideMark/>
          </w:tcPr>
          <w:p w14:paraId="0EB5329C" w14:textId="77777777" w:rsidR="00DC5EC6" w:rsidRDefault="003245A4">
            <w:pPr>
              <w:pStyle w:val="P68B1DB1-Normal23"/>
              <w:spacing w:after="0"/>
              <w:jc w:val="center"/>
              <w:rPr>
                <w:noProof/>
              </w:rPr>
            </w:pPr>
            <w:r>
              <w:rPr>
                <w:noProof/>
              </w:rPr>
              <w:t xml:space="preserve">Re-C08-r20 </w:t>
            </w:r>
          </w:p>
        </w:tc>
        <w:tc>
          <w:tcPr>
            <w:tcW w:w="1520" w:type="dxa"/>
            <w:shd w:val="clear" w:color="auto" w:fill="C4EFCE"/>
            <w:vAlign w:val="center"/>
            <w:hideMark/>
          </w:tcPr>
          <w:p w14:paraId="58633647"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126370E" w14:textId="77777777" w:rsidR="00DC5EC6" w:rsidRDefault="003245A4">
            <w:pPr>
              <w:pStyle w:val="P68B1DB1-Normal23"/>
              <w:spacing w:after="0"/>
              <w:jc w:val="both"/>
              <w:rPr>
                <w:rFonts w:eastAsia="Calibri" w:cs="Calibri"/>
                <w:noProof/>
              </w:rPr>
            </w:pPr>
            <w:r>
              <w:rPr>
                <w:noProof/>
              </w:rPr>
              <w:t>Felszínborítás-ellenőrző rendszer (SMOS)</w:t>
            </w:r>
          </w:p>
        </w:tc>
      </w:tr>
      <w:tr w:rsidR="00DC5EC6" w14:paraId="19D4139A" w14:textId="77777777">
        <w:trPr>
          <w:trHeight w:val="440"/>
        </w:trPr>
        <w:tc>
          <w:tcPr>
            <w:tcW w:w="1200" w:type="dxa"/>
            <w:shd w:val="clear" w:color="auto" w:fill="C4EFCE"/>
            <w:vAlign w:val="center"/>
            <w:hideMark/>
          </w:tcPr>
          <w:p w14:paraId="3FB03D0D" w14:textId="77777777" w:rsidR="00DC5EC6" w:rsidRDefault="003245A4">
            <w:pPr>
              <w:pStyle w:val="P68B1DB1-Normal23"/>
              <w:spacing w:after="0"/>
              <w:jc w:val="center"/>
              <w:rPr>
                <w:noProof/>
              </w:rPr>
            </w:pPr>
            <w:r>
              <w:rPr>
                <w:noProof/>
              </w:rPr>
              <w:t>12.6</w:t>
            </w:r>
          </w:p>
        </w:tc>
        <w:tc>
          <w:tcPr>
            <w:tcW w:w="1760" w:type="dxa"/>
            <w:shd w:val="clear" w:color="auto" w:fill="C4EFCE"/>
            <w:vAlign w:val="center"/>
            <w:hideMark/>
          </w:tcPr>
          <w:p w14:paraId="6722FFFA" w14:textId="77777777" w:rsidR="00DC5EC6" w:rsidRDefault="003245A4">
            <w:pPr>
              <w:pStyle w:val="P68B1DB1-Normal23"/>
              <w:spacing w:after="0"/>
              <w:jc w:val="center"/>
              <w:rPr>
                <w:noProof/>
              </w:rPr>
            </w:pPr>
            <w:r>
              <w:rPr>
                <w:noProof/>
              </w:rPr>
              <w:t xml:space="preserve">TC-C12-r25 </w:t>
            </w:r>
          </w:p>
        </w:tc>
        <w:tc>
          <w:tcPr>
            <w:tcW w:w="1520" w:type="dxa"/>
            <w:shd w:val="clear" w:color="auto" w:fill="C4EFCE"/>
            <w:vAlign w:val="center"/>
            <w:hideMark/>
          </w:tcPr>
          <w:p w14:paraId="44C2F502"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63E29BE" w14:textId="77777777" w:rsidR="00DC5EC6" w:rsidRDefault="003245A4">
            <w:pPr>
              <w:pStyle w:val="P68B1DB1-Normal23"/>
              <w:spacing w:after="0"/>
              <w:jc w:val="both"/>
              <w:rPr>
                <w:rFonts w:eastAsia="Calibri" w:cs="Calibri"/>
                <w:noProof/>
              </w:rPr>
            </w:pPr>
            <w:r>
              <w:rPr>
                <w:noProof/>
              </w:rPr>
              <w:t>A zöld közbeszerzésre vonatkozó felülvizsgált nemzeti stratégia hatálybalépése</w:t>
            </w:r>
          </w:p>
        </w:tc>
      </w:tr>
      <w:tr w:rsidR="00DC5EC6" w14:paraId="41FFE3C7" w14:textId="77777777">
        <w:trPr>
          <w:trHeight w:val="440"/>
        </w:trPr>
        <w:tc>
          <w:tcPr>
            <w:tcW w:w="1200" w:type="dxa"/>
            <w:shd w:val="clear" w:color="auto" w:fill="C4EFCE"/>
            <w:vAlign w:val="center"/>
            <w:hideMark/>
          </w:tcPr>
          <w:p w14:paraId="7800A98C" w14:textId="77777777" w:rsidR="00DC5EC6" w:rsidRDefault="003245A4">
            <w:pPr>
              <w:pStyle w:val="P68B1DB1-Normal23"/>
              <w:spacing w:after="0"/>
              <w:jc w:val="center"/>
              <w:rPr>
                <w:noProof/>
              </w:rPr>
            </w:pPr>
            <w:r>
              <w:rPr>
                <w:noProof/>
              </w:rPr>
              <w:t>15.12</w:t>
            </w:r>
          </w:p>
        </w:tc>
        <w:tc>
          <w:tcPr>
            <w:tcW w:w="1760" w:type="dxa"/>
            <w:shd w:val="clear" w:color="auto" w:fill="C4EFCE"/>
            <w:vAlign w:val="center"/>
            <w:hideMark/>
          </w:tcPr>
          <w:p w14:paraId="4C755F50" w14:textId="77777777" w:rsidR="00DC5EC6" w:rsidRDefault="003245A4">
            <w:pPr>
              <w:pStyle w:val="P68B1DB1-Normal23"/>
              <w:spacing w:after="0"/>
              <w:jc w:val="center"/>
              <w:rPr>
                <w:noProof/>
              </w:rPr>
            </w:pPr>
            <w:r>
              <w:rPr>
                <w:noProof/>
              </w:rPr>
              <w:t xml:space="preserve">TC-C15-i05 </w:t>
            </w:r>
          </w:p>
        </w:tc>
        <w:tc>
          <w:tcPr>
            <w:tcW w:w="1520" w:type="dxa"/>
            <w:shd w:val="clear" w:color="auto" w:fill="C4EFCE"/>
            <w:vAlign w:val="center"/>
            <w:hideMark/>
          </w:tcPr>
          <w:p w14:paraId="4DD658D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31B8667" w14:textId="77777777" w:rsidR="00DC5EC6" w:rsidRDefault="003245A4">
            <w:pPr>
              <w:pStyle w:val="P68B1DB1-Normal23"/>
              <w:spacing w:after="0"/>
              <w:jc w:val="both"/>
              <w:rPr>
                <w:rFonts w:eastAsia="Calibri" w:cs="Calibri"/>
                <w:noProof/>
              </w:rPr>
            </w:pPr>
            <w:r>
              <w:rPr>
                <w:noProof/>
              </w:rPr>
              <w:t>Szerződés tiszta buszok beszerzésére a tömegközlekedés szén-dioxid-mentesítési programja keretében</w:t>
            </w:r>
          </w:p>
        </w:tc>
      </w:tr>
      <w:tr w:rsidR="00DC5EC6" w14:paraId="39E8616F" w14:textId="77777777">
        <w:trPr>
          <w:trHeight w:val="440"/>
        </w:trPr>
        <w:tc>
          <w:tcPr>
            <w:tcW w:w="1200" w:type="dxa"/>
            <w:shd w:val="clear" w:color="auto" w:fill="C4EFCE"/>
            <w:vAlign w:val="center"/>
            <w:hideMark/>
          </w:tcPr>
          <w:p w14:paraId="10D21247" w14:textId="77777777" w:rsidR="00DC5EC6" w:rsidRDefault="003245A4">
            <w:pPr>
              <w:pStyle w:val="P68B1DB1-Normal23"/>
              <w:spacing w:after="0"/>
              <w:jc w:val="center"/>
              <w:rPr>
                <w:noProof/>
              </w:rPr>
            </w:pPr>
            <w:r>
              <w:rPr>
                <w:noProof/>
              </w:rPr>
              <w:t>16.7</w:t>
            </w:r>
          </w:p>
        </w:tc>
        <w:tc>
          <w:tcPr>
            <w:tcW w:w="1760" w:type="dxa"/>
            <w:shd w:val="clear" w:color="auto" w:fill="C4EFCE"/>
            <w:vAlign w:val="center"/>
            <w:hideMark/>
          </w:tcPr>
          <w:p w14:paraId="6613DE1F" w14:textId="77777777" w:rsidR="00DC5EC6" w:rsidRDefault="003245A4">
            <w:pPr>
              <w:pStyle w:val="P68B1DB1-Normal23"/>
              <w:spacing w:after="0"/>
              <w:jc w:val="center"/>
              <w:rPr>
                <w:noProof/>
              </w:rPr>
            </w:pPr>
            <w:r>
              <w:rPr>
                <w:noProof/>
              </w:rPr>
              <w:t xml:space="preserve">TD-C16-i02 </w:t>
            </w:r>
          </w:p>
        </w:tc>
        <w:tc>
          <w:tcPr>
            <w:tcW w:w="1520" w:type="dxa"/>
            <w:shd w:val="clear" w:color="auto" w:fill="C4EFCE"/>
            <w:vAlign w:val="center"/>
            <w:hideMark/>
          </w:tcPr>
          <w:p w14:paraId="233D2B2C"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CADFDA3" w14:textId="77777777" w:rsidR="00DC5EC6" w:rsidRDefault="003245A4">
            <w:pPr>
              <w:pStyle w:val="P68B1DB1-Normal23"/>
              <w:spacing w:after="0"/>
              <w:jc w:val="both"/>
              <w:rPr>
                <w:rFonts w:eastAsia="Calibri" w:cs="Calibri"/>
                <w:noProof/>
              </w:rPr>
            </w:pPr>
            <w:r>
              <w:rPr>
                <w:noProof/>
              </w:rPr>
              <w:t>A nemzeti tesztágyak hálózatához kiválasztott tesztágyak</w:t>
            </w:r>
          </w:p>
        </w:tc>
      </w:tr>
      <w:tr w:rsidR="00DC5EC6" w14:paraId="209EA40D" w14:textId="77777777">
        <w:trPr>
          <w:trHeight w:val="440"/>
        </w:trPr>
        <w:tc>
          <w:tcPr>
            <w:tcW w:w="1200" w:type="dxa"/>
            <w:shd w:val="clear" w:color="auto" w:fill="C4EFCE"/>
            <w:vAlign w:val="center"/>
            <w:hideMark/>
          </w:tcPr>
          <w:p w14:paraId="22EEA5AF" w14:textId="77777777" w:rsidR="00DC5EC6" w:rsidRDefault="003245A4">
            <w:pPr>
              <w:pStyle w:val="P68B1DB1-Normal23"/>
              <w:spacing w:after="0"/>
              <w:jc w:val="center"/>
              <w:rPr>
                <w:noProof/>
              </w:rPr>
            </w:pPr>
            <w:r>
              <w:rPr>
                <w:noProof/>
              </w:rPr>
              <w:t>17.1</w:t>
            </w:r>
          </w:p>
        </w:tc>
        <w:tc>
          <w:tcPr>
            <w:tcW w:w="1760" w:type="dxa"/>
            <w:shd w:val="clear" w:color="auto" w:fill="C4EFCE"/>
            <w:vAlign w:val="center"/>
            <w:hideMark/>
          </w:tcPr>
          <w:p w14:paraId="3856F38E"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7ACA6546"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19C34B4" w14:textId="77777777" w:rsidR="00DC5EC6" w:rsidRDefault="003245A4">
            <w:pPr>
              <w:pStyle w:val="P68B1DB1-Normal23"/>
              <w:spacing w:after="0"/>
              <w:jc w:val="both"/>
              <w:rPr>
                <w:rFonts w:eastAsia="Calibri" w:cs="Calibri"/>
                <w:noProof/>
              </w:rPr>
            </w:pPr>
            <w:r>
              <w:rPr>
                <w:noProof/>
              </w:rPr>
              <w:t>A nemzeti központi közbeszerzési rendszerre vonatkozó új közbeszerzési modellek tervezésének és végrehajtásának befejezése a megosztott közigazgatási szerv 2020–2023-as időszakra szóló stratégiai tervében foglaltaknak megfelelően</w:t>
            </w:r>
          </w:p>
        </w:tc>
      </w:tr>
      <w:tr w:rsidR="00DC5EC6" w14:paraId="3F6B3ED7" w14:textId="77777777">
        <w:trPr>
          <w:trHeight w:val="440"/>
        </w:trPr>
        <w:tc>
          <w:tcPr>
            <w:tcW w:w="1200" w:type="dxa"/>
            <w:shd w:val="clear" w:color="auto" w:fill="C4EFCE"/>
            <w:vAlign w:val="center"/>
            <w:hideMark/>
          </w:tcPr>
          <w:p w14:paraId="01084538" w14:textId="77777777" w:rsidR="00DC5EC6" w:rsidRDefault="003245A4">
            <w:pPr>
              <w:pStyle w:val="P68B1DB1-Normal23"/>
              <w:spacing w:after="0"/>
              <w:jc w:val="center"/>
              <w:rPr>
                <w:noProof/>
              </w:rPr>
            </w:pPr>
            <w:r>
              <w:rPr>
                <w:noProof/>
              </w:rPr>
              <w:t>17.2</w:t>
            </w:r>
          </w:p>
        </w:tc>
        <w:tc>
          <w:tcPr>
            <w:tcW w:w="1760" w:type="dxa"/>
            <w:shd w:val="clear" w:color="auto" w:fill="C4EFCE"/>
            <w:vAlign w:val="center"/>
            <w:hideMark/>
          </w:tcPr>
          <w:p w14:paraId="35541530"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75BDB3D8"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9A94FE8" w14:textId="77777777" w:rsidR="00DC5EC6" w:rsidRDefault="003245A4">
            <w:pPr>
              <w:pStyle w:val="P68B1DB1-Normal23"/>
              <w:spacing w:after="0"/>
              <w:jc w:val="both"/>
              <w:rPr>
                <w:rFonts w:eastAsia="Calibri" w:cs="Calibri"/>
                <w:noProof/>
              </w:rPr>
            </w:pPr>
            <w:r>
              <w:rPr>
                <w:noProof/>
              </w:rPr>
              <w:t>Az Állami Számviteli Szervezet alapjául szolgáló jogszabályok hatálybalépése</w:t>
            </w:r>
          </w:p>
        </w:tc>
      </w:tr>
      <w:tr w:rsidR="00DC5EC6" w14:paraId="63E30D88" w14:textId="77777777">
        <w:trPr>
          <w:trHeight w:val="440"/>
        </w:trPr>
        <w:tc>
          <w:tcPr>
            <w:tcW w:w="1200" w:type="dxa"/>
            <w:shd w:val="clear" w:color="auto" w:fill="C4EFCE"/>
            <w:vAlign w:val="center"/>
            <w:hideMark/>
          </w:tcPr>
          <w:p w14:paraId="1056837E" w14:textId="77777777" w:rsidR="00DC5EC6" w:rsidRDefault="003245A4">
            <w:pPr>
              <w:pStyle w:val="P68B1DB1-Normal23"/>
              <w:spacing w:after="0"/>
              <w:jc w:val="center"/>
              <w:rPr>
                <w:noProof/>
              </w:rPr>
            </w:pPr>
            <w:r>
              <w:rPr>
                <w:noProof/>
              </w:rPr>
              <w:t>17.3</w:t>
            </w:r>
          </w:p>
        </w:tc>
        <w:tc>
          <w:tcPr>
            <w:tcW w:w="1760" w:type="dxa"/>
            <w:shd w:val="clear" w:color="auto" w:fill="C4EFCE"/>
            <w:vAlign w:val="center"/>
            <w:hideMark/>
          </w:tcPr>
          <w:p w14:paraId="61FF33E4"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167697BC"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EA7BBF8" w14:textId="77777777" w:rsidR="00DC5EC6" w:rsidRDefault="003245A4">
            <w:pPr>
              <w:pStyle w:val="P68B1DB1-Normal23"/>
              <w:spacing w:after="0"/>
              <w:jc w:val="both"/>
              <w:rPr>
                <w:rFonts w:eastAsia="Calibri" w:cs="Calibri"/>
                <w:noProof/>
              </w:rPr>
            </w:pPr>
            <w:r>
              <w:rPr>
                <w:noProof/>
              </w:rPr>
              <w:t>Az államháztartás költségvetésének és pénzügyi végrehajtásának nyomon követésére szolgáló minta kitöltése és jóváhagyása</w:t>
            </w:r>
          </w:p>
        </w:tc>
      </w:tr>
      <w:tr w:rsidR="00DC5EC6" w14:paraId="341F280E" w14:textId="77777777">
        <w:trPr>
          <w:trHeight w:val="440"/>
        </w:trPr>
        <w:tc>
          <w:tcPr>
            <w:tcW w:w="1200" w:type="dxa"/>
            <w:shd w:val="clear" w:color="auto" w:fill="C4EFCE"/>
            <w:vAlign w:val="center"/>
            <w:hideMark/>
          </w:tcPr>
          <w:p w14:paraId="188AFE97" w14:textId="77777777" w:rsidR="00DC5EC6" w:rsidRDefault="003245A4">
            <w:pPr>
              <w:pStyle w:val="P68B1DB1-Normal23"/>
              <w:spacing w:after="0"/>
              <w:jc w:val="center"/>
              <w:rPr>
                <w:noProof/>
              </w:rPr>
            </w:pPr>
            <w:r>
              <w:rPr>
                <w:noProof/>
              </w:rPr>
              <w:t>17.7</w:t>
            </w:r>
          </w:p>
        </w:tc>
        <w:tc>
          <w:tcPr>
            <w:tcW w:w="1760" w:type="dxa"/>
            <w:shd w:val="clear" w:color="auto" w:fill="C4EFCE"/>
            <w:vAlign w:val="center"/>
            <w:hideMark/>
          </w:tcPr>
          <w:p w14:paraId="275594B7" w14:textId="77777777" w:rsidR="00DC5EC6" w:rsidRDefault="003245A4">
            <w:pPr>
              <w:pStyle w:val="P68B1DB1-Normal23"/>
              <w:spacing w:after="0"/>
              <w:jc w:val="center"/>
              <w:rPr>
                <w:noProof/>
              </w:rPr>
            </w:pPr>
            <w:r>
              <w:rPr>
                <w:noProof/>
              </w:rPr>
              <w:t xml:space="preserve">TD-C17-r32 </w:t>
            </w:r>
          </w:p>
        </w:tc>
        <w:tc>
          <w:tcPr>
            <w:tcW w:w="1520" w:type="dxa"/>
            <w:shd w:val="clear" w:color="auto" w:fill="C4EFCE"/>
            <w:vAlign w:val="center"/>
            <w:hideMark/>
          </w:tcPr>
          <w:p w14:paraId="1936EA41"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AC574CF" w14:textId="77777777" w:rsidR="00DC5EC6" w:rsidRDefault="003245A4">
            <w:pPr>
              <w:pStyle w:val="P68B1DB1-Normal23"/>
              <w:spacing w:after="0"/>
              <w:jc w:val="both"/>
              <w:rPr>
                <w:rFonts w:eastAsia="Calibri" w:cs="Calibri"/>
                <w:noProof/>
              </w:rPr>
            </w:pPr>
            <w:r>
              <w:rPr>
                <w:noProof/>
              </w:rPr>
              <w:t>Az állami tulajdonú vállalatok pénzügyi helyzetének és teljesítményének elemzésére és közzétételére szolgáló új modell hatálybalépése</w:t>
            </w:r>
          </w:p>
        </w:tc>
      </w:tr>
      <w:tr w:rsidR="00DC5EC6" w14:paraId="3B0F106A" w14:textId="77777777">
        <w:trPr>
          <w:trHeight w:val="440"/>
        </w:trPr>
        <w:tc>
          <w:tcPr>
            <w:tcW w:w="1200" w:type="dxa"/>
            <w:shd w:val="clear" w:color="auto" w:fill="C4EFCE"/>
            <w:vAlign w:val="center"/>
            <w:hideMark/>
          </w:tcPr>
          <w:p w14:paraId="2A50687F" w14:textId="77777777" w:rsidR="00DC5EC6" w:rsidRDefault="003245A4">
            <w:pPr>
              <w:pStyle w:val="P68B1DB1-Normal23"/>
              <w:spacing w:after="0"/>
              <w:jc w:val="center"/>
              <w:rPr>
                <w:noProof/>
              </w:rPr>
            </w:pPr>
            <w:r>
              <w:rPr>
                <w:noProof/>
              </w:rPr>
              <w:t>19.1</w:t>
            </w:r>
          </w:p>
        </w:tc>
        <w:tc>
          <w:tcPr>
            <w:tcW w:w="1760" w:type="dxa"/>
            <w:shd w:val="clear" w:color="auto" w:fill="C4EFCE"/>
            <w:vAlign w:val="center"/>
            <w:hideMark/>
          </w:tcPr>
          <w:p w14:paraId="69C58795" w14:textId="77777777" w:rsidR="00DC5EC6" w:rsidRDefault="003245A4">
            <w:pPr>
              <w:pStyle w:val="P68B1DB1-Normal23"/>
              <w:spacing w:after="0"/>
              <w:jc w:val="center"/>
              <w:rPr>
                <w:noProof/>
              </w:rPr>
            </w:pPr>
            <w:r>
              <w:rPr>
                <w:noProof/>
              </w:rPr>
              <w:t xml:space="preserve">TD-C19-i01 </w:t>
            </w:r>
          </w:p>
        </w:tc>
        <w:tc>
          <w:tcPr>
            <w:tcW w:w="1520" w:type="dxa"/>
            <w:shd w:val="clear" w:color="auto" w:fill="C4EFCE"/>
            <w:vAlign w:val="center"/>
            <w:hideMark/>
          </w:tcPr>
          <w:p w14:paraId="59EF48D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BCAB859" w14:textId="77777777" w:rsidR="00DC5EC6" w:rsidRDefault="003245A4">
            <w:pPr>
              <w:pStyle w:val="P68B1DB1-Normal23"/>
              <w:spacing w:after="0"/>
              <w:jc w:val="both"/>
              <w:rPr>
                <w:rFonts w:eastAsia="Calibri" w:cs="Calibri"/>
                <w:noProof/>
              </w:rPr>
            </w:pPr>
            <w:r>
              <w:rPr>
                <w:noProof/>
              </w:rPr>
              <w:t>A közszolgáltatások egyszerűsített és koherens módon, különböző csatornákon keresztül érhetők el</w:t>
            </w:r>
          </w:p>
        </w:tc>
      </w:tr>
      <w:tr w:rsidR="00DC5EC6" w14:paraId="6A1F9585" w14:textId="77777777">
        <w:trPr>
          <w:trHeight w:val="440"/>
        </w:trPr>
        <w:tc>
          <w:tcPr>
            <w:tcW w:w="1200" w:type="dxa"/>
            <w:shd w:val="clear" w:color="auto" w:fill="C4EFCE"/>
            <w:vAlign w:val="center"/>
            <w:hideMark/>
          </w:tcPr>
          <w:p w14:paraId="4BF5836E" w14:textId="77777777" w:rsidR="00DC5EC6" w:rsidRDefault="003245A4">
            <w:pPr>
              <w:pStyle w:val="P68B1DB1-Normal23"/>
              <w:spacing w:after="0"/>
              <w:jc w:val="center"/>
              <w:rPr>
                <w:noProof/>
              </w:rPr>
            </w:pPr>
            <w:r>
              <w:rPr>
                <w:noProof/>
              </w:rPr>
              <w:t>19.4</w:t>
            </w:r>
          </w:p>
        </w:tc>
        <w:tc>
          <w:tcPr>
            <w:tcW w:w="1760" w:type="dxa"/>
            <w:shd w:val="clear" w:color="auto" w:fill="C4EFCE"/>
            <w:vAlign w:val="center"/>
            <w:hideMark/>
          </w:tcPr>
          <w:p w14:paraId="24BFF365" w14:textId="77777777" w:rsidR="00DC5EC6" w:rsidRDefault="003245A4">
            <w:pPr>
              <w:pStyle w:val="P68B1DB1-Normal23"/>
              <w:spacing w:after="0"/>
              <w:jc w:val="center"/>
              <w:rPr>
                <w:noProof/>
              </w:rPr>
            </w:pPr>
            <w:r>
              <w:rPr>
                <w:noProof/>
              </w:rPr>
              <w:t xml:space="preserve">TD-C19-i02 </w:t>
            </w:r>
          </w:p>
        </w:tc>
        <w:tc>
          <w:tcPr>
            <w:tcW w:w="1520" w:type="dxa"/>
            <w:shd w:val="clear" w:color="auto" w:fill="C4EFCE"/>
            <w:vAlign w:val="center"/>
            <w:hideMark/>
          </w:tcPr>
          <w:p w14:paraId="72E93AC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8803935" w14:textId="77777777" w:rsidR="00DC5EC6" w:rsidRDefault="003245A4">
            <w:pPr>
              <w:pStyle w:val="P68B1DB1-Normal23"/>
              <w:spacing w:after="0"/>
              <w:jc w:val="both"/>
              <w:rPr>
                <w:rFonts w:eastAsia="Calibri" w:cs="Calibri"/>
                <w:noProof/>
              </w:rPr>
            </w:pPr>
            <w:r>
              <w:rPr>
                <w:noProof/>
              </w:rPr>
              <w:t>Az elektronikus személyazonosság révén biztonságosan hozzáférhető közszolgáltatások, tiszteletben tartva az egyszeri adatszolgáltatás elvét</w:t>
            </w:r>
          </w:p>
        </w:tc>
      </w:tr>
      <w:tr w:rsidR="00DC5EC6" w14:paraId="4FC6C1D5" w14:textId="77777777">
        <w:trPr>
          <w:trHeight w:val="440"/>
        </w:trPr>
        <w:tc>
          <w:tcPr>
            <w:tcW w:w="1200" w:type="dxa"/>
            <w:shd w:val="clear" w:color="auto" w:fill="C4EFCE"/>
            <w:vAlign w:val="center"/>
            <w:hideMark/>
          </w:tcPr>
          <w:p w14:paraId="58B8057A" w14:textId="77777777" w:rsidR="00DC5EC6" w:rsidRDefault="003245A4">
            <w:pPr>
              <w:pStyle w:val="P68B1DB1-Normal23"/>
              <w:spacing w:after="0"/>
              <w:jc w:val="center"/>
              <w:rPr>
                <w:noProof/>
              </w:rPr>
            </w:pPr>
            <w:r>
              <w:rPr>
                <w:noProof/>
              </w:rPr>
              <w:t>20.3</w:t>
            </w:r>
          </w:p>
        </w:tc>
        <w:tc>
          <w:tcPr>
            <w:tcW w:w="1760" w:type="dxa"/>
            <w:shd w:val="clear" w:color="auto" w:fill="C4EFCE"/>
            <w:vAlign w:val="center"/>
            <w:hideMark/>
          </w:tcPr>
          <w:p w14:paraId="26B70452" w14:textId="77777777" w:rsidR="00DC5EC6" w:rsidRDefault="003245A4">
            <w:pPr>
              <w:pStyle w:val="P68B1DB1-Normal23"/>
              <w:spacing w:after="0"/>
              <w:jc w:val="center"/>
              <w:rPr>
                <w:noProof/>
              </w:rPr>
            </w:pPr>
            <w:r>
              <w:rPr>
                <w:noProof/>
              </w:rPr>
              <w:t xml:space="preserve">TD-C20-i01 </w:t>
            </w:r>
          </w:p>
        </w:tc>
        <w:tc>
          <w:tcPr>
            <w:tcW w:w="1520" w:type="dxa"/>
            <w:shd w:val="clear" w:color="auto" w:fill="C4EFCE"/>
            <w:vAlign w:val="center"/>
            <w:hideMark/>
          </w:tcPr>
          <w:p w14:paraId="562D7FF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A927607" w14:textId="77777777" w:rsidR="00DC5EC6" w:rsidRDefault="003245A4">
            <w:pPr>
              <w:pStyle w:val="P68B1DB1-Normal23"/>
              <w:spacing w:after="0"/>
              <w:jc w:val="both"/>
              <w:rPr>
                <w:rFonts w:eastAsia="Calibri" w:cs="Calibri"/>
                <w:noProof/>
              </w:rPr>
            </w:pPr>
            <w:r>
              <w:rPr>
                <w:noProof/>
              </w:rPr>
              <w:t>A tanulók és tanárok egyéni használatára szolgáló számítógépek</w:t>
            </w:r>
          </w:p>
        </w:tc>
      </w:tr>
      <w:tr w:rsidR="00DC5EC6" w14:paraId="6F9EE469" w14:textId="77777777">
        <w:trPr>
          <w:trHeight w:val="440"/>
        </w:trPr>
        <w:tc>
          <w:tcPr>
            <w:tcW w:w="1200" w:type="dxa"/>
            <w:shd w:val="clear" w:color="auto" w:fill="C4EFCE"/>
            <w:vAlign w:val="center"/>
            <w:hideMark/>
          </w:tcPr>
          <w:p w14:paraId="1706F9AC" w14:textId="77777777" w:rsidR="00DC5EC6" w:rsidRDefault="003245A4">
            <w:pPr>
              <w:pStyle w:val="P68B1DB1-Normal23"/>
              <w:spacing w:after="0"/>
              <w:jc w:val="center"/>
              <w:rPr>
                <w:noProof/>
              </w:rPr>
            </w:pPr>
            <w:r>
              <w:rPr>
                <w:noProof/>
              </w:rPr>
              <w:t>20.10</w:t>
            </w:r>
          </w:p>
        </w:tc>
        <w:tc>
          <w:tcPr>
            <w:tcW w:w="1760" w:type="dxa"/>
            <w:shd w:val="clear" w:color="auto" w:fill="C4EFCE"/>
            <w:vAlign w:val="center"/>
            <w:hideMark/>
          </w:tcPr>
          <w:p w14:paraId="01A5078A" w14:textId="77777777" w:rsidR="00DC5EC6" w:rsidRDefault="003245A4">
            <w:pPr>
              <w:pStyle w:val="P68B1DB1-Normal23"/>
              <w:spacing w:after="0"/>
              <w:jc w:val="center"/>
              <w:rPr>
                <w:noProof/>
              </w:rPr>
            </w:pPr>
            <w:r>
              <w:rPr>
                <w:noProof/>
              </w:rPr>
              <w:t xml:space="preserve">TD-C20i02-RAA </w:t>
            </w:r>
          </w:p>
        </w:tc>
        <w:tc>
          <w:tcPr>
            <w:tcW w:w="1520" w:type="dxa"/>
            <w:shd w:val="clear" w:color="auto" w:fill="C4EFCE"/>
            <w:vAlign w:val="center"/>
            <w:hideMark/>
          </w:tcPr>
          <w:p w14:paraId="331EFA9F"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6817629" w14:textId="77777777" w:rsidR="00DC5EC6" w:rsidRDefault="003245A4">
            <w:pPr>
              <w:pStyle w:val="P68B1DB1-Normal23"/>
              <w:spacing w:after="0"/>
              <w:jc w:val="both"/>
              <w:rPr>
                <w:rFonts w:eastAsia="Calibri" w:cs="Calibri"/>
                <w:noProof/>
              </w:rPr>
            </w:pPr>
            <w:r>
              <w:rPr>
                <w:noProof/>
              </w:rPr>
              <w:t>Tömeges nyílt online tanfolyamok tanárok és szülők számára az ARA-ban</w:t>
            </w:r>
          </w:p>
        </w:tc>
      </w:tr>
      <w:tr w:rsidR="00DC5EC6" w14:paraId="218A5DAF" w14:textId="77777777">
        <w:trPr>
          <w:trHeight w:val="440"/>
        </w:trPr>
        <w:tc>
          <w:tcPr>
            <w:tcW w:w="1200" w:type="dxa"/>
            <w:shd w:val="clear" w:color="auto" w:fill="C4EFCE"/>
            <w:vAlign w:val="center"/>
            <w:hideMark/>
          </w:tcPr>
          <w:p w14:paraId="3DAD8CAD" w14:textId="77777777" w:rsidR="00DC5EC6" w:rsidRDefault="003245A4">
            <w:pPr>
              <w:pStyle w:val="P68B1DB1-Normal23"/>
              <w:spacing w:after="0"/>
              <w:jc w:val="center"/>
              <w:rPr>
                <w:noProof/>
              </w:rPr>
            </w:pPr>
            <w:r>
              <w:rPr>
                <w:noProof/>
              </w:rPr>
              <w:t>20.14</w:t>
            </w:r>
          </w:p>
        </w:tc>
        <w:tc>
          <w:tcPr>
            <w:tcW w:w="1760" w:type="dxa"/>
            <w:shd w:val="clear" w:color="auto" w:fill="C4EFCE"/>
            <w:vAlign w:val="center"/>
            <w:hideMark/>
          </w:tcPr>
          <w:p w14:paraId="45FA9E7E" w14:textId="77777777" w:rsidR="00DC5EC6" w:rsidRDefault="003245A4">
            <w:pPr>
              <w:pStyle w:val="P68B1DB1-Normal23"/>
              <w:spacing w:after="0"/>
              <w:jc w:val="center"/>
              <w:rPr>
                <w:noProof/>
              </w:rPr>
            </w:pPr>
            <w:r>
              <w:rPr>
                <w:noProof/>
              </w:rPr>
              <w:t xml:space="preserve">TD-C20i03-RAM </w:t>
            </w:r>
          </w:p>
        </w:tc>
        <w:tc>
          <w:tcPr>
            <w:tcW w:w="1520" w:type="dxa"/>
            <w:shd w:val="clear" w:color="auto" w:fill="C4EFCE"/>
            <w:vAlign w:val="center"/>
            <w:hideMark/>
          </w:tcPr>
          <w:p w14:paraId="3A9F12D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3A30F30" w14:textId="77777777" w:rsidR="00DC5EC6" w:rsidRDefault="003245A4">
            <w:pPr>
              <w:pStyle w:val="P68B1DB1-Normal23"/>
              <w:spacing w:after="0"/>
              <w:jc w:val="both"/>
              <w:rPr>
                <w:rFonts w:eastAsia="Calibri" w:cs="Calibri"/>
                <w:noProof/>
              </w:rPr>
            </w:pPr>
            <w:r>
              <w:rPr>
                <w:noProof/>
              </w:rPr>
              <w:t>Digitális kézikönyvek a 2. és 3. ciklusban részt vevő tanulók és a középiskolások számára</w:t>
            </w:r>
          </w:p>
        </w:tc>
      </w:tr>
      <w:tr w:rsidR="00DC5EC6" w14:paraId="13FE7E31" w14:textId="77777777">
        <w:trPr>
          <w:trHeight w:val="440"/>
        </w:trPr>
        <w:tc>
          <w:tcPr>
            <w:tcW w:w="1200" w:type="dxa"/>
            <w:shd w:val="clear" w:color="auto" w:fill="C4EFCE"/>
            <w:vAlign w:val="center"/>
          </w:tcPr>
          <w:p w14:paraId="0B18E216" w14:textId="6C76CE3F" w:rsidR="00DC5EC6" w:rsidRDefault="003245A4">
            <w:pPr>
              <w:pStyle w:val="P68B1DB1-Normal23"/>
              <w:spacing w:after="0"/>
              <w:jc w:val="center"/>
              <w:rPr>
                <w:rFonts w:eastAsia="Calibri" w:cs="Calibri"/>
                <w:noProof/>
              </w:rPr>
            </w:pPr>
            <w:r>
              <w:rPr>
                <w:noProof/>
              </w:rPr>
              <w:t>22.1</w:t>
            </w:r>
          </w:p>
        </w:tc>
        <w:tc>
          <w:tcPr>
            <w:tcW w:w="1760" w:type="dxa"/>
            <w:shd w:val="clear" w:color="auto" w:fill="C4EFCE"/>
            <w:vAlign w:val="center"/>
          </w:tcPr>
          <w:p w14:paraId="54A61AAA" w14:textId="7F5F0C12" w:rsidR="00DC5EC6" w:rsidRDefault="003245A4">
            <w:pPr>
              <w:pStyle w:val="P68B1DB1-Normal23"/>
              <w:spacing w:after="0"/>
              <w:jc w:val="center"/>
              <w:rPr>
                <w:rFonts w:eastAsia="Calibri" w:cs="Calibri"/>
                <w:noProof/>
              </w:rPr>
            </w:pPr>
            <w:r>
              <w:rPr>
                <w:noProof/>
              </w:rPr>
              <w:t>Re-C22-r49</w:t>
            </w:r>
          </w:p>
        </w:tc>
        <w:tc>
          <w:tcPr>
            <w:tcW w:w="1520" w:type="dxa"/>
            <w:shd w:val="clear" w:color="auto" w:fill="C4EFCE"/>
            <w:vAlign w:val="center"/>
          </w:tcPr>
          <w:p w14:paraId="0359E033" w14:textId="53239CA4"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29FAC258" w14:textId="2F0164F0" w:rsidR="00DC5EC6" w:rsidRDefault="003245A4">
            <w:pPr>
              <w:pStyle w:val="P68B1DB1-Normal23"/>
              <w:spacing w:after="0"/>
              <w:jc w:val="both"/>
              <w:rPr>
                <w:rFonts w:eastAsia="Calibri" w:cs="Calibri"/>
                <w:noProof/>
              </w:rPr>
            </w:pPr>
            <w:r>
              <w:rPr>
                <w:noProof/>
              </w:rPr>
              <w:t>Az EMKP és a végrehajtó szervek közötti finanszírozási szerződések módosítása a csaláskockázat-értékelés elvégzésére vonatkozó kötelezettség beillesztése érdekében</w:t>
            </w:r>
          </w:p>
        </w:tc>
      </w:tr>
      <w:tr w:rsidR="00DC5EC6" w14:paraId="1692F67E" w14:textId="77777777">
        <w:trPr>
          <w:trHeight w:val="440"/>
        </w:trPr>
        <w:tc>
          <w:tcPr>
            <w:tcW w:w="1200" w:type="dxa"/>
            <w:shd w:val="clear" w:color="auto" w:fill="C4EFCE"/>
            <w:vAlign w:val="center"/>
          </w:tcPr>
          <w:p w14:paraId="1B2C4316" w14:textId="01C57EEC" w:rsidR="00DC5EC6" w:rsidRDefault="003245A4">
            <w:pPr>
              <w:pStyle w:val="P68B1DB1-Normal23"/>
              <w:spacing w:after="0"/>
              <w:jc w:val="center"/>
              <w:rPr>
                <w:rFonts w:eastAsia="Calibri" w:cs="Calibri"/>
                <w:noProof/>
              </w:rPr>
            </w:pPr>
            <w:r>
              <w:rPr>
                <w:noProof/>
              </w:rPr>
              <w:t>22.2</w:t>
            </w:r>
          </w:p>
        </w:tc>
        <w:tc>
          <w:tcPr>
            <w:tcW w:w="1760" w:type="dxa"/>
            <w:shd w:val="clear" w:color="auto" w:fill="C4EFCE"/>
            <w:vAlign w:val="center"/>
          </w:tcPr>
          <w:p w14:paraId="0C165A5E" w14:textId="0D1FBC0D" w:rsidR="00DC5EC6" w:rsidRDefault="003245A4">
            <w:pPr>
              <w:pStyle w:val="P68B1DB1-Normal23"/>
              <w:spacing w:after="0"/>
              <w:jc w:val="center"/>
              <w:rPr>
                <w:rFonts w:eastAsia="Calibri" w:cs="Calibri"/>
                <w:noProof/>
              </w:rPr>
            </w:pPr>
            <w:r>
              <w:rPr>
                <w:noProof/>
              </w:rPr>
              <w:t>Re-C22-r49</w:t>
            </w:r>
          </w:p>
        </w:tc>
        <w:tc>
          <w:tcPr>
            <w:tcW w:w="1520" w:type="dxa"/>
            <w:shd w:val="clear" w:color="auto" w:fill="C4EFCE"/>
            <w:vAlign w:val="center"/>
          </w:tcPr>
          <w:p w14:paraId="5095848A" w14:textId="060F218F"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130A8B69" w14:textId="638A0661" w:rsidR="00DC5EC6" w:rsidRDefault="003245A4">
            <w:pPr>
              <w:pStyle w:val="P68B1DB1-Normal23"/>
              <w:spacing w:after="0"/>
              <w:jc w:val="both"/>
              <w:rPr>
                <w:rFonts w:eastAsia="Calibri" w:cs="Calibri"/>
                <w:noProof/>
              </w:rPr>
            </w:pPr>
            <w:r>
              <w:rPr>
                <w:noProof/>
              </w:rPr>
              <w:t>A kettős finanszírozás keresztellenőrzésének bevezetése</w:t>
            </w:r>
          </w:p>
        </w:tc>
      </w:tr>
      <w:tr w:rsidR="00DC5EC6" w14:paraId="74CD506E" w14:textId="77777777">
        <w:trPr>
          <w:trHeight w:val="440"/>
        </w:trPr>
        <w:tc>
          <w:tcPr>
            <w:tcW w:w="1200" w:type="dxa"/>
            <w:shd w:val="clear" w:color="auto" w:fill="C4EFCE"/>
            <w:vAlign w:val="center"/>
            <w:hideMark/>
          </w:tcPr>
          <w:p w14:paraId="5438D3B8" w14:textId="77777777" w:rsidR="00DC5EC6" w:rsidRDefault="003245A4">
            <w:pPr>
              <w:pStyle w:val="P68B1DB1-Normal8"/>
              <w:spacing w:after="0"/>
              <w:jc w:val="center"/>
              <w:rPr>
                <w:noProof/>
              </w:rPr>
            </w:pPr>
            <w:r>
              <w:rPr>
                <w:noProof/>
              </w:rPr>
              <w:t xml:space="preserve"> </w:t>
            </w:r>
          </w:p>
        </w:tc>
        <w:tc>
          <w:tcPr>
            <w:tcW w:w="1760" w:type="dxa"/>
            <w:shd w:val="clear" w:color="auto" w:fill="C4EFCE"/>
            <w:vAlign w:val="center"/>
            <w:hideMark/>
          </w:tcPr>
          <w:p w14:paraId="231F2F2F" w14:textId="77777777" w:rsidR="00DC5EC6" w:rsidRDefault="003245A4">
            <w:pPr>
              <w:pStyle w:val="P68B1DB1-Normal8"/>
              <w:spacing w:after="0"/>
              <w:rPr>
                <w:noProof/>
              </w:rPr>
            </w:pPr>
            <w:r>
              <w:rPr>
                <w:noProof/>
              </w:rPr>
              <w:t xml:space="preserve"> </w:t>
            </w:r>
          </w:p>
        </w:tc>
        <w:tc>
          <w:tcPr>
            <w:tcW w:w="1520" w:type="dxa"/>
            <w:shd w:val="clear" w:color="auto" w:fill="C4EFCE"/>
            <w:vAlign w:val="center"/>
            <w:hideMark/>
          </w:tcPr>
          <w:p w14:paraId="7E61E2C8" w14:textId="77777777" w:rsidR="00DC5EC6" w:rsidRDefault="003245A4">
            <w:pPr>
              <w:pStyle w:val="P68B1DB1-Normal24"/>
              <w:spacing w:after="0"/>
              <w:jc w:val="center"/>
              <w:rPr>
                <w:noProof/>
              </w:rPr>
            </w:pPr>
            <w:r>
              <w:rPr>
                <w:noProof/>
              </w:rPr>
              <w:t xml:space="preserve">Részösszeg </w:t>
            </w:r>
          </w:p>
        </w:tc>
        <w:tc>
          <w:tcPr>
            <w:tcW w:w="5060" w:type="dxa"/>
            <w:shd w:val="clear" w:color="auto" w:fill="C4EFCE"/>
            <w:vAlign w:val="center"/>
            <w:hideMark/>
          </w:tcPr>
          <w:p w14:paraId="0C460227" w14:textId="75B7960E" w:rsidR="00DC5EC6" w:rsidRDefault="003245A4">
            <w:pPr>
              <w:pStyle w:val="P68B1DB1-Normal25"/>
              <w:spacing w:after="0"/>
              <w:jc w:val="center"/>
              <w:rPr>
                <w:noProof/>
              </w:rPr>
            </w:pPr>
            <w:r>
              <w:rPr>
                <w:noProof/>
              </w:rPr>
              <w:t>·EURÓPAI BIZOTTSÁG 2 010 220 573 EUR</w:t>
            </w:r>
          </w:p>
        </w:tc>
      </w:tr>
    </w:tbl>
    <w:p w14:paraId="039389FF" w14:textId="77777777" w:rsidR="00DC5EC6" w:rsidRDefault="00DC5EC6">
      <w:pPr>
        <w:rPr>
          <w:noProof/>
        </w:rPr>
      </w:pPr>
    </w:p>
    <w:p w14:paraId="4E219CD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A8A5CC2" w14:textId="77777777" w:rsidR="00DC5EC6" w:rsidRDefault="003245A4">
      <w:pPr>
        <w:pStyle w:val="P68B1DB1-Normal4"/>
        <w:keepNext/>
        <w:keepLines/>
        <w:numPr>
          <w:ilvl w:val="1"/>
          <w:numId w:val="19"/>
        </w:numPr>
        <w:spacing w:before="40" w:after="160" w:line="259" w:lineRule="auto"/>
        <w:contextualSpacing/>
        <w:jc w:val="both"/>
        <w:rPr>
          <w:rFonts w:eastAsiaTheme="minorEastAsia" w:cs="Times New Roman"/>
          <w:noProof/>
        </w:rPr>
      </w:pPr>
      <w:r>
        <w:rPr>
          <w:noProof/>
        </w:rPr>
        <w:t xml:space="preserve">Negyedik kifizetési kérelem (vissza nem térítendő támogatás): </w:t>
      </w:r>
    </w:p>
    <w:p w14:paraId="29158653" w14:textId="77777777" w:rsidR="00DC5EC6" w:rsidRDefault="00DC5EC6">
      <w:pPr>
        <w:keepNext/>
        <w:keepLines/>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56ED83EA"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9CEDDC4" w14:textId="77777777" w:rsidR="00DC5EC6" w:rsidRDefault="003245A4">
            <w:pPr>
              <w:pStyle w:val="P68B1DB1-Normal22"/>
              <w:keepNext/>
              <w:keepLines/>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01E8A35" w14:textId="77777777" w:rsidR="00DC5EC6" w:rsidRDefault="003245A4">
            <w:pPr>
              <w:pStyle w:val="P68B1DB1-Normal22"/>
              <w:keepNext/>
              <w:keepLines/>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A90392" w14:textId="77777777" w:rsidR="00DC5EC6" w:rsidRDefault="003245A4">
            <w:pPr>
              <w:pStyle w:val="P68B1DB1-Normal22"/>
              <w:keepNext/>
              <w:keepLines/>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74FADC97" w14:textId="77777777" w:rsidR="00DC5EC6" w:rsidRDefault="003245A4">
            <w:pPr>
              <w:pStyle w:val="P68B1DB1-Normal22"/>
              <w:keepNext/>
              <w:keepLines/>
              <w:spacing w:after="0" w:line="240" w:lineRule="auto"/>
              <w:jc w:val="center"/>
              <w:rPr>
                <w:rFonts w:eastAsia="Times New Roman" w:cs="Times New Roman"/>
                <w:noProof/>
              </w:rPr>
            </w:pPr>
            <w:r>
              <w:rPr>
                <w:noProof/>
              </w:rPr>
              <w:t>Név</w:t>
            </w:r>
          </w:p>
        </w:tc>
      </w:tr>
      <w:tr w:rsidR="00DC5EC6" w14:paraId="7FF864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0EA99F9" w14:textId="77777777" w:rsidR="00DC5EC6" w:rsidRDefault="003245A4">
            <w:pPr>
              <w:pStyle w:val="P68B1DB1-Normal23"/>
              <w:spacing w:after="0"/>
              <w:jc w:val="center"/>
              <w:rPr>
                <w:rFonts w:eastAsia="Calibri" w:cs="Calibri"/>
                <w:noProof/>
              </w:rPr>
            </w:pPr>
            <w:r>
              <w:rPr>
                <w:noProof/>
              </w:rPr>
              <w:t>1.1</w:t>
            </w:r>
          </w:p>
        </w:tc>
        <w:tc>
          <w:tcPr>
            <w:tcW w:w="1760" w:type="dxa"/>
            <w:tcBorders>
              <w:top w:val="nil"/>
              <w:left w:val="nil"/>
              <w:bottom w:val="single" w:sz="4" w:space="0" w:color="auto"/>
              <w:right w:val="single" w:sz="4" w:space="0" w:color="auto"/>
            </w:tcBorders>
            <w:shd w:val="clear" w:color="auto" w:fill="C4EFCE"/>
            <w:vAlign w:val="center"/>
            <w:hideMark/>
          </w:tcPr>
          <w:p w14:paraId="7321C9DC" w14:textId="77777777" w:rsidR="00DC5EC6" w:rsidRDefault="003245A4">
            <w:pPr>
              <w:pStyle w:val="P68B1DB1-Normal23"/>
              <w:spacing w:after="0"/>
              <w:jc w:val="center"/>
              <w:rPr>
                <w:rFonts w:eastAsia="Calibri" w:cs="Calibri"/>
                <w:noProof/>
              </w:rPr>
            </w:pPr>
            <w:r>
              <w:rPr>
                <w:noProof/>
              </w:rPr>
              <w:t xml:space="preserve">Re-C01-r01  </w:t>
            </w:r>
          </w:p>
        </w:tc>
        <w:tc>
          <w:tcPr>
            <w:tcW w:w="1520" w:type="dxa"/>
            <w:tcBorders>
              <w:top w:val="nil"/>
              <w:left w:val="nil"/>
              <w:bottom w:val="single" w:sz="4" w:space="0" w:color="auto"/>
              <w:right w:val="single" w:sz="4" w:space="0" w:color="auto"/>
            </w:tcBorders>
            <w:shd w:val="clear" w:color="auto" w:fill="C4EFCE"/>
            <w:vAlign w:val="center"/>
            <w:hideMark/>
          </w:tcPr>
          <w:p w14:paraId="7249E60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80B2E35" w14:textId="77777777" w:rsidR="00DC5EC6" w:rsidRDefault="003245A4">
            <w:pPr>
              <w:pStyle w:val="P68B1DB1-Normal23"/>
              <w:spacing w:after="0"/>
              <w:jc w:val="both"/>
              <w:rPr>
                <w:rFonts w:eastAsia="Calibri" w:cs="Calibri"/>
                <w:noProof/>
              </w:rPr>
            </w:pPr>
            <w:r>
              <w:rPr>
                <w:noProof/>
              </w:rPr>
              <w:t>Az egészségügyi alapellátás területére vonatkozó jogi aktusok hatálybalépése</w:t>
            </w:r>
          </w:p>
        </w:tc>
      </w:tr>
      <w:tr w:rsidR="00DC5EC6" w14:paraId="289CD2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38F888" w14:textId="77777777" w:rsidR="00DC5EC6" w:rsidRDefault="003245A4">
            <w:pPr>
              <w:pStyle w:val="P68B1DB1-Normal23"/>
              <w:spacing w:after="0"/>
              <w:jc w:val="center"/>
              <w:rPr>
                <w:rFonts w:eastAsia="Calibri" w:cs="Calibri"/>
                <w:noProof/>
              </w:rPr>
            </w:pPr>
            <w:r>
              <w:rPr>
                <w:noProof/>
              </w:rPr>
              <w:t>1.5</w:t>
            </w:r>
          </w:p>
        </w:tc>
        <w:tc>
          <w:tcPr>
            <w:tcW w:w="1760" w:type="dxa"/>
            <w:tcBorders>
              <w:top w:val="nil"/>
              <w:left w:val="nil"/>
              <w:bottom w:val="single" w:sz="4" w:space="0" w:color="auto"/>
              <w:right w:val="single" w:sz="4" w:space="0" w:color="auto"/>
            </w:tcBorders>
            <w:shd w:val="clear" w:color="auto" w:fill="C4EFCE"/>
            <w:vAlign w:val="center"/>
            <w:hideMark/>
          </w:tcPr>
          <w:p w14:paraId="5FA3726A" w14:textId="77777777" w:rsidR="00DC5EC6" w:rsidRDefault="003245A4">
            <w:pPr>
              <w:pStyle w:val="P68B1DB1-Normal23"/>
              <w:spacing w:after="0"/>
              <w:jc w:val="center"/>
              <w:rPr>
                <w:rFonts w:eastAsia="Calibri" w:cs="Calibri"/>
                <w:noProof/>
              </w:rPr>
            </w:pPr>
            <w:r>
              <w:rPr>
                <w:noProof/>
              </w:rPr>
              <w:t xml:space="preserve">Re-C01-r02  </w:t>
            </w:r>
          </w:p>
        </w:tc>
        <w:tc>
          <w:tcPr>
            <w:tcW w:w="1520" w:type="dxa"/>
            <w:tcBorders>
              <w:top w:val="nil"/>
              <w:left w:val="nil"/>
              <w:bottom w:val="single" w:sz="4" w:space="0" w:color="auto"/>
              <w:right w:val="single" w:sz="4" w:space="0" w:color="auto"/>
            </w:tcBorders>
            <w:shd w:val="clear" w:color="auto" w:fill="C4EFCE"/>
            <w:vAlign w:val="center"/>
            <w:hideMark/>
          </w:tcPr>
          <w:p w14:paraId="1C6933D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AF65EBB" w14:textId="77777777" w:rsidR="00DC5EC6" w:rsidRDefault="003245A4">
            <w:pPr>
              <w:pStyle w:val="P68B1DB1-Normal23"/>
              <w:spacing w:after="0"/>
              <w:jc w:val="both"/>
              <w:rPr>
                <w:rFonts w:eastAsia="Calibri" w:cs="Calibri"/>
                <w:noProof/>
              </w:rPr>
            </w:pPr>
            <w:r>
              <w:rPr>
                <w:noProof/>
              </w:rPr>
              <w:t>A mentális egészségről szóló új törvény hatálybalépése, amely meghatározza a mentális betegségben szenvedők jogaira vonatkozó elveket, és szabályozza a kötelező kórházi kezelést vagy kezelést</w:t>
            </w:r>
          </w:p>
        </w:tc>
      </w:tr>
      <w:tr w:rsidR="00DC5EC6" w14:paraId="55EB5FF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33E7D7" w14:textId="77777777" w:rsidR="00DC5EC6" w:rsidRDefault="003245A4">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951DAC8" w14:textId="77777777" w:rsidR="00DC5EC6" w:rsidRDefault="003245A4">
            <w:pPr>
              <w:pStyle w:val="P68B1DB1-Normal23"/>
              <w:spacing w:after="0"/>
              <w:jc w:val="center"/>
              <w:rPr>
                <w:rFonts w:eastAsia="Calibri" w:cs="Calibri"/>
                <w:noProof/>
              </w:rPr>
            </w:pPr>
            <w:r>
              <w:rPr>
                <w:noProof/>
              </w:rPr>
              <w:t xml:space="preserve">Re-C01-r03  </w:t>
            </w:r>
          </w:p>
        </w:tc>
        <w:tc>
          <w:tcPr>
            <w:tcW w:w="1520" w:type="dxa"/>
            <w:tcBorders>
              <w:top w:val="nil"/>
              <w:left w:val="nil"/>
              <w:bottom w:val="single" w:sz="4" w:space="0" w:color="auto"/>
              <w:right w:val="single" w:sz="4" w:space="0" w:color="auto"/>
            </w:tcBorders>
            <w:shd w:val="clear" w:color="auto" w:fill="C4EFCE"/>
            <w:vAlign w:val="center"/>
            <w:hideMark/>
          </w:tcPr>
          <w:p w14:paraId="7442DC8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41432BD" w14:textId="0F743D6C" w:rsidR="00DC5EC6" w:rsidRDefault="003245A4">
            <w:pPr>
              <w:pStyle w:val="P68B1DB1-Normal23"/>
              <w:spacing w:after="0"/>
              <w:jc w:val="both"/>
              <w:rPr>
                <w:rFonts w:eastAsia="Calibri" w:cs="Calibri"/>
                <w:noProof/>
              </w:rPr>
            </w:pPr>
            <w:r>
              <w:rPr>
                <w:noProof/>
              </w:rPr>
              <w:t>A Nemzeti Egészségügyi Szolgálat új, teljes körű elkötelezettségi rendszerének hatálybalépése</w:t>
            </w:r>
          </w:p>
        </w:tc>
      </w:tr>
      <w:tr w:rsidR="00DC5EC6" w14:paraId="2915F7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CC6DE1" w14:textId="77777777" w:rsidR="00DC5EC6" w:rsidRDefault="003245A4">
            <w:pPr>
              <w:pStyle w:val="P68B1DB1-Normal23"/>
              <w:spacing w:after="0"/>
              <w:jc w:val="center"/>
              <w:rPr>
                <w:rFonts w:eastAsia="Calibri" w:cs="Calibri"/>
                <w:noProof/>
              </w:rPr>
            </w:pPr>
            <w:r>
              <w:rPr>
                <w:noProof/>
              </w:rPr>
              <w:t>5.39</w:t>
            </w:r>
          </w:p>
        </w:tc>
        <w:tc>
          <w:tcPr>
            <w:tcW w:w="1760" w:type="dxa"/>
            <w:tcBorders>
              <w:top w:val="nil"/>
              <w:left w:val="nil"/>
              <w:bottom w:val="single" w:sz="4" w:space="0" w:color="auto"/>
              <w:right w:val="single" w:sz="4" w:space="0" w:color="auto"/>
            </w:tcBorders>
            <w:shd w:val="clear" w:color="auto" w:fill="C4EFCE"/>
            <w:vAlign w:val="center"/>
            <w:hideMark/>
          </w:tcPr>
          <w:p w14:paraId="5AA01599" w14:textId="77777777" w:rsidR="00DC5EC6" w:rsidRDefault="003245A4">
            <w:pPr>
              <w:pStyle w:val="P68B1DB1-Normal23"/>
              <w:spacing w:after="0"/>
              <w:jc w:val="center"/>
              <w:rPr>
                <w:rFonts w:eastAsia="Calibri" w:cs="Calibri"/>
                <w:noProof/>
              </w:rPr>
            </w:pPr>
            <w:r>
              <w:rPr>
                <w:noProof/>
              </w:rPr>
              <w:t xml:space="preserve">Újra-C05-i09  </w:t>
            </w:r>
          </w:p>
        </w:tc>
        <w:tc>
          <w:tcPr>
            <w:tcW w:w="1520" w:type="dxa"/>
            <w:tcBorders>
              <w:top w:val="nil"/>
              <w:left w:val="nil"/>
              <w:bottom w:val="single" w:sz="4" w:space="0" w:color="auto"/>
              <w:right w:val="single" w:sz="4" w:space="0" w:color="auto"/>
            </w:tcBorders>
            <w:shd w:val="clear" w:color="auto" w:fill="C4EFCE"/>
            <w:vAlign w:val="center"/>
            <w:hideMark/>
          </w:tcPr>
          <w:p w14:paraId="4A6965A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86D6DB1"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 releváns stratégiai területeken (innovációs menetrendek).</w:t>
            </w:r>
          </w:p>
        </w:tc>
      </w:tr>
      <w:tr w:rsidR="00DC5EC6" w14:paraId="248B14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CD0E35" w14:textId="77777777" w:rsidR="00DC5EC6" w:rsidRDefault="003245A4">
            <w:pPr>
              <w:pStyle w:val="P68B1DB1-Normal23"/>
              <w:spacing w:after="0"/>
              <w:jc w:val="center"/>
              <w:rPr>
                <w:rFonts w:eastAsia="Calibri" w:cs="Calibri"/>
                <w:noProof/>
              </w:rPr>
            </w:pPr>
            <w:r>
              <w:rPr>
                <w:noProof/>
              </w:rPr>
              <w:t>5.41</w:t>
            </w:r>
          </w:p>
        </w:tc>
        <w:tc>
          <w:tcPr>
            <w:tcW w:w="1760" w:type="dxa"/>
            <w:tcBorders>
              <w:top w:val="nil"/>
              <w:left w:val="nil"/>
              <w:bottom w:val="single" w:sz="4" w:space="0" w:color="auto"/>
              <w:right w:val="single" w:sz="4" w:space="0" w:color="auto"/>
            </w:tcBorders>
            <w:shd w:val="clear" w:color="auto" w:fill="C4EFCE"/>
            <w:vAlign w:val="center"/>
            <w:hideMark/>
          </w:tcPr>
          <w:p w14:paraId="37A6E238" w14:textId="77777777" w:rsidR="00DC5EC6" w:rsidRDefault="003245A4">
            <w:pPr>
              <w:pStyle w:val="P68B1DB1-Normal23"/>
              <w:spacing w:after="0"/>
              <w:jc w:val="center"/>
              <w:rPr>
                <w:rFonts w:eastAsia="Calibri" w:cs="Calibri"/>
                <w:noProof/>
              </w:rPr>
            </w:pPr>
            <w:r>
              <w:rPr>
                <w:noProof/>
              </w:rPr>
              <w:t xml:space="preserve">Re-C05-i10 </w:t>
            </w:r>
          </w:p>
        </w:tc>
        <w:tc>
          <w:tcPr>
            <w:tcW w:w="1520" w:type="dxa"/>
            <w:tcBorders>
              <w:top w:val="nil"/>
              <w:left w:val="nil"/>
              <w:bottom w:val="single" w:sz="4" w:space="0" w:color="auto"/>
              <w:right w:val="single" w:sz="4" w:space="0" w:color="auto"/>
            </w:tcBorders>
            <w:shd w:val="clear" w:color="auto" w:fill="C4EFCE"/>
            <w:vAlign w:val="center"/>
            <w:hideMark/>
          </w:tcPr>
          <w:p w14:paraId="1841457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B123515"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az ellenálló képesség és az éghajlatváltozáshoz való alkalmazkodás szempontjából releváns stratégiai területeken.</w:t>
            </w:r>
          </w:p>
        </w:tc>
      </w:tr>
      <w:tr w:rsidR="00DC5EC6" w14:paraId="52B40B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8F59D5" w14:textId="77777777" w:rsidR="00DC5EC6" w:rsidRDefault="003245A4">
            <w:pPr>
              <w:pStyle w:val="P68B1DB1-Normal23"/>
              <w:spacing w:after="0"/>
              <w:jc w:val="center"/>
              <w:rPr>
                <w:rFonts w:eastAsia="Calibri" w:cs="Calibri"/>
                <w:noProof/>
              </w:rPr>
            </w:pPr>
            <w:r>
              <w:rPr>
                <w:noProof/>
              </w:rPr>
              <w:t>6.16</w:t>
            </w:r>
          </w:p>
        </w:tc>
        <w:tc>
          <w:tcPr>
            <w:tcW w:w="1760" w:type="dxa"/>
            <w:tcBorders>
              <w:top w:val="nil"/>
              <w:left w:val="nil"/>
              <w:bottom w:val="single" w:sz="4" w:space="0" w:color="auto"/>
              <w:right w:val="single" w:sz="4" w:space="0" w:color="auto"/>
            </w:tcBorders>
            <w:shd w:val="clear" w:color="auto" w:fill="C4EFCE"/>
            <w:vAlign w:val="center"/>
            <w:hideMark/>
          </w:tcPr>
          <w:p w14:paraId="4475E3D2" w14:textId="77777777" w:rsidR="00DC5EC6" w:rsidRDefault="003245A4">
            <w:pPr>
              <w:pStyle w:val="P68B1DB1-Normal23"/>
              <w:spacing w:after="0"/>
              <w:jc w:val="center"/>
              <w:rPr>
                <w:rFonts w:eastAsia="Calibri" w:cs="Calibri"/>
                <w:noProof/>
              </w:rPr>
            </w:pPr>
            <w:r>
              <w:rPr>
                <w:noProof/>
              </w:rPr>
              <w:t xml:space="preserve">Re-C06-r17  </w:t>
            </w:r>
          </w:p>
        </w:tc>
        <w:tc>
          <w:tcPr>
            <w:tcW w:w="1520" w:type="dxa"/>
            <w:tcBorders>
              <w:top w:val="nil"/>
              <w:left w:val="nil"/>
              <w:bottom w:val="single" w:sz="4" w:space="0" w:color="auto"/>
              <w:right w:val="single" w:sz="4" w:space="0" w:color="auto"/>
            </w:tcBorders>
            <w:shd w:val="clear" w:color="auto" w:fill="C4EFCE"/>
            <w:vAlign w:val="center"/>
            <w:hideMark/>
          </w:tcPr>
          <w:p w14:paraId="79B1C5E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4022E39" w14:textId="77777777" w:rsidR="00DC5EC6" w:rsidRDefault="003245A4">
            <w:pPr>
              <w:pStyle w:val="P68B1DB1-Normal23"/>
              <w:spacing w:after="0"/>
              <w:jc w:val="both"/>
              <w:rPr>
                <w:rFonts w:eastAsia="Calibri" w:cs="Calibri"/>
                <w:noProof/>
              </w:rPr>
            </w:pPr>
            <w:r>
              <w:rPr>
                <w:noProof/>
              </w:rPr>
              <w:t>A platformalapú munkavégzést szabályozó törvény hatálybalépése</w:t>
            </w:r>
          </w:p>
        </w:tc>
      </w:tr>
      <w:tr w:rsidR="00DC5EC6" w14:paraId="38DB135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C5865" w14:textId="77777777" w:rsidR="00DC5EC6" w:rsidRDefault="003245A4">
            <w:pPr>
              <w:pStyle w:val="P68B1DB1-Normal23"/>
              <w:spacing w:after="0"/>
              <w:jc w:val="center"/>
              <w:rPr>
                <w:rFonts w:eastAsia="Calibri" w:cs="Calibri"/>
                <w:noProof/>
              </w:rPr>
            </w:pPr>
            <w:r>
              <w:rPr>
                <w:noProof/>
              </w:rPr>
              <w:t>8.10</w:t>
            </w:r>
          </w:p>
        </w:tc>
        <w:tc>
          <w:tcPr>
            <w:tcW w:w="1760" w:type="dxa"/>
            <w:tcBorders>
              <w:top w:val="nil"/>
              <w:left w:val="nil"/>
              <w:bottom w:val="single" w:sz="4" w:space="0" w:color="auto"/>
              <w:right w:val="single" w:sz="4" w:space="0" w:color="auto"/>
            </w:tcBorders>
            <w:shd w:val="clear" w:color="auto" w:fill="C4EFCE"/>
            <w:vAlign w:val="center"/>
            <w:hideMark/>
          </w:tcPr>
          <w:p w14:paraId="204806AA" w14:textId="77777777" w:rsidR="00DC5EC6" w:rsidRDefault="003245A4">
            <w:pPr>
              <w:pStyle w:val="P68B1DB1-Normal23"/>
              <w:spacing w:after="0"/>
              <w:jc w:val="center"/>
              <w:rPr>
                <w:rFonts w:eastAsia="Calibri" w:cs="Calibri"/>
                <w:noProof/>
              </w:rPr>
            </w:pPr>
            <w:r>
              <w:rPr>
                <w:noProof/>
              </w:rPr>
              <w:t xml:space="preserve">Újra-C08–i04  </w:t>
            </w:r>
          </w:p>
        </w:tc>
        <w:tc>
          <w:tcPr>
            <w:tcW w:w="1520" w:type="dxa"/>
            <w:tcBorders>
              <w:top w:val="nil"/>
              <w:left w:val="nil"/>
              <w:bottom w:val="single" w:sz="4" w:space="0" w:color="auto"/>
              <w:right w:val="single" w:sz="4" w:space="0" w:color="auto"/>
            </w:tcBorders>
            <w:shd w:val="clear" w:color="auto" w:fill="C4EFCE"/>
            <w:vAlign w:val="center"/>
            <w:hideMark/>
          </w:tcPr>
          <w:p w14:paraId="063477C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E40D33" w14:textId="77777777" w:rsidR="00DC5EC6" w:rsidRDefault="003245A4">
            <w:pPr>
              <w:pStyle w:val="P68B1DB1-Normal23"/>
              <w:spacing w:after="0"/>
              <w:jc w:val="both"/>
              <w:rPr>
                <w:rFonts w:eastAsia="Calibri" w:cs="Calibri"/>
                <w:noProof/>
              </w:rPr>
            </w:pPr>
            <w:r>
              <w:rPr>
                <w:noProof/>
              </w:rPr>
              <w:t>Járművek, gépek és berendezések szállítása</w:t>
            </w:r>
          </w:p>
        </w:tc>
      </w:tr>
      <w:tr w:rsidR="00DC5EC6" w14:paraId="74B789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814107" w14:textId="77777777" w:rsidR="00DC5EC6" w:rsidRDefault="003245A4">
            <w:pPr>
              <w:pStyle w:val="P68B1DB1-Normal23"/>
              <w:spacing w:after="0"/>
              <w:jc w:val="center"/>
              <w:rPr>
                <w:rFonts w:eastAsia="Calibri" w:cs="Calibri"/>
                <w:noProof/>
              </w:rPr>
            </w:pPr>
            <w:r>
              <w:rPr>
                <w:noProof/>
              </w:rPr>
              <w:t>17.22</w:t>
            </w:r>
          </w:p>
        </w:tc>
        <w:tc>
          <w:tcPr>
            <w:tcW w:w="1760" w:type="dxa"/>
            <w:tcBorders>
              <w:top w:val="nil"/>
              <w:left w:val="nil"/>
              <w:bottom w:val="single" w:sz="4" w:space="0" w:color="auto"/>
              <w:right w:val="single" w:sz="4" w:space="0" w:color="auto"/>
            </w:tcBorders>
            <w:shd w:val="clear" w:color="auto" w:fill="C4EFCE"/>
            <w:vAlign w:val="center"/>
            <w:hideMark/>
          </w:tcPr>
          <w:p w14:paraId="44A87645" w14:textId="1EE980F9" w:rsidR="00DC5EC6" w:rsidRDefault="003245A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0DCE0EE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1EABF4" w14:textId="77777777" w:rsidR="00DC5EC6" w:rsidRDefault="003245A4">
            <w:pPr>
              <w:pStyle w:val="P68B1DB1-Normal23"/>
              <w:spacing w:after="0"/>
              <w:jc w:val="both"/>
              <w:rPr>
                <w:rFonts w:eastAsia="Calibri" w:cs="Calibri"/>
                <w:noProof/>
              </w:rPr>
            </w:pPr>
            <w:r>
              <w:rPr>
                <w:noProof/>
              </w:rPr>
              <w:t>A kiválasztott adókedvezmények jogi keretét módosító jogi aktus hatálybalépése</w:t>
            </w:r>
          </w:p>
        </w:tc>
      </w:tr>
      <w:tr w:rsidR="00DC5EC6" w14:paraId="2E70FE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10C622" w14:textId="77777777" w:rsidR="00DC5EC6" w:rsidRDefault="003245A4">
            <w:pPr>
              <w:pStyle w:val="P68B1DB1-Normal23"/>
              <w:spacing w:after="0"/>
              <w:jc w:val="center"/>
              <w:rPr>
                <w:rFonts w:eastAsia="Calibri" w:cs="Calibri"/>
                <w:noProof/>
              </w:rPr>
            </w:pPr>
            <w:r>
              <w:rPr>
                <w:noProof/>
              </w:rPr>
              <w:t>18.1</w:t>
            </w:r>
          </w:p>
        </w:tc>
        <w:tc>
          <w:tcPr>
            <w:tcW w:w="1760" w:type="dxa"/>
            <w:tcBorders>
              <w:top w:val="nil"/>
              <w:left w:val="nil"/>
              <w:bottom w:val="single" w:sz="4" w:space="0" w:color="auto"/>
              <w:right w:val="single" w:sz="4" w:space="0" w:color="auto"/>
            </w:tcBorders>
            <w:shd w:val="clear" w:color="auto" w:fill="C4EFCE"/>
            <w:vAlign w:val="center"/>
            <w:hideMark/>
          </w:tcPr>
          <w:p w14:paraId="5E8DD21A" w14:textId="77777777" w:rsidR="00DC5EC6" w:rsidRDefault="003245A4">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1C221C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F96FCE8" w14:textId="77777777" w:rsidR="00DC5EC6" w:rsidRDefault="003245A4">
            <w:pPr>
              <w:pStyle w:val="P68B1DB1-Normal23"/>
              <w:spacing w:after="0"/>
              <w:jc w:val="both"/>
              <w:rPr>
                <w:rFonts w:eastAsia="Calibri" w:cs="Calibri"/>
                <w:noProof/>
              </w:rPr>
            </w:pPr>
            <w:r>
              <w:rPr>
                <w:noProof/>
              </w:rPr>
              <w:t>Szakosodott tanácsok létrehozása a közigazgatási és adóügyi felsőbb bíróságokon</w:t>
            </w:r>
          </w:p>
        </w:tc>
      </w:tr>
      <w:tr w:rsidR="00DC5EC6" w14:paraId="09209F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DDFB55" w14:textId="77777777" w:rsidR="00DC5EC6" w:rsidRDefault="003245A4">
            <w:pPr>
              <w:pStyle w:val="P68B1DB1-Normal23"/>
              <w:spacing w:after="0"/>
              <w:jc w:val="center"/>
              <w:rPr>
                <w:rFonts w:eastAsia="Calibri" w:cs="Calibri"/>
                <w:noProof/>
              </w:rPr>
            </w:pPr>
            <w:r>
              <w:rPr>
                <w:noProof/>
              </w:rPr>
              <w:t>18.2</w:t>
            </w:r>
          </w:p>
        </w:tc>
        <w:tc>
          <w:tcPr>
            <w:tcW w:w="1760" w:type="dxa"/>
            <w:tcBorders>
              <w:top w:val="nil"/>
              <w:left w:val="nil"/>
              <w:bottom w:val="single" w:sz="4" w:space="0" w:color="auto"/>
              <w:right w:val="single" w:sz="4" w:space="0" w:color="auto"/>
            </w:tcBorders>
            <w:shd w:val="clear" w:color="auto" w:fill="C4EFCE"/>
            <w:vAlign w:val="center"/>
            <w:hideMark/>
          </w:tcPr>
          <w:p w14:paraId="41FFD441" w14:textId="77777777" w:rsidR="00DC5EC6" w:rsidRDefault="003245A4">
            <w:pPr>
              <w:pStyle w:val="P68B1DB1-Normal23"/>
              <w:spacing w:after="0"/>
              <w:jc w:val="center"/>
              <w:rPr>
                <w:rFonts w:eastAsia="Calibri" w:cs="Calibri"/>
                <w:noProof/>
              </w:rPr>
            </w:pPr>
            <w:r>
              <w:rPr>
                <w:noProof/>
              </w:rPr>
              <w:t xml:space="preserve">TD-C18-r33  </w:t>
            </w:r>
          </w:p>
        </w:tc>
        <w:tc>
          <w:tcPr>
            <w:tcW w:w="1520" w:type="dxa"/>
            <w:tcBorders>
              <w:top w:val="nil"/>
              <w:left w:val="nil"/>
              <w:bottom w:val="single" w:sz="4" w:space="0" w:color="auto"/>
              <w:right w:val="single" w:sz="4" w:space="0" w:color="auto"/>
            </w:tcBorders>
            <w:shd w:val="clear" w:color="auto" w:fill="C4EFCE"/>
            <w:vAlign w:val="center"/>
            <w:hideMark/>
          </w:tcPr>
          <w:p w14:paraId="0E7E9C6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A43E122" w14:textId="77777777" w:rsidR="00DC5EC6" w:rsidRDefault="003245A4">
            <w:pPr>
              <w:pStyle w:val="P68B1DB1-Normal23"/>
              <w:spacing w:after="0"/>
              <w:jc w:val="both"/>
              <w:rPr>
                <w:rFonts w:eastAsia="Calibri" w:cs="Calibri"/>
                <w:noProof/>
              </w:rPr>
            </w:pPr>
            <w:r>
              <w:rPr>
                <w:noProof/>
              </w:rPr>
              <w:t>A peren belüli és peren kívüli vitarendezést ösztönző jogi szabályozás hatálybalépése</w:t>
            </w:r>
          </w:p>
        </w:tc>
      </w:tr>
      <w:tr w:rsidR="00DC5EC6" w14:paraId="3A1781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94F780" w14:textId="77777777" w:rsidR="00DC5EC6" w:rsidRDefault="003245A4">
            <w:pPr>
              <w:pStyle w:val="P68B1DB1-Normal8"/>
              <w:spacing w:after="0"/>
              <w:jc w:val="center"/>
              <w:rPr>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44E7D433" w14:textId="77777777" w:rsidR="00DC5EC6" w:rsidRDefault="003245A4">
            <w:pPr>
              <w:pStyle w:val="P68B1DB1-Normal8"/>
              <w:spacing w:after="0"/>
              <w:jc w:val="center"/>
              <w:rPr>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0CC4752F" w14:textId="77777777" w:rsidR="00DC5EC6" w:rsidRDefault="003245A4">
            <w:pPr>
              <w:pStyle w:val="P68B1DB1-Normal24"/>
              <w:spacing w:after="0"/>
              <w:jc w:val="center"/>
              <w:rPr>
                <w:noProof/>
              </w:rPr>
            </w:pPr>
            <w:r>
              <w:rPr>
                <w:noProof/>
              </w:rPr>
              <w:t xml:space="preserve">Részösszeg </w:t>
            </w:r>
          </w:p>
        </w:tc>
        <w:tc>
          <w:tcPr>
            <w:tcW w:w="5060" w:type="dxa"/>
            <w:tcBorders>
              <w:top w:val="nil"/>
              <w:left w:val="nil"/>
              <w:bottom w:val="single" w:sz="4" w:space="0" w:color="auto"/>
              <w:right w:val="single" w:sz="4" w:space="0" w:color="auto"/>
            </w:tcBorders>
            <w:shd w:val="clear" w:color="auto" w:fill="C4EFCE"/>
            <w:vAlign w:val="center"/>
            <w:hideMark/>
          </w:tcPr>
          <w:p w14:paraId="67D03894" w14:textId="4661012E" w:rsidR="00DC5EC6" w:rsidRDefault="003245A4">
            <w:pPr>
              <w:pStyle w:val="P68B1DB1-Normal25"/>
              <w:spacing w:after="0"/>
              <w:jc w:val="center"/>
              <w:rPr>
                <w:noProof/>
              </w:rPr>
            </w:pPr>
            <w:r>
              <w:rPr>
                <w:noProof/>
              </w:rPr>
              <w:t xml:space="preserve"> ·EURÓPAI BIZOTTSÁG 937 165 319 EUR </w:t>
            </w:r>
          </w:p>
        </w:tc>
      </w:tr>
    </w:tbl>
    <w:p w14:paraId="32E013C0" w14:textId="77777777" w:rsidR="00DC5EC6" w:rsidRDefault="00DC5EC6">
      <w:pPr>
        <w:rPr>
          <w:noProof/>
        </w:rPr>
      </w:pPr>
    </w:p>
    <w:p w14:paraId="59627E7F"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329BAE7F"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Ötödik kifizetési kérelem (vissza nem térítendő támogatás): </w:t>
      </w:r>
    </w:p>
    <w:p w14:paraId="1982083E"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6670DD18"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2C82FEA7"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870152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EE738E7"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77ECC4F"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1A126B1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2DEDF3A" w14:textId="77777777" w:rsidR="00DC5EC6" w:rsidRDefault="003245A4">
            <w:pPr>
              <w:pStyle w:val="P68B1DB1-Normal23"/>
              <w:spacing w:after="0"/>
              <w:jc w:val="center"/>
              <w:rPr>
                <w:rFonts w:eastAsia="Calibri" w:cs="Calibri"/>
                <w:noProof/>
              </w:rPr>
            </w:pPr>
            <w:r>
              <w:rPr>
                <w:noProof/>
              </w:rPr>
              <w:t>1.2</w:t>
            </w:r>
          </w:p>
        </w:tc>
        <w:tc>
          <w:tcPr>
            <w:tcW w:w="1760" w:type="dxa"/>
            <w:tcBorders>
              <w:top w:val="nil"/>
              <w:left w:val="nil"/>
              <w:bottom w:val="single" w:sz="4" w:space="0" w:color="auto"/>
              <w:right w:val="single" w:sz="4" w:space="0" w:color="auto"/>
            </w:tcBorders>
            <w:shd w:val="clear" w:color="auto" w:fill="C4EFCE"/>
            <w:vAlign w:val="center"/>
            <w:hideMark/>
          </w:tcPr>
          <w:p w14:paraId="0B267111" w14:textId="77777777" w:rsidR="00DC5EC6" w:rsidRDefault="003245A4">
            <w:pPr>
              <w:pStyle w:val="P68B1DB1-Normal23"/>
              <w:spacing w:after="0"/>
              <w:jc w:val="center"/>
              <w:rPr>
                <w:rFonts w:eastAsia="Calibri" w:cs="Calibri"/>
                <w:noProof/>
              </w:rPr>
            </w:pPr>
            <w:r>
              <w:rPr>
                <w:noProof/>
              </w:rPr>
              <w:t xml:space="preserve">Re-C01-i01  </w:t>
            </w:r>
          </w:p>
        </w:tc>
        <w:tc>
          <w:tcPr>
            <w:tcW w:w="1520" w:type="dxa"/>
            <w:tcBorders>
              <w:top w:val="nil"/>
              <w:left w:val="nil"/>
              <w:bottom w:val="single" w:sz="4" w:space="0" w:color="auto"/>
              <w:right w:val="single" w:sz="4" w:space="0" w:color="auto"/>
            </w:tcBorders>
            <w:shd w:val="clear" w:color="auto" w:fill="C4EFCE"/>
            <w:vAlign w:val="center"/>
            <w:hideMark/>
          </w:tcPr>
          <w:p w14:paraId="5CCC471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D0BDE9" w14:textId="77777777" w:rsidR="00DC5EC6" w:rsidRDefault="003245A4">
            <w:pPr>
              <w:pStyle w:val="P68B1DB1-Normal23"/>
              <w:spacing w:after="0"/>
              <w:jc w:val="both"/>
              <w:rPr>
                <w:rFonts w:eastAsia="Calibri" w:cs="Calibri"/>
                <w:noProof/>
              </w:rPr>
            </w:pPr>
            <w:r>
              <w:rPr>
                <w:noProof/>
              </w:rPr>
              <w:t>Hozzáférés biztosítása a kockázati rétegzési eszközhöz az egészségügyi központok csoportjainak funkcionális egységeiben a klinikai irányítás támogatása érdekében</w:t>
            </w:r>
          </w:p>
        </w:tc>
      </w:tr>
      <w:tr w:rsidR="00DC5EC6" w14:paraId="625203C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FA303DB" w14:textId="77777777" w:rsidR="00DC5EC6" w:rsidRDefault="003245A4">
            <w:pPr>
              <w:pStyle w:val="P68B1DB1-Normal23"/>
              <w:spacing w:after="0"/>
              <w:jc w:val="center"/>
              <w:rPr>
                <w:rFonts w:eastAsia="Calibri" w:cs="Calibri"/>
                <w:noProof/>
              </w:rPr>
            </w:pPr>
            <w:r>
              <w:rPr>
                <w:noProof/>
              </w:rPr>
              <w:t>1.40</w:t>
            </w:r>
          </w:p>
        </w:tc>
        <w:tc>
          <w:tcPr>
            <w:tcW w:w="1760" w:type="dxa"/>
            <w:tcBorders>
              <w:top w:val="nil"/>
              <w:left w:val="nil"/>
              <w:bottom w:val="single" w:sz="4" w:space="0" w:color="auto"/>
              <w:right w:val="single" w:sz="4" w:space="0" w:color="auto"/>
            </w:tcBorders>
            <w:shd w:val="clear" w:color="auto" w:fill="C4EFCE"/>
            <w:vAlign w:val="center"/>
            <w:hideMark/>
          </w:tcPr>
          <w:p w14:paraId="3BD7D2BC" w14:textId="77777777" w:rsidR="00DC5EC6" w:rsidRDefault="003245A4">
            <w:pPr>
              <w:pStyle w:val="P68B1DB1-Normal23"/>
              <w:spacing w:after="0"/>
              <w:jc w:val="center"/>
              <w:rPr>
                <w:rFonts w:eastAsia="Calibri" w:cs="Calibri"/>
                <w:noProof/>
              </w:rPr>
            </w:pPr>
            <w:r>
              <w:rPr>
                <w:noProof/>
              </w:rPr>
              <w:t>Újra-C01–i04</w:t>
            </w:r>
          </w:p>
        </w:tc>
        <w:tc>
          <w:tcPr>
            <w:tcW w:w="1520" w:type="dxa"/>
            <w:tcBorders>
              <w:top w:val="nil"/>
              <w:left w:val="nil"/>
              <w:bottom w:val="single" w:sz="4" w:space="0" w:color="auto"/>
              <w:right w:val="single" w:sz="4" w:space="0" w:color="auto"/>
            </w:tcBorders>
            <w:shd w:val="clear" w:color="auto" w:fill="C4EFCE"/>
            <w:vAlign w:val="center"/>
            <w:hideMark/>
          </w:tcPr>
          <w:p w14:paraId="61BC388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CD1A921" w14:textId="2016AD4F" w:rsidR="00DC5EC6" w:rsidRDefault="003245A4">
            <w:pPr>
              <w:pStyle w:val="P68B1DB1-Normal23"/>
              <w:spacing w:after="0"/>
              <w:jc w:val="both"/>
              <w:rPr>
                <w:rFonts w:eastAsia="Calibri" w:cs="Calibri"/>
                <w:noProof/>
              </w:rPr>
            </w:pPr>
            <w:r>
              <w:rPr>
                <w:noProof/>
              </w:rPr>
              <w:t>A kelet-Lisszaboni Kórház építésére vonatkozó üzemeltetési szerződés aláírása</w:t>
            </w:r>
          </w:p>
        </w:tc>
      </w:tr>
      <w:tr w:rsidR="00DC5EC6" w14:paraId="4B53C6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F687469" w14:textId="77777777" w:rsidR="00DC5EC6" w:rsidRDefault="003245A4">
            <w:pPr>
              <w:pStyle w:val="P68B1DB1-Normal23"/>
              <w:spacing w:after="0"/>
              <w:jc w:val="center"/>
              <w:rPr>
                <w:rFonts w:eastAsia="Calibri" w:cs="Calibri"/>
                <w:noProof/>
              </w:rPr>
            </w:pPr>
            <w:r>
              <w:rPr>
                <w:noProof/>
              </w:rPr>
              <w:t>1.41</w:t>
            </w:r>
          </w:p>
        </w:tc>
        <w:tc>
          <w:tcPr>
            <w:tcW w:w="1760" w:type="dxa"/>
            <w:tcBorders>
              <w:top w:val="nil"/>
              <w:left w:val="nil"/>
              <w:bottom w:val="single" w:sz="4" w:space="0" w:color="auto"/>
              <w:right w:val="single" w:sz="4" w:space="0" w:color="auto"/>
            </w:tcBorders>
            <w:shd w:val="clear" w:color="auto" w:fill="C4EFCE"/>
            <w:vAlign w:val="center"/>
            <w:hideMark/>
          </w:tcPr>
          <w:p w14:paraId="6546CF09" w14:textId="77777777" w:rsidR="00DC5EC6" w:rsidRDefault="003245A4">
            <w:pPr>
              <w:pStyle w:val="P68B1DB1-Normal23"/>
              <w:spacing w:after="0"/>
              <w:jc w:val="center"/>
              <w:rPr>
                <w:rFonts w:eastAsia="Calibri" w:cs="Calibri"/>
                <w:noProof/>
              </w:rPr>
            </w:pPr>
            <w:r>
              <w:rPr>
                <w:noProof/>
              </w:rPr>
              <w:t>Újra-C01-i10</w:t>
            </w:r>
          </w:p>
        </w:tc>
        <w:tc>
          <w:tcPr>
            <w:tcW w:w="1520" w:type="dxa"/>
            <w:tcBorders>
              <w:top w:val="nil"/>
              <w:left w:val="nil"/>
              <w:bottom w:val="single" w:sz="4" w:space="0" w:color="auto"/>
              <w:right w:val="single" w:sz="4" w:space="0" w:color="auto"/>
            </w:tcBorders>
            <w:shd w:val="clear" w:color="auto" w:fill="C4EFCE"/>
            <w:vAlign w:val="center"/>
            <w:hideMark/>
          </w:tcPr>
          <w:p w14:paraId="688185E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BF9DB02" w14:textId="77777777" w:rsidR="00DC5EC6" w:rsidRDefault="003245A4">
            <w:pPr>
              <w:pStyle w:val="P68B1DB1-Normal23"/>
              <w:spacing w:after="0"/>
              <w:jc w:val="both"/>
              <w:rPr>
                <w:rFonts w:eastAsia="Calibri" w:cs="Calibri"/>
                <w:noProof/>
              </w:rPr>
            </w:pPr>
            <w:r>
              <w:rPr>
                <w:noProof/>
              </w:rPr>
              <w:t>Az NHS nehéz orvosi berendezések iránti igényeit meghatározó jelentés jóváhagyása</w:t>
            </w:r>
          </w:p>
        </w:tc>
      </w:tr>
      <w:tr w:rsidR="00DC5EC6" w14:paraId="370C58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F2F01E" w14:textId="77777777" w:rsidR="00DC5EC6" w:rsidRDefault="003245A4">
            <w:pPr>
              <w:pStyle w:val="P68B1DB1-Normal23"/>
              <w:spacing w:after="0"/>
              <w:jc w:val="center"/>
              <w:rPr>
                <w:rFonts w:eastAsia="Calibri" w:cs="Calibri"/>
                <w:noProof/>
              </w:rPr>
            </w:pPr>
            <w:r>
              <w:rPr>
                <w:noProof/>
              </w:rPr>
              <w:t>2.2</w:t>
            </w:r>
          </w:p>
        </w:tc>
        <w:tc>
          <w:tcPr>
            <w:tcW w:w="1760" w:type="dxa"/>
            <w:tcBorders>
              <w:top w:val="nil"/>
              <w:left w:val="nil"/>
              <w:bottom w:val="single" w:sz="4" w:space="0" w:color="auto"/>
              <w:right w:val="single" w:sz="4" w:space="0" w:color="auto"/>
            </w:tcBorders>
            <w:shd w:val="clear" w:color="auto" w:fill="C4EFCE"/>
            <w:vAlign w:val="center"/>
            <w:hideMark/>
          </w:tcPr>
          <w:p w14:paraId="6DF2A402" w14:textId="77777777" w:rsidR="00DC5EC6" w:rsidRDefault="003245A4">
            <w:pPr>
              <w:pStyle w:val="P68B1DB1-Normal23"/>
              <w:spacing w:after="0"/>
              <w:jc w:val="center"/>
              <w:rPr>
                <w:rFonts w:eastAsia="Calibri" w:cs="Calibri"/>
                <w:noProof/>
              </w:rPr>
            </w:pPr>
            <w:r>
              <w:rPr>
                <w:noProof/>
              </w:rPr>
              <w:t>Újra-C01-i10</w:t>
            </w:r>
          </w:p>
        </w:tc>
        <w:tc>
          <w:tcPr>
            <w:tcW w:w="1520" w:type="dxa"/>
            <w:tcBorders>
              <w:top w:val="nil"/>
              <w:left w:val="nil"/>
              <w:bottom w:val="single" w:sz="4" w:space="0" w:color="auto"/>
              <w:right w:val="single" w:sz="4" w:space="0" w:color="auto"/>
            </w:tcBorders>
            <w:shd w:val="clear" w:color="auto" w:fill="C4EFCE"/>
            <w:vAlign w:val="center"/>
            <w:hideMark/>
          </w:tcPr>
          <w:p w14:paraId="108ADD4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57029F" w14:textId="77777777" w:rsidR="00DC5EC6" w:rsidRDefault="003245A4">
            <w:pPr>
              <w:pStyle w:val="P68B1DB1-Normal23"/>
              <w:spacing w:after="0"/>
              <w:jc w:val="both"/>
              <w:rPr>
                <w:rFonts w:eastAsia="Calibri" w:cs="Calibri"/>
                <w:noProof/>
              </w:rPr>
            </w:pPr>
            <w:r>
              <w:rPr>
                <w:noProof/>
              </w:rPr>
              <w:t>Lakhatáshoz való hozzáférést támogató program – háztartásoknak nyújtott vásárolt, épített (nagy energiahatékonyságú) vagy rehabilitált (jobb energiahatékonyságú) lakások</w:t>
            </w:r>
          </w:p>
        </w:tc>
      </w:tr>
      <w:tr w:rsidR="00DC5EC6" w14:paraId="3DE77A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B90A17" w14:textId="77777777" w:rsidR="00DC5EC6" w:rsidRDefault="003245A4">
            <w:pPr>
              <w:pStyle w:val="P68B1DB1-Normal23"/>
              <w:spacing w:after="0"/>
              <w:jc w:val="center"/>
              <w:rPr>
                <w:rFonts w:eastAsia="Calibri" w:cs="Calibri"/>
                <w:noProof/>
              </w:rPr>
            </w:pPr>
            <w:r>
              <w:rPr>
                <w:noProof/>
              </w:rPr>
              <w:t>2.6</w:t>
            </w:r>
          </w:p>
        </w:tc>
        <w:tc>
          <w:tcPr>
            <w:tcW w:w="1760" w:type="dxa"/>
            <w:tcBorders>
              <w:top w:val="nil"/>
              <w:left w:val="nil"/>
              <w:bottom w:val="single" w:sz="4" w:space="0" w:color="auto"/>
              <w:right w:val="single" w:sz="4" w:space="0" w:color="auto"/>
            </w:tcBorders>
            <w:shd w:val="clear" w:color="auto" w:fill="C4EFCE"/>
            <w:vAlign w:val="center"/>
            <w:hideMark/>
          </w:tcPr>
          <w:p w14:paraId="28C51A54" w14:textId="77777777" w:rsidR="00DC5EC6" w:rsidRDefault="003245A4">
            <w:pPr>
              <w:pStyle w:val="P68B1DB1-Normal23"/>
              <w:spacing w:after="0"/>
              <w:jc w:val="center"/>
              <w:rPr>
                <w:rFonts w:eastAsia="Calibri" w:cs="Calibri"/>
                <w:noProof/>
              </w:rPr>
            </w:pPr>
            <w:r>
              <w:rPr>
                <w:noProof/>
              </w:rPr>
              <w:t xml:space="preserve">Re-C02-i01  </w:t>
            </w:r>
          </w:p>
        </w:tc>
        <w:tc>
          <w:tcPr>
            <w:tcW w:w="1520" w:type="dxa"/>
            <w:tcBorders>
              <w:top w:val="nil"/>
              <w:left w:val="nil"/>
              <w:bottom w:val="single" w:sz="4" w:space="0" w:color="auto"/>
              <w:right w:val="single" w:sz="4" w:space="0" w:color="auto"/>
            </w:tcBorders>
            <w:shd w:val="clear" w:color="auto" w:fill="C4EFCE"/>
            <w:vAlign w:val="center"/>
            <w:hideMark/>
          </w:tcPr>
          <w:p w14:paraId="2C8FD9A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9E1DBC" w14:textId="04B7C21A" w:rsidR="00DC5EC6" w:rsidRDefault="003245A4">
            <w:pPr>
              <w:pStyle w:val="P68B1DB1-Normal23"/>
              <w:spacing w:after="0"/>
              <w:jc w:val="both"/>
              <w:rPr>
                <w:rFonts w:eastAsia="Calibri" w:cs="Calibri"/>
                <w:noProof/>
              </w:rPr>
            </w:pPr>
            <w:r>
              <w:rPr>
                <w:noProof/>
              </w:rPr>
              <w:t>Nemzeti szükséghelyzeti és ideiglenes lakhatási támogatás – építés alatt álló (energiahatékonysági szabvány szerint megépítendő vagy megvásárolandó, vagy jobb energiahatékonysággal helyreállítandó) vészhelyzeti és átmeneti szálláshelyek építési munkáinak megkezdése vagy beszerzése</w:t>
            </w:r>
          </w:p>
        </w:tc>
      </w:tr>
      <w:tr w:rsidR="00DC5EC6" w14:paraId="1443E2D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4067DB" w14:textId="77777777" w:rsidR="00DC5EC6" w:rsidRDefault="003245A4">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65DD212F" w14:textId="77777777" w:rsidR="00DC5EC6" w:rsidRDefault="003245A4">
            <w:pPr>
              <w:pStyle w:val="P68B1DB1-Normal23"/>
              <w:spacing w:after="0"/>
              <w:jc w:val="center"/>
              <w:rPr>
                <w:rFonts w:eastAsia="Calibri" w:cs="Calibri"/>
                <w:noProof/>
              </w:rPr>
            </w:pPr>
            <w:r>
              <w:rPr>
                <w:noProof/>
              </w:rPr>
              <w:t xml:space="preserve">Re-C02-i04-RAA  </w:t>
            </w:r>
          </w:p>
        </w:tc>
        <w:tc>
          <w:tcPr>
            <w:tcW w:w="1520" w:type="dxa"/>
            <w:tcBorders>
              <w:top w:val="nil"/>
              <w:left w:val="nil"/>
              <w:bottom w:val="single" w:sz="4" w:space="0" w:color="auto"/>
              <w:right w:val="single" w:sz="4" w:space="0" w:color="auto"/>
            </w:tcBorders>
            <w:shd w:val="clear" w:color="auto" w:fill="C4EFCE"/>
            <w:vAlign w:val="center"/>
            <w:hideMark/>
          </w:tcPr>
          <w:p w14:paraId="6F4F062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5ACE116"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felújítás</w:t>
            </w:r>
          </w:p>
        </w:tc>
      </w:tr>
      <w:tr w:rsidR="00DC5EC6" w14:paraId="3C8F60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61D70E" w14:textId="77777777" w:rsidR="00DC5EC6" w:rsidRDefault="003245A4">
            <w:pPr>
              <w:pStyle w:val="P68B1DB1-Normal23"/>
              <w:spacing w:after="0"/>
              <w:jc w:val="center"/>
              <w:rPr>
                <w:rFonts w:eastAsia="Calibri" w:cs="Calibri"/>
                <w:noProof/>
              </w:rPr>
            </w:pPr>
            <w:r>
              <w:rPr>
                <w:noProof/>
              </w:rPr>
              <w:t>4.7</w:t>
            </w:r>
          </w:p>
        </w:tc>
        <w:tc>
          <w:tcPr>
            <w:tcW w:w="1760" w:type="dxa"/>
            <w:tcBorders>
              <w:top w:val="nil"/>
              <w:left w:val="nil"/>
              <w:bottom w:val="single" w:sz="4" w:space="0" w:color="auto"/>
              <w:right w:val="single" w:sz="4" w:space="0" w:color="auto"/>
            </w:tcBorders>
            <w:shd w:val="clear" w:color="auto" w:fill="C4EFCE"/>
            <w:vAlign w:val="center"/>
          </w:tcPr>
          <w:p w14:paraId="4383E71D"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tcPr>
          <w:p w14:paraId="364611C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9243198" w14:textId="77777777" w:rsidR="00DC5EC6" w:rsidRDefault="003245A4">
            <w:pPr>
              <w:pStyle w:val="P68B1DB1-Normal23"/>
              <w:spacing w:after="0"/>
              <w:jc w:val="both"/>
              <w:rPr>
                <w:rFonts w:eastAsia="Calibri" w:cs="Calibri"/>
                <w:noProof/>
              </w:rPr>
            </w:pPr>
            <w:r>
              <w:rPr>
                <w:noProof/>
              </w:rPr>
              <w:t>A kulturális örökség részét képező épületek és nemzeti színházak rehabilitációjára és megőrzésére aláírt szerződések</w:t>
            </w:r>
          </w:p>
        </w:tc>
      </w:tr>
      <w:tr w:rsidR="00DC5EC6" w14:paraId="0E46631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6A3F0B" w14:textId="77777777" w:rsidR="00DC5EC6" w:rsidRDefault="003245A4">
            <w:pPr>
              <w:pStyle w:val="P68B1DB1-Normal23"/>
              <w:spacing w:after="0"/>
              <w:jc w:val="center"/>
              <w:rPr>
                <w:rFonts w:eastAsia="Calibri" w:cs="Calibri"/>
                <w:noProof/>
              </w:rPr>
            </w:pPr>
            <w:r>
              <w:rPr>
                <w:noProof/>
              </w:rPr>
              <w:t>4.9</w:t>
            </w:r>
          </w:p>
        </w:tc>
        <w:tc>
          <w:tcPr>
            <w:tcW w:w="1760" w:type="dxa"/>
            <w:tcBorders>
              <w:top w:val="nil"/>
              <w:left w:val="nil"/>
              <w:bottom w:val="single" w:sz="4" w:space="0" w:color="auto"/>
              <w:right w:val="single" w:sz="4" w:space="0" w:color="auto"/>
            </w:tcBorders>
            <w:shd w:val="clear" w:color="auto" w:fill="C4EFCE"/>
            <w:vAlign w:val="center"/>
            <w:hideMark/>
          </w:tcPr>
          <w:p w14:paraId="7E0183E0" w14:textId="77777777" w:rsidR="00DC5EC6" w:rsidRDefault="003245A4">
            <w:pPr>
              <w:pStyle w:val="P68B1DB1-Normal23"/>
              <w:spacing w:after="0"/>
              <w:jc w:val="center"/>
              <w:rPr>
                <w:rFonts w:eastAsia="Calibri" w:cs="Calibri"/>
                <w:noProof/>
              </w:rPr>
            </w:pPr>
            <w:r>
              <w:rPr>
                <w:noProof/>
              </w:rPr>
              <w:t xml:space="preserve">Re-C04-i01  </w:t>
            </w:r>
          </w:p>
        </w:tc>
        <w:tc>
          <w:tcPr>
            <w:tcW w:w="1520" w:type="dxa"/>
            <w:tcBorders>
              <w:top w:val="nil"/>
              <w:left w:val="nil"/>
              <w:bottom w:val="single" w:sz="4" w:space="0" w:color="auto"/>
              <w:right w:val="single" w:sz="4" w:space="0" w:color="auto"/>
            </w:tcBorders>
            <w:shd w:val="clear" w:color="auto" w:fill="C4EFCE"/>
            <w:vAlign w:val="center"/>
            <w:hideMark/>
          </w:tcPr>
          <w:p w14:paraId="1B2D246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D98EC2" w14:textId="77777777" w:rsidR="00DC5EC6" w:rsidRDefault="003245A4">
            <w:pPr>
              <w:pStyle w:val="P68B1DB1-Normal23"/>
              <w:spacing w:after="0"/>
              <w:jc w:val="both"/>
              <w:rPr>
                <w:rFonts w:eastAsia="Calibri" w:cs="Calibri"/>
                <w:noProof/>
              </w:rPr>
            </w:pPr>
            <w:r>
              <w:rPr>
                <w:noProof/>
              </w:rPr>
              <w:t>Az ANIM – a mozgóképek nemzeti archívuma – technológiai korszerűsítése</w:t>
            </w:r>
          </w:p>
        </w:tc>
      </w:tr>
      <w:tr w:rsidR="00DC5EC6" w14:paraId="11D11A0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D538507" w14:textId="77777777" w:rsidR="00DC5EC6" w:rsidRDefault="003245A4">
            <w:pPr>
              <w:pStyle w:val="P68B1DB1-Normal23"/>
              <w:spacing w:after="0"/>
              <w:jc w:val="center"/>
              <w:rPr>
                <w:rFonts w:eastAsia="Calibri" w:cs="Calibri"/>
                <w:noProof/>
              </w:rPr>
            </w:pPr>
            <w:r>
              <w:rPr>
                <w:noProof/>
              </w:rPr>
              <w:t>6.3</w:t>
            </w:r>
          </w:p>
        </w:tc>
        <w:tc>
          <w:tcPr>
            <w:tcW w:w="1760" w:type="dxa"/>
            <w:tcBorders>
              <w:top w:val="nil"/>
              <w:left w:val="nil"/>
              <w:bottom w:val="single" w:sz="4" w:space="0" w:color="auto"/>
              <w:right w:val="single" w:sz="4" w:space="0" w:color="auto"/>
            </w:tcBorders>
            <w:shd w:val="clear" w:color="auto" w:fill="C4EFCE"/>
            <w:vAlign w:val="center"/>
            <w:hideMark/>
          </w:tcPr>
          <w:p w14:paraId="48232F11" w14:textId="77777777" w:rsidR="00DC5EC6" w:rsidRDefault="003245A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08D16AA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F478F4" w14:textId="77777777" w:rsidR="00DC5EC6" w:rsidRDefault="003245A4">
            <w:pPr>
              <w:pStyle w:val="P68B1DB1-Normal23"/>
              <w:spacing w:after="0"/>
              <w:jc w:val="both"/>
              <w:rPr>
                <w:rFonts w:eastAsia="Calibri" w:cs="Calibri"/>
                <w:noProof/>
              </w:rPr>
            </w:pPr>
            <w:r>
              <w:rPr>
                <w:noProof/>
              </w:rPr>
              <w:t>Korszerűsített oktatóállomások</w:t>
            </w:r>
          </w:p>
        </w:tc>
      </w:tr>
      <w:tr w:rsidR="00DC5EC6" w14:paraId="11B5A5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DDF91C0" w14:textId="77777777" w:rsidR="00DC5EC6" w:rsidRDefault="003245A4">
            <w:pPr>
              <w:pStyle w:val="P68B1DB1-Normal23"/>
              <w:spacing w:after="0"/>
              <w:jc w:val="center"/>
              <w:rPr>
                <w:rFonts w:eastAsia="Calibri" w:cs="Calibri"/>
                <w:noProof/>
              </w:rPr>
            </w:pPr>
            <w:r>
              <w:rPr>
                <w:noProof/>
              </w:rPr>
              <w:t>7.14</w:t>
            </w:r>
          </w:p>
        </w:tc>
        <w:tc>
          <w:tcPr>
            <w:tcW w:w="1760" w:type="dxa"/>
            <w:tcBorders>
              <w:top w:val="nil"/>
              <w:left w:val="nil"/>
              <w:bottom w:val="single" w:sz="4" w:space="0" w:color="auto"/>
              <w:right w:val="single" w:sz="4" w:space="0" w:color="auto"/>
            </w:tcBorders>
            <w:shd w:val="clear" w:color="auto" w:fill="C4EFCE"/>
            <w:vAlign w:val="center"/>
            <w:hideMark/>
          </w:tcPr>
          <w:p w14:paraId="24E7301E" w14:textId="77777777" w:rsidR="00DC5EC6" w:rsidRDefault="003245A4">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542DBFA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A1EFBFA" w14:textId="77777777" w:rsidR="00DC5EC6" w:rsidRDefault="003245A4">
            <w:pPr>
              <w:pStyle w:val="P68B1DB1-Normal23"/>
              <w:spacing w:after="0"/>
              <w:jc w:val="both"/>
              <w:rPr>
                <w:rFonts w:eastAsia="Calibri" w:cs="Calibri"/>
                <w:noProof/>
              </w:rPr>
            </w:pPr>
            <w:r>
              <w:rPr>
                <w:noProof/>
              </w:rPr>
              <w:t>8 közúti projektre vonatkozóan aláírt szerződés</w:t>
            </w:r>
          </w:p>
        </w:tc>
      </w:tr>
      <w:tr w:rsidR="00DC5EC6" w14:paraId="0D73086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9AE6C3" w14:textId="77777777" w:rsidR="00DC5EC6" w:rsidRDefault="003245A4">
            <w:pPr>
              <w:pStyle w:val="P68B1DB1-Normal23"/>
              <w:spacing w:after="0"/>
              <w:jc w:val="center"/>
              <w:rPr>
                <w:rFonts w:eastAsia="Calibri" w:cs="Calibri"/>
                <w:noProof/>
              </w:rPr>
            </w:pPr>
            <w:r>
              <w:rPr>
                <w:noProof/>
              </w:rPr>
              <w:t>8.5</w:t>
            </w:r>
          </w:p>
        </w:tc>
        <w:tc>
          <w:tcPr>
            <w:tcW w:w="1760" w:type="dxa"/>
            <w:tcBorders>
              <w:top w:val="nil"/>
              <w:left w:val="nil"/>
              <w:bottom w:val="single" w:sz="4" w:space="0" w:color="auto"/>
              <w:right w:val="single" w:sz="4" w:space="0" w:color="auto"/>
            </w:tcBorders>
            <w:shd w:val="clear" w:color="auto" w:fill="C4EFCE"/>
            <w:vAlign w:val="center"/>
            <w:hideMark/>
          </w:tcPr>
          <w:p w14:paraId="51937059" w14:textId="77777777" w:rsidR="00DC5EC6" w:rsidRDefault="003245A4">
            <w:pPr>
              <w:pStyle w:val="P68B1DB1-Normal23"/>
              <w:spacing w:after="0"/>
              <w:jc w:val="center"/>
              <w:rPr>
                <w:rFonts w:eastAsia="Calibri" w:cs="Calibri"/>
                <w:noProof/>
              </w:rPr>
            </w:pPr>
            <w:r>
              <w:rPr>
                <w:noProof/>
              </w:rPr>
              <w:t>Re-C08-i02</w:t>
            </w:r>
          </w:p>
        </w:tc>
        <w:tc>
          <w:tcPr>
            <w:tcW w:w="1520" w:type="dxa"/>
            <w:tcBorders>
              <w:top w:val="nil"/>
              <w:left w:val="nil"/>
              <w:bottom w:val="single" w:sz="4" w:space="0" w:color="auto"/>
              <w:right w:val="single" w:sz="4" w:space="0" w:color="auto"/>
            </w:tcBorders>
            <w:shd w:val="clear" w:color="auto" w:fill="C4EFCE"/>
            <w:vAlign w:val="center"/>
            <w:hideMark/>
          </w:tcPr>
          <w:p w14:paraId="2049F84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0C76B7A" w14:textId="77777777" w:rsidR="00DC5EC6" w:rsidRDefault="003245A4">
            <w:pPr>
              <w:pStyle w:val="P68B1DB1-Normal23"/>
              <w:spacing w:after="0"/>
              <w:jc w:val="both"/>
              <w:rPr>
                <w:rFonts w:eastAsia="Calibri" w:cs="Calibri"/>
                <w:noProof/>
              </w:rPr>
            </w:pPr>
            <w:r>
              <w:rPr>
                <w:noProof/>
              </w:rPr>
              <w:t>BUPi-képzés</w:t>
            </w:r>
          </w:p>
        </w:tc>
      </w:tr>
      <w:tr w:rsidR="00DC5EC6" w14:paraId="674B7D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172706" w14:textId="77777777" w:rsidR="00DC5EC6" w:rsidRDefault="003245A4">
            <w:pPr>
              <w:pStyle w:val="P68B1DB1-Normal23"/>
              <w:spacing w:after="0"/>
              <w:jc w:val="center"/>
              <w:rPr>
                <w:rFonts w:eastAsia="Calibri" w:cs="Calibri"/>
                <w:noProof/>
              </w:rPr>
            </w:pPr>
            <w:r>
              <w:rPr>
                <w:noProof/>
              </w:rPr>
              <w:t>8.12</w:t>
            </w:r>
          </w:p>
        </w:tc>
        <w:tc>
          <w:tcPr>
            <w:tcW w:w="1760" w:type="dxa"/>
            <w:tcBorders>
              <w:top w:val="nil"/>
              <w:left w:val="nil"/>
              <w:bottom w:val="single" w:sz="4" w:space="0" w:color="auto"/>
              <w:right w:val="single" w:sz="4" w:space="0" w:color="auto"/>
            </w:tcBorders>
            <w:shd w:val="clear" w:color="auto" w:fill="C4EFCE"/>
            <w:vAlign w:val="center"/>
            <w:hideMark/>
          </w:tcPr>
          <w:p w14:paraId="4040DA76" w14:textId="77777777" w:rsidR="00DC5EC6" w:rsidRDefault="003245A4">
            <w:pPr>
              <w:pStyle w:val="P68B1DB1-Normal23"/>
              <w:spacing w:after="0"/>
              <w:jc w:val="center"/>
              <w:rPr>
                <w:rFonts w:eastAsia="Calibri" w:cs="Calibri"/>
                <w:noProof/>
              </w:rPr>
            </w:pPr>
            <w:r>
              <w:rPr>
                <w:noProof/>
              </w:rPr>
              <w:t>Újra-C08–i04</w:t>
            </w:r>
          </w:p>
        </w:tc>
        <w:tc>
          <w:tcPr>
            <w:tcW w:w="1520" w:type="dxa"/>
            <w:tcBorders>
              <w:top w:val="nil"/>
              <w:left w:val="nil"/>
              <w:bottom w:val="single" w:sz="4" w:space="0" w:color="auto"/>
              <w:right w:val="single" w:sz="4" w:space="0" w:color="auto"/>
            </w:tcBorders>
            <w:shd w:val="clear" w:color="auto" w:fill="C4EFCE"/>
            <w:vAlign w:val="center"/>
            <w:hideMark/>
          </w:tcPr>
          <w:p w14:paraId="1309AD1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415AF6" w14:textId="77777777" w:rsidR="00DC5EC6" w:rsidRDefault="003245A4">
            <w:pPr>
              <w:pStyle w:val="P68B1DB1-Normal23"/>
              <w:spacing w:after="0"/>
              <w:jc w:val="both"/>
              <w:rPr>
                <w:rFonts w:eastAsia="Calibri" w:cs="Calibri"/>
                <w:noProof/>
              </w:rPr>
            </w:pPr>
            <w:r>
              <w:rPr>
                <w:noProof/>
              </w:rPr>
              <w:t>Kettős polarizációs radarok felszerelése</w:t>
            </w:r>
          </w:p>
        </w:tc>
      </w:tr>
      <w:tr w:rsidR="00DC5EC6" w14:paraId="6B5640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629444E" w14:textId="77777777" w:rsidR="00DC5EC6" w:rsidRDefault="003245A4">
            <w:pPr>
              <w:pStyle w:val="P68B1DB1-Normal23"/>
              <w:spacing w:after="0"/>
              <w:jc w:val="center"/>
              <w:rPr>
                <w:rFonts w:eastAsia="Calibri" w:cs="Calibri"/>
                <w:noProof/>
              </w:rPr>
            </w:pPr>
            <w:r>
              <w:rPr>
                <w:noProof/>
              </w:rPr>
              <w:t>10.8</w:t>
            </w:r>
          </w:p>
        </w:tc>
        <w:tc>
          <w:tcPr>
            <w:tcW w:w="1760" w:type="dxa"/>
            <w:tcBorders>
              <w:top w:val="nil"/>
              <w:left w:val="nil"/>
              <w:bottom w:val="single" w:sz="4" w:space="0" w:color="auto"/>
              <w:right w:val="single" w:sz="4" w:space="0" w:color="auto"/>
            </w:tcBorders>
            <w:shd w:val="clear" w:color="auto" w:fill="C4EFCE"/>
            <w:vAlign w:val="center"/>
            <w:hideMark/>
          </w:tcPr>
          <w:p w14:paraId="082E522F"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7413937D"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0E0804" w14:textId="77777777" w:rsidR="00DC5EC6" w:rsidRDefault="003245A4">
            <w:pPr>
              <w:pStyle w:val="P68B1DB1-Normal23"/>
              <w:spacing w:after="0"/>
              <w:jc w:val="both"/>
              <w:rPr>
                <w:rFonts w:eastAsia="Calibri" w:cs="Calibri"/>
                <w:noProof/>
              </w:rPr>
            </w:pPr>
            <w:r>
              <w:rPr>
                <w:noProof/>
              </w:rPr>
              <w:t>A MARTEC műszaki központ építési beruházásra irányuló szerződésének kezdete</w:t>
            </w:r>
          </w:p>
        </w:tc>
      </w:tr>
      <w:tr w:rsidR="00DC5EC6" w14:paraId="17B7232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F9CBF5" w14:textId="77777777" w:rsidR="00DC5EC6" w:rsidRDefault="003245A4">
            <w:pPr>
              <w:pStyle w:val="P68B1DB1-Normal23"/>
              <w:spacing w:after="0"/>
              <w:jc w:val="center"/>
              <w:rPr>
                <w:rFonts w:eastAsia="Calibri" w:cs="Calibri"/>
                <w:noProof/>
              </w:rPr>
            </w:pPr>
            <w:r>
              <w:rPr>
                <w:noProof/>
              </w:rPr>
              <w:t>11.2</w:t>
            </w:r>
          </w:p>
        </w:tc>
        <w:tc>
          <w:tcPr>
            <w:tcW w:w="1760" w:type="dxa"/>
            <w:tcBorders>
              <w:top w:val="nil"/>
              <w:left w:val="nil"/>
              <w:bottom w:val="single" w:sz="4" w:space="0" w:color="auto"/>
              <w:right w:val="single" w:sz="4" w:space="0" w:color="auto"/>
            </w:tcBorders>
            <w:shd w:val="clear" w:color="auto" w:fill="C4EFCE"/>
            <w:vAlign w:val="center"/>
            <w:hideMark/>
          </w:tcPr>
          <w:p w14:paraId="181258D6" w14:textId="77777777" w:rsidR="00DC5EC6" w:rsidRDefault="003245A4">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12E6D3A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C515859" w14:textId="77777777" w:rsidR="00DC5EC6" w:rsidRDefault="003245A4">
            <w:pPr>
              <w:pStyle w:val="P68B1DB1-Normal23"/>
              <w:spacing w:after="0"/>
              <w:jc w:val="both"/>
              <w:rPr>
                <w:rFonts w:eastAsia="Calibri" w:cs="Calibri"/>
                <w:noProof/>
              </w:rPr>
            </w:pPr>
            <w:r>
              <w:rPr>
                <w:noProof/>
              </w:rPr>
              <w:t>A pénzügyi támogatást odaítélő szerződések aláírása</w:t>
            </w:r>
          </w:p>
        </w:tc>
      </w:tr>
      <w:tr w:rsidR="00DC5EC6" w14:paraId="5A90F30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CC5A52" w14:textId="77777777" w:rsidR="00DC5EC6" w:rsidRDefault="003245A4">
            <w:pPr>
              <w:pStyle w:val="P68B1DB1-Normal23"/>
              <w:spacing w:after="0"/>
              <w:jc w:val="center"/>
              <w:rPr>
                <w:rFonts w:eastAsia="Calibri" w:cs="Calibri"/>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25B1DCC0" w14:textId="77777777" w:rsidR="00DC5EC6" w:rsidRDefault="003245A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336E66E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D6D70E6" w14:textId="77777777" w:rsidR="00DC5EC6" w:rsidRDefault="003245A4">
            <w:pPr>
              <w:pStyle w:val="P68B1DB1-Normal23"/>
              <w:spacing w:after="0"/>
              <w:jc w:val="both"/>
              <w:rPr>
                <w:rFonts w:eastAsia="Calibri" w:cs="Calibri"/>
                <w:noProof/>
              </w:rPr>
            </w:pPr>
            <w:r>
              <w:rPr>
                <w:noProof/>
              </w:rPr>
              <w:t>Az ökokritériumok harmonizált meghatározásának hatálybalépése – moduláció</w:t>
            </w:r>
          </w:p>
        </w:tc>
      </w:tr>
      <w:tr w:rsidR="00DC5EC6" w14:paraId="7D943D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C76A33" w14:textId="77777777" w:rsidR="00DC5EC6" w:rsidRDefault="003245A4">
            <w:pPr>
              <w:pStyle w:val="P68B1DB1-Normal23"/>
              <w:spacing w:after="0"/>
              <w:jc w:val="center"/>
              <w:rPr>
                <w:rFonts w:eastAsia="Calibri" w:cs="Calibri"/>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E41CB2B" w14:textId="77777777" w:rsidR="00DC5EC6" w:rsidRDefault="003245A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4D1C03A4"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C48E4F" w14:textId="77777777" w:rsidR="00DC5EC6" w:rsidRDefault="003245A4">
            <w:pPr>
              <w:pStyle w:val="P68B1DB1-Normal23"/>
              <w:spacing w:after="0"/>
              <w:jc w:val="both"/>
              <w:rPr>
                <w:rFonts w:eastAsia="Calibri" w:cs="Calibri"/>
                <w:noProof/>
              </w:rPr>
            </w:pPr>
            <w:r>
              <w:rPr>
                <w:noProof/>
              </w:rPr>
              <w:t>Az egyszer használatos műanyag palackokra, vasfémekre és alumíniumra vonatkozó hasznosítást ösztönző rendszer (betét- és visszatérítési rendszer)</w:t>
            </w:r>
          </w:p>
        </w:tc>
      </w:tr>
      <w:tr w:rsidR="00DC5EC6" w14:paraId="4A314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71D74" w14:textId="77777777" w:rsidR="00DC5EC6" w:rsidRDefault="003245A4">
            <w:pPr>
              <w:pStyle w:val="P68B1DB1-Normal23"/>
              <w:spacing w:after="0"/>
              <w:jc w:val="center"/>
              <w:rPr>
                <w:rFonts w:eastAsia="Calibri" w:cs="Calibri"/>
                <w:noProof/>
              </w:rPr>
            </w:pPr>
            <w:r>
              <w:rPr>
                <w:noProof/>
              </w:rPr>
              <w:t>15.1</w:t>
            </w:r>
          </w:p>
        </w:tc>
        <w:tc>
          <w:tcPr>
            <w:tcW w:w="1760" w:type="dxa"/>
            <w:tcBorders>
              <w:top w:val="nil"/>
              <w:left w:val="nil"/>
              <w:bottom w:val="single" w:sz="4" w:space="0" w:color="auto"/>
              <w:right w:val="single" w:sz="4" w:space="0" w:color="auto"/>
            </w:tcBorders>
            <w:shd w:val="clear" w:color="auto" w:fill="C4EFCE"/>
            <w:vAlign w:val="center"/>
            <w:hideMark/>
          </w:tcPr>
          <w:p w14:paraId="1B01C488" w14:textId="77777777" w:rsidR="00DC5EC6" w:rsidRDefault="003245A4">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2DDD63A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44099B" w14:textId="77777777" w:rsidR="00DC5EC6" w:rsidRDefault="003245A4">
            <w:pPr>
              <w:pStyle w:val="P68B1DB1-Normal23"/>
              <w:spacing w:after="0"/>
              <w:jc w:val="both"/>
              <w:rPr>
                <w:rFonts w:eastAsia="Calibri" w:cs="Calibri"/>
                <w:noProof/>
              </w:rPr>
            </w:pPr>
            <w:r>
              <w:rPr>
                <w:noProof/>
              </w:rPr>
              <w:t>A lisszaboni metróhálózat bővítésére vonatkozó szerződés aláírása</w:t>
            </w:r>
          </w:p>
        </w:tc>
      </w:tr>
      <w:tr w:rsidR="00DC5EC6" w14:paraId="36710B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221066" w14:textId="77777777" w:rsidR="00DC5EC6" w:rsidRDefault="003245A4">
            <w:pPr>
              <w:pStyle w:val="P68B1DB1-Normal23"/>
              <w:spacing w:after="0"/>
              <w:jc w:val="center"/>
              <w:rPr>
                <w:rFonts w:eastAsia="Calibri" w:cs="Calibri"/>
                <w:noProof/>
              </w:rPr>
            </w:pPr>
            <w:r>
              <w:rPr>
                <w:noProof/>
              </w:rPr>
              <w:t>15.4</w:t>
            </w:r>
          </w:p>
        </w:tc>
        <w:tc>
          <w:tcPr>
            <w:tcW w:w="1760" w:type="dxa"/>
            <w:tcBorders>
              <w:top w:val="nil"/>
              <w:left w:val="nil"/>
              <w:bottom w:val="single" w:sz="4" w:space="0" w:color="auto"/>
              <w:right w:val="single" w:sz="4" w:space="0" w:color="auto"/>
            </w:tcBorders>
            <w:shd w:val="clear" w:color="auto" w:fill="C4EFCE"/>
            <w:vAlign w:val="center"/>
            <w:hideMark/>
          </w:tcPr>
          <w:p w14:paraId="15DC13F1" w14:textId="77777777" w:rsidR="00DC5EC6" w:rsidRDefault="003245A4">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36F5B3D5"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B00BD76" w14:textId="77777777" w:rsidR="00DC5EC6" w:rsidRDefault="003245A4">
            <w:pPr>
              <w:pStyle w:val="P68B1DB1-Normal23"/>
              <w:spacing w:after="0"/>
              <w:jc w:val="both"/>
              <w:rPr>
                <w:rFonts w:eastAsia="Calibri" w:cs="Calibri"/>
                <w:noProof/>
              </w:rPr>
            </w:pPr>
            <w:r>
              <w:rPr>
                <w:noProof/>
              </w:rPr>
              <w:t>A Porto metróhálózat bővítésére vonatkozó szerződés aláírása</w:t>
            </w:r>
          </w:p>
        </w:tc>
      </w:tr>
      <w:tr w:rsidR="00DC5EC6" w14:paraId="66F49B4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9D2C062" w14:textId="77777777" w:rsidR="00DC5EC6" w:rsidRDefault="003245A4">
            <w:pPr>
              <w:pStyle w:val="P68B1DB1-Normal23"/>
              <w:spacing w:after="0"/>
              <w:jc w:val="center"/>
              <w:rPr>
                <w:rFonts w:eastAsia="Calibri" w:cs="Calibri"/>
                <w:noProof/>
              </w:rPr>
            </w:pPr>
            <w:r>
              <w:rPr>
                <w:noProof/>
              </w:rPr>
              <w:t>15.13</w:t>
            </w:r>
          </w:p>
        </w:tc>
        <w:tc>
          <w:tcPr>
            <w:tcW w:w="1760" w:type="dxa"/>
            <w:tcBorders>
              <w:top w:val="nil"/>
              <w:left w:val="nil"/>
              <w:bottom w:val="single" w:sz="4" w:space="0" w:color="auto"/>
              <w:right w:val="single" w:sz="4" w:space="0" w:color="auto"/>
            </w:tcBorders>
            <w:shd w:val="clear" w:color="auto" w:fill="C4EFCE"/>
            <w:vAlign w:val="center"/>
            <w:hideMark/>
          </w:tcPr>
          <w:p w14:paraId="152B40C0" w14:textId="77777777" w:rsidR="00DC5EC6" w:rsidRDefault="003245A4">
            <w:pPr>
              <w:pStyle w:val="P68B1DB1-Normal23"/>
              <w:spacing w:after="0"/>
              <w:jc w:val="center"/>
              <w:rPr>
                <w:rFonts w:eastAsia="Calibri" w:cs="Calibri"/>
                <w:noProof/>
              </w:rPr>
            </w:pPr>
            <w:r>
              <w:rPr>
                <w:noProof/>
              </w:rPr>
              <w:t xml:space="preserve">TC-C15-i05  </w:t>
            </w:r>
          </w:p>
        </w:tc>
        <w:tc>
          <w:tcPr>
            <w:tcW w:w="1520" w:type="dxa"/>
            <w:tcBorders>
              <w:top w:val="nil"/>
              <w:left w:val="nil"/>
              <w:bottom w:val="single" w:sz="4" w:space="0" w:color="auto"/>
              <w:right w:val="single" w:sz="4" w:space="0" w:color="auto"/>
            </w:tcBorders>
            <w:shd w:val="clear" w:color="auto" w:fill="C4EFCE"/>
            <w:vAlign w:val="center"/>
            <w:hideMark/>
          </w:tcPr>
          <w:p w14:paraId="375FD4B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70A847" w14:textId="77777777" w:rsidR="00DC5EC6" w:rsidRDefault="003245A4">
            <w:pPr>
              <w:pStyle w:val="P68B1DB1-Normal23"/>
              <w:spacing w:after="0"/>
              <w:jc w:val="both"/>
              <w:rPr>
                <w:rFonts w:eastAsia="Calibri" w:cs="Calibri"/>
                <w:noProof/>
              </w:rPr>
            </w:pPr>
            <w:r>
              <w:rPr>
                <w:noProof/>
              </w:rPr>
              <w:t>A tömegközlekedésben használt új kibocsátásmentes (elektromos vagy hidrogénüzemű) buszok beszerzése</w:t>
            </w:r>
          </w:p>
        </w:tc>
      </w:tr>
      <w:tr w:rsidR="00DC5EC6" w14:paraId="716C2B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F62426" w14:textId="77777777" w:rsidR="00DC5EC6" w:rsidRDefault="003245A4">
            <w:pPr>
              <w:pStyle w:val="P68B1DB1-Normal23"/>
              <w:spacing w:after="0"/>
              <w:jc w:val="center"/>
              <w:rPr>
                <w:rFonts w:eastAsia="Calibri" w:cs="Calibri"/>
                <w:noProof/>
              </w:rPr>
            </w:pPr>
            <w:r>
              <w:rPr>
                <w:noProof/>
              </w:rPr>
              <w:t>15.14</w:t>
            </w:r>
          </w:p>
        </w:tc>
        <w:tc>
          <w:tcPr>
            <w:tcW w:w="1760" w:type="dxa"/>
            <w:tcBorders>
              <w:top w:val="nil"/>
              <w:left w:val="nil"/>
              <w:bottom w:val="single" w:sz="4" w:space="0" w:color="auto"/>
              <w:right w:val="single" w:sz="4" w:space="0" w:color="auto"/>
            </w:tcBorders>
            <w:shd w:val="clear" w:color="auto" w:fill="C4EFCE"/>
            <w:vAlign w:val="center"/>
            <w:hideMark/>
          </w:tcPr>
          <w:p w14:paraId="0DD59D79" w14:textId="77777777" w:rsidR="00DC5EC6" w:rsidRDefault="003245A4">
            <w:pPr>
              <w:pStyle w:val="P68B1DB1-Normal23"/>
              <w:spacing w:after="0"/>
              <w:jc w:val="center"/>
              <w:rPr>
                <w:rFonts w:eastAsia="Calibri" w:cs="Calibri"/>
                <w:noProof/>
              </w:rPr>
            </w:pPr>
            <w:r>
              <w:rPr>
                <w:noProof/>
              </w:rPr>
              <w:t xml:space="preserve">TC-C15-r30  </w:t>
            </w:r>
          </w:p>
        </w:tc>
        <w:tc>
          <w:tcPr>
            <w:tcW w:w="1520" w:type="dxa"/>
            <w:tcBorders>
              <w:top w:val="nil"/>
              <w:left w:val="nil"/>
              <w:bottom w:val="single" w:sz="4" w:space="0" w:color="auto"/>
              <w:right w:val="single" w:sz="4" w:space="0" w:color="auto"/>
            </w:tcBorders>
            <w:shd w:val="clear" w:color="auto" w:fill="C4EFCE"/>
            <w:vAlign w:val="center"/>
            <w:hideMark/>
          </w:tcPr>
          <w:p w14:paraId="5706F25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8CB798" w14:textId="77777777" w:rsidR="00DC5EC6" w:rsidRDefault="003245A4">
            <w:pPr>
              <w:pStyle w:val="P68B1DB1-Normal23"/>
              <w:spacing w:after="0"/>
              <w:jc w:val="both"/>
              <w:rPr>
                <w:rFonts w:eastAsia="Calibri" w:cs="Calibri"/>
                <w:noProof/>
              </w:rPr>
            </w:pPr>
            <w:r>
              <w:rPr>
                <w:noProof/>
              </w:rPr>
              <w:t>Személyszállítási közszolgáltatási szerződések nagyvárosi területeken és településközi közösségekben</w:t>
            </w:r>
          </w:p>
        </w:tc>
      </w:tr>
      <w:tr w:rsidR="00DC5EC6" w14:paraId="1F86FB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0" w:type="dxa"/>
            <w:shd w:val="clear" w:color="auto" w:fill="C4EFCE"/>
            <w:vAlign w:val="center"/>
            <w:hideMark/>
          </w:tcPr>
          <w:p w14:paraId="5DDEA1B4" w14:textId="77777777" w:rsidR="00DC5EC6" w:rsidRDefault="003245A4">
            <w:pPr>
              <w:pStyle w:val="P68B1DB1-Normal23"/>
              <w:spacing w:after="0"/>
              <w:jc w:val="center"/>
              <w:rPr>
                <w:noProof/>
              </w:rPr>
            </w:pPr>
            <w:r>
              <w:rPr>
                <w:noProof/>
              </w:rPr>
              <w:t>16.14</w:t>
            </w:r>
          </w:p>
        </w:tc>
        <w:tc>
          <w:tcPr>
            <w:tcW w:w="1760" w:type="dxa"/>
            <w:shd w:val="clear" w:color="auto" w:fill="C4EFCE"/>
            <w:vAlign w:val="center"/>
            <w:hideMark/>
          </w:tcPr>
          <w:p w14:paraId="40EE589F" w14:textId="77777777" w:rsidR="00DC5EC6" w:rsidRDefault="003245A4">
            <w:pPr>
              <w:pStyle w:val="P68B1DB1-Normal23"/>
              <w:spacing w:after="0"/>
              <w:jc w:val="center"/>
              <w:rPr>
                <w:noProof/>
              </w:rPr>
            </w:pPr>
            <w:r>
              <w:rPr>
                <w:noProof/>
              </w:rPr>
              <w:t xml:space="preserve">TD-C16-i03 </w:t>
            </w:r>
          </w:p>
        </w:tc>
        <w:tc>
          <w:tcPr>
            <w:tcW w:w="1520" w:type="dxa"/>
            <w:shd w:val="clear" w:color="auto" w:fill="C4EFCE"/>
            <w:vAlign w:val="center"/>
            <w:hideMark/>
          </w:tcPr>
          <w:p w14:paraId="12CAAAA0"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4006DF5" w14:textId="3316D69D" w:rsidR="00DC5EC6" w:rsidRDefault="003245A4">
            <w:pPr>
              <w:pStyle w:val="P68B1DB1-Normal23"/>
              <w:spacing w:after="0"/>
              <w:jc w:val="both"/>
              <w:rPr>
                <w:rFonts w:eastAsia="Calibri" w:cs="Calibri"/>
                <w:noProof/>
              </w:rPr>
            </w:pPr>
            <w:r>
              <w:rPr>
                <w:noProof/>
              </w:rPr>
              <w:t>A digitális számlák küldésére és a kiberbiztonságra, a magánélet védelmére, a használhatóságra és a fenntarthatósági tanúsítványokra vonatkozó szolgáltatások létrehozása</w:t>
            </w:r>
          </w:p>
        </w:tc>
      </w:tr>
      <w:tr w:rsidR="00DC5EC6" w14:paraId="09C48AE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69C532" w14:textId="77777777" w:rsidR="00DC5EC6" w:rsidRDefault="003245A4">
            <w:pPr>
              <w:pStyle w:val="P68B1DB1-Normal23"/>
              <w:spacing w:after="0"/>
              <w:jc w:val="center"/>
              <w:rPr>
                <w:rFonts w:eastAsia="Calibri" w:cs="Calibri"/>
                <w:noProof/>
              </w:rPr>
            </w:pPr>
            <w:r>
              <w:rPr>
                <w:noProof/>
              </w:rPr>
              <w:t>16.16</w:t>
            </w:r>
          </w:p>
        </w:tc>
        <w:tc>
          <w:tcPr>
            <w:tcW w:w="1760" w:type="dxa"/>
            <w:tcBorders>
              <w:top w:val="nil"/>
              <w:left w:val="nil"/>
              <w:bottom w:val="single" w:sz="4" w:space="0" w:color="auto"/>
              <w:right w:val="single" w:sz="4" w:space="0" w:color="auto"/>
            </w:tcBorders>
            <w:shd w:val="clear" w:color="auto" w:fill="C4EFCE"/>
            <w:vAlign w:val="center"/>
            <w:hideMark/>
          </w:tcPr>
          <w:p w14:paraId="2CBED526" w14:textId="77777777" w:rsidR="00DC5EC6" w:rsidRDefault="003245A4">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3003DF4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F9A9EA3" w14:textId="77777777" w:rsidR="00DC5EC6" w:rsidRDefault="003245A4">
            <w:pPr>
              <w:pStyle w:val="P68B1DB1-Normal23"/>
              <w:spacing w:after="0"/>
              <w:jc w:val="both"/>
              <w:rPr>
                <w:rFonts w:eastAsia="Calibri" w:cs="Calibri"/>
                <w:noProof/>
              </w:rPr>
            </w:pPr>
            <w:r>
              <w:rPr>
                <w:noProof/>
              </w:rPr>
              <w:t>Az „Ipar 4.0” projektek kiválasztása</w:t>
            </w:r>
          </w:p>
        </w:tc>
      </w:tr>
      <w:tr w:rsidR="00DC5EC6" w14:paraId="0EE345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10FEBB" w14:textId="77777777" w:rsidR="00DC5EC6" w:rsidRDefault="003245A4">
            <w:pPr>
              <w:pStyle w:val="P68B1DB1-Normal23"/>
              <w:spacing w:after="0"/>
              <w:jc w:val="center"/>
              <w:rPr>
                <w:rFonts w:eastAsia="Calibri" w:cs="Calibri"/>
                <w:noProof/>
              </w:rPr>
            </w:pPr>
            <w:r>
              <w:rPr>
                <w:noProof/>
              </w:rPr>
              <w:t>17.21</w:t>
            </w:r>
          </w:p>
        </w:tc>
        <w:tc>
          <w:tcPr>
            <w:tcW w:w="1760" w:type="dxa"/>
            <w:tcBorders>
              <w:top w:val="nil"/>
              <w:left w:val="nil"/>
              <w:bottom w:val="single" w:sz="4" w:space="0" w:color="auto"/>
              <w:right w:val="single" w:sz="4" w:space="0" w:color="auto"/>
            </w:tcBorders>
            <w:shd w:val="clear" w:color="auto" w:fill="C4EFCE"/>
            <w:vAlign w:val="center"/>
            <w:hideMark/>
          </w:tcPr>
          <w:p w14:paraId="2B0924BA" w14:textId="77777777" w:rsidR="00DC5EC6" w:rsidRDefault="003245A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18D2B06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C698DD" w14:textId="77777777" w:rsidR="00DC5EC6" w:rsidRDefault="003245A4">
            <w:pPr>
              <w:pStyle w:val="P68B1DB1-Normal23"/>
              <w:spacing w:after="0"/>
              <w:jc w:val="both"/>
              <w:rPr>
                <w:rFonts w:eastAsia="Calibri" w:cs="Calibri"/>
                <w:noProof/>
              </w:rPr>
            </w:pPr>
            <w:r>
              <w:rPr>
                <w:noProof/>
              </w:rPr>
              <w:t>A bélyegilleték hatálya alá tartozó konkrét ügylet előzetes kitöltése végrehajtásának befejezése</w:t>
            </w:r>
          </w:p>
        </w:tc>
      </w:tr>
      <w:tr w:rsidR="00DC5EC6" w14:paraId="7D6C04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F3082E" w14:textId="77777777" w:rsidR="00DC5EC6" w:rsidRDefault="003245A4">
            <w:pPr>
              <w:pStyle w:val="P68B1DB1-Normal23"/>
              <w:spacing w:after="0"/>
              <w:jc w:val="center"/>
              <w:rPr>
                <w:rFonts w:eastAsia="Calibri" w:cs="Calibri"/>
                <w:noProof/>
              </w:rPr>
            </w:pPr>
            <w:r>
              <w:rPr>
                <w:noProof/>
              </w:rPr>
              <w:t>17.23</w:t>
            </w:r>
          </w:p>
        </w:tc>
        <w:tc>
          <w:tcPr>
            <w:tcW w:w="1760" w:type="dxa"/>
            <w:tcBorders>
              <w:top w:val="nil"/>
              <w:left w:val="nil"/>
              <w:bottom w:val="single" w:sz="4" w:space="0" w:color="auto"/>
              <w:right w:val="single" w:sz="4" w:space="0" w:color="auto"/>
            </w:tcBorders>
            <w:shd w:val="clear" w:color="auto" w:fill="C4EFCE"/>
            <w:vAlign w:val="center"/>
            <w:hideMark/>
          </w:tcPr>
          <w:p w14:paraId="698DAC9E" w14:textId="665ACA7C" w:rsidR="00DC5EC6" w:rsidRDefault="003245A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7B24166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27CEBBA" w14:textId="77777777" w:rsidR="00DC5EC6" w:rsidRDefault="003245A4">
            <w:pPr>
              <w:pStyle w:val="P68B1DB1-Normal23"/>
              <w:spacing w:after="0"/>
              <w:jc w:val="both"/>
              <w:rPr>
                <w:rFonts w:eastAsia="Calibri" w:cs="Calibri"/>
                <w:noProof/>
              </w:rPr>
            </w:pPr>
            <w:r>
              <w:rPr>
                <w:noProof/>
              </w:rPr>
              <w:t>Az Unidade Técnica de Avaliação Tributária e Aduaneira (U-TAX) állandó műszaki adópolitikai egység létrehozásáról szóló jogi aktus hatálybalépése</w:t>
            </w:r>
          </w:p>
        </w:tc>
      </w:tr>
      <w:tr w:rsidR="00DC5EC6" w14:paraId="1B7657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05E771" w14:textId="77777777" w:rsidR="00DC5EC6" w:rsidRDefault="003245A4">
            <w:pPr>
              <w:pStyle w:val="P68B1DB1-Normal23"/>
              <w:spacing w:after="0"/>
              <w:jc w:val="center"/>
              <w:rPr>
                <w:rFonts w:eastAsia="Calibri" w:cs="Calibri"/>
                <w:noProof/>
              </w:rPr>
            </w:pPr>
            <w:r>
              <w:rPr>
                <w:noProof/>
              </w:rPr>
              <w:t>18.5</w:t>
            </w:r>
          </w:p>
        </w:tc>
        <w:tc>
          <w:tcPr>
            <w:tcW w:w="1760" w:type="dxa"/>
            <w:tcBorders>
              <w:top w:val="nil"/>
              <w:left w:val="nil"/>
              <w:bottom w:val="single" w:sz="4" w:space="0" w:color="auto"/>
              <w:right w:val="single" w:sz="4" w:space="0" w:color="auto"/>
            </w:tcBorders>
            <w:shd w:val="clear" w:color="auto" w:fill="C4EFCE"/>
            <w:vAlign w:val="center"/>
            <w:hideMark/>
          </w:tcPr>
          <w:p w14:paraId="618CB0E4"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D6B08A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389343" w14:textId="77777777" w:rsidR="00DC5EC6" w:rsidRDefault="003245A4">
            <w:pPr>
              <w:pStyle w:val="P68B1DB1-Normal23"/>
              <w:spacing w:after="0"/>
              <w:jc w:val="both"/>
              <w:rPr>
                <w:rFonts w:eastAsia="Calibri" w:cs="Calibri"/>
                <w:noProof/>
              </w:rPr>
            </w:pPr>
            <w:r>
              <w:rPr>
                <w:noProof/>
              </w:rPr>
              <w:t>Korszerűsített informatikai rendszer a bűnügyi nyomozáshoz</w:t>
            </w:r>
          </w:p>
        </w:tc>
      </w:tr>
      <w:tr w:rsidR="00DC5EC6" w14:paraId="1F76A1E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F520F4" w14:textId="77777777" w:rsidR="00DC5EC6" w:rsidRDefault="003245A4">
            <w:pPr>
              <w:pStyle w:val="P68B1DB1-Normal23"/>
              <w:spacing w:after="0"/>
              <w:jc w:val="center"/>
              <w:rPr>
                <w:rFonts w:eastAsia="Calibri" w:cs="Calibri"/>
                <w:noProof/>
              </w:rPr>
            </w:pPr>
            <w:r>
              <w:rPr>
                <w:noProof/>
              </w:rPr>
              <w:t>19.12</w:t>
            </w:r>
          </w:p>
        </w:tc>
        <w:tc>
          <w:tcPr>
            <w:tcW w:w="1760" w:type="dxa"/>
            <w:tcBorders>
              <w:top w:val="nil"/>
              <w:left w:val="nil"/>
              <w:bottom w:val="single" w:sz="4" w:space="0" w:color="auto"/>
              <w:right w:val="single" w:sz="4" w:space="0" w:color="auto"/>
            </w:tcBorders>
            <w:shd w:val="clear" w:color="auto" w:fill="C4EFCE"/>
            <w:vAlign w:val="center"/>
            <w:hideMark/>
          </w:tcPr>
          <w:p w14:paraId="47FDE4B7" w14:textId="77777777" w:rsidR="00DC5EC6" w:rsidRDefault="003245A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723C238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82C1D8F" w14:textId="77777777" w:rsidR="00DC5EC6" w:rsidRDefault="003245A4">
            <w:pPr>
              <w:pStyle w:val="P68B1DB1-Normal23"/>
              <w:spacing w:after="0"/>
              <w:jc w:val="both"/>
              <w:rPr>
                <w:rFonts w:eastAsia="Calibri" w:cs="Calibri"/>
                <w:noProof/>
              </w:rPr>
            </w:pPr>
            <w:r>
              <w:rPr>
                <w:noProof/>
              </w:rPr>
              <w:t>A kritikus digitális infrastruktúrák korszerűsítésének befejezése</w:t>
            </w:r>
          </w:p>
        </w:tc>
      </w:tr>
      <w:tr w:rsidR="00DC5EC6" w14:paraId="68EBFC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2D3804" w14:textId="77777777" w:rsidR="00DC5EC6" w:rsidRDefault="003245A4">
            <w:pPr>
              <w:pStyle w:val="P68B1DB1-Normal23"/>
              <w:spacing w:after="0"/>
              <w:jc w:val="center"/>
              <w:rPr>
                <w:rFonts w:eastAsia="Calibri" w:cs="Calibri"/>
                <w:noProof/>
              </w:rPr>
            </w:pPr>
            <w:r>
              <w:rPr>
                <w:noProof/>
              </w:rPr>
              <w:t>19.19</w:t>
            </w:r>
          </w:p>
        </w:tc>
        <w:tc>
          <w:tcPr>
            <w:tcW w:w="1760" w:type="dxa"/>
            <w:tcBorders>
              <w:top w:val="nil"/>
              <w:left w:val="nil"/>
              <w:bottom w:val="single" w:sz="4" w:space="0" w:color="auto"/>
              <w:right w:val="single" w:sz="4" w:space="0" w:color="auto"/>
            </w:tcBorders>
            <w:shd w:val="clear" w:color="auto" w:fill="C4EFCE"/>
            <w:vAlign w:val="center"/>
            <w:hideMark/>
          </w:tcPr>
          <w:p w14:paraId="52CAADEB" w14:textId="77777777" w:rsidR="00DC5EC6" w:rsidRDefault="003245A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447F009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47649F" w14:textId="77777777" w:rsidR="00DC5EC6" w:rsidRDefault="003245A4">
            <w:pPr>
              <w:pStyle w:val="P68B1DB1-Normal23"/>
              <w:spacing w:after="0"/>
              <w:jc w:val="both"/>
              <w:rPr>
                <w:rFonts w:eastAsia="Calibri" w:cs="Calibri"/>
                <w:noProof/>
              </w:rPr>
            </w:pPr>
            <w:r>
              <w:rPr>
                <w:noProof/>
              </w:rPr>
              <w:t>Gyakornoki program diplomások számára</w:t>
            </w:r>
          </w:p>
        </w:tc>
      </w:tr>
      <w:tr w:rsidR="00DC5EC6" w14:paraId="0EEF05D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45AB48" w14:textId="77777777" w:rsidR="00DC5EC6" w:rsidRDefault="003245A4">
            <w:pPr>
              <w:pStyle w:val="P68B1DB1-Normal23"/>
              <w:spacing w:after="0"/>
              <w:jc w:val="center"/>
              <w:rPr>
                <w:rFonts w:eastAsia="Calibri" w:cs="Calibri"/>
                <w:noProof/>
              </w:rPr>
            </w:pPr>
            <w:r>
              <w:rPr>
                <w:noProof/>
              </w:rPr>
              <w:t>19.20</w:t>
            </w:r>
          </w:p>
        </w:tc>
        <w:tc>
          <w:tcPr>
            <w:tcW w:w="1760" w:type="dxa"/>
            <w:tcBorders>
              <w:top w:val="nil"/>
              <w:left w:val="nil"/>
              <w:bottom w:val="single" w:sz="4" w:space="0" w:color="auto"/>
              <w:right w:val="single" w:sz="4" w:space="0" w:color="auto"/>
            </w:tcBorders>
            <w:shd w:val="clear" w:color="auto" w:fill="C4EFCE"/>
            <w:vAlign w:val="center"/>
            <w:hideMark/>
          </w:tcPr>
          <w:p w14:paraId="4BC8CA1D" w14:textId="77777777" w:rsidR="00DC5EC6" w:rsidRDefault="003245A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70FE960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CE35B3" w14:textId="77777777" w:rsidR="00DC5EC6" w:rsidRDefault="003245A4">
            <w:pPr>
              <w:pStyle w:val="P68B1DB1-Normal23"/>
              <w:spacing w:after="0"/>
              <w:jc w:val="both"/>
              <w:rPr>
                <w:rFonts w:eastAsia="Calibri" w:cs="Calibri"/>
                <w:noProof/>
              </w:rPr>
            </w:pPr>
            <w:r>
              <w:rPr>
                <w:noProof/>
              </w:rPr>
              <w:t>A távmunkában dolgozó közalkalmazottak</w:t>
            </w:r>
          </w:p>
        </w:tc>
      </w:tr>
      <w:tr w:rsidR="00DC5EC6" w14:paraId="3C0825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C00604" w14:textId="77777777" w:rsidR="00DC5EC6" w:rsidRDefault="003245A4">
            <w:pPr>
              <w:pStyle w:val="P68B1DB1-Normal23"/>
              <w:spacing w:after="0"/>
              <w:jc w:val="center"/>
              <w:rPr>
                <w:rFonts w:eastAsia="Calibri" w:cs="Calibri"/>
                <w:noProof/>
              </w:rPr>
            </w:pPr>
            <w:r>
              <w:rPr>
                <w:noProof/>
              </w:rPr>
              <w:t>19.23</w:t>
            </w:r>
          </w:p>
        </w:tc>
        <w:tc>
          <w:tcPr>
            <w:tcW w:w="1760" w:type="dxa"/>
            <w:tcBorders>
              <w:top w:val="nil"/>
              <w:left w:val="nil"/>
              <w:bottom w:val="single" w:sz="4" w:space="0" w:color="auto"/>
              <w:right w:val="single" w:sz="4" w:space="0" w:color="auto"/>
            </w:tcBorders>
            <w:shd w:val="clear" w:color="auto" w:fill="C4EFCE"/>
            <w:vAlign w:val="center"/>
            <w:hideMark/>
          </w:tcPr>
          <w:p w14:paraId="1BB37310" w14:textId="77777777" w:rsidR="00DC5EC6" w:rsidRDefault="003245A4">
            <w:pPr>
              <w:pStyle w:val="P68B1DB1-Normal23"/>
              <w:spacing w:after="0"/>
              <w:jc w:val="center"/>
              <w:rPr>
                <w:rFonts w:eastAsia="Calibri" w:cs="Calibri"/>
                <w:noProof/>
              </w:rPr>
            </w:pPr>
            <w:r>
              <w:rPr>
                <w:noProof/>
              </w:rPr>
              <w:t>TD-C19–r35</w:t>
            </w:r>
          </w:p>
        </w:tc>
        <w:tc>
          <w:tcPr>
            <w:tcW w:w="1520" w:type="dxa"/>
            <w:tcBorders>
              <w:top w:val="nil"/>
              <w:left w:val="nil"/>
              <w:bottom w:val="single" w:sz="4" w:space="0" w:color="auto"/>
              <w:right w:val="single" w:sz="4" w:space="0" w:color="auto"/>
            </w:tcBorders>
            <w:shd w:val="clear" w:color="auto" w:fill="C4EFCE"/>
            <w:vAlign w:val="center"/>
            <w:hideMark/>
          </w:tcPr>
          <w:p w14:paraId="4E51FBB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A32703A" w14:textId="77777777" w:rsidR="00DC5EC6" w:rsidRDefault="003245A4">
            <w:pPr>
              <w:pStyle w:val="P68B1DB1-Normal23"/>
              <w:spacing w:after="0"/>
              <w:jc w:val="both"/>
              <w:rPr>
                <w:rFonts w:eastAsia="Calibri" w:cs="Calibri"/>
                <w:noProof/>
              </w:rPr>
            </w:pPr>
            <w:r>
              <w:rPr>
                <w:noProof/>
              </w:rPr>
              <w:t>A közigazgatás átszervezésére vonatkozó jogalkotási csomag hatálybalépése</w:t>
            </w:r>
          </w:p>
        </w:tc>
      </w:tr>
      <w:tr w:rsidR="00DC5EC6" w14:paraId="742A12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8A13B2" w14:textId="77777777" w:rsidR="00DC5EC6" w:rsidRDefault="003245A4">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0F22486B" w14:textId="690F2EF9" w:rsidR="00DC5EC6" w:rsidRDefault="003245A4">
            <w:pPr>
              <w:pStyle w:val="P68B1DB1-Normal23"/>
              <w:spacing w:after="0"/>
              <w:jc w:val="center"/>
              <w:rPr>
                <w:rFonts w:eastAsia="Calibri" w:cs="Calibri"/>
                <w:noProof/>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3140DF8D"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0CD0448" w14:textId="77777777" w:rsidR="00DC5EC6" w:rsidRDefault="003245A4">
            <w:pPr>
              <w:pStyle w:val="P68B1DB1-Normal23"/>
              <w:spacing w:after="0"/>
              <w:jc w:val="both"/>
              <w:rPr>
                <w:rFonts w:eastAsia="Calibri" w:cs="Calibri"/>
                <w:noProof/>
              </w:rPr>
            </w:pPr>
            <w:r>
              <w:rPr>
                <w:noProof/>
              </w:rPr>
              <w:t>A Nemzeti Energiaszegénységi Megfigyelőközpont (ONPE) létrehozásáról szóló jogszabály hatálybalépése</w:t>
            </w:r>
          </w:p>
        </w:tc>
      </w:tr>
      <w:tr w:rsidR="00DC5EC6" w14:paraId="144F24A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1E2C5D" w14:textId="77777777" w:rsidR="00DC5EC6" w:rsidRDefault="003245A4">
            <w:pPr>
              <w:pStyle w:val="P68B1DB1-Normal23"/>
              <w:spacing w:after="0"/>
              <w:jc w:val="center"/>
              <w:rPr>
                <w:rFonts w:eastAsia="Calibri" w:cs="Calibri"/>
                <w:noProof/>
              </w:rPr>
            </w:pPr>
            <w:r>
              <w:rPr>
                <w:noProof/>
              </w:rPr>
              <w:t>21.9</w:t>
            </w:r>
          </w:p>
        </w:tc>
        <w:tc>
          <w:tcPr>
            <w:tcW w:w="1760" w:type="dxa"/>
            <w:tcBorders>
              <w:top w:val="nil"/>
              <w:left w:val="nil"/>
              <w:bottom w:val="single" w:sz="4" w:space="0" w:color="auto"/>
              <w:right w:val="single" w:sz="4" w:space="0" w:color="auto"/>
            </w:tcBorders>
            <w:shd w:val="clear" w:color="auto" w:fill="C4EFCE"/>
            <w:vAlign w:val="center"/>
            <w:hideMark/>
          </w:tcPr>
          <w:p w14:paraId="5998B2BE" w14:textId="7C8A24E2" w:rsidR="00DC5EC6" w:rsidRDefault="003245A4">
            <w:pPr>
              <w:pStyle w:val="P68B1DB1-Normal23"/>
              <w:spacing w:after="0"/>
              <w:jc w:val="center"/>
              <w:rPr>
                <w:rFonts w:eastAsia="Calibri" w:cs="Calibri"/>
                <w:noProof/>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520DFD63"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DBE9B0C" w14:textId="77777777" w:rsidR="00DC5EC6" w:rsidRDefault="003245A4">
            <w:pPr>
              <w:pStyle w:val="P68B1DB1-Normal23"/>
              <w:spacing w:after="0"/>
              <w:jc w:val="both"/>
              <w:rPr>
                <w:rFonts w:eastAsia="Calibri" w:cs="Calibri"/>
                <w:noProof/>
              </w:rPr>
            </w:pPr>
            <w:r>
              <w:rPr>
                <w:noProof/>
              </w:rPr>
              <w:t>Együttműködési jegyzőkönyv aláírása</w:t>
            </w:r>
          </w:p>
        </w:tc>
      </w:tr>
      <w:tr w:rsidR="00DC5EC6" w14:paraId="470BD8F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3D0556" w14:textId="77777777" w:rsidR="00DC5EC6" w:rsidRDefault="003245A4">
            <w:pPr>
              <w:pStyle w:val="P68B1DB1-Normal23"/>
              <w:spacing w:after="0"/>
              <w:jc w:val="center"/>
              <w:rPr>
                <w:rFonts w:eastAsia="Calibri" w:cs="Calibri"/>
                <w:noProof/>
              </w:rPr>
            </w:pPr>
            <w:r>
              <w:rPr>
                <w:noProof/>
              </w:rPr>
              <w:t>21.16</w:t>
            </w:r>
          </w:p>
        </w:tc>
        <w:tc>
          <w:tcPr>
            <w:tcW w:w="1760" w:type="dxa"/>
            <w:tcBorders>
              <w:top w:val="nil"/>
              <w:left w:val="nil"/>
              <w:bottom w:val="single" w:sz="4" w:space="0" w:color="auto"/>
              <w:right w:val="single" w:sz="4" w:space="0" w:color="auto"/>
            </w:tcBorders>
            <w:shd w:val="clear" w:color="auto" w:fill="C4EFCE"/>
            <w:vAlign w:val="center"/>
            <w:hideMark/>
          </w:tcPr>
          <w:p w14:paraId="2F028DB5" w14:textId="57F1A9AD" w:rsidR="00DC5EC6" w:rsidRDefault="003245A4">
            <w:pPr>
              <w:pStyle w:val="P68B1DB1-Normal23"/>
              <w:spacing w:after="0"/>
              <w:jc w:val="center"/>
              <w:rPr>
                <w:rFonts w:eastAsia="Calibri" w:cs="Calibri"/>
                <w:noProof/>
              </w:rPr>
            </w:pPr>
            <w:r>
              <w:rPr>
                <w:noProof/>
              </w:rPr>
              <w:t>RP-C21-r46</w:t>
            </w:r>
          </w:p>
        </w:tc>
        <w:tc>
          <w:tcPr>
            <w:tcW w:w="1520" w:type="dxa"/>
            <w:tcBorders>
              <w:top w:val="nil"/>
              <w:left w:val="nil"/>
              <w:bottom w:val="single" w:sz="4" w:space="0" w:color="auto"/>
              <w:right w:val="single" w:sz="4" w:space="0" w:color="auto"/>
            </w:tcBorders>
            <w:shd w:val="clear" w:color="auto" w:fill="C4EFCE"/>
            <w:vAlign w:val="center"/>
            <w:hideMark/>
          </w:tcPr>
          <w:p w14:paraId="10032DF3"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5068AE8" w14:textId="77777777" w:rsidR="00DC5EC6" w:rsidRDefault="003245A4">
            <w:pPr>
              <w:pStyle w:val="P68B1DB1-Normal23"/>
              <w:spacing w:after="0"/>
              <w:jc w:val="both"/>
              <w:rPr>
                <w:rFonts w:eastAsia="Calibri" w:cs="Calibri"/>
                <w:noProof/>
              </w:rPr>
            </w:pPr>
            <w:r>
              <w:rPr>
                <w:noProof/>
              </w:rPr>
              <w:t>A megújuló hidrogénről szóló kormányrendelet hatálybalépése</w:t>
            </w:r>
          </w:p>
        </w:tc>
      </w:tr>
      <w:tr w:rsidR="00DC5EC6" w14:paraId="1D045A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08C00" w14:textId="77777777" w:rsidR="00DC5EC6" w:rsidRDefault="003245A4">
            <w:pPr>
              <w:pStyle w:val="P68B1DB1-Normal23"/>
              <w:spacing w:after="0"/>
              <w:jc w:val="center"/>
              <w:rPr>
                <w:rFonts w:eastAsia="Calibri" w:cs="Calibri"/>
                <w:noProof/>
              </w:rPr>
            </w:pPr>
            <w:r>
              <w:rPr>
                <w:noProof/>
              </w:rPr>
              <w:t>21.18</w:t>
            </w:r>
          </w:p>
        </w:tc>
        <w:tc>
          <w:tcPr>
            <w:tcW w:w="1760" w:type="dxa"/>
            <w:tcBorders>
              <w:top w:val="nil"/>
              <w:left w:val="nil"/>
              <w:bottom w:val="single" w:sz="4" w:space="0" w:color="auto"/>
              <w:right w:val="single" w:sz="4" w:space="0" w:color="auto"/>
            </w:tcBorders>
            <w:shd w:val="clear" w:color="auto" w:fill="C4EFCE"/>
            <w:vAlign w:val="center"/>
            <w:hideMark/>
          </w:tcPr>
          <w:p w14:paraId="40579BEA" w14:textId="1D5A61F1" w:rsidR="00DC5EC6" w:rsidRDefault="003245A4">
            <w:pPr>
              <w:pStyle w:val="P68B1DB1-Normal23"/>
              <w:spacing w:after="0"/>
              <w:jc w:val="center"/>
              <w:rPr>
                <w:rFonts w:eastAsia="Calibri" w:cs="Calibri"/>
                <w:noProof/>
              </w:rPr>
            </w:pPr>
            <w:r>
              <w:rPr>
                <w:noProof/>
              </w:rPr>
              <w:t>RP-C21-r47</w:t>
            </w:r>
          </w:p>
        </w:tc>
        <w:tc>
          <w:tcPr>
            <w:tcW w:w="1520" w:type="dxa"/>
            <w:tcBorders>
              <w:top w:val="nil"/>
              <w:left w:val="nil"/>
              <w:bottom w:val="single" w:sz="4" w:space="0" w:color="auto"/>
              <w:right w:val="single" w:sz="4" w:space="0" w:color="auto"/>
            </w:tcBorders>
            <w:shd w:val="clear" w:color="auto" w:fill="C4EFCE"/>
            <w:vAlign w:val="center"/>
            <w:hideMark/>
          </w:tcPr>
          <w:p w14:paraId="7C053785"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F2FEF83" w14:textId="77777777" w:rsidR="00DC5EC6" w:rsidRDefault="003245A4">
            <w:pPr>
              <w:pStyle w:val="P68B1DB1-Normal23"/>
              <w:spacing w:after="0"/>
              <w:jc w:val="both"/>
              <w:rPr>
                <w:rFonts w:eastAsia="Calibri" w:cs="Calibri"/>
                <w:noProof/>
              </w:rPr>
            </w:pPr>
            <w:r>
              <w:rPr>
                <w:noProof/>
              </w:rPr>
              <w:t>A fenntartható biometán központosított beszerzésének első árverése</w:t>
            </w:r>
          </w:p>
        </w:tc>
      </w:tr>
      <w:tr w:rsidR="00DC5EC6" w14:paraId="08D90CD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190E7F" w14:textId="77777777" w:rsidR="00DC5EC6" w:rsidRDefault="003245A4">
            <w:pPr>
              <w:pStyle w:val="P68B1DB1-Normal23"/>
              <w:spacing w:after="0"/>
              <w:jc w:val="center"/>
              <w:rPr>
                <w:rFonts w:eastAsia="Calibri" w:cs="Calibri"/>
                <w:noProof/>
              </w:rPr>
            </w:pPr>
            <w:r>
              <w:rPr>
                <w:noProof/>
              </w:rPr>
              <w:t>21.20</w:t>
            </w:r>
          </w:p>
        </w:tc>
        <w:tc>
          <w:tcPr>
            <w:tcW w:w="1760" w:type="dxa"/>
            <w:tcBorders>
              <w:top w:val="nil"/>
              <w:left w:val="nil"/>
              <w:bottom w:val="single" w:sz="4" w:space="0" w:color="auto"/>
              <w:right w:val="single" w:sz="4" w:space="0" w:color="auto"/>
            </w:tcBorders>
            <w:shd w:val="clear" w:color="auto" w:fill="C4EFCE"/>
            <w:vAlign w:val="center"/>
            <w:hideMark/>
          </w:tcPr>
          <w:p w14:paraId="1B4E0D2F" w14:textId="42ABC8CD" w:rsidR="00DC5EC6" w:rsidRDefault="003245A4">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1C5C7EE5"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37CE139" w14:textId="77777777" w:rsidR="00DC5EC6" w:rsidRDefault="003245A4">
            <w:pPr>
              <w:pStyle w:val="P68B1DB1-Normal23"/>
              <w:spacing w:after="0"/>
              <w:jc w:val="both"/>
              <w:rPr>
                <w:rFonts w:eastAsia="Calibri" w:cs="Calibri"/>
                <w:noProof/>
              </w:rPr>
            </w:pPr>
            <w:r>
              <w:rPr>
                <w:noProof/>
              </w:rPr>
              <w:t>2030 nyara létrehozása</w:t>
            </w:r>
          </w:p>
        </w:tc>
      </w:tr>
      <w:tr w:rsidR="00DC5EC6" w14:paraId="4DEAB1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9CF6D3B" w14:textId="77777777" w:rsidR="00DC5EC6" w:rsidRDefault="003245A4">
            <w:pPr>
              <w:pStyle w:val="P68B1DB1-Normal23"/>
              <w:spacing w:after="0"/>
              <w:jc w:val="center"/>
              <w:rPr>
                <w:rFonts w:eastAsia="Calibri" w:cs="Calibri"/>
                <w:noProof/>
              </w:rPr>
            </w:pPr>
            <w:r>
              <w:rPr>
                <w:noProof/>
              </w:rPr>
              <w:t>21.21</w:t>
            </w:r>
          </w:p>
        </w:tc>
        <w:tc>
          <w:tcPr>
            <w:tcW w:w="1760" w:type="dxa"/>
            <w:tcBorders>
              <w:top w:val="nil"/>
              <w:left w:val="nil"/>
              <w:bottom w:val="single" w:sz="4" w:space="0" w:color="auto"/>
              <w:right w:val="single" w:sz="4" w:space="0" w:color="auto"/>
            </w:tcBorders>
            <w:shd w:val="clear" w:color="auto" w:fill="C4EFCE"/>
            <w:vAlign w:val="center"/>
            <w:hideMark/>
          </w:tcPr>
          <w:p w14:paraId="759E15F8" w14:textId="0BC1ACC6" w:rsidR="00DC5EC6" w:rsidRDefault="003245A4">
            <w:pPr>
              <w:pStyle w:val="P68B1DB1-Normal23"/>
              <w:spacing w:after="0"/>
              <w:jc w:val="center"/>
              <w:rPr>
                <w:rFonts w:eastAsia="Calibri" w:cs="Calibri"/>
                <w:noProof/>
              </w:rPr>
            </w:pPr>
            <w:r>
              <w:rPr>
                <w:noProof/>
              </w:rPr>
              <w:t>RP-C21-r48</w:t>
            </w:r>
          </w:p>
        </w:tc>
        <w:tc>
          <w:tcPr>
            <w:tcW w:w="1520" w:type="dxa"/>
            <w:tcBorders>
              <w:top w:val="nil"/>
              <w:left w:val="nil"/>
              <w:bottom w:val="single" w:sz="4" w:space="0" w:color="auto"/>
              <w:right w:val="single" w:sz="4" w:space="0" w:color="auto"/>
            </w:tcBorders>
            <w:shd w:val="clear" w:color="auto" w:fill="C4EFCE"/>
            <w:vAlign w:val="center"/>
            <w:hideMark/>
          </w:tcPr>
          <w:p w14:paraId="4CBDCB5F"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2FD427" w14:textId="77777777" w:rsidR="00DC5EC6" w:rsidRDefault="003245A4">
            <w:pPr>
              <w:pStyle w:val="P68B1DB1-Normal23"/>
              <w:spacing w:after="0"/>
              <w:jc w:val="both"/>
              <w:rPr>
                <w:rFonts w:eastAsia="Calibri" w:cs="Calibri"/>
                <w:noProof/>
              </w:rPr>
            </w:pPr>
            <w:r>
              <w:rPr>
                <w:noProof/>
              </w:rPr>
              <w:t>A megújulóenergia- és tárolási projektek önkormányzati engedélyezéséről szóló rendelet hatálybalépése</w:t>
            </w:r>
          </w:p>
        </w:tc>
      </w:tr>
      <w:tr w:rsidR="00DC5EC6" w14:paraId="544DFB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A5E44A" w14:textId="77777777" w:rsidR="00DC5EC6" w:rsidRDefault="003245A4">
            <w:pPr>
              <w:pStyle w:val="P68B1DB1-Normal23"/>
              <w:spacing w:after="0"/>
              <w:jc w:val="center"/>
              <w:rPr>
                <w:rFonts w:eastAsia="Calibri" w:cs="Calibri"/>
                <w:noProof/>
              </w:rPr>
            </w:pPr>
            <w:r>
              <w:rPr>
                <w:noProof/>
              </w:rPr>
              <w:t>21.24</w:t>
            </w:r>
          </w:p>
        </w:tc>
        <w:tc>
          <w:tcPr>
            <w:tcW w:w="1760" w:type="dxa"/>
            <w:tcBorders>
              <w:top w:val="nil"/>
              <w:left w:val="nil"/>
              <w:bottom w:val="single" w:sz="4" w:space="0" w:color="auto"/>
              <w:right w:val="single" w:sz="4" w:space="0" w:color="auto"/>
            </w:tcBorders>
            <w:shd w:val="clear" w:color="auto" w:fill="C4EFCE"/>
            <w:vAlign w:val="center"/>
            <w:hideMark/>
          </w:tcPr>
          <w:p w14:paraId="5A33B31D" w14:textId="1FC01E9E" w:rsidR="00DC5EC6" w:rsidRDefault="003245A4">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0C6B3D4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91A62D3" w14:textId="77777777" w:rsidR="00DC5EC6" w:rsidRDefault="003245A4">
            <w:pPr>
              <w:pStyle w:val="P68B1DB1-Normal23"/>
              <w:spacing w:after="0"/>
              <w:jc w:val="both"/>
              <w:rPr>
                <w:rFonts w:eastAsia="Calibri" w:cs="Calibri"/>
                <w:noProof/>
              </w:rPr>
            </w:pPr>
            <w:r>
              <w:rPr>
                <w:noProof/>
              </w:rPr>
              <w:t>Ajánlati felhívás megújulógáz-termelési projektekre</w:t>
            </w:r>
          </w:p>
        </w:tc>
      </w:tr>
      <w:tr w:rsidR="00DC5EC6" w14:paraId="449FA24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B8A505" w14:textId="77777777" w:rsidR="00DC5EC6" w:rsidRDefault="003245A4">
            <w:pPr>
              <w:pStyle w:val="P68B1DB1-Normal23"/>
              <w:spacing w:after="0"/>
              <w:jc w:val="center"/>
              <w:rPr>
                <w:rFonts w:eastAsia="Calibri" w:cs="Calibri"/>
                <w:noProof/>
              </w:rPr>
            </w:pPr>
            <w:r>
              <w:rPr>
                <w:noProof/>
              </w:rPr>
              <w:t xml:space="preserve"> </w:t>
            </w:r>
          </w:p>
        </w:tc>
        <w:tc>
          <w:tcPr>
            <w:tcW w:w="1760" w:type="dxa"/>
            <w:tcBorders>
              <w:top w:val="nil"/>
              <w:left w:val="nil"/>
              <w:bottom w:val="single" w:sz="4" w:space="0" w:color="auto"/>
              <w:right w:val="single" w:sz="4" w:space="0" w:color="auto"/>
            </w:tcBorders>
            <w:shd w:val="clear" w:color="auto" w:fill="C4EFCE"/>
            <w:vAlign w:val="center"/>
            <w:hideMark/>
          </w:tcPr>
          <w:p w14:paraId="1C9F8543" w14:textId="77777777" w:rsidR="00DC5EC6" w:rsidRDefault="003245A4">
            <w:pPr>
              <w:pStyle w:val="P68B1DB1-Normal23"/>
              <w:spacing w:after="0"/>
              <w:jc w:val="center"/>
              <w:rPr>
                <w:rFonts w:eastAsia="Calibri" w:cs="Calibri"/>
                <w:noProof/>
              </w:rPr>
            </w:pPr>
            <w:r>
              <w:rPr>
                <w:noProof/>
              </w:rPr>
              <w:t xml:space="preserve">  </w:t>
            </w:r>
          </w:p>
        </w:tc>
        <w:tc>
          <w:tcPr>
            <w:tcW w:w="1520" w:type="dxa"/>
            <w:tcBorders>
              <w:top w:val="nil"/>
              <w:left w:val="nil"/>
              <w:bottom w:val="single" w:sz="4" w:space="0" w:color="auto"/>
              <w:right w:val="single" w:sz="4" w:space="0" w:color="auto"/>
            </w:tcBorders>
            <w:shd w:val="clear" w:color="auto" w:fill="C4EFCE"/>
            <w:vAlign w:val="center"/>
            <w:hideMark/>
          </w:tcPr>
          <w:p w14:paraId="2EC82A04" w14:textId="77777777" w:rsidR="00DC5EC6" w:rsidRDefault="003245A4">
            <w:pPr>
              <w:pStyle w:val="P68B1DB1-Normal23"/>
              <w:spacing w:after="0"/>
              <w:jc w:val="center"/>
              <w:rPr>
                <w:rFonts w:eastAsia="Calibri" w:cs="Calibri"/>
                <w:noProof/>
              </w:rPr>
            </w:pPr>
            <w:r>
              <w:rPr>
                <w:noProof/>
              </w:rPr>
              <w:t xml:space="preserve">Részösszeg </w:t>
            </w:r>
          </w:p>
        </w:tc>
        <w:tc>
          <w:tcPr>
            <w:tcW w:w="5060" w:type="dxa"/>
            <w:tcBorders>
              <w:top w:val="nil"/>
              <w:left w:val="nil"/>
              <w:bottom w:val="single" w:sz="4" w:space="0" w:color="auto"/>
              <w:right w:val="single" w:sz="4" w:space="0" w:color="auto"/>
            </w:tcBorders>
            <w:shd w:val="clear" w:color="auto" w:fill="C4EFCE"/>
            <w:vAlign w:val="center"/>
            <w:hideMark/>
          </w:tcPr>
          <w:p w14:paraId="5000AAA7" w14:textId="4A9A28C1" w:rsidR="00DC5EC6" w:rsidRDefault="003245A4">
            <w:pPr>
              <w:pStyle w:val="P68B1DB1-Normal25"/>
              <w:spacing w:after="0"/>
              <w:jc w:val="center"/>
              <w:rPr>
                <w:rFonts w:eastAsia="Calibri" w:cs="Calibri"/>
                <w:noProof/>
                <w:sz w:val="18"/>
              </w:rPr>
            </w:pPr>
            <w:r>
              <w:rPr>
                <w:noProof/>
              </w:rPr>
              <w:t xml:space="preserve">·EURÓPAI BIZOTTSÁG 1 877 616 715 EUR </w:t>
            </w:r>
          </w:p>
        </w:tc>
      </w:tr>
    </w:tbl>
    <w:p w14:paraId="3B218749" w14:textId="77777777" w:rsidR="00DC5EC6" w:rsidRDefault="00DC5EC6">
      <w:pPr>
        <w:rPr>
          <w:noProof/>
          <w:sz w:val="18"/>
        </w:rPr>
      </w:pPr>
    </w:p>
    <w:p w14:paraId="104FE146"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Hatodik kifizetési kérelem (vissza nem térítendő támogatás): </w:t>
      </w:r>
    </w:p>
    <w:p w14:paraId="63820787" w14:textId="77777777" w:rsidR="00DC5EC6" w:rsidRDefault="00DC5EC6">
      <w:pPr>
        <w:keepNext/>
        <w:spacing w:before="40" w:after="160" w:line="259" w:lineRule="auto"/>
        <w:contextualSpacing/>
        <w:jc w:val="both"/>
        <w:rPr>
          <w:rFonts w:ascii="Times New Roman" w:eastAsiaTheme="minorEastAsia" w:hAnsi="Times New Roman" w:cs="Times New Roman"/>
          <w:noProof/>
          <w:sz w:val="18"/>
        </w:rPr>
      </w:pPr>
    </w:p>
    <w:tbl>
      <w:tblPr>
        <w:tblW w:w="9540" w:type="dxa"/>
        <w:tblInd w:w="113" w:type="dxa"/>
        <w:tblLook w:val="04A0" w:firstRow="1" w:lastRow="0" w:firstColumn="1" w:lastColumn="0" w:noHBand="0" w:noVBand="1"/>
      </w:tblPr>
      <w:tblGrid>
        <w:gridCol w:w="1177"/>
        <w:gridCol w:w="1731"/>
        <w:gridCol w:w="1491"/>
        <w:gridCol w:w="4919"/>
        <w:gridCol w:w="222"/>
      </w:tblGrid>
      <w:tr w:rsidR="00DC5EC6" w14:paraId="5C1078BA" w14:textId="77777777">
        <w:trPr>
          <w:trHeight w:val="1065"/>
          <w:tblHeader/>
        </w:trPr>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0E67C2BA" w14:textId="77777777" w:rsidR="00DC5EC6" w:rsidRDefault="003245A4">
            <w:pPr>
              <w:pStyle w:val="P68B1DB1-Normal6"/>
              <w:spacing w:after="0" w:line="240" w:lineRule="auto"/>
              <w:jc w:val="center"/>
              <w:rPr>
                <w:rFonts w:eastAsia="Times New Roman" w:cs="Times New Roman"/>
                <w:noProof/>
              </w:rPr>
            </w:pPr>
            <w:r>
              <w:rPr>
                <w:noProof/>
              </w:rPr>
              <w:t>Sorszám</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3DA616A3" w14:textId="77777777" w:rsidR="00DC5EC6" w:rsidRDefault="003245A4">
            <w:pPr>
              <w:pStyle w:val="P68B1DB1-Normal6"/>
              <w:spacing w:after="0" w:line="240" w:lineRule="auto"/>
              <w:jc w:val="center"/>
              <w:rPr>
                <w:rFonts w:eastAsia="Times New Roman" w:cs="Times New Roman"/>
                <w:noProof/>
              </w:rPr>
            </w:pPr>
            <w:r>
              <w:rPr>
                <w:noProof/>
              </w:rPr>
              <w:t>Kapcsolódó intézkedés (reform vagy beruházás)</w:t>
            </w:r>
          </w:p>
        </w:tc>
        <w:tc>
          <w:tcPr>
            <w:tcW w:w="14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27BF467B" w14:textId="77777777" w:rsidR="00DC5EC6" w:rsidRDefault="003245A4">
            <w:pPr>
              <w:pStyle w:val="P68B1DB1-Normal6"/>
              <w:spacing w:after="0" w:line="240" w:lineRule="auto"/>
              <w:jc w:val="center"/>
              <w:rPr>
                <w:rFonts w:eastAsia="Times New Roman" w:cs="Times New Roman"/>
                <w:noProof/>
              </w:rPr>
            </w:pPr>
            <w:r>
              <w:rPr>
                <w:noProof/>
              </w:rPr>
              <w:t>Mérföldkő/cél</w:t>
            </w:r>
          </w:p>
        </w:tc>
        <w:tc>
          <w:tcPr>
            <w:tcW w:w="4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hideMark/>
          </w:tcPr>
          <w:p w14:paraId="6FFF994C" w14:textId="77777777" w:rsidR="00DC5EC6" w:rsidRDefault="003245A4">
            <w:pPr>
              <w:pStyle w:val="P68B1DB1-Normal6"/>
              <w:spacing w:after="0" w:line="240" w:lineRule="auto"/>
              <w:jc w:val="center"/>
              <w:rPr>
                <w:rFonts w:eastAsia="Times New Roman" w:cs="Times New Roman"/>
                <w:noProof/>
              </w:rPr>
            </w:pPr>
            <w:r>
              <w:rPr>
                <w:noProof/>
              </w:rPr>
              <w:t>Név</w:t>
            </w:r>
          </w:p>
        </w:tc>
        <w:tc>
          <w:tcPr>
            <w:tcW w:w="0" w:type="auto"/>
          </w:tcPr>
          <w:p w14:paraId="3BA8F6CA" w14:textId="77777777" w:rsidR="00DC5EC6" w:rsidRDefault="00DC5EC6">
            <w:pPr>
              <w:spacing w:after="0" w:line="240" w:lineRule="auto"/>
              <w:rPr>
                <w:noProof/>
                <w:sz w:val="18"/>
              </w:rPr>
            </w:pPr>
          </w:p>
        </w:tc>
      </w:tr>
      <w:tr w:rsidR="00DC5EC6" w14:paraId="40A55A26"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7EF44D23" w14:textId="77777777" w:rsidR="00DC5EC6" w:rsidRDefault="003245A4">
            <w:pPr>
              <w:pStyle w:val="P68B1DB1-Normal23"/>
              <w:spacing w:after="0"/>
              <w:jc w:val="center"/>
              <w:rPr>
                <w:rFonts w:eastAsia="Calibri" w:cs="Calibri"/>
                <w:noProof/>
              </w:rPr>
            </w:pPr>
            <w:r>
              <w:rPr>
                <w:noProof/>
              </w:rPr>
              <w:t>1.7</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D40222F" w14:textId="77777777" w:rsidR="00DC5EC6" w:rsidRDefault="003245A4">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206C69A0"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7A1CDF09" w14:textId="77777777" w:rsidR="00DC5EC6" w:rsidRDefault="003245A4">
            <w:pPr>
              <w:pStyle w:val="P68B1DB1-Normal23"/>
              <w:spacing w:after="0"/>
              <w:jc w:val="both"/>
              <w:rPr>
                <w:rFonts w:eastAsia="Calibri" w:cs="Calibri"/>
                <w:noProof/>
              </w:rPr>
            </w:pPr>
            <w:r>
              <w:rPr>
                <w:noProof/>
              </w:rPr>
              <w:t>A Nemzeti Egészségügyi Szolgálat új irányítási számviteli tervének hatálybalépése</w:t>
            </w:r>
          </w:p>
        </w:tc>
      </w:tr>
      <w:tr w:rsidR="00DC5EC6" w14:paraId="66751B46" w14:textId="77777777">
        <w:trPr>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228043A4" w14:textId="77777777" w:rsidR="00DC5EC6" w:rsidRDefault="003245A4">
            <w:pPr>
              <w:pStyle w:val="P68B1DB1-Normal23"/>
              <w:spacing w:after="0"/>
              <w:jc w:val="center"/>
              <w:rPr>
                <w:rFonts w:eastAsia="Calibri" w:cs="Calibri"/>
                <w:noProof/>
              </w:rPr>
            </w:pPr>
            <w:r>
              <w:rPr>
                <w:noProof/>
              </w:rPr>
              <w:t>1.11</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2DAFAA45" w14:textId="77777777" w:rsidR="00DC5EC6" w:rsidRDefault="003245A4">
            <w:pPr>
              <w:pStyle w:val="P68B1DB1-Normal23"/>
              <w:spacing w:after="0"/>
              <w:jc w:val="center"/>
              <w:rPr>
                <w:rFonts w:eastAsia="Calibri" w:cs="Calibri"/>
                <w:noProof/>
              </w:rPr>
            </w:pPr>
            <w:r>
              <w:rPr>
                <w:noProof/>
              </w:rPr>
              <w:t xml:space="preserve">Re-C01-r03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4723DBA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45AF680B" w14:textId="77777777" w:rsidR="00DC5EC6" w:rsidRDefault="003245A4">
            <w:pPr>
              <w:pStyle w:val="P68B1DB1-Normal23"/>
              <w:spacing w:after="0"/>
              <w:jc w:val="both"/>
              <w:rPr>
                <w:rFonts w:eastAsia="Calibri" w:cs="Calibri"/>
                <w:noProof/>
              </w:rPr>
            </w:pPr>
            <w:r>
              <w:rPr>
                <w:noProof/>
              </w:rPr>
              <w:t>A gyógyszerek központosított beszerzési mechanizmusainak megerősítésére irányuló cselekvési terv hatálybalépése</w:t>
            </w:r>
          </w:p>
        </w:tc>
        <w:tc>
          <w:tcPr>
            <w:tcW w:w="0" w:type="auto"/>
          </w:tcPr>
          <w:p w14:paraId="753752EC" w14:textId="77777777" w:rsidR="00DC5EC6" w:rsidRDefault="00DC5EC6">
            <w:pPr>
              <w:spacing w:after="0" w:line="240" w:lineRule="auto"/>
              <w:rPr>
                <w:noProof/>
                <w:sz w:val="18"/>
              </w:rPr>
            </w:pPr>
          </w:p>
        </w:tc>
      </w:tr>
      <w:tr w:rsidR="00DC5EC6" w14:paraId="1808919D"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35A429DE" w14:textId="77777777" w:rsidR="00DC5EC6" w:rsidRDefault="003245A4">
            <w:pPr>
              <w:pStyle w:val="P68B1DB1-Normal23"/>
              <w:spacing w:after="0"/>
              <w:jc w:val="center"/>
              <w:rPr>
                <w:rFonts w:eastAsia="Calibri" w:cs="Calibri"/>
                <w:noProof/>
              </w:rPr>
            </w:pPr>
            <w:r>
              <w:rPr>
                <w:noProof/>
              </w:rPr>
              <w:t>1.22</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75E6F087" w14:textId="77777777" w:rsidR="00DC5EC6" w:rsidRDefault="003245A4">
            <w:pPr>
              <w:pStyle w:val="P68B1DB1-Normal23"/>
              <w:spacing w:after="0"/>
              <w:jc w:val="center"/>
              <w:rPr>
                <w:rFonts w:eastAsia="Calibri" w:cs="Calibri"/>
                <w:noProof/>
              </w:rPr>
            </w:pPr>
            <w:r>
              <w:rPr>
                <w:noProof/>
              </w:rPr>
              <w:t>Re-C01-i02</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7A664CD"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0575ECC2" w14:textId="77777777" w:rsidR="00DC5EC6" w:rsidRDefault="003245A4">
            <w:pPr>
              <w:pStyle w:val="P68B1DB1-Normal23"/>
              <w:spacing w:after="0"/>
              <w:jc w:val="both"/>
              <w:rPr>
                <w:rFonts w:eastAsia="Calibri" w:cs="Calibri"/>
                <w:noProof/>
              </w:rPr>
            </w:pPr>
            <w:r>
              <w:rPr>
                <w:noProof/>
              </w:rPr>
              <w:t>Az integrált folyamatos ápolási-gondozási és palliatív gondozási szolgáltatások nemzeti hálózatai reagálási képességének megerősítése az otthoni gondozásban</w:t>
            </w:r>
          </w:p>
        </w:tc>
      </w:tr>
      <w:tr w:rsidR="00DC5EC6" w14:paraId="40001357"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1BC70449" w14:textId="77777777" w:rsidR="00DC5EC6" w:rsidRDefault="003245A4">
            <w:pPr>
              <w:pStyle w:val="P68B1DB1-Normal23"/>
              <w:spacing w:after="0"/>
              <w:jc w:val="center"/>
              <w:rPr>
                <w:rFonts w:eastAsia="Calibri" w:cs="Calibri"/>
                <w:noProof/>
              </w:rPr>
            </w:pPr>
            <w:r>
              <w:rPr>
                <w:noProof/>
              </w:rPr>
              <w:t>3.6</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3CFC2C9A" w14:textId="77777777" w:rsidR="00DC5EC6" w:rsidRDefault="003245A4">
            <w:pPr>
              <w:pStyle w:val="P68B1DB1-Normal23"/>
              <w:spacing w:after="0"/>
              <w:jc w:val="center"/>
              <w:rPr>
                <w:rFonts w:eastAsia="Calibri" w:cs="Calibri"/>
                <w:noProof/>
              </w:rPr>
            </w:pPr>
            <w:r>
              <w:rPr>
                <w:noProof/>
              </w:rPr>
              <w:t xml:space="preserve">Re-C01-i02  </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3147DFBF"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2D5F6706" w14:textId="77777777" w:rsidR="00DC5EC6" w:rsidRDefault="003245A4">
            <w:pPr>
              <w:pStyle w:val="P68B1DB1-Normal23"/>
              <w:spacing w:after="0"/>
              <w:jc w:val="both"/>
              <w:rPr>
                <w:rFonts w:eastAsia="Calibri" w:cs="Calibri"/>
                <w:noProof/>
              </w:rPr>
            </w:pPr>
            <w:r>
              <w:rPr>
                <w:noProof/>
              </w:rPr>
              <w:t>A csökkent mozgásképességű személyek számára jobb megközelíthető lakások</w:t>
            </w:r>
          </w:p>
        </w:tc>
      </w:tr>
      <w:tr w:rsidR="00DC5EC6" w14:paraId="6146DE32" w14:textId="77777777">
        <w:trPr>
          <w:gridAfter w:val="1"/>
          <w:trHeight w:val="440"/>
        </w:trPr>
        <w:tc>
          <w:tcPr>
            <w:tcW w:w="1177" w:type="dxa"/>
            <w:tcBorders>
              <w:top w:val="nil"/>
              <w:left w:val="single" w:sz="4" w:space="0" w:color="000000" w:themeColor="text1"/>
              <w:bottom w:val="single" w:sz="4" w:space="0" w:color="000000" w:themeColor="text1"/>
              <w:right w:val="single" w:sz="4" w:space="0" w:color="000000" w:themeColor="text1"/>
            </w:tcBorders>
            <w:shd w:val="clear" w:color="auto" w:fill="C4EFCE"/>
            <w:vAlign w:val="center"/>
            <w:hideMark/>
          </w:tcPr>
          <w:p w14:paraId="5DF2D95B" w14:textId="77777777" w:rsidR="00DC5EC6" w:rsidRDefault="003245A4">
            <w:pPr>
              <w:pStyle w:val="P68B1DB1-Normal23"/>
              <w:spacing w:after="0"/>
              <w:jc w:val="center"/>
              <w:rPr>
                <w:rFonts w:eastAsia="Calibri" w:cs="Calibri"/>
                <w:noProof/>
              </w:rPr>
            </w:pPr>
            <w:r>
              <w:rPr>
                <w:noProof/>
              </w:rPr>
              <w:t>3.25</w:t>
            </w:r>
          </w:p>
        </w:tc>
        <w:tc>
          <w:tcPr>
            <w:tcW w:w="1731" w:type="dxa"/>
            <w:tcBorders>
              <w:top w:val="nil"/>
              <w:left w:val="nil"/>
              <w:bottom w:val="single" w:sz="4" w:space="0" w:color="000000" w:themeColor="text1"/>
              <w:right w:val="single" w:sz="4" w:space="0" w:color="000000" w:themeColor="text1"/>
            </w:tcBorders>
            <w:shd w:val="clear" w:color="auto" w:fill="C4EFCE"/>
            <w:vAlign w:val="center"/>
            <w:hideMark/>
          </w:tcPr>
          <w:p w14:paraId="48894F5A" w14:textId="77777777" w:rsidR="00DC5EC6" w:rsidRDefault="003245A4">
            <w:pPr>
              <w:pStyle w:val="P68B1DB1-Normal23"/>
              <w:spacing w:after="0"/>
              <w:jc w:val="center"/>
              <w:rPr>
                <w:rFonts w:eastAsia="Calibri" w:cs="Calibri"/>
                <w:noProof/>
              </w:rPr>
            </w:pPr>
            <w:r>
              <w:rPr>
                <w:noProof/>
              </w:rPr>
              <w:t>Vissza-C01-i06</w:t>
            </w:r>
          </w:p>
        </w:tc>
        <w:tc>
          <w:tcPr>
            <w:tcW w:w="1491" w:type="dxa"/>
            <w:tcBorders>
              <w:top w:val="nil"/>
              <w:left w:val="nil"/>
              <w:bottom w:val="single" w:sz="4" w:space="0" w:color="000000" w:themeColor="text1"/>
              <w:right w:val="single" w:sz="4" w:space="0" w:color="000000" w:themeColor="text1"/>
            </w:tcBorders>
            <w:shd w:val="clear" w:color="auto" w:fill="C4EFCE"/>
            <w:vAlign w:val="center"/>
            <w:hideMark/>
          </w:tcPr>
          <w:p w14:paraId="56B5FA9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000000" w:themeColor="text1"/>
              <w:right w:val="single" w:sz="4" w:space="0" w:color="000000" w:themeColor="text1"/>
            </w:tcBorders>
            <w:shd w:val="clear" w:color="auto" w:fill="C4EFCE"/>
            <w:vAlign w:val="center"/>
            <w:hideMark/>
          </w:tcPr>
          <w:p w14:paraId="1E5C982E" w14:textId="77777777" w:rsidR="00DC5EC6" w:rsidRDefault="003245A4">
            <w:pPr>
              <w:pStyle w:val="P68B1DB1-Normal23"/>
              <w:spacing w:after="0"/>
              <w:jc w:val="both"/>
              <w:rPr>
                <w:rFonts w:eastAsia="Calibri" w:cs="Calibri"/>
                <w:noProof/>
              </w:rPr>
            </w:pPr>
            <w:r>
              <w:rPr>
                <w:noProof/>
              </w:rPr>
              <w:t>A portói és lisszaboni nagyvárosi területek monitoringjelentésének közzététele a 12 beavatkozási terület mindegyikében hozott intézkedésekről.</w:t>
            </w:r>
          </w:p>
        </w:tc>
      </w:tr>
      <w:tr w:rsidR="00DC5EC6" w14:paraId="0020D0F3"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6C71AEC" w14:textId="77777777" w:rsidR="00DC5EC6" w:rsidRDefault="003245A4">
            <w:pPr>
              <w:pStyle w:val="P68B1DB1-Normal23"/>
              <w:spacing w:after="0"/>
              <w:jc w:val="center"/>
              <w:rPr>
                <w:rFonts w:eastAsia="Calibri" w:cs="Calibri"/>
                <w:noProof/>
              </w:rPr>
            </w:pPr>
            <w:r>
              <w:rPr>
                <w:noProof/>
              </w:rPr>
              <w:t>5.33</w:t>
            </w:r>
          </w:p>
        </w:tc>
        <w:tc>
          <w:tcPr>
            <w:tcW w:w="1731" w:type="dxa"/>
            <w:tcBorders>
              <w:top w:val="nil"/>
              <w:left w:val="nil"/>
              <w:bottom w:val="single" w:sz="4" w:space="0" w:color="auto"/>
              <w:right w:val="single" w:sz="4" w:space="0" w:color="auto"/>
            </w:tcBorders>
            <w:shd w:val="clear" w:color="auto" w:fill="C4EFCE"/>
            <w:vAlign w:val="center"/>
            <w:hideMark/>
          </w:tcPr>
          <w:p w14:paraId="4F60CC1D" w14:textId="6EDC4274" w:rsidR="00DC5EC6" w:rsidRDefault="003245A4">
            <w:pPr>
              <w:pStyle w:val="P68B1DB1-Normal23"/>
              <w:spacing w:after="0"/>
              <w:jc w:val="center"/>
              <w:rPr>
                <w:rFonts w:eastAsia="Calibri" w:cs="Calibri"/>
                <w:noProof/>
              </w:rPr>
            </w:pPr>
            <w:r>
              <w:rPr>
                <w:noProof/>
              </w:rPr>
              <w:t xml:space="preserve">Re-C05-i07-RAM </w:t>
            </w:r>
          </w:p>
        </w:tc>
        <w:tc>
          <w:tcPr>
            <w:tcW w:w="1491" w:type="dxa"/>
            <w:tcBorders>
              <w:top w:val="nil"/>
              <w:left w:val="nil"/>
              <w:bottom w:val="single" w:sz="4" w:space="0" w:color="auto"/>
              <w:right w:val="single" w:sz="4" w:space="0" w:color="auto"/>
            </w:tcBorders>
            <w:shd w:val="clear" w:color="auto" w:fill="C4EFCE"/>
            <w:vAlign w:val="center"/>
            <w:hideMark/>
          </w:tcPr>
          <w:p w14:paraId="4F836274"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E64E7E2" w14:textId="77777777" w:rsidR="00DC5EC6" w:rsidRDefault="003245A4">
            <w:pPr>
              <w:pStyle w:val="P68B1DB1-Normal23"/>
              <w:spacing w:after="0"/>
              <w:jc w:val="both"/>
              <w:rPr>
                <w:rFonts w:eastAsia="Calibri" w:cs="Calibri"/>
                <w:noProof/>
              </w:rPr>
            </w:pPr>
            <w:r>
              <w:rPr>
                <w:noProof/>
              </w:rPr>
              <w:t>A Banco Português de Fomento, az Instituto de Desenvolvimento Empresarial és a kiválasztott pénzügyi közvetítők közötti végrehajtási megállapodás (protokoll) aláírása</w:t>
            </w:r>
          </w:p>
        </w:tc>
      </w:tr>
      <w:tr w:rsidR="00DC5EC6" w14:paraId="30129324"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5FCB9E5" w14:textId="77777777" w:rsidR="00DC5EC6" w:rsidRDefault="003245A4">
            <w:pPr>
              <w:pStyle w:val="P68B1DB1-Normal23"/>
              <w:spacing w:after="0"/>
              <w:jc w:val="center"/>
              <w:rPr>
                <w:rFonts w:eastAsia="Calibri" w:cs="Calibri"/>
                <w:noProof/>
              </w:rPr>
            </w:pPr>
            <w:r>
              <w:rPr>
                <w:noProof/>
              </w:rPr>
              <w:t>8.21</w:t>
            </w:r>
          </w:p>
        </w:tc>
        <w:tc>
          <w:tcPr>
            <w:tcW w:w="1731" w:type="dxa"/>
            <w:tcBorders>
              <w:top w:val="nil"/>
              <w:left w:val="nil"/>
              <w:bottom w:val="single" w:sz="4" w:space="0" w:color="auto"/>
              <w:right w:val="single" w:sz="4" w:space="0" w:color="auto"/>
            </w:tcBorders>
            <w:shd w:val="clear" w:color="auto" w:fill="C4EFCE"/>
            <w:vAlign w:val="center"/>
            <w:hideMark/>
          </w:tcPr>
          <w:p w14:paraId="4B7441D6" w14:textId="77777777" w:rsidR="00DC5EC6" w:rsidRDefault="003245A4">
            <w:pPr>
              <w:pStyle w:val="P68B1DB1-Normal23"/>
              <w:spacing w:after="0"/>
              <w:jc w:val="center"/>
              <w:rPr>
                <w:rFonts w:eastAsia="Calibri" w:cs="Calibri"/>
                <w:noProof/>
              </w:rPr>
            </w:pPr>
            <w:r>
              <w:rPr>
                <w:noProof/>
              </w:rPr>
              <w:t>Újra-C08-i05</w:t>
            </w:r>
          </w:p>
        </w:tc>
        <w:tc>
          <w:tcPr>
            <w:tcW w:w="1491" w:type="dxa"/>
            <w:tcBorders>
              <w:top w:val="nil"/>
              <w:left w:val="nil"/>
              <w:bottom w:val="single" w:sz="4" w:space="0" w:color="auto"/>
              <w:right w:val="single" w:sz="4" w:space="0" w:color="auto"/>
            </w:tcBorders>
            <w:shd w:val="clear" w:color="auto" w:fill="C4EFCE"/>
            <w:vAlign w:val="center"/>
            <w:hideMark/>
          </w:tcPr>
          <w:p w14:paraId="460E8712"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6608672" w14:textId="77777777" w:rsidR="00DC5EC6" w:rsidRDefault="003245A4">
            <w:pPr>
              <w:pStyle w:val="P68B1DB1-Normal23"/>
              <w:spacing w:after="0"/>
              <w:jc w:val="both"/>
              <w:rPr>
                <w:rFonts w:eastAsia="Calibri" w:cs="Calibri"/>
                <w:noProof/>
              </w:rPr>
            </w:pPr>
            <w:r>
              <w:rPr>
                <w:noProof/>
              </w:rPr>
              <w:t>Figyelemfelhívó kampány kidolgozása a kockázatos magatartás megelőzése érdekében</w:t>
            </w:r>
          </w:p>
        </w:tc>
      </w:tr>
      <w:tr w:rsidR="00DC5EC6" w14:paraId="143CDEBF"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53A389BE" w14:textId="77777777" w:rsidR="00DC5EC6" w:rsidRDefault="003245A4">
            <w:pPr>
              <w:pStyle w:val="P68B1DB1-Normal23"/>
              <w:spacing w:after="0"/>
              <w:jc w:val="center"/>
              <w:rPr>
                <w:rFonts w:eastAsia="Calibri" w:cs="Calibri"/>
                <w:noProof/>
              </w:rPr>
            </w:pPr>
            <w:r>
              <w:rPr>
                <w:noProof/>
              </w:rPr>
              <w:t>10.13</w:t>
            </w:r>
          </w:p>
        </w:tc>
        <w:tc>
          <w:tcPr>
            <w:tcW w:w="1731" w:type="dxa"/>
            <w:tcBorders>
              <w:top w:val="nil"/>
              <w:left w:val="nil"/>
              <w:bottom w:val="single" w:sz="4" w:space="0" w:color="auto"/>
              <w:right w:val="single" w:sz="4" w:space="0" w:color="auto"/>
            </w:tcBorders>
            <w:shd w:val="clear" w:color="auto" w:fill="C4EFCE"/>
            <w:vAlign w:val="center"/>
            <w:hideMark/>
          </w:tcPr>
          <w:p w14:paraId="43E82AAB" w14:textId="5D3C7004" w:rsidR="00DC5EC6" w:rsidRDefault="003245A4">
            <w:pPr>
              <w:pStyle w:val="P68B1DB1-Normal23"/>
              <w:spacing w:after="0"/>
              <w:jc w:val="center"/>
              <w:rPr>
                <w:rFonts w:eastAsia="Calibri" w:cs="Calibri"/>
                <w:noProof/>
              </w:rPr>
            </w:pPr>
            <w:r>
              <w:rPr>
                <w:noProof/>
              </w:rPr>
              <w:t xml:space="preserve">TC-C10-i06-RAM </w:t>
            </w:r>
          </w:p>
        </w:tc>
        <w:tc>
          <w:tcPr>
            <w:tcW w:w="1491" w:type="dxa"/>
            <w:tcBorders>
              <w:top w:val="nil"/>
              <w:left w:val="nil"/>
              <w:bottom w:val="single" w:sz="4" w:space="0" w:color="auto"/>
              <w:right w:val="single" w:sz="4" w:space="0" w:color="auto"/>
            </w:tcBorders>
            <w:shd w:val="clear" w:color="auto" w:fill="C4EFCE"/>
            <w:vAlign w:val="center"/>
            <w:hideMark/>
          </w:tcPr>
          <w:p w14:paraId="3CB9CA7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E9A44F3" w14:textId="77777777" w:rsidR="00DC5EC6" w:rsidRDefault="003245A4">
            <w:pPr>
              <w:pStyle w:val="P68B1DB1-Normal23"/>
              <w:spacing w:after="0"/>
              <w:jc w:val="both"/>
              <w:rPr>
                <w:rFonts w:eastAsia="Calibri" w:cs="Calibri"/>
                <w:noProof/>
              </w:rPr>
            </w:pPr>
            <w:r>
              <w:rPr>
                <w:noProof/>
              </w:rPr>
              <w:t>A többcélú kutatóhajóra vonatkozó szerződés aláírása</w:t>
            </w:r>
          </w:p>
        </w:tc>
        <w:tc>
          <w:tcPr>
            <w:tcW w:w="0" w:type="auto"/>
          </w:tcPr>
          <w:p w14:paraId="3F53FDD0" w14:textId="77777777" w:rsidR="00DC5EC6" w:rsidRDefault="00DC5EC6">
            <w:pPr>
              <w:spacing w:after="0" w:line="240" w:lineRule="auto"/>
              <w:rPr>
                <w:noProof/>
                <w:sz w:val="18"/>
              </w:rPr>
            </w:pPr>
          </w:p>
        </w:tc>
      </w:tr>
      <w:tr w:rsidR="00DC5EC6" w14:paraId="1B11DFC4"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39F21E" w14:textId="77777777" w:rsidR="00DC5EC6" w:rsidRDefault="003245A4">
            <w:pPr>
              <w:pStyle w:val="P68B1DB1-Normal23"/>
              <w:spacing w:after="0"/>
              <w:jc w:val="center"/>
              <w:rPr>
                <w:rFonts w:eastAsia="Calibri" w:cs="Calibri"/>
                <w:noProof/>
              </w:rPr>
            </w:pPr>
            <w:r>
              <w:rPr>
                <w:noProof/>
              </w:rPr>
              <w:t>13.1</w:t>
            </w:r>
          </w:p>
        </w:tc>
        <w:tc>
          <w:tcPr>
            <w:tcW w:w="1731" w:type="dxa"/>
            <w:tcBorders>
              <w:top w:val="nil"/>
              <w:left w:val="nil"/>
              <w:bottom w:val="single" w:sz="4" w:space="0" w:color="auto"/>
              <w:right w:val="single" w:sz="4" w:space="0" w:color="auto"/>
            </w:tcBorders>
            <w:shd w:val="clear" w:color="auto" w:fill="C4EFCE"/>
            <w:vAlign w:val="center"/>
            <w:hideMark/>
          </w:tcPr>
          <w:p w14:paraId="100A5399" w14:textId="77777777" w:rsidR="00DC5EC6" w:rsidRDefault="003245A4">
            <w:pPr>
              <w:pStyle w:val="P68B1DB1-Normal23"/>
              <w:spacing w:after="0"/>
              <w:jc w:val="center"/>
              <w:rPr>
                <w:rFonts w:eastAsia="Calibri" w:cs="Calibri"/>
                <w:noProof/>
              </w:rPr>
            </w:pPr>
            <w:r>
              <w:rPr>
                <w:noProof/>
              </w:rPr>
              <w:t xml:space="preserve">TC-C13-i01  </w:t>
            </w:r>
          </w:p>
        </w:tc>
        <w:tc>
          <w:tcPr>
            <w:tcW w:w="1491" w:type="dxa"/>
            <w:tcBorders>
              <w:top w:val="nil"/>
              <w:left w:val="nil"/>
              <w:bottom w:val="single" w:sz="4" w:space="0" w:color="auto"/>
              <w:right w:val="single" w:sz="4" w:space="0" w:color="auto"/>
            </w:tcBorders>
            <w:shd w:val="clear" w:color="auto" w:fill="C4EFCE"/>
            <w:vAlign w:val="center"/>
            <w:hideMark/>
          </w:tcPr>
          <w:p w14:paraId="7735E13B"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0E8DAA" w14:textId="77777777" w:rsidR="00DC5EC6" w:rsidRDefault="003245A4">
            <w:pPr>
              <w:pStyle w:val="P68B1DB1-Normal23"/>
              <w:spacing w:after="0"/>
              <w:jc w:val="both"/>
              <w:rPr>
                <w:rFonts w:eastAsia="Calibri" w:cs="Calibri"/>
                <w:noProof/>
              </w:rPr>
            </w:pPr>
            <w:r>
              <w:rPr>
                <w:noProof/>
              </w:rPr>
              <w:t>A magánlakóépületek energiahatékonysági felújítása</w:t>
            </w:r>
          </w:p>
        </w:tc>
        <w:tc>
          <w:tcPr>
            <w:tcW w:w="0" w:type="auto"/>
          </w:tcPr>
          <w:p w14:paraId="6E5DAF10" w14:textId="77777777" w:rsidR="00DC5EC6" w:rsidRDefault="00DC5EC6">
            <w:pPr>
              <w:spacing w:after="0" w:line="240" w:lineRule="auto"/>
              <w:rPr>
                <w:noProof/>
                <w:sz w:val="18"/>
              </w:rPr>
            </w:pPr>
          </w:p>
        </w:tc>
      </w:tr>
      <w:tr w:rsidR="00DC5EC6" w14:paraId="04772B6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7C22BDC" w14:textId="77777777" w:rsidR="00DC5EC6" w:rsidRDefault="003245A4">
            <w:pPr>
              <w:pStyle w:val="P68B1DB1-Normal23"/>
              <w:spacing w:after="0"/>
              <w:jc w:val="center"/>
              <w:rPr>
                <w:rFonts w:eastAsia="Calibri" w:cs="Calibri"/>
                <w:noProof/>
              </w:rPr>
            </w:pPr>
            <w:r>
              <w:rPr>
                <w:noProof/>
              </w:rPr>
              <w:t>14.12</w:t>
            </w:r>
          </w:p>
        </w:tc>
        <w:tc>
          <w:tcPr>
            <w:tcW w:w="1731" w:type="dxa"/>
            <w:tcBorders>
              <w:top w:val="nil"/>
              <w:left w:val="nil"/>
              <w:bottom w:val="single" w:sz="4" w:space="0" w:color="auto"/>
              <w:right w:val="single" w:sz="4" w:space="0" w:color="auto"/>
            </w:tcBorders>
            <w:shd w:val="clear" w:color="auto" w:fill="C4EFCE"/>
            <w:vAlign w:val="center"/>
            <w:hideMark/>
          </w:tcPr>
          <w:p w14:paraId="0F195F9B" w14:textId="77777777" w:rsidR="00DC5EC6" w:rsidRDefault="003245A4">
            <w:pPr>
              <w:pStyle w:val="P68B1DB1-Normal23"/>
              <w:spacing w:after="0"/>
              <w:jc w:val="center"/>
              <w:rPr>
                <w:rFonts w:eastAsia="Calibri" w:cs="Calibri"/>
                <w:noProof/>
              </w:rPr>
            </w:pPr>
            <w:r>
              <w:rPr>
                <w:noProof/>
              </w:rPr>
              <w:t>TC-C14-i03-RAA</w:t>
            </w:r>
          </w:p>
        </w:tc>
        <w:tc>
          <w:tcPr>
            <w:tcW w:w="1491" w:type="dxa"/>
            <w:tcBorders>
              <w:top w:val="nil"/>
              <w:left w:val="nil"/>
              <w:bottom w:val="single" w:sz="4" w:space="0" w:color="auto"/>
              <w:right w:val="single" w:sz="4" w:space="0" w:color="auto"/>
            </w:tcBorders>
            <w:shd w:val="clear" w:color="auto" w:fill="C4EFCE"/>
            <w:vAlign w:val="center"/>
            <w:hideMark/>
          </w:tcPr>
          <w:p w14:paraId="5B757820"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48E5404" w14:textId="77777777" w:rsidR="00DC5EC6" w:rsidRDefault="003245A4">
            <w:pPr>
              <w:pStyle w:val="P68B1DB1-Normal23"/>
              <w:spacing w:after="0"/>
              <w:jc w:val="both"/>
              <w:rPr>
                <w:rFonts w:eastAsia="Calibri" w:cs="Calibri"/>
                <w:noProof/>
              </w:rPr>
            </w:pPr>
            <w:r>
              <w:rPr>
                <w:noProof/>
              </w:rPr>
              <w:t>További megújuló villamosenergia-termelés Corvoban</w:t>
            </w:r>
          </w:p>
        </w:tc>
        <w:tc>
          <w:tcPr>
            <w:tcW w:w="0" w:type="auto"/>
          </w:tcPr>
          <w:p w14:paraId="233A08FA" w14:textId="77777777" w:rsidR="00DC5EC6" w:rsidRDefault="00DC5EC6">
            <w:pPr>
              <w:spacing w:after="0" w:line="240" w:lineRule="auto"/>
              <w:rPr>
                <w:noProof/>
                <w:sz w:val="18"/>
              </w:rPr>
            </w:pPr>
          </w:p>
        </w:tc>
      </w:tr>
      <w:tr w:rsidR="00DC5EC6" w14:paraId="7BF5056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AC8B3F4" w14:textId="77777777" w:rsidR="00DC5EC6" w:rsidRDefault="003245A4">
            <w:pPr>
              <w:pStyle w:val="P68B1DB1-Normal23"/>
              <w:spacing w:after="0"/>
              <w:jc w:val="center"/>
              <w:rPr>
                <w:rFonts w:eastAsia="Calibri" w:cs="Calibri"/>
                <w:noProof/>
              </w:rPr>
            </w:pPr>
            <w:r>
              <w:rPr>
                <w:noProof/>
              </w:rPr>
              <w:t>14.5</w:t>
            </w:r>
          </w:p>
        </w:tc>
        <w:tc>
          <w:tcPr>
            <w:tcW w:w="1731" w:type="dxa"/>
            <w:tcBorders>
              <w:top w:val="nil"/>
              <w:left w:val="nil"/>
              <w:bottom w:val="single" w:sz="4" w:space="0" w:color="auto"/>
              <w:right w:val="single" w:sz="4" w:space="0" w:color="auto"/>
            </w:tcBorders>
            <w:shd w:val="clear" w:color="auto" w:fill="C4EFCE"/>
            <w:vAlign w:val="center"/>
            <w:hideMark/>
          </w:tcPr>
          <w:p w14:paraId="30AC97EB" w14:textId="77777777" w:rsidR="00DC5EC6" w:rsidRDefault="003245A4">
            <w:pPr>
              <w:pStyle w:val="P68B1DB1-Normal23"/>
              <w:spacing w:after="0"/>
              <w:jc w:val="center"/>
              <w:rPr>
                <w:rFonts w:eastAsia="Calibri" w:cs="Calibri"/>
                <w:noProof/>
              </w:rPr>
            </w:pPr>
            <w:r>
              <w:rPr>
                <w:noProof/>
              </w:rPr>
              <w:t xml:space="preserve">TC-C14-Ci02-RAM </w:t>
            </w:r>
          </w:p>
        </w:tc>
        <w:tc>
          <w:tcPr>
            <w:tcW w:w="1491" w:type="dxa"/>
            <w:tcBorders>
              <w:top w:val="nil"/>
              <w:left w:val="nil"/>
              <w:bottom w:val="single" w:sz="4" w:space="0" w:color="auto"/>
              <w:right w:val="single" w:sz="4" w:space="0" w:color="auto"/>
            </w:tcBorders>
            <w:shd w:val="clear" w:color="auto" w:fill="C4EFCE"/>
            <w:vAlign w:val="center"/>
            <w:hideMark/>
          </w:tcPr>
          <w:p w14:paraId="684CEB02"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69E0A75B" w14:textId="77777777" w:rsidR="00DC5EC6" w:rsidRDefault="003245A4">
            <w:pPr>
              <w:pStyle w:val="P68B1DB1-Normal23"/>
              <w:spacing w:after="0"/>
              <w:jc w:val="both"/>
              <w:rPr>
                <w:rFonts w:eastAsia="Calibri" w:cs="Calibri"/>
                <w:noProof/>
              </w:rPr>
            </w:pPr>
            <w:r>
              <w:rPr>
                <w:noProof/>
              </w:rPr>
              <w:t>Kiegészítő beépített vízenergia-termelési kapacitás</w:t>
            </w:r>
          </w:p>
        </w:tc>
        <w:tc>
          <w:tcPr>
            <w:tcW w:w="0" w:type="auto"/>
          </w:tcPr>
          <w:p w14:paraId="6A814305" w14:textId="77777777" w:rsidR="00DC5EC6" w:rsidRDefault="00DC5EC6">
            <w:pPr>
              <w:spacing w:after="0" w:line="240" w:lineRule="auto"/>
              <w:rPr>
                <w:noProof/>
                <w:sz w:val="18"/>
              </w:rPr>
            </w:pPr>
          </w:p>
        </w:tc>
      </w:tr>
      <w:tr w:rsidR="00DC5EC6" w14:paraId="2414C73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01DD6AE2" w14:textId="77777777" w:rsidR="00DC5EC6" w:rsidRDefault="003245A4">
            <w:pPr>
              <w:pStyle w:val="P68B1DB1-Normal23"/>
              <w:spacing w:after="0"/>
              <w:jc w:val="center"/>
              <w:rPr>
                <w:rFonts w:eastAsia="Calibri" w:cs="Calibri"/>
                <w:noProof/>
              </w:rPr>
            </w:pPr>
            <w:r>
              <w:rPr>
                <w:noProof/>
              </w:rPr>
              <w:t>15.2</w:t>
            </w:r>
          </w:p>
        </w:tc>
        <w:tc>
          <w:tcPr>
            <w:tcW w:w="1731" w:type="dxa"/>
            <w:tcBorders>
              <w:top w:val="nil"/>
              <w:left w:val="nil"/>
              <w:bottom w:val="single" w:sz="4" w:space="0" w:color="auto"/>
              <w:right w:val="single" w:sz="4" w:space="0" w:color="auto"/>
            </w:tcBorders>
            <w:shd w:val="clear" w:color="auto" w:fill="C4EFCE"/>
            <w:vAlign w:val="center"/>
            <w:hideMark/>
          </w:tcPr>
          <w:p w14:paraId="265A1C92" w14:textId="77777777" w:rsidR="00DC5EC6" w:rsidRDefault="003245A4">
            <w:pPr>
              <w:pStyle w:val="P68B1DB1-Normal23"/>
              <w:spacing w:after="0"/>
              <w:jc w:val="center"/>
              <w:rPr>
                <w:rFonts w:eastAsia="Calibri" w:cs="Calibri"/>
                <w:noProof/>
              </w:rPr>
            </w:pPr>
            <w:r>
              <w:rPr>
                <w:noProof/>
              </w:rPr>
              <w:t>TC-C15-i01</w:t>
            </w:r>
          </w:p>
        </w:tc>
        <w:tc>
          <w:tcPr>
            <w:tcW w:w="1491" w:type="dxa"/>
            <w:tcBorders>
              <w:top w:val="nil"/>
              <w:left w:val="nil"/>
              <w:bottom w:val="single" w:sz="4" w:space="0" w:color="auto"/>
              <w:right w:val="single" w:sz="4" w:space="0" w:color="auto"/>
            </w:tcBorders>
            <w:shd w:val="clear" w:color="auto" w:fill="C4EFCE"/>
            <w:vAlign w:val="center"/>
            <w:hideMark/>
          </w:tcPr>
          <w:p w14:paraId="6A06D6EB"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36FE9F6" w14:textId="77777777" w:rsidR="00DC5EC6" w:rsidRDefault="003245A4">
            <w:pPr>
              <w:pStyle w:val="P68B1DB1-Normal23"/>
              <w:spacing w:after="0"/>
              <w:jc w:val="both"/>
              <w:rPr>
                <w:rFonts w:eastAsia="Calibri" w:cs="Calibri"/>
                <w:noProof/>
              </w:rPr>
            </w:pPr>
            <w:r>
              <w:rPr>
                <w:noProof/>
              </w:rPr>
              <w:t>Jelentés a lisszaboni metróhálózat bővítéséről</w:t>
            </w:r>
          </w:p>
        </w:tc>
        <w:tc>
          <w:tcPr>
            <w:tcW w:w="0" w:type="auto"/>
          </w:tcPr>
          <w:p w14:paraId="176F4E1F" w14:textId="77777777" w:rsidR="00DC5EC6" w:rsidRDefault="00DC5EC6">
            <w:pPr>
              <w:spacing w:after="0" w:line="240" w:lineRule="auto"/>
              <w:rPr>
                <w:noProof/>
                <w:sz w:val="18"/>
              </w:rPr>
            </w:pPr>
          </w:p>
        </w:tc>
      </w:tr>
      <w:tr w:rsidR="00DC5EC6" w14:paraId="1B841B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C2C500B" w14:textId="77777777" w:rsidR="00DC5EC6" w:rsidRDefault="003245A4">
            <w:pPr>
              <w:pStyle w:val="P68B1DB1-Normal23"/>
              <w:spacing w:after="0"/>
              <w:jc w:val="center"/>
              <w:rPr>
                <w:rFonts w:eastAsia="Calibri" w:cs="Calibri"/>
                <w:noProof/>
              </w:rPr>
            </w:pPr>
            <w:r>
              <w:rPr>
                <w:noProof/>
              </w:rPr>
              <w:t>16.6</w:t>
            </w:r>
          </w:p>
        </w:tc>
        <w:tc>
          <w:tcPr>
            <w:tcW w:w="1731" w:type="dxa"/>
            <w:tcBorders>
              <w:top w:val="nil"/>
              <w:left w:val="nil"/>
              <w:bottom w:val="single" w:sz="4" w:space="0" w:color="auto"/>
              <w:right w:val="single" w:sz="4" w:space="0" w:color="auto"/>
            </w:tcBorders>
            <w:shd w:val="clear" w:color="auto" w:fill="C4EFCE"/>
            <w:vAlign w:val="center"/>
            <w:hideMark/>
          </w:tcPr>
          <w:p w14:paraId="5B078A84" w14:textId="77777777" w:rsidR="00DC5EC6" w:rsidRDefault="003245A4">
            <w:pPr>
              <w:pStyle w:val="P68B1DB1-Normal23"/>
              <w:spacing w:after="0"/>
              <w:jc w:val="center"/>
              <w:rPr>
                <w:rFonts w:eastAsia="Calibri" w:cs="Calibri"/>
                <w:noProof/>
              </w:rPr>
            </w:pPr>
            <w:r>
              <w:rPr>
                <w:noProof/>
              </w:rPr>
              <w:t>TD-C16-i02</w:t>
            </w:r>
          </w:p>
        </w:tc>
        <w:tc>
          <w:tcPr>
            <w:tcW w:w="1491" w:type="dxa"/>
            <w:tcBorders>
              <w:top w:val="nil"/>
              <w:left w:val="nil"/>
              <w:bottom w:val="single" w:sz="4" w:space="0" w:color="auto"/>
              <w:right w:val="single" w:sz="4" w:space="0" w:color="auto"/>
            </w:tcBorders>
            <w:shd w:val="clear" w:color="auto" w:fill="C4EFCE"/>
            <w:vAlign w:val="center"/>
            <w:hideMark/>
          </w:tcPr>
          <w:p w14:paraId="4B59BF99"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4D181BA9" w14:textId="77777777" w:rsidR="00DC5EC6" w:rsidRDefault="003245A4">
            <w:pPr>
              <w:pStyle w:val="P68B1DB1-Normal23"/>
              <w:spacing w:after="0"/>
              <w:jc w:val="both"/>
              <w:rPr>
                <w:rFonts w:eastAsia="Calibri" w:cs="Calibri"/>
                <w:noProof/>
              </w:rPr>
            </w:pPr>
            <w:r>
              <w:rPr>
                <w:noProof/>
              </w:rPr>
              <w:t>A nemzeti tesztágy-hálózat kísérleti termékei és szolgáltatásai</w:t>
            </w:r>
          </w:p>
        </w:tc>
        <w:tc>
          <w:tcPr>
            <w:tcW w:w="0" w:type="auto"/>
          </w:tcPr>
          <w:p w14:paraId="30E9FC62" w14:textId="77777777" w:rsidR="00DC5EC6" w:rsidRDefault="00DC5EC6">
            <w:pPr>
              <w:spacing w:after="0" w:line="240" w:lineRule="auto"/>
              <w:rPr>
                <w:noProof/>
                <w:sz w:val="18"/>
              </w:rPr>
            </w:pPr>
          </w:p>
        </w:tc>
      </w:tr>
      <w:tr w:rsidR="00DC5EC6" w14:paraId="60F2EA6A"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14B7C4" w14:textId="77777777" w:rsidR="00DC5EC6" w:rsidRDefault="003245A4">
            <w:pPr>
              <w:pStyle w:val="P68B1DB1-Normal23"/>
              <w:spacing w:after="0"/>
              <w:jc w:val="center"/>
              <w:rPr>
                <w:rFonts w:eastAsia="Calibri" w:cs="Calibri"/>
                <w:noProof/>
              </w:rPr>
            </w:pPr>
            <w:r>
              <w:rPr>
                <w:noProof/>
              </w:rPr>
              <w:t>17.9</w:t>
            </w:r>
          </w:p>
        </w:tc>
        <w:tc>
          <w:tcPr>
            <w:tcW w:w="1731" w:type="dxa"/>
            <w:tcBorders>
              <w:top w:val="nil"/>
              <w:left w:val="nil"/>
              <w:bottom w:val="single" w:sz="4" w:space="0" w:color="auto"/>
              <w:right w:val="single" w:sz="4" w:space="0" w:color="auto"/>
            </w:tcBorders>
            <w:shd w:val="clear" w:color="auto" w:fill="C4EFCE"/>
            <w:vAlign w:val="center"/>
            <w:hideMark/>
          </w:tcPr>
          <w:p w14:paraId="53DAA92D" w14:textId="77777777" w:rsidR="00DC5EC6" w:rsidRDefault="003245A4">
            <w:pPr>
              <w:pStyle w:val="P68B1DB1-Normal23"/>
              <w:spacing w:after="0"/>
              <w:jc w:val="center"/>
              <w:rPr>
                <w:rFonts w:eastAsia="Calibri" w:cs="Calibri"/>
                <w:noProof/>
              </w:rPr>
            </w:pPr>
            <w:r>
              <w:rPr>
                <w:noProof/>
              </w:rPr>
              <w:t xml:space="preserve">TD-C17-i01  </w:t>
            </w:r>
          </w:p>
        </w:tc>
        <w:tc>
          <w:tcPr>
            <w:tcW w:w="1491" w:type="dxa"/>
            <w:tcBorders>
              <w:top w:val="nil"/>
              <w:left w:val="nil"/>
              <w:bottom w:val="single" w:sz="4" w:space="0" w:color="auto"/>
              <w:right w:val="single" w:sz="4" w:space="0" w:color="auto"/>
            </w:tcBorders>
            <w:shd w:val="clear" w:color="auto" w:fill="C4EFCE"/>
            <w:vAlign w:val="center"/>
            <w:hideMark/>
          </w:tcPr>
          <w:p w14:paraId="06990E6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8CB0E5D" w14:textId="77777777" w:rsidR="00DC5EC6" w:rsidRDefault="003245A4">
            <w:pPr>
              <w:pStyle w:val="P68B1DB1-Normal23"/>
              <w:spacing w:after="0"/>
              <w:jc w:val="both"/>
              <w:rPr>
                <w:rFonts w:eastAsia="Calibri" w:cs="Calibri"/>
                <w:noProof/>
              </w:rPr>
            </w:pPr>
            <w:r>
              <w:rPr>
                <w:noProof/>
              </w:rPr>
              <w:t>Az Állami Számviteli Szervezet végrehajtásának befejezése</w:t>
            </w:r>
          </w:p>
        </w:tc>
      </w:tr>
      <w:tr w:rsidR="00DC5EC6" w14:paraId="52B41EA8"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217BC2C" w14:textId="77777777" w:rsidR="00DC5EC6" w:rsidRDefault="003245A4">
            <w:pPr>
              <w:pStyle w:val="P68B1DB1-Normal23"/>
              <w:spacing w:after="0"/>
              <w:jc w:val="center"/>
              <w:rPr>
                <w:rFonts w:eastAsia="Calibri" w:cs="Calibri"/>
                <w:noProof/>
              </w:rPr>
            </w:pPr>
            <w:r>
              <w:rPr>
                <w:noProof/>
              </w:rPr>
              <w:t>18.3</w:t>
            </w:r>
          </w:p>
        </w:tc>
        <w:tc>
          <w:tcPr>
            <w:tcW w:w="1731" w:type="dxa"/>
            <w:tcBorders>
              <w:top w:val="nil"/>
              <w:left w:val="nil"/>
              <w:bottom w:val="single" w:sz="4" w:space="0" w:color="auto"/>
              <w:right w:val="single" w:sz="4" w:space="0" w:color="auto"/>
            </w:tcBorders>
            <w:shd w:val="clear" w:color="auto" w:fill="C4EFCE"/>
            <w:vAlign w:val="center"/>
            <w:hideMark/>
          </w:tcPr>
          <w:p w14:paraId="439AD1C1" w14:textId="77777777" w:rsidR="00DC5EC6" w:rsidRDefault="003245A4">
            <w:pPr>
              <w:pStyle w:val="P68B1DB1-Normal23"/>
              <w:spacing w:after="0"/>
              <w:jc w:val="center"/>
              <w:rPr>
                <w:rFonts w:eastAsia="Calibri" w:cs="Calibri"/>
                <w:noProof/>
              </w:rPr>
            </w:pPr>
            <w:r>
              <w:rPr>
                <w:noProof/>
              </w:rPr>
              <w:t xml:space="preserve">TD-C18-r33  </w:t>
            </w:r>
          </w:p>
        </w:tc>
        <w:tc>
          <w:tcPr>
            <w:tcW w:w="1491" w:type="dxa"/>
            <w:tcBorders>
              <w:top w:val="nil"/>
              <w:left w:val="nil"/>
              <w:bottom w:val="single" w:sz="4" w:space="0" w:color="auto"/>
              <w:right w:val="single" w:sz="4" w:space="0" w:color="auto"/>
            </w:tcBorders>
            <w:shd w:val="clear" w:color="auto" w:fill="C4EFCE"/>
            <w:vAlign w:val="center"/>
            <w:hideMark/>
          </w:tcPr>
          <w:p w14:paraId="256DB6E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D0F6574" w14:textId="77777777" w:rsidR="00DC5EC6" w:rsidRDefault="003245A4">
            <w:pPr>
              <w:pStyle w:val="P68B1DB1-Normal23"/>
              <w:spacing w:after="0"/>
              <w:jc w:val="both"/>
              <w:rPr>
                <w:rFonts w:eastAsia="Calibri" w:cs="Calibri"/>
                <w:noProof/>
              </w:rPr>
            </w:pPr>
            <w:r>
              <w:rPr>
                <w:noProof/>
              </w:rPr>
              <w:t>A fizetésképtelenségre és a behajtásra vonatkozó felülvizsgált jogi keret hatálybalépése</w:t>
            </w:r>
          </w:p>
        </w:tc>
      </w:tr>
      <w:tr w:rsidR="00DC5EC6" w14:paraId="6BA9A315"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308F543" w14:textId="77777777" w:rsidR="00DC5EC6" w:rsidRDefault="003245A4">
            <w:pPr>
              <w:pStyle w:val="P68B1DB1-Normal23"/>
              <w:spacing w:after="0"/>
              <w:jc w:val="center"/>
              <w:rPr>
                <w:rFonts w:eastAsia="Calibri" w:cs="Calibri"/>
                <w:noProof/>
              </w:rPr>
            </w:pPr>
            <w:r>
              <w:rPr>
                <w:noProof/>
              </w:rPr>
              <w:t>18.6</w:t>
            </w:r>
          </w:p>
        </w:tc>
        <w:tc>
          <w:tcPr>
            <w:tcW w:w="1731" w:type="dxa"/>
            <w:tcBorders>
              <w:top w:val="nil"/>
              <w:left w:val="nil"/>
              <w:bottom w:val="single" w:sz="4" w:space="0" w:color="auto"/>
              <w:right w:val="single" w:sz="4" w:space="0" w:color="auto"/>
            </w:tcBorders>
            <w:shd w:val="clear" w:color="auto" w:fill="C4EFCE"/>
            <w:vAlign w:val="center"/>
            <w:hideMark/>
          </w:tcPr>
          <w:p w14:paraId="69B5EA32" w14:textId="77777777" w:rsidR="00DC5EC6" w:rsidRDefault="003245A4">
            <w:pPr>
              <w:pStyle w:val="P68B1DB1-Normal23"/>
              <w:spacing w:after="0"/>
              <w:jc w:val="center"/>
              <w:rPr>
                <w:rFonts w:eastAsia="Calibri" w:cs="Calibri"/>
                <w:noProof/>
              </w:rPr>
            </w:pPr>
            <w:r>
              <w:rPr>
                <w:noProof/>
              </w:rPr>
              <w:t xml:space="preserve">TD-C18-i01  </w:t>
            </w:r>
          </w:p>
        </w:tc>
        <w:tc>
          <w:tcPr>
            <w:tcW w:w="1491" w:type="dxa"/>
            <w:tcBorders>
              <w:top w:val="nil"/>
              <w:left w:val="nil"/>
              <w:bottom w:val="single" w:sz="4" w:space="0" w:color="auto"/>
              <w:right w:val="single" w:sz="4" w:space="0" w:color="auto"/>
            </w:tcBorders>
            <w:shd w:val="clear" w:color="auto" w:fill="C4EFCE"/>
            <w:vAlign w:val="center"/>
            <w:hideMark/>
          </w:tcPr>
          <w:p w14:paraId="02E67EB9"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5F982AAA" w14:textId="77777777" w:rsidR="00DC5EC6" w:rsidRDefault="003245A4">
            <w:pPr>
              <w:pStyle w:val="P68B1DB1-Normal23"/>
              <w:spacing w:after="0"/>
              <w:jc w:val="both"/>
              <w:rPr>
                <w:rFonts w:eastAsia="Calibri" w:cs="Calibri"/>
                <w:noProof/>
              </w:rPr>
            </w:pPr>
            <w:r>
              <w:rPr>
                <w:noProof/>
              </w:rPr>
              <w:t>„Vállalkozás 2.0” információs rendszer</w:t>
            </w:r>
          </w:p>
        </w:tc>
      </w:tr>
      <w:tr w:rsidR="00DC5EC6" w14:paraId="066A4BC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68C5AC18" w14:textId="77777777" w:rsidR="00DC5EC6" w:rsidRDefault="003245A4">
            <w:pPr>
              <w:pStyle w:val="P68B1DB1-Normal23"/>
              <w:spacing w:after="0"/>
              <w:jc w:val="center"/>
              <w:rPr>
                <w:rFonts w:eastAsia="Calibri" w:cs="Calibri"/>
                <w:noProof/>
              </w:rPr>
            </w:pPr>
            <w:r>
              <w:rPr>
                <w:noProof/>
              </w:rPr>
              <w:t>20.6</w:t>
            </w:r>
          </w:p>
        </w:tc>
        <w:tc>
          <w:tcPr>
            <w:tcW w:w="1731" w:type="dxa"/>
            <w:tcBorders>
              <w:top w:val="nil"/>
              <w:left w:val="nil"/>
              <w:bottom w:val="single" w:sz="4" w:space="0" w:color="auto"/>
              <w:right w:val="single" w:sz="4" w:space="0" w:color="auto"/>
            </w:tcBorders>
            <w:shd w:val="clear" w:color="auto" w:fill="C4EFCE"/>
            <w:vAlign w:val="center"/>
            <w:hideMark/>
          </w:tcPr>
          <w:p w14:paraId="02680F3B" w14:textId="77777777" w:rsidR="00DC5EC6" w:rsidRDefault="003245A4">
            <w:pPr>
              <w:pStyle w:val="P68B1DB1-Normal23"/>
              <w:spacing w:after="0"/>
              <w:jc w:val="center"/>
              <w:rPr>
                <w:rFonts w:eastAsia="Calibri" w:cs="Calibri"/>
                <w:noProof/>
              </w:rPr>
            </w:pPr>
            <w:r>
              <w:rPr>
                <w:noProof/>
              </w:rPr>
              <w:t xml:space="preserve">TD-C20-i01  </w:t>
            </w:r>
          </w:p>
        </w:tc>
        <w:tc>
          <w:tcPr>
            <w:tcW w:w="1491" w:type="dxa"/>
            <w:tcBorders>
              <w:top w:val="nil"/>
              <w:left w:val="nil"/>
              <w:bottom w:val="single" w:sz="4" w:space="0" w:color="auto"/>
              <w:right w:val="single" w:sz="4" w:space="0" w:color="auto"/>
            </w:tcBorders>
            <w:shd w:val="clear" w:color="auto" w:fill="C4EFCE"/>
            <w:vAlign w:val="center"/>
            <w:hideMark/>
          </w:tcPr>
          <w:p w14:paraId="6D1CFD3C" w14:textId="77777777" w:rsidR="00DC5EC6" w:rsidRDefault="003245A4">
            <w:pPr>
              <w:pStyle w:val="P68B1DB1-Normal23"/>
              <w:spacing w:after="0"/>
              <w:jc w:val="center"/>
              <w:rPr>
                <w:rFonts w:eastAsia="Calibri" w:cs="Calibri"/>
                <w:noProof/>
              </w:rPr>
            </w:pPr>
            <w:r>
              <w:rPr>
                <w:noProof/>
              </w:rPr>
              <w:t>T</w:t>
            </w:r>
          </w:p>
        </w:tc>
        <w:tc>
          <w:tcPr>
            <w:tcW w:w="4919" w:type="dxa"/>
            <w:tcBorders>
              <w:top w:val="nil"/>
              <w:left w:val="nil"/>
              <w:bottom w:val="single" w:sz="4" w:space="0" w:color="auto"/>
              <w:right w:val="single" w:sz="4" w:space="0" w:color="auto"/>
            </w:tcBorders>
            <w:shd w:val="clear" w:color="auto" w:fill="C4EFCE"/>
            <w:vAlign w:val="center"/>
            <w:hideMark/>
          </w:tcPr>
          <w:p w14:paraId="0C2BC67C" w14:textId="77777777" w:rsidR="00DC5EC6" w:rsidRDefault="003245A4">
            <w:pPr>
              <w:pStyle w:val="P68B1DB1-Normal23"/>
              <w:spacing w:after="0"/>
              <w:jc w:val="both"/>
              <w:rPr>
                <w:rFonts w:eastAsia="Calibri" w:cs="Calibri"/>
                <w:noProof/>
              </w:rPr>
            </w:pPr>
            <w:r>
              <w:rPr>
                <w:noProof/>
              </w:rPr>
              <w:t>Osztálytermek új vetítőberendezéssel</w:t>
            </w:r>
          </w:p>
        </w:tc>
      </w:tr>
      <w:tr w:rsidR="00DC5EC6" w14:paraId="3F22673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36EADFA0" w14:textId="77777777" w:rsidR="00DC5EC6" w:rsidRDefault="003245A4">
            <w:pPr>
              <w:pStyle w:val="P68B1DB1-Normal23"/>
              <w:spacing w:after="0"/>
              <w:jc w:val="center"/>
              <w:rPr>
                <w:rFonts w:eastAsia="Calibri" w:cs="Calibri"/>
                <w:noProof/>
              </w:rPr>
            </w:pPr>
            <w:r>
              <w:rPr>
                <w:noProof/>
              </w:rPr>
              <w:t>21.12</w:t>
            </w:r>
          </w:p>
        </w:tc>
        <w:tc>
          <w:tcPr>
            <w:tcW w:w="1731" w:type="dxa"/>
            <w:tcBorders>
              <w:top w:val="nil"/>
              <w:left w:val="nil"/>
              <w:bottom w:val="single" w:sz="4" w:space="0" w:color="auto"/>
              <w:right w:val="single" w:sz="4" w:space="0" w:color="auto"/>
            </w:tcBorders>
            <w:shd w:val="clear" w:color="auto" w:fill="C4EFCE"/>
            <w:vAlign w:val="center"/>
            <w:hideMark/>
          </w:tcPr>
          <w:p w14:paraId="6B91C308" w14:textId="77777777" w:rsidR="00DC5EC6" w:rsidRDefault="003245A4">
            <w:pPr>
              <w:pStyle w:val="P68B1DB1-Normal23"/>
              <w:spacing w:after="0"/>
              <w:jc w:val="center"/>
              <w:rPr>
                <w:rFonts w:eastAsia="Calibri" w:cs="Calibri"/>
                <w:noProof/>
              </w:rPr>
            </w:pPr>
            <w:r>
              <w:rPr>
                <w:noProof/>
              </w:rPr>
              <w:t>RP-C21-i05</w:t>
            </w:r>
          </w:p>
        </w:tc>
        <w:tc>
          <w:tcPr>
            <w:tcW w:w="1491" w:type="dxa"/>
            <w:tcBorders>
              <w:top w:val="nil"/>
              <w:left w:val="nil"/>
              <w:bottom w:val="single" w:sz="4" w:space="0" w:color="auto"/>
              <w:right w:val="single" w:sz="4" w:space="0" w:color="auto"/>
            </w:tcBorders>
            <w:shd w:val="clear" w:color="auto" w:fill="C4EFCE"/>
            <w:vAlign w:val="center"/>
            <w:hideMark/>
          </w:tcPr>
          <w:p w14:paraId="51F3F5CD"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1729A8E5" w14:textId="77777777" w:rsidR="00DC5EC6" w:rsidRDefault="003245A4">
            <w:pPr>
              <w:pStyle w:val="P68B1DB1-Normal23"/>
              <w:spacing w:after="0"/>
              <w:jc w:val="both"/>
              <w:rPr>
                <w:rFonts w:eastAsia="Calibri" w:cs="Calibri"/>
                <w:noProof/>
              </w:rPr>
            </w:pPr>
            <w:r>
              <w:rPr>
                <w:noProof/>
              </w:rPr>
              <w:t>Az ipari projektek végrehajtására vonatkozó elfogadási feltételek aláírása</w:t>
            </w:r>
          </w:p>
        </w:tc>
        <w:tc>
          <w:tcPr>
            <w:tcW w:w="0" w:type="auto"/>
          </w:tcPr>
          <w:p w14:paraId="3441107D" w14:textId="77777777" w:rsidR="00DC5EC6" w:rsidRDefault="00DC5EC6">
            <w:pPr>
              <w:spacing w:after="0" w:line="240" w:lineRule="auto"/>
              <w:rPr>
                <w:noProof/>
                <w:sz w:val="18"/>
              </w:rPr>
            </w:pPr>
          </w:p>
        </w:tc>
      </w:tr>
      <w:tr w:rsidR="00DC5EC6" w14:paraId="62CE6F8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5DDD690" w14:textId="77777777" w:rsidR="00DC5EC6" w:rsidRDefault="003245A4">
            <w:pPr>
              <w:pStyle w:val="P68B1DB1-Normal23"/>
              <w:spacing w:after="0"/>
              <w:jc w:val="center"/>
              <w:rPr>
                <w:rFonts w:eastAsia="Calibri" w:cs="Calibri"/>
                <w:noProof/>
              </w:rPr>
            </w:pPr>
            <w:r>
              <w:rPr>
                <w:noProof/>
              </w:rPr>
              <w:t>21.17</w:t>
            </w:r>
          </w:p>
        </w:tc>
        <w:tc>
          <w:tcPr>
            <w:tcW w:w="1731" w:type="dxa"/>
            <w:tcBorders>
              <w:top w:val="nil"/>
              <w:left w:val="nil"/>
              <w:bottom w:val="single" w:sz="4" w:space="0" w:color="auto"/>
              <w:right w:val="single" w:sz="4" w:space="0" w:color="auto"/>
            </w:tcBorders>
            <w:shd w:val="clear" w:color="auto" w:fill="C4EFCE"/>
            <w:vAlign w:val="center"/>
            <w:hideMark/>
          </w:tcPr>
          <w:p w14:paraId="4A7D0D48" w14:textId="6D14D617" w:rsidR="00DC5EC6" w:rsidRDefault="003245A4">
            <w:pPr>
              <w:pStyle w:val="P68B1DB1-Normal23"/>
              <w:spacing w:after="0"/>
              <w:jc w:val="center"/>
              <w:rPr>
                <w:rFonts w:eastAsia="Calibri" w:cs="Calibri"/>
                <w:noProof/>
              </w:rPr>
            </w:pPr>
            <w:r>
              <w:rPr>
                <w:noProof/>
              </w:rPr>
              <w:t>RP-C21-r46</w:t>
            </w:r>
          </w:p>
        </w:tc>
        <w:tc>
          <w:tcPr>
            <w:tcW w:w="1491" w:type="dxa"/>
            <w:tcBorders>
              <w:top w:val="nil"/>
              <w:left w:val="nil"/>
              <w:bottom w:val="single" w:sz="4" w:space="0" w:color="auto"/>
              <w:right w:val="single" w:sz="4" w:space="0" w:color="auto"/>
            </w:tcBorders>
            <w:shd w:val="clear" w:color="auto" w:fill="C4EFCE"/>
            <w:vAlign w:val="center"/>
            <w:hideMark/>
          </w:tcPr>
          <w:p w14:paraId="3A735B1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767B978A" w14:textId="77777777" w:rsidR="00DC5EC6" w:rsidRDefault="003245A4">
            <w:pPr>
              <w:pStyle w:val="P68B1DB1-Normal23"/>
              <w:spacing w:after="0"/>
              <w:jc w:val="both"/>
              <w:rPr>
                <w:rFonts w:eastAsia="Calibri" w:cs="Calibri"/>
                <w:noProof/>
              </w:rPr>
            </w:pPr>
            <w:r>
              <w:rPr>
                <w:noProof/>
              </w:rPr>
              <w:t>A felülvizsgált Nemzeti Gázszállító Hálózati Rendelet és a Nemzeti Gázelosztóhálózat-rendelet hatálybalépése</w:t>
            </w:r>
          </w:p>
        </w:tc>
        <w:tc>
          <w:tcPr>
            <w:tcW w:w="0" w:type="auto"/>
          </w:tcPr>
          <w:p w14:paraId="7E717CD2" w14:textId="77777777" w:rsidR="00DC5EC6" w:rsidRDefault="00DC5EC6">
            <w:pPr>
              <w:spacing w:after="0" w:line="240" w:lineRule="auto"/>
              <w:rPr>
                <w:noProof/>
                <w:sz w:val="18"/>
              </w:rPr>
            </w:pPr>
          </w:p>
        </w:tc>
      </w:tr>
      <w:tr w:rsidR="00DC5EC6" w14:paraId="04CE7036"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498CBBC" w14:textId="77777777" w:rsidR="00DC5EC6" w:rsidRDefault="003245A4">
            <w:pPr>
              <w:pStyle w:val="P68B1DB1-Normal23"/>
              <w:spacing w:after="0"/>
              <w:jc w:val="center"/>
              <w:rPr>
                <w:rFonts w:eastAsia="Calibri" w:cs="Calibri"/>
                <w:noProof/>
              </w:rPr>
            </w:pPr>
            <w:r>
              <w:rPr>
                <w:noProof/>
              </w:rPr>
              <w:t>21.19</w:t>
            </w:r>
          </w:p>
        </w:tc>
        <w:tc>
          <w:tcPr>
            <w:tcW w:w="1731" w:type="dxa"/>
            <w:tcBorders>
              <w:top w:val="nil"/>
              <w:left w:val="nil"/>
              <w:bottom w:val="single" w:sz="4" w:space="0" w:color="auto"/>
              <w:right w:val="single" w:sz="4" w:space="0" w:color="auto"/>
            </w:tcBorders>
            <w:shd w:val="clear" w:color="auto" w:fill="C4EFCE"/>
            <w:vAlign w:val="center"/>
            <w:hideMark/>
          </w:tcPr>
          <w:p w14:paraId="14CCA84B" w14:textId="452A7EC5" w:rsidR="00DC5EC6" w:rsidRDefault="003245A4">
            <w:pPr>
              <w:pStyle w:val="P68B1DB1-Normal23"/>
              <w:spacing w:after="0"/>
              <w:jc w:val="center"/>
              <w:rPr>
                <w:rFonts w:eastAsia="Calibri" w:cs="Calibri"/>
                <w:noProof/>
              </w:rPr>
            </w:pPr>
            <w:r>
              <w:rPr>
                <w:noProof/>
              </w:rPr>
              <w:t>RP-C21-r47</w:t>
            </w:r>
          </w:p>
        </w:tc>
        <w:tc>
          <w:tcPr>
            <w:tcW w:w="1491" w:type="dxa"/>
            <w:tcBorders>
              <w:top w:val="nil"/>
              <w:left w:val="nil"/>
              <w:bottom w:val="single" w:sz="4" w:space="0" w:color="auto"/>
              <w:right w:val="single" w:sz="4" w:space="0" w:color="auto"/>
            </w:tcBorders>
            <w:shd w:val="clear" w:color="auto" w:fill="C4EFCE"/>
            <w:vAlign w:val="center"/>
            <w:hideMark/>
          </w:tcPr>
          <w:p w14:paraId="0A60F32E"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45DEC73" w14:textId="77777777" w:rsidR="00DC5EC6" w:rsidRDefault="003245A4">
            <w:pPr>
              <w:pStyle w:val="P68B1DB1-Normal23"/>
              <w:spacing w:after="0"/>
              <w:jc w:val="both"/>
              <w:rPr>
                <w:rFonts w:eastAsia="Calibri" w:cs="Calibri"/>
                <w:noProof/>
              </w:rPr>
            </w:pPr>
            <w:r>
              <w:rPr>
                <w:noProof/>
              </w:rPr>
              <w:t>A biometánra vonatkozó cselekvési terv elfogadása</w:t>
            </w:r>
          </w:p>
        </w:tc>
        <w:tc>
          <w:tcPr>
            <w:tcW w:w="0" w:type="auto"/>
          </w:tcPr>
          <w:p w14:paraId="6244CF38" w14:textId="77777777" w:rsidR="00DC5EC6" w:rsidRDefault="00DC5EC6">
            <w:pPr>
              <w:spacing w:after="0" w:line="240" w:lineRule="auto"/>
              <w:rPr>
                <w:noProof/>
                <w:sz w:val="18"/>
              </w:rPr>
            </w:pPr>
          </w:p>
        </w:tc>
      </w:tr>
      <w:tr w:rsidR="00DC5EC6" w14:paraId="614F83E7"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7EB38B6C" w14:textId="77777777" w:rsidR="00DC5EC6" w:rsidRDefault="003245A4">
            <w:pPr>
              <w:pStyle w:val="P68B1DB1-Normal23"/>
              <w:spacing w:after="0"/>
              <w:jc w:val="center"/>
              <w:rPr>
                <w:rFonts w:eastAsia="Calibri" w:cs="Calibri"/>
                <w:noProof/>
              </w:rPr>
            </w:pPr>
            <w:r>
              <w:rPr>
                <w:noProof/>
              </w:rPr>
              <w:t>21.22</w:t>
            </w:r>
          </w:p>
        </w:tc>
        <w:tc>
          <w:tcPr>
            <w:tcW w:w="1731" w:type="dxa"/>
            <w:tcBorders>
              <w:top w:val="nil"/>
              <w:left w:val="nil"/>
              <w:bottom w:val="single" w:sz="4" w:space="0" w:color="auto"/>
              <w:right w:val="single" w:sz="4" w:space="0" w:color="auto"/>
            </w:tcBorders>
            <w:shd w:val="clear" w:color="auto" w:fill="C4EFCE"/>
            <w:vAlign w:val="center"/>
            <w:hideMark/>
          </w:tcPr>
          <w:p w14:paraId="48F8BD33" w14:textId="5060F7CF" w:rsidR="00DC5EC6" w:rsidRDefault="003245A4">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97F16E3"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6B9DAF45" w14:textId="77777777" w:rsidR="00DC5EC6" w:rsidRDefault="003245A4">
            <w:pPr>
              <w:pStyle w:val="P68B1DB1-Normal23"/>
              <w:spacing w:after="0"/>
              <w:jc w:val="both"/>
              <w:rPr>
                <w:rFonts w:eastAsia="Calibri" w:cs="Calibri"/>
                <w:noProof/>
              </w:rPr>
            </w:pPr>
            <w:r>
              <w:rPr>
                <w:noProof/>
              </w:rPr>
              <w:t>A megújulóenergia-projektek engedélyezésében részt vevő személyzet képzése</w:t>
            </w:r>
          </w:p>
        </w:tc>
        <w:tc>
          <w:tcPr>
            <w:tcW w:w="0" w:type="auto"/>
          </w:tcPr>
          <w:p w14:paraId="1B59DBBC" w14:textId="77777777" w:rsidR="00DC5EC6" w:rsidRDefault="00DC5EC6">
            <w:pPr>
              <w:spacing w:after="0" w:line="240" w:lineRule="auto"/>
              <w:rPr>
                <w:noProof/>
                <w:sz w:val="18"/>
              </w:rPr>
            </w:pPr>
          </w:p>
        </w:tc>
      </w:tr>
      <w:tr w:rsidR="00DC5EC6" w14:paraId="1A789DEE" w14:textId="77777777">
        <w:trPr>
          <w:gridAfter w:val="1"/>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42840F22" w14:textId="77777777" w:rsidR="00DC5EC6" w:rsidRDefault="003245A4">
            <w:pPr>
              <w:pStyle w:val="P68B1DB1-Normal23"/>
              <w:spacing w:after="0"/>
              <w:jc w:val="center"/>
              <w:rPr>
                <w:rFonts w:eastAsia="Calibri" w:cs="Calibri"/>
                <w:noProof/>
              </w:rPr>
            </w:pPr>
            <w:r>
              <w:rPr>
                <w:noProof/>
              </w:rPr>
              <w:t>21.23</w:t>
            </w:r>
          </w:p>
        </w:tc>
        <w:tc>
          <w:tcPr>
            <w:tcW w:w="1731" w:type="dxa"/>
            <w:tcBorders>
              <w:top w:val="nil"/>
              <w:left w:val="nil"/>
              <w:bottom w:val="single" w:sz="4" w:space="0" w:color="auto"/>
              <w:right w:val="single" w:sz="4" w:space="0" w:color="auto"/>
            </w:tcBorders>
            <w:shd w:val="clear" w:color="auto" w:fill="C4EFCE"/>
            <w:vAlign w:val="center"/>
            <w:hideMark/>
          </w:tcPr>
          <w:p w14:paraId="5F455980" w14:textId="7B09C91A" w:rsidR="00DC5EC6" w:rsidRDefault="003245A4">
            <w:pPr>
              <w:pStyle w:val="P68B1DB1-Normal23"/>
              <w:spacing w:after="0"/>
              <w:jc w:val="center"/>
              <w:rPr>
                <w:rFonts w:eastAsia="Calibri" w:cs="Calibri"/>
                <w:noProof/>
              </w:rPr>
            </w:pPr>
            <w:r>
              <w:rPr>
                <w:noProof/>
              </w:rPr>
              <w:t>RP-C21-r48</w:t>
            </w:r>
          </w:p>
        </w:tc>
        <w:tc>
          <w:tcPr>
            <w:tcW w:w="1491" w:type="dxa"/>
            <w:tcBorders>
              <w:top w:val="nil"/>
              <w:left w:val="nil"/>
              <w:bottom w:val="single" w:sz="4" w:space="0" w:color="auto"/>
              <w:right w:val="single" w:sz="4" w:space="0" w:color="auto"/>
            </w:tcBorders>
            <w:shd w:val="clear" w:color="auto" w:fill="C4EFCE"/>
            <w:vAlign w:val="center"/>
            <w:hideMark/>
          </w:tcPr>
          <w:p w14:paraId="02876EA7"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20ACA668" w14:textId="77777777" w:rsidR="00DC5EC6" w:rsidRDefault="003245A4">
            <w:pPr>
              <w:pStyle w:val="P68B1DB1-Normal23"/>
              <w:spacing w:after="0"/>
              <w:jc w:val="both"/>
              <w:rPr>
                <w:rFonts w:eastAsia="Calibri" w:cs="Calibri"/>
                <w:noProof/>
              </w:rPr>
            </w:pPr>
            <w:r>
              <w:rPr>
                <w:noProof/>
              </w:rPr>
              <w:t>Az új megújulóenergia-kapacitás elosztására vonatkozó ütemterv elfogadása, különös tekintettel a „megújuló cél – területek” ágazati programból eredő földrajzi területekre</w:t>
            </w:r>
          </w:p>
        </w:tc>
      </w:tr>
      <w:tr w:rsidR="00DC5EC6" w14:paraId="06A277B8"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4F7C25" w14:textId="77777777" w:rsidR="00DC5EC6" w:rsidRDefault="003245A4">
            <w:pPr>
              <w:pStyle w:val="P68B1DB1-Normal23"/>
              <w:spacing w:after="0"/>
              <w:jc w:val="center"/>
              <w:rPr>
                <w:rFonts w:eastAsia="Calibri" w:cs="Calibri"/>
                <w:noProof/>
              </w:rPr>
            </w:pPr>
            <w:r>
              <w:rPr>
                <w:noProof/>
              </w:rPr>
              <w:t>21.26</w:t>
            </w:r>
          </w:p>
        </w:tc>
        <w:tc>
          <w:tcPr>
            <w:tcW w:w="1731" w:type="dxa"/>
            <w:tcBorders>
              <w:top w:val="nil"/>
              <w:left w:val="nil"/>
              <w:bottom w:val="single" w:sz="4" w:space="0" w:color="auto"/>
              <w:right w:val="single" w:sz="4" w:space="0" w:color="auto"/>
            </w:tcBorders>
            <w:shd w:val="clear" w:color="auto" w:fill="C4EFCE"/>
            <w:vAlign w:val="center"/>
            <w:hideMark/>
          </w:tcPr>
          <w:p w14:paraId="245A5243" w14:textId="32E9BC0F" w:rsidR="00DC5EC6" w:rsidRDefault="003245A4">
            <w:pPr>
              <w:pStyle w:val="P68B1DB1-Normal23"/>
              <w:spacing w:after="0"/>
              <w:jc w:val="center"/>
              <w:rPr>
                <w:rFonts w:eastAsia="Calibri" w:cs="Calibri"/>
                <w:noProof/>
              </w:rPr>
            </w:pPr>
            <w:r>
              <w:rPr>
                <w:noProof/>
              </w:rPr>
              <w:t>RP-C21-i07</w:t>
            </w:r>
          </w:p>
        </w:tc>
        <w:tc>
          <w:tcPr>
            <w:tcW w:w="1491" w:type="dxa"/>
            <w:tcBorders>
              <w:top w:val="nil"/>
              <w:left w:val="nil"/>
              <w:bottom w:val="single" w:sz="4" w:space="0" w:color="auto"/>
              <w:right w:val="single" w:sz="4" w:space="0" w:color="auto"/>
            </w:tcBorders>
            <w:shd w:val="clear" w:color="auto" w:fill="C4EFCE"/>
            <w:vAlign w:val="center"/>
            <w:hideMark/>
          </w:tcPr>
          <w:p w14:paraId="38129E5F"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3D5267AC" w14:textId="77777777" w:rsidR="00DC5EC6" w:rsidRDefault="003245A4">
            <w:pPr>
              <w:pStyle w:val="P68B1DB1-Normal23"/>
              <w:spacing w:after="0"/>
              <w:jc w:val="both"/>
              <w:rPr>
                <w:rFonts w:eastAsia="Calibri" w:cs="Calibri"/>
                <w:noProof/>
              </w:rPr>
            </w:pPr>
            <w:r>
              <w:rPr>
                <w:noProof/>
              </w:rPr>
              <w:t>A tengeri műszaki tanulmányokra vonatkozó szerződés(ek) aláírása</w:t>
            </w:r>
          </w:p>
        </w:tc>
        <w:tc>
          <w:tcPr>
            <w:tcW w:w="0" w:type="auto"/>
          </w:tcPr>
          <w:p w14:paraId="1D5FFE10" w14:textId="77777777" w:rsidR="00DC5EC6" w:rsidRDefault="00DC5EC6">
            <w:pPr>
              <w:spacing w:after="0" w:line="240" w:lineRule="auto"/>
              <w:rPr>
                <w:noProof/>
                <w:sz w:val="18"/>
              </w:rPr>
            </w:pPr>
          </w:p>
        </w:tc>
      </w:tr>
      <w:tr w:rsidR="00DC5EC6" w14:paraId="74F928D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1D78166" w14:textId="77777777" w:rsidR="00DC5EC6" w:rsidRDefault="003245A4">
            <w:pPr>
              <w:pStyle w:val="P68B1DB1-Normal23"/>
              <w:spacing w:after="0"/>
              <w:jc w:val="center"/>
              <w:rPr>
                <w:rFonts w:eastAsia="Calibri" w:cs="Calibri"/>
                <w:noProof/>
              </w:rPr>
            </w:pPr>
            <w:r>
              <w:rPr>
                <w:noProof/>
              </w:rPr>
              <w:t>21.28</w:t>
            </w:r>
          </w:p>
        </w:tc>
        <w:tc>
          <w:tcPr>
            <w:tcW w:w="1731" w:type="dxa"/>
            <w:tcBorders>
              <w:top w:val="nil"/>
              <w:left w:val="nil"/>
              <w:bottom w:val="single" w:sz="4" w:space="0" w:color="auto"/>
              <w:right w:val="single" w:sz="4" w:space="0" w:color="auto"/>
            </w:tcBorders>
            <w:shd w:val="clear" w:color="auto" w:fill="C4EFCE"/>
            <w:vAlign w:val="center"/>
            <w:hideMark/>
          </w:tcPr>
          <w:p w14:paraId="638BD854" w14:textId="7CBF63B7" w:rsidR="00DC5EC6" w:rsidRDefault="003245A4">
            <w:pPr>
              <w:pStyle w:val="P68B1DB1-Normal23"/>
              <w:spacing w:after="0"/>
              <w:jc w:val="center"/>
              <w:rPr>
                <w:rFonts w:eastAsia="Calibri" w:cs="Calibri"/>
                <w:noProof/>
              </w:rPr>
            </w:pPr>
            <w:r>
              <w:rPr>
                <w:noProof/>
              </w:rPr>
              <w:t>RP-C21-i08</w:t>
            </w:r>
          </w:p>
        </w:tc>
        <w:tc>
          <w:tcPr>
            <w:tcW w:w="1491" w:type="dxa"/>
            <w:tcBorders>
              <w:top w:val="nil"/>
              <w:left w:val="nil"/>
              <w:bottom w:val="single" w:sz="4" w:space="0" w:color="auto"/>
              <w:right w:val="single" w:sz="4" w:space="0" w:color="auto"/>
            </w:tcBorders>
            <w:shd w:val="clear" w:color="auto" w:fill="C4EFCE"/>
            <w:vAlign w:val="center"/>
            <w:hideMark/>
          </w:tcPr>
          <w:p w14:paraId="06F70A27"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E4D2267" w14:textId="77777777" w:rsidR="00DC5EC6" w:rsidRDefault="003245A4">
            <w:pPr>
              <w:pStyle w:val="P68B1DB1-Normal23"/>
              <w:spacing w:after="0"/>
              <w:jc w:val="both"/>
              <w:rPr>
                <w:rFonts w:eastAsia="Calibri" w:cs="Calibri"/>
                <w:noProof/>
              </w:rPr>
            </w:pPr>
            <w:r>
              <w:rPr>
                <w:noProof/>
              </w:rPr>
              <w:t>A villamosenergia-tároló kapacitás létesítésére vonatkozó elfogadási feltételek aláírása</w:t>
            </w:r>
          </w:p>
        </w:tc>
        <w:tc>
          <w:tcPr>
            <w:tcW w:w="0" w:type="auto"/>
          </w:tcPr>
          <w:p w14:paraId="002DB804" w14:textId="77777777" w:rsidR="00DC5EC6" w:rsidRDefault="00DC5EC6">
            <w:pPr>
              <w:spacing w:after="0" w:line="240" w:lineRule="auto"/>
              <w:rPr>
                <w:noProof/>
                <w:sz w:val="18"/>
              </w:rPr>
            </w:pPr>
          </w:p>
        </w:tc>
      </w:tr>
      <w:tr w:rsidR="00DC5EC6" w14:paraId="56A7925E"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15A0096A" w14:textId="77777777" w:rsidR="00DC5EC6" w:rsidRDefault="003245A4">
            <w:pPr>
              <w:pStyle w:val="P68B1DB1-Normal23"/>
              <w:spacing w:after="0"/>
              <w:jc w:val="center"/>
              <w:rPr>
                <w:rFonts w:eastAsia="Calibri" w:cs="Calibri"/>
                <w:noProof/>
              </w:rPr>
            </w:pPr>
            <w:r>
              <w:rPr>
                <w:noProof/>
              </w:rPr>
              <w:t>21.35</w:t>
            </w:r>
          </w:p>
        </w:tc>
        <w:tc>
          <w:tcPr>
            <w:tcW w:w="1731" w:type="dxa"/>
            <w:tcBorders>
              <w:top w:val="nil"/>
              <w:left w:val="nil"/>
              <w:bottom w:val="single" w:sz="4" w:space="0" w:color="auto"/>
              <w:right w:val="single" w:sz="4" w:space="0" w:color="auto"/>
            </w:tcBorders>
            <w:shd w:val="clear" w:color="auto" w:fill="C4EFCE"/>
            <w:vAlign w:val="center"/>
            <w:hideMark/>
          </w:tcPr>
          <w:p w14:paraId="3795D271" w14:textId="17BBBA36" w:rsidR="00DC5EC6" w:rsidRDefault="003245A4">
            <w:pPr>
              <w:pStyle w:val="P68B1DB1-Normal23"/>
              <w:spacing w:after="0"/>
              <w:jc w:val="center"/>
              <w:rPr>
                <w:rFonts w:eastAsia="Calibri" w:cs="Calibri"/>
                <w:noProof/>
              </w:rPr>
            </w:pPr>
            <w:r>
              <w:rPr>
                <w:noProof/>
              </w:rPr>
              <w:t>RP-C21–i12</w:t>
            </w:r>
          </w:p>
        </w:tc>
        <w:tc>
          <w:tcPr>
            <w:tcW w:w="1491" w:type="dxa"/>
            <w:tcBorders>
              <w:top w:val="nil"/>
              <w:left w:val="nil"/>
              <w:bottom w:val="single" w:sz="4" w:space="0" w:color="auto"/>
              <w:right w:val="single" w:sz="4" w:space="0" w:color="auto"/>
            </w:tcBorders>
            <w:shd w:val="clear" w:color="auto" w:fill="C4EFCE"/>
            <w:vAlign w:val="center"/>
            <w:hideMark/>
          </w:tcPr>
          <w:p w14:paraId="09B715F7"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hideMark/>
          </w:tcPr>
          <w:p w14:paraId="4FD26132" w14:textId="77777777" w:rsidR="00DC5EC6" w:rsidRDefault="003245A4">
            <w:pPr>
              <w:pStyle w:val="P68B1DB1-Normal23"/>
              <w:spacing w:after="0"/>
              <w:jc w:val="both"/>
              <w:rPr>
                <w:rFonts w:eastAsia="Calibri" w:cs="Calibri"/>
                <w:noProof/>
              </w:rPr>
            </w:pPr>
            <w:r>
              <w:rPr>
                <w:noProof/>
              </w:rPr>
              <w:t>A tiszta buszok beszerzésére vonatkozó szerződés aláírása a tömegközlekedés szén-dioxid-mentesítési programja keretében</w:t>
            </w:r>
          </w:p>
        </w:tc>
        <w:tc>
          <w:tcPr>
            <w:tcW w:w="0" w:type="auto"/>
          </w:tcPr>
          <w:p w14:paraId="54E7AB68" w14:textId="77777777" w:rsidR="00DC5EC6" w:rsidRDefault="00DC5EC6">
            <w:pPr>
              <w:spacing w:after="0" w:line="240" w:lineRule="auto"/>
              <w:rPr>
                <w:noProof/>
                <w:sz w:val="18"/>
              </w:rPr>
            </w:pPr>
          </w:p>
        </w:tc>
      </w:tr>
      <w:tr w:rsidR="00DC5EC6" w14:paraId="2005FDB3"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tcPr>
          <w:p w14:paraId="75A6F4F7" w14:textId="77777777" w:rsidR="00DC5EC6" w:rsidRDefault="003245A4">
            <w:pPr>
              <w:pStyle w:val="P68B1DB1-Normal23"/>
              <w:spacing w:after="0"/>
              <w:jc w:val="center"/>
              <w:rPr>
                <w:rFonts w:eastAsia="Calibri" w:cs="Calibri"/>
                <w:noProof/>
              </w:rPr>
            </w:pPr>
            <w:r>
              <w:rPr>
                <w:noProof/>
              </w:rPr>
              <w:t>21.40</w:t>
            </w:r>
          </w:p>
        </w:tc>
        <w:tc>
          <w:tcPr>
            <w:tcW w:w="1731" w:type="dxa"/>
            <w:tcBorders>
              <w:top w:val="nil"/>
              <w:left w:val="nil"/>
              <w:bottom w:val="single" w:sz="4" w:space="0" w:color="auto"/>
              <w:right w:val="single" w:sz="4" w:space="0" w:color="auto"/>
            </w:tcBorders>
            <w:shd w:val="clear" w:color="auto" w:fill="C4EFCE"/>
            <w:vAlign w:val="center"/>
          </w:tcPr>
          <w:p w14:paraId="21109940" w14:textId="77777777" w:rsidR="00DC5EC6" w:rsidRDefault="003245A4">
            <w:pPr>
              <w:pStyle w:val="P68B1DB1-Normal23"/>
              <w:spacing w:after="0"/>
              <w:jc w:val="center"/>
              <w:rPr>
                <w:rFonts w:eastAsia="Calibri" w:cs="Calibri"/>
                <w:noProof/>
              </w:rPr>
            </w:pPr>
            <w:r>
              <w:rPr>
                <w:noProof/>
              </w:rPr>
              <w:t>RP-C21-i15-RAA</w:t>
            </w:r>
          </w:p>
        </w:tc>
        <w:tc>
          <w:tcPr>
            <w:tcW w:w="1491" w:type="dxa"/>
            <w:tcBorders>
              <w:top w:val="nil"/>
              <w:left w:val="nil"/>
              <w:bottom w:val="single" w:sz="4" w:space="0" w:color="auto"/>
              <w:right w:val="single" w:sz="4" w:space="0" w:color="auto"/>
            </w:tcBorders>
            <w:shd w:val="clear" w:color="auto" w:fill="C4EFCE"/>
            <w:vAlign w:val="center"/>
          </w:tcPr>
          <w:p w14:paraId="14D3E6EC" w14:textId="77777777" w:rsidR="00DC5EC6" w:rsidRDefault="003245A4">
            <w:pPr>
              <w:pStyle w:val="P68B1DB1-Normal23"/>
              <w:spacing w:after="0"/>
              <w:jc w:val="center"/>
              <w:rPr>
                <w:rFonts w:eastAsia="Calibri" w:cs="Calibri"/>
                <w:noProof/>
              </w:rPr>
            </w:pPr>
            <w:r>
              <w:rPr>
                <w:noProof/>
              </w:rPr>
              <w:t>M</w:t>
            </w:r>
          </w:p>
        </w:tc>
        <w:tc>
          <w:tcPr>
            <w:tcW w:w="4919" w:type="dxa"/>
            <w:tcBorders>
              <w:top w:val="nil"/>
              <w:left w:val="nil"/>
              <w:bottom w:val="single" w:sz="4" w:space="0" w:color="auto"/>
              <w:right w:val="single" w:sz="4" w:space="0" w:color="auto"/>
            </w:tcBorders>
            <w:shd w:val="clear" w:color="auto" w:fill="C4EFCE"/>
            <w:vAlign w:val="center"/>
          </w:tcPr>
          <w:p w14:paraId="204EA7D4" w14:textId="77777777" w:rsidR="00DC5EC6" w:rsidRDefault="003245A4">
            <w:pPr>
              <w:pStyle w:val="P68B1DB1-Normal23"/>
              <w:spacing w:after="0"/>
              <w:jc w:val="both"/>
              <w:rPr>
                <w:rFonts w:eastAsia="Calibri" w:cs="Calibri"/>
                <w:noProof/>
              </w:rPr>
            </w:pPr>
            <w:r>
              <w:rPr>
                <w:noProof/>
              </w:rPr>
              <w:t>A Pico, Faial és São Jorge szigetek közötti személy- és járműszállításra szolgáló két elektromos komphajó megvásárlására vonatkozó szerződés aláírása</w:t>
            </w:r>
          </w:p>
        </w:tc>
        <w:tc>
          <w:tcPr>
            <w:tcW w:w="0" w:type="auto"/>
          </w:tcPr>
          <w:p w14:paraId="04893D6C" w14:textId="77777777" w:rsidR="00DC5EC6" w:rsidRDefault="00DC5EC6">
            <w:pPr>
              <w:spacing w:after="0" w:line="240" w:lineRule="auto"/>
              <w:rPr>
                <w:noProof/>
                <w:sz w:val="18"/>
              </w:rPr>
            </w:pPr>
          </w:p>
        </w:tc>
      </w:tr>
      <w:tr w:rsidR="00DC5EC6" w14:paraId="6B53B022" w14:textId="77777777">
        <w:trPr>
          <w:trHeight w:val="440"/>
        </w:trPr>
        <w:tc>
          <w:tcPr>
            <w:tcW w:w="1177" w:type="dxa"/>
            <w:tcBorders>
              <w:top w:val="nil"/>
              <w:left w:val="single" w:sz="4" w:space="0" w:color="auto"/>
              <w:bottom w:val="single" w:sz="4" w:space="0" w:color="auto"/>
              <w:right w:val="single" w:sz="4" w:space="0" w:color="auto"/>
            </w:tcBorders>
            <w:shd w:val="clear" w:color="auto" w:fill="C4EFCE"/>
            <w:vAlign w:val="center"/>
            <w:hideMark/>
          </w:tcPr>
          <w:p w14:paraId="20E28EFA" w14:textId="77777777" w:rsidR="00DC5EC6" w:rsidRDefault="00DC5EC6">
            <w:pPr>
              <w:jc w:val="center"/>
              <w:rPr>
                <w:rFonts w:ascii="Calibri" w:eastAsia="Calibri" w:hAnsi="Calibri" w:cs="Calibri"/>
                <w:noProof/>
                <w:sz w:val="16"/>
              </w:rPr>
            </w:pPr>
          </w:p>
        </w:tc>
        <w:tc>
          <w:tcPr>
            <w:tcW w:w="1731" w:type="dxa"/>
            <w:tcBorders>
              <w:top w:val="nil"/>
              <w:left w:val="nil"/>
              <w:bottom w:val="single" w:sz="4" w:space="0" w:color="auto"/>
              <w:right w:val="single" w:sz="4" w:space="0" w:color="auto"/>
            </w:tcBorders>
            <w:shd w:val="clear" w:color="auto" w:fill="C4EFCE"/>
            <w:vAlign w:val="center"/>
            <w:hideMark/>
          </w:tcPr>
          <w:p w14:paraId="2E93C338" w14:textId="77777777" w:rsidR="00DC5EC6" w:rsidRDefault="00DC5EC6">
            <w:pPr>
              <w:jc w:val="center"/>
              <w:rPr>
                <w:rFonts w:ascii="Calibri" w:eastAsia="Calibri" w:hAnsi="Calibri" w:cs="Calibri"/>
                <w:noProof/>
                <w:sz w:val="16"/>
              </w:rPr>
            </w:pPr>
          </w:p>
        </w:tc>
        <w:tc>
          <w:tcPr>
            <w:tcW w:w="1491" w:type="dxa"/>
            <w:tcBorders>
              <w:top w:val="nil"/>
              <w:left w:val="nil"/>
              <w:bottom w:val="single" w:sz="4" w:space="0" w:color="auto"/>
              <w:right w:val="single" w:sz="4" w:space="0" w:color="auto"/>
            </w:tcBorders>
            <w:shd w:val="clear" w:color="auto" w:fill="C4EFCE"/>
            <w:vAlign w:val="center"/>
            <w:hideMark/>
          </w:tcPr>
          <w:p w14:paraId="75B5103C" w14:textId="77777777" w:rsidR="00DC5EC6" w:rsidRDefault="003245A4">
            <w:pPr>
              <w:pStyle w:val="P68B1DB1-Normal24"/>
              <w:spacing w:after="0" w:line="240" w:lineRule="auto"/>
              <w:jc w:val="center"/>
              <w:rPr>
                <w:rFonts w:eastAsia="Times New Roman" w:cs="Calibri"/>
                <w:noProof/>
              </w:rPr>
            </w:pPr>
            <w:r>
              <w:rPr>
                <w:noProof/>
              </w:rPr>
              <w:t>Részösszeg</w:t>
            </w:r>
          </w:p>
        </w:tc>
        <w:tc>
          <w:tcPr>
            <w:tcW w:w="4919" w:type="dxa"/>
            <w:tcBorders>
              <w:top w:val="nil"/>
              <w:left w:val="nil"/>
              <w:bottom w:val="single" w:sz="4" w:space="0" w:color="auto"/>
              <w:right w:val="single" w:sz="4" w:space="0" w:color="auto"/>
            </w:tcBorders>
            <w:shd w:val="clear" w:color="auto" w:fill="C4EFCE"/>
            <w:vAlign w:val="center"/>
            <w:hideMark/>
          </w:tcPr>
          <w:p w14:paraId="3E3CC648" w14:textId="2B08B464" w:rsidR="00DC5EC6" w:rsidRDefault="003245A4">
            <w:pPr>
              <w:pStyle w:val="P68B1DB1-Normal25"/>
              <w:spacing w:after="0" w:line="240" w:lineRule="auto"/>
              <w:jc w:val="center"/>
              <w:rPr>
                <w:rFonts w:cs="Calibri"/>
                <w:noProof/>
              </w:rPr>
            </w:pPr>
            <w:r>
              <w:rPr>
                <w:noProof/>
              </w:rPr>
              <w:t xml:space="preserve"> ·EURÓPAI BIZOTTSÁG 1 501 588 718 EUR </w:t>
            </w:r>
          </w:p>
        </w:tc>
        <w:tc>
          <w:tcPr>
            <w:tcW w:w="0" w:type="auto"/>
          </w:tcPr>
          <w:p w14:paraId="3C8F94FE" w14:textId="77777777" w:rsidR="00DC5EC6" w:rsidRDefault="00DC5EC6">
            <w:pPr>
              <w:spacing w:after="0" w:line="240" w:lineRule="auto"/>
              <w:rPr>
                <w:noProof/>
              </w:rPr>
            </w:pPr>
          </w:p>
        </w:tc>
      </w:tr>
    </w:tbl>
    <w:p w14:paraId="0498FCB8"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7C23D5C3"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Hetedik kifizetési kérelem (vissza nem térítendő támogatás): </w:t>
      </w:r>
    </w:p>
    <w:p w14:paraId="05CC9F8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2089B95C" w14:textId="77777777">
        <w:trPr>
          <w:trHeight w:val="509"/>
          <w:tblHeader/>
        </w:trPr>
        <w:tc>
          <w:tcPr>
            <w:tcW w:w="1200" w:type="dxa"/>
            <w:vMerge w:val="restart"/>
            <w:shd w:val="clear" w:color="auto" w:fill="BDD7EE"/>
            <w:vAlign w:val="center"/>
            <w:hideMark/>
          </w:tcPr>
          <w:p w14:paraId="1610403B"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087CD088"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758B49E"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6115E89D"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74F34BCB" w14:textId="77777777">
        <w:trPr>
          <w:trHeight w:val="509"/>
          <w:tblHeader/>
        </w:trPr>
        <w:tc>
          <w:tcPr>
            <w:tcW w:w="1200" w:type="dxa"/>
            <w:vMerge/>
            <w:vAlign w:val="center"/>
            <w:hideMark/>
          </w:tcPr>
          <w:p w14:paraId="5E98CE98" w14:textId="77777777" w:rsidR="00DC5EC6" w:rsidRDefault="00DC5EC6">
            <w:pPr>
              <w:spacing w:after="0" w:line="240" w:lineRule="auto"/>
              <w:rPr>
                <w:rFonts w:ascii="Times New Roman" w:eastAsia="Times New Roman" w:hAnsi="Times New Roman" w:cs="Times New Roman"/>
                <w:b/>
                <w:noProof/>
                <w:sz w:val="20"/>
              </w:rPr>
            </w:pPr>
          </w:p>
        </w:tc>
        <w:tc>
          <w:tcPr>
            <w:tcW w:w="1760" w:type="dxa"/>
            <w:vMerge/>
            <w:vAlign w:val="center"/>
            <w:hideMark/>
          </w:tcPr>
          <w:p w14:paraId="273A84B2" w14:textId="77777777" w:rsidR="00DC5EC6" w:rsidRDefault="00DC5EC6">
            <w:pPr>
              <w:spacing w:after="0" w:line="240" w:lineRule="auto"/>
              <w:rPr>
                <w:rFonts w:ascii="Times New Roman" w:eastAsia="Times New Roman" w:hAnsi="Times New Roman" w:cs="Times New Roman"/>
                <w:b/>
                <w:noProof/>
                <w:sz w:val="20"/>
              </w:rPr>
            </w:pPr>
          </w:p>
        </w:tc>
        <w:tc>
          <w:tcPr>
            <w:tcW w:w="1520" w:type="dxa"/>
            <w:vMerge/>
            <w:vAlign w:val="center"/>
            <w:hideMark/>
          </w:tcPr>
          <w:p w14:paraId="0B017496" w14:textId="77777777" w:rsidR="00DC5EC6" w:rsidRDefault="00DC5EC6">
            <w:pPr>
              <w:spacing w:after="0" w:line="240" w:lineRule="auto"/>
              <w:rPr>
                <w:rFonts w:ascii="Times New Roman" w:eastAsia="Times New Roman" w:hAnsi="Times New Roman" w:cs="Times New Roman"/>
                <w:b/>
                <w:noProof/>
                <w:sz w:val="20"/>
              </w:rPr>
            </w:pPr>
          </w:p>
        </w:tc>
        <w:tc>
          <w:tcPr>
            <w:tcW w:w="5060" w:type="dxa"/>
            <w:vMerge/>
            <w:vAlign w:val="center"/>
            <w:hideMark/>
          </w:tcPr>
          <w:p w14:paraId="51E262C0" w14:textId="77777777" w:rsidR="00DC5EC6" w:rsidRDefault="00DC5EC6">
            <w:pPr>
              <w:spacing w:after="0" w:line="240" w:lineRule="auto"/>
              <w:rPr>
                <w:rFonts w:ascii="Times New Roman" w:eastAsia="Times New Roman" w:hAnsi="Times New Roman" w:cs="Times New Roman"/>
                <w:b/>
                <w:noProof/>
                <w:sz w:val="20"/>
              </w:rPr>
            </w:pPr>
          </w:p>
        </w:tc>
      </w:tr>
      <w:tr w:rsidR="00DC5EC6" w14:paraId="78D2FC43" w14:textId="77777777">
        <w:trPr>
          <w:trHeight w:val="440"/>
        </w:trPr>
        <w:tc>
          <w:tcPr>
            <w:tcW w:w="1200" w:type="dxa"/>
            <w:shd w:val="clear" w:color="auto" w:fill="C4EFCE"/>
            <w:vAlign w:val="center"/>
            <w:hideMark/>
          </w:tcPr>
          <w:p w14:paraId="34AFA81A" w14:textId="77777777" w:rsidR="00DC5EC6" w:rsidRDefault="003245A4">
            <w:pPr>
              <w:pStyle w:val="P68B1DB1-Normal23"/>
              <w:spacing w:after="0"/>
              <w:jc w:val="center"/>
              <w:rPr>
                <w:rFonts w:eastAsia="Calibri" w:cs="Calibri"/>
                <w:noProof/>
              </w:rPr>
            </w:pPr>
            <w:r>
              <w:rPr>
                <w:noProof/>
              </w:rPr>
              <w:t>1.10</w:t>
            </w:r>
          </w:p>
        </w:tc>
        <w:tc>
          <w:tcPr>
            <w:tcW w:w="1760" w:type="dxa"/>
            <w:shd w:val="clear" w:color="auto" w:fill="C4EFCE"/>
            <w:vAlign w:val="center"/>
            <w:hideMark/>
          </w:tcPr>
          <w:p w14:paraId="51D0C2F0" w14:textId="77777777" w:rsidR="00DC5EC6" w:rsidRDefault="003245A4">
            <w:pPr>
              <w:pStyle w:val="P68B1DB1-Normal23"/>
              <w:spacing w:after="0"/>
              <w:jc w:val="center"/>
              <w:rPr>
                <w:rFonts w:eastAsia="Calibri" w:cs="Calibri"/>
                <w:noProof/>
              </w:rPr>
            </w:pPr>
            <w:r>
              <w:rPr>
                <w:noProof/>
              </w:rPr>
              <w:t>Re-C01-r03</w:t>
            </w:r>
          </w:p>
        </w:tc>
        <w:tc>
          <w:tcPr>
            <w:tcW w:w="1520" w:type="dxa"/>
            <w:shd w:val="clear" w:color="auto" w:fill="C4EFCE"/>
            <w:vAlign w:val="center"/>
            <w:hideMark/>
          </w:tcPr>
          <w:p w14:paraId="50D354B1"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664EC88" w14:textId="77777777" w:rsidR="00DC5EC6" w:rsidRDefault="003245A4">
            <w:pPr>
              <w:pStyle w:val="P68B1DB1-Normal23"/>
              <w:spacing w:after="0"/>
              <w:jc w:val="both"/>
              <w:rPr>
                <w:rFonts w:eastAsia="Calibri" w:cs="Calibri"/>
                <w:noProof/>
              </w:rPr>
            </w:pPr>
            <w:r>
              <w:rPr>
                <w:noProof/>
              </w:rPr>
              <w:t>A házi kórházi ápolásra való reagálás megerősítése a Nemzeti Egészségügyi Szolgálat kórházaiban</w:t>
            </w:r>
          </w:p>
        </w:tc>
      </w:tr>
      <w:tr w:rsidR="00DC5EC6" w14:paraId="281EF144" w14:textId="77777777">
        <w:trPr>
          <w:trHeight w:val="440"/>
        </w:trPr>
        <w:tc>
          <w:tcPr>
            <w:tcW w:w="1200" w:type="dxa"/>
            <w:shd w:val="clear" w:color="auto" w:fill="C4EFCE"/>
            <w:vAlign w:val="center"/>
            <w:hideMark/>
          </w:tcPr>
          <w:p w14:paraId="512494E5" w14:textId="77777777" w:rsidR="00DC5EC6" w:rsidRDefault="003245A4">
            <w:pPr>
              <w:pStyle w:val="P68B1DB1-Normal23"/>
              <w:spacing w:after="0"/>
              <w:jc w:val="center"/>
              <w:rPr>
                <w:rFonts w:eastAsia="Calibri" w:cs="Calibri"/>
                <w:noProof/>
              </w:rPr>
            </w:pPr>
            <w:r>
              <w:rPr>
                <w:noProof/>
              </w:rPr>
              <w:t>1.14</w:t>
            </w:r>
          </w:p>
        </w:tc>
        <w:tc>
          <w:tcPr>
            <w:tcW w:w="1760" w:type="dxa"/>
            <w:shd w:val="clear" w:color="auto" w:fill="C4EFCE"/>
            <w:vAlign w:val="center"/>
            <w:hideMark/>
          </w:tcPr>
          <w:p w14:paraId="0370E718" w14:textId="77777777" w:rsidR="00DC5EC6" w:rsidRDefault="003245A4">
            <w:pPr>
              <w:pStyle w:val="P68B1DB1-Normal23"/>
              <w:spacing w:after="0"/>
              <w:jc w:val="center"/>
              <w:rPr>
                <w:rFonts w:eastAsia="Calibri" w:cs="Calibri"/>
                <w:noProof/>
              </w:rPr>
            </w:pPr>
            <w:r>
              <w:rPr>
                <w:noProof/>
              </w:rPr>
              <w:t>Re-C01-i01</w:t>
            </w:r>
          </w:p>
        </w:tc>
        <w:tc>
          <w:tcPr>
            <w:tcW w:w="1520" w:type="dxa"/>
            <w:shd w:val="clear" w:color="auto" w:fill="C4EFCE"/>
            <w:vAlign w:val="center"/>
            <w:hideMark/>
          </w:tcPr>
          <w:p w14:paraId="1D5E254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FC949BF" w14:textId="77777777" w:rsidR="00DC5EC6" w:rsidRDefault="003245A4">
            <w:pPr>
              <w:pStyle w:val="P68B1DB1-Normal23"/>
              <w:spacing w:after="0"/>
              <w:jc w:val="both"/>
              <w:rPr>
                <w:rFonts w:eastAsia="Calibri" w:cs="Calibri"/>
                <w:noProof/>
              </w:rPr>
            </w:pPr>
            <w:r>
              <w:rPr>
                <w:noProof/>
              </w:rPr>
              <w:t>Új egészségügyi egységek építése</w:t>
            </w:r>
          </w:p>
        </w:tc>
      </w:tr>
      <w:tr w:rsidR="00DC5EC6" w14:paraId="5D10BD59" w14:textId="77777777">
        <w:trPr>
          <w:trHeight w:val="440"/>
        </w:trPr>
        <w:tc>
          <w:tcPr>
            <w:tcW w:w="1200" w:type="dxa"/>
            <w:shd w:val="clear" w:color="auto" w:fill="C4EFCE"/>
            <w:vAlign w:val="center"/>
            <w:hideMark/>
          </w:tcPr>
          <w:p w14:paraId="461A7F1E" w14:textId="77777777" w:rsidR="00DC5EC6" w:rsidRDefault="003245A4">
            <w:pPr>
              <w:pStyle w:val="P68B1DB1-Normal23"/>
              <w:spacing w:after="0"/>
              <w:jc w:val="center"/>
              <w:rPr>
                <w:rFonts w:eastAsia="Calibri" w:cs="Calibri"/>
                <w:noProof/>
              </w:rPr>
            </w:pPr>
            <w:r>
              <w:rPr>
                <w:noProof/>
              </w:rPr>
              <w:t>1.35</w:t>
            </w:r>
          </w:p>
        </w:tc>
        <w:tc>
          <w:tcPr>
            <w:tcW w:w="1760" w:type="dxa"/>
            <w:shd w:val="clear" w:color="auto" w:fill="C4EFCE"/>
            <w:vAlign w:val="center"/>
            <w:hideMark/>
          </w:tcPr>
          <w:p w14:paraId="018B6B55" w14:textId="77777777" w:rsidR="00DC5EC6" w:rsidRDefault="003245A4">
            <w:pPr>
              <w:pStyle w:val="P68B1DB1-Normal23"/>
              <w:spacing w:after="0"/>
              <w:jc w:val="center"/>
              <w:rPr>
                <w:rFonts w:eastAsia="Calibri" w:cs="Calibri"/>
                <w:noProof/>
              </w:rPr>
            </w:pPr>
            <w:r>
              <w:rPr>
                <w:noProof/>
              </w:rPr>
              <w:t>Re-C01-i07-RAM</w:t>
            </w:r>
          </w:p>
        </w:tc>
        <w:tc>
          <w:tcPr>
            <w:tcW w:w="1520" w:type="dxa"/>
            <w:shd w:val="clear" w:color="auto" w:fill="C4EFCE"/>
            <w:vAlign w:val="center"/>
            <w:hideMark/>
          </w:tcPr>
          <w:p w14:paraId="5CA14FA7"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379A737" w14:textId="77777777" w:rsidR="00DC5EC6" w:rsidRDefault="003245A4">
            <w:pPr>
              <w:pStyle w:val="P68B1DB1-Normal23"/>
              <w:spacing w:after="0"/>
              <w:jc w:val="both"/>
              <w:rPr>
                <w:rFonts w:eastAsia="Calibri" w:cs="Calibri"/>
                <w:noProof/>
              </w:rPr>
            </w:pPr>
            <w:r>
              <w:rPr>
                <w:noProof/>
              </w:rPr>
              <w:t>Új számítógépes berendezések Madeira regionális egészségügyi szolgálata számára</w:t>
            </w:r>
          </w:p>
        </w:tc>
      </w:tr>
      <w:tr w:rsidR="00DC5EC6" w14:paraId="6C85753F" w14:textId="77777777">
        <w:trPr>
          <w:trHeight w:val="440"/>
        </w:trPr>
        <w:tc>
          <w:tcPr>
            <w:tcW w:w="1200" w:type="dxa"/>
            <w:shd w:val="clear" w:color="auto" w:fill="C4EFCE"/>
            <w:vAlign w:val="center"/>
            <w:hideMark/>
          </w:tcPr>
          <w:p w14:paraId="663CED66" w14:textId="77777777" w:rsidR="00DC5EC6" w:rsidRDefault="003245A4">
            <w:pPr>
              <w:pStyle w:val="P68B1DB1-Normal23"/>
              <w:spacing w:after="0"/>
              <w:jc w:val="center"/>
              <w:rPr>
                <w:rFonts w:eastAsia="Calibri" w:cs="Calibri"/>
                <w:noProof/>
              </w:rPr>
            </w:pPr>
            <w:r>
              <w:rPr>
                <w:noProof/>
              </w:rPr>
              <w:t>1.37</w:t>
            </w:r>
          </w:p>
        </w:tc>
        <w:tc>
          <w:tcPr>
            <w:tcW w:w="1760" w:type="dxa"/>
            <w:shd w:val="clear" w:color="auto" w:fill="C4EFCE"/>
            <w:vAlign w:val="center"/>
            <w:hideMark/>
          </w:tcPr>
          <w:p w14:paraId="4A6C5BBD" w14:textId="77777777" w:rsidR="00DC5EC6" w:rsidRDefault="003245A4">
            <w:pPr>
              <w:pStyle w:val="P68B1DB1-Normal23"/>
              <w:spacing w:after="0"/>
              <w:jc w:val="center"/>
              <w:rPr>
                <w:rFonts w:eastAsia="Calibri" w:cs="Calibri"/>
                <w:noProof/>
              </w:rPr>
            </w:pPr>
            <w:r>
              <w:rPr>
                <w:noProof/>
              </w:rPr>
              <w:t>Re-C01-i08-RAA</w:t>
            </w:r>
          </w:p>
        </w:tc>
        <w:tc>
          <w:tcPr>
            <w:tcW w:w="1520" w:type="dxa"/>
            <w:shd w:val="clear" w:color="auto" w:fill="C4EFCE"/>
            <w:vAlign w:val="center"/>
            <w:hideMark/>
          </w:tcPr>
          <w:p w14:paraId="3A083AE7"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8C87034" w14:textId="77777777" w:rsidR="00DC5EC6" w:rsidRDefault="003245A4">
            <w:pPr>
              <w:pStyle w:val="P68B1DB1-Normal23"/>
              <w:spacing w:after="0"/>
              <w:jc w:val="both"/>
              <w:rPr>
                <w:rFonts w:eastAsia="Calibri" w:cs="Calibri"/>
                <w:noProof/>
              </w:rPr>
            </w:pPr>
            <w:r>
              <w:rPr>
                <w:noProof/>
              </w:rPr>
              <w:t>Távorvoslási kinevezések bevezetése az Azori-szigetek regionális egészségügyi szolgálatában</w:t>
            </w:r>
          </w:p>
        </w:tc>
      </w:tr>
      <w:tr w:rsidR="00DC5EC6" w14:paraId="0E7C2786" w14:textId="77777777">
        <w:trPr>
          <w:trHeight w:val="440"/>
        </w:trPr>
        <w:tc>
          <w:tcPr>
            <w:tcW w:w="1200" w:type="dxa"/>
            <w:shd w:val="clear" w:color="auto" w:fill="C4EFCE"/>
            <w:vAlign w:val="center"/>
            <w:hideMark/>
          </w:tcPr>
          <w:p w14:paraId="56EFE37A" w14:textId="77777777" w:rsidR="00DC5EC6" w:rsidRDefault="003245A4">
            <w:pPr>
              <w:pStyle w:val="P68B1DB1-Normal23"/>
              <w:spacing w:after="0"/>
              <w:jc w:val="center"/>
              <w:rPr>
                <w:rFonts w:eastAsia="Calibri" w:cs="Calibri"/>
                <w:noProof/>
              </w:rPr>
            </w:pPr>
            <w:r>
              <w:rPr>
                <w:noProof/>
              </w:rPr>
              <w:t>1.42</w:t>
            </w:r>
          </w:p>
        </w:tc>
        <w:tc>
          <w:tcPr>
            <w:tcW w:w="1760" w:type="dxa"/>
            <w:shd w:val="clear" w:color="auto" w:fill="C4EFCE"/>
            <w:vAlign w:val="center"/>
            <w:hideMark/>
          </w:tcPr>
          <w:p w14:paraId="4BF6A73F" w14:textId="77777777" w:rsidR="00DC5EC6" w:rsidRDefault="003245A4">
            <w:pPr>
              <w:pStyle w:val="P68B1DB1-Normal23"/>
              <w:spacing w:after="0"/>
              <w:jc w:val="center"/>
              <w:rPr>
                <w:rFonts w:eastAsia="Calibri" w:cs="Calibri"/>
                <w:noProof/>
              </w:rPr>
            </w:pPr>
            <w:r>
              <w:rPr>
                <w:noProof/>
              </w:rPr>
              <w:t>Újra-C01-i10</w:t>
            </w:r>
          </w:p>
        </w:tc>
        <w:tc>
          <w:tcPr>
            <w:tcW w:w="1520" w:type="dxa"/>
            <w:shd w:val="clear" w:color="auto" w:fill="C4EFCE"/>
            <w:vAlign w:val="center"/>
            <w:hideMark/>
          </w:tcPr>
          <w:p w14:paraId="507AF341"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7D2D683" w14:textId="77777777" w:rsidR="00DC5EC6" w:rsidRDefault="003245A4">
            <w:pPr>
              <w:pStyle w:val="P68B1DB1-Normal23"/>
              <w:spacing w:after="0"/>
              <w:jc w:val="both"/>
              <w:rPr>
                <w:rFonts w:eastAsia="Calibri" w:cs="Calibri"/>
                <w:noProof/>
              </w:rPr>
            </w:pPr>
            <w:r>
              <w:rPr>
                <w:noProof/>
              </w:rPr>
              <w:t>Nehéz orvosi berendezések beszerzése</w:t>
            </w:r>
          </w:p>
        </w:tc>
      </w:tr>
      <w:tr w:rsidR="00DC5EC6" w14:paraId="5FD85112" w14:textId="77777777">
        <w:trPr>
          <w:trHeight w:val="440"/>
        </w:trPr>
        <w:tc>
          <w:tcPr>
            <w:tcW w:w="1200" w:type="dxa"/>
            <w:shd w:val="clear" w:color="auto" w:fill="C4EFCE"/>
            <w:vAlign w:val="center"/>
            <w:hideMark/>
          </w:tcPr>
          <w:p w14:paraId="4C05018B" w14:textId="77777777" w:rsidR="00DC5EC6" w:rsidRDefault="003245A4">
            <w:pPr>
              <w:pStyle w:val="P68B1DB1-Normal23"/>
              <w:spacing w:after="0"/>
              <w:jc w:val="center"/>
              <w:rPr>
                <w:rFonts w:eastAsia="Calibri" w:cs="Calibri"/>
                <w:noProof/>
              </w:rPr>
            </w:pPr>
            <w:r>
              <w:rPr>
                <w:noProof/>
              </w:rPr>
              <w:t>2.5</w:t>
            </w:r>
          </w:p>
        </w:tc>
        <w:tc>
          <w:tcPr>
            <w:tcW w:w="1760" w:type="dxa"/>
            <w:shd w:val="clear" w:color="auto" w:fill="C4EFCE"/>
            <w:vAlign w:val="center"/>
            <w:hideMark/>
          </w:tcPr>
          <w:p w14:paraId="7718FE5F" w14:textId="77777777" w:rsidR="00DC5EC6" w:rsidRDefault="003245A4">
            <w:pPr>
              <w:pStyle w:val="P68B1DB1-Normal23"/>
              <w:spacing w:after="0"/>
              <w:jc w:val="center"/>
              <w:rPr>
                <w:rFonts w:eastAsia="Calibri" w:cs="Calibri"/>
                <w:noProof/>
              </w:rPr>
            </w:pPr>
            <w:r>
              <w:rPr>
                <w:noProof/>
              </w:rPr>
              <w:t>Re-C02-i02</w:t>
            </w:r>
          </w:p>
        </w:tc>
        <w:tc>
          <w:tcPr>
            <w:tcW w:w="1520" w:type="dxa"/>
            <w:shd w:val="clear" w:color="auto" w:fill="C4EFCE"/>
            <w:vAlign w:val="center"/>
            <w:hideMark/>
          </w:tcPr>
          <w:p w14:paraId="14E36A4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3716262" w14:textId="77777777" w:rsidR="00DC5EC6" w:rsidRDefault="003245A4">
            <w:pPr>
              <w:pStyle w:val="P68B1DB1-Normal23"/>
              <w:spacing w:after="0"/>
              <w:jc w:val="both"/>
              <w:rPr>
                <w:rFonts w:eastAsia="Calibri" w:cs="Calibri"/>
                <w:noProof/>
              </w:rPr>
            </w:pPr>
            <w:r>
              <w:rPr>
                <w:noProof/>
              </w:rPr>
              <w:t>Nemzeti szükséghelyzeti és ideiglenes lakhatási támogatás – A sürgősségi és átmeneti szálláshelyekre vonatkozó finanszírozási megállapodások aláírása</w:t>
            </w:r>
          </w:p>
        </w:tc>
      </w:tr>
      <w:tr w:rsidR="00DC5EC6" w14:paraId="558EEAA4" w14:textId="77777777">
        <w:trPr>
          <w:trHeight w:val="440"/>
        </w:trPr>
        <w:tc>
          <w:tcPr>
            <w:tcW w:w="1200" w:type="dxa"/>
            <w:shd w:val="clear" w:color="auto" w:fill="C4EFCE"/>
            <w:vAlign w:val="center"/>
            <w:hideMark/>
          </w:tcPr>
          <w:p w14:paraId="08AB08F8" w14:textId="77777777" w:rsidR="00DC5EC6" w:rsidRDefault="003245A4">
            <w:pPr>
              <w:pStyle w:val="P68B1DB1-Normal23"/>
              <w:spacing w:after="0"/>
              <w:jc w:val="center"/>
              <w:rPr>
                <w:rFonts w:eastAsia="Calibri" w:cs="Calibri"/>
                <w:noProof/>
              </w:rPr>
            </w:pPr>
            <w:r>
              <w:rPr>
                <w:noProof/>
              </w:rPr>
              <w:t>2.10</w:t>
            </w:r>
          </w:p>
        </w:tc>
        <w:tc>
          <w:tcPr>
            <w:tcW w:w="1760" w:type="dxa"/>
            <w:shd w:val="clear" w:color="auto" w:fill="C4EFCE"/>
            <w:vAlign w:val="center"/>
            <w:hideMark/>
          </w:tcPr>
          <w:p w14:paraId="2483B503" w14:textId="77777777" w:rsidR="00DC5EC6" w:rsidRDefault="003245A4">
            <w:pPr>
              <w:pStyle w:val="P68B1DB1-Normal23"/>
              <w:spacing w:after="0"/>
              <w:jc w:val="center"/>
              <w:rPr>
                <w:rFonts w:eastAsia="Calibri" w:cs="Calibri"/>
                <w:noProof/>
              </w:rPr>
            </w:pPr>
            <w:r>
              <w:rPr>
                <w:noProof/>
              </w:rPr>
              <w:t>Re-C02-i03-RAM</w:t>
            </w:r>
          </w:p>
        </w:tc>
        <w:tc>
          <w:tcPr>
            <w:tcW w:w="1520" w:type="dxa"/>
            <w:shd w:val="clear" w:color="auto" w:fill="C4EFCE"/>
            <w:vAlign w:val="center"/>
            <w:hideMark/>
          </w:tcPr>
          <w:p w14:paraId="6BC4004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94C0CAB" w14:textId="77777777" w:rsidR="00DC5EC6" w:rsidRDefault="003245A4">
            <w:pPr>
              <w:pStyle w:val="P68B1DB1-Normal23"/>
              <w:spacing w:after="0"/>
              <w:jc w:val="both"/>
              <w:rPr>
                <w:rFonts w:eastAsia="Calibri" w:cs="Calibri"/>
                <w:noProof/>
              </w:rPr>
            </w:pPr>
            <w:r>
              <w:rPr>
                <w:noProof/>
              </w:rPr>
              <w:t>Támogatott lakhatás Madeira autonóm régióban</w:t>
            </w:r>
          </w:p>
        </w:tc>
      </w:tr>
      <w:tr w:rsidR="00DC5EC6" w14:paraId="692CD3EC" w14:textId="77777777">
        <w:trPr>
          <w:trHeight w:val="440"/>
        </w:trPr>
        <w:tc>
          <w:tcPr>
            <w:tcW w:w="1200" w:type="dxa"/>
            <w:shd w:val="clear" w:color="auto" w:fill="C4EFCE"/>
            <w:vAlign w:val="center"/>
            <w:hideMark/>
          </w:tcPr>
          <w:p w14:paraId="66CC6C58" w14:textId="77777777" w:rsidR="00DC5EC6" w:rsidRDefault="003245A4">
            <w:pPr>
              <w:pStyle w:val="P68B1DB1-Normal23"/>
              <w:spacing w:after="0"/>
              <w:jc w:val="center"/>
              <w:rPr>
                <w:rFonts w:eastAsia="Calibri" w:cs="Calibri"/>
                <w:noProof/>
              </w:rPr>
            </w:pPr>
            <w:r>
              <w:rPr>
                <w:noProof/>
              </w:rPr>
              <w:t>3.2</w:t>
            </w:r>
          </w:p>
        </w:tc>
        <w:tc>
          <w:tcPr>
            <w:tcW w:w="1760" w:type="dxa"/>
            <w:shd w:val="clear" w:color="auto" w:fill="C4EFCE"/>
            <w:vAlign w:val="center"/>
            <w:hideMark/>
          </w:tcPr>
          <w:p w14:paraId="4B6552D8" w14:textId="77777777" w:rsidR="00DC5EC6" w:rsidRDefault="003245A4">
            <w:pPr>
              <w:pStyle w:val="P68B1DB1-Normal23"/>
              <w:spacing w:after="0"/>
              <w:jc w:val="center"/>
              <w:rPr>
                <w:rFonts w:eastAsia="Calibri" w:cs="Calibri"/>
                <w:noProof/>
              </w:rPr>
            </w:pPr>
            <w:r>
              <w:rPr>
                <w:noProof/>
              </w:rPr>
              <w:t>Re-C03-i01</w:t>
            </w:r>
          </w:p>
        </w:tc>
        <w:tc>
          <w:tcPr>
            <w:tcW w:w="1520" w:type="dxa"/>
            <w:shd w:val="clear" w:color="auto" w:fill="C4EFCE"/>
            <w:vAlign w:val="center"/>
            <w:hideMark/>
          </w:tcPr>
          <w:p w14:paraId="0928115F"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12F2860" w14:textId="77777777" w:rsidR="00DC5EC6" w:rsidRDefault="003245A4">
            <w:pPr>
              <w:pStyle w:val="P68B1DB1-Normal23"/>
              <w:spacing w:after="0"/>
              <w:jc w:val="both"/>
              <w:rPr>
                <w:rFonts w:eastAsia="Calibri" w:cs="Calibri"/>
                <w:noProof/>
              </w:rPr>
            </w:pPr>
            <w:r>
              <w:rPr>
                <w:noProof/>
              </w:rPr>
              <w:t>Szociális intervenciós csoportok létrehozása (Radar Social)</w:t>
            </w:r>
          </w:p>
        </w:tc>
      </w:tr>
      <w:tr w:rsidR="00DC5EC6" w14:paraId="30BD846E" w14:textId="77777777">
        <w:trPr>
          <w:trHeight w:val="440"/>
        </w:trPr>
        <w:tc>
          <w:tcPr>
            <w:tcW w:w="1200" w:type="dxa"/>
            <w:shd w:val="clear" w:color="auto" w:fill="C4EFCE"/>
            <w:vAlign w:val="center"/>
            <w:hideMark/>
          </w:tcPr>
          <w:p w14:paraId="77CAF7E5" w14:textId="77777777" w:rsidR="00DC5EC6" w:rsidRDefault="003245A4">
            <w:pPr>
              <w:pStyle w:val="P68B1DB1-Normal23"/>
              <w:spacing w:after="0"/>
              <w:jc w:val="center"/>
              <w:rPr>
                <w:rFonts w:eastAsia="Calibri" w:cs="Calibri"/>
                <w:noProof/>
              </w:rPr>
            </w:pPr>
            <w:r>
              <w:rPr>
                <w:noProof/>
              </w:rPr>
              <w:t>3.18</w:t>
            </w:r>
          </w:p>
        </w:tc>
        <w:tc>
          <w:tcPr>
            <w:tcW w:w="1760" w:type="dxa"/>
            <w:shd w:val="clear" w:color="auto" w:fill="C4EFCE"/>
            <w:vAlign w:val="center"/>
            <w:hideMark/>
          </w:tcPr>
          <w:p w14:paraId="4095135D" w14:textId="77777777" w:rsidR="00DC5EC6" w:rsidRDefault="003245A4">
            <w:pPr>
              <w:pStyle w:val="P68B1DB1-Normal23"/>
              <w:spacing w:after="0"/>
              <w:jc w:val="center"/>
              <w:rPr>
                <w:rFonts w:eastAsia="Calibri" w:cs="Calibri"/>
                <w:noProof/>
              </w:rPr>
            </w:pPr>
            <w:r>
              <w:rPr>
                <w:noProof/>
              </w:rPr>
              <w:t>Re-C03-i05</w:t>
            </w:r>
          </w:p>
        </w:tc>
        <w:tc>
          <w:tcPr>
            <w:tcW w:w="1520" w:type="dxa"/>
            <w:shd w:val="clear" w:color="auto" w:fill="C4EFCE"/>
            <w:vAlign w:val="center"/>
            <w:hideMark/>
          </w:tcPr>
          <w:p w14:paraId="3214A456"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CF15101" w14:textId="77777777" w:rsidR="00DC5EC6" w:rsidRDefault="003245A4">
            <w:pPr>
              <w:pStyle w:val="P68B1DB1-Normal23"/>
              <w:spacing w:after="0"/>
              <w:jc w:val="both"/>
              <w:rPr>
                <w:rFonts w:eastAsia="Calibri" w:cs="Calibri"/>
                <w:noProof/>
              </w:rPr>
            </w:pPr>
            <w:r>
              <w:rPr>
                <w:noProof/>
              </w:rPr>
              <w:t>Digitális információs platform a fogyatékossággal élő személyek számára</w:t>
            </w:r>
          </w:p>
        </w:tc>
      </w:tr>
      <w:tr w:rsidR="00DC5EC6" w14:paraId="20628CE8" w14:textId="77777777">
        <w:trPr>
          <w:trHeight w:val="440"/>
        </w:trPr>
        <w:tc>
          <w:tcPr>
            <w:tcW w:w="1200" w:type="dxa"/>
            <w:shd w:val="clear" w:color="auto" w:fill="C4EFCE"/>
            <w:vAlign w:val="center"/>
            <w:hideMark/>
          </w:tcPr>
          <w:p w14:paraId="718E4D78" w14:textId="77777777" w:rsidR="00DC5EC6" w:rsidRDefault="003245A4">
            <w:pPr>
              <w:pStyle w:val="P68B1DB1-Normal23"/>
              <w:spacing w:after="0"/>
              <w:jc w:val="center"/>
              <w:rPr>
                <w:rFonts w:eastAsia="Calibri" w:cs="Calibri"/>
                <w:noProof/>
              </w:rPr>
            </w:pPr>
            <w:r>
              <w:rPr>
                <w:noProof/>
              </w:rPr>
              <w:t>5.37</w:t>
            </w:r>
          </w:p>
        </w:tc>
        <w:tc>
          <w:tcPr>
            <w:tcW w:w="1760" w:type="dxa"/>
            <w:shd w:val="clear" w:color="auto" w:fill="C4EFCE"/>
            <w:vAlign w:val="center"/>
            <w:hideMark/>
          </w:tcPr>
          <w:p w14:paraId="7B3EE8CE" w14:textId="77777777" w:rsidR="00DC5EC6" w:rsidRDefault="003245A4">
            <w:pPr>
              <w:pStyle w:val="P68B1DB1-Normal23"/>
              <w:spacing w:after="0"/>
              <w:jc w:val="center"/>
              <w:rPr>
                <w:rFonts w:eastAsia="Calibri" w:cs="Calibri"/>
                <w:noProof/>
              </w:rPr>
            </w:pPr>
            <w:r>
              <w:rPr>
                <w:noProof/>
              </w:rPr>
              <w:t>Re-C05-i08</w:t>
            </w:r>
          </w:p>
        </w:tc>
        <w:tc>
          <w:tcPr>
            <w:tcW w:w="1520" w:type="dxa"/>
            <w:shd w:val="clear" w:color="auto" w:fill="C4EFCE"/>
            <w:vAlign w:val="center"/>
            <w:hideMark/>
          </w:tcPr>
          <w:p w14:paraId="37761C8D"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9320E7C" w14:textId="77777777" w:rsidR="00DC5EC6" w:rsidRDefault="003245A4">
            <w:pPr>
              <w:pStyle w:val="P68B1DB1-Normal23"/>
              <w:spacing w:after="0"/>
              <w:jc w:val="both"/>
              <w:rPr>
                <w:rFonts w:eastAsia="Calibri" w:cs="Calibri"/>
                <w:noProof/>
              </w:rPr>
            </w:pPr>
            <w:r>
              <w:rPr>
                <w:noProof/>
              </w:rPr>
              <w:t>A fejlett számítástechnika nemzeti központjának (CNCA) létrehozása.</w:t>
            </w:r>
          </w:p>
        </w:tc>
      </w:tr>
      <w:tr w:rsidR="00DC5EC6" w14:paraId="6A2FA64B" w14:textId="77777777">
        <w:trPr>
          <w:trHeight w:val="440"/>
        </w:trPr>
        <w:tc>
          <w:tcPr>
            <w:tcW w:w="1200" w:type="dxa"/>
            <w:shd w:val="clear" w:color="auto" w:fill="C4EFCE"/>
            <w:vAlign w:val="center"/>
            <w:hideMark/>
          </w:tcPr>
          <w:p w14:paraId="7FC45C4C" w14:textId="77777777" w:rsidR="00DC5EC6" w:rsidRDefault="003245A4">
            <w:pPr>
              <w:pStyle w:val="P68B1DB1-Normal23"/>
              <w:spacing w:after="0"/>
              <w:jc w:val="center"/>
              <w:rPr>
                <w:rFonts w:eastAsia="Calibri" w:cs="Calibri"/>
                <w:noProof/>
              </w:rPr>
            </w:pPr>
            <w:r>
              <w:rPr>
                <w:noProof/>
              </w:rPr>
              <w:t>6.5</w:t>
            </w:r>
          </w:p>
        </w:tc>
        <w:tc>
          <w:tcPr>
            <w:tcW w:w="1760" w:type="dxa"/>
            <w:shd w:val="clear" w:color="auto" w:fill="C4EFCE"/>
            <w:vAlign w:val="center"/>
            <w:hideMark/>
          </w:tcPr>
          <w:p w14:paraId="2B15BC68" w14:textId="77777777" w:rsidR="00DC5EC6" w:rsidRDefault="003245A4">
            <w:pPr>
              <w:pStyle w:val="P68B1DB1-Normal23"/>
              <w:spacing w:after="0"/>
              <w:jc w:val="center"/>
              <w:rPr>
                <w:rFonts w:eastAsia="Calibri" w:cs="Calibri"/>
                <w:noProof/>
              </w:rPr>
            </w:pPr>
            <w:r>
              <w:rPr>
                <w:noProof/>
              </w:rPr>
              <w:t>Re-C06-i02</w:t>
            </w:r>
          </w:p>
        </w:tc>
        <w:tc>
          <w:tcPr>
            <w:tcW w:w="1520" w:type="dxa"/>
            <w:shd w:val="clear" w:color="auto" w:fill="C4EFCE"/>
            <w:vAlign w:val="center"/>
            <w:hideMark/>
          </w:tcPr>
          <w:p w14:paraId="7BE9B1B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F542581" w14:textId="77777777" w:rsidR="00DC5EC6" w:rsidRDefault="003245A4">
            <w:pPr>
              <w:pStyle w:val="P68B1DB1-Normal23"/>
              <w:spacing w:after="0"/>
              <w:jc w:val="both"/>
              <w:rPr>
                <w:rFonts w:eastAsia="Calibri" w:cs="Calibri"/>
                <w:noProof/>
              </w:rPr>
            </w:pPr>
            <w:r>
              <w:rPr>
                <w:noProof/>
              </w:rPr>
              <w:t>Pénzügyi támogatás határozatlan idejű szerződésekhez</w:t>
            </w:r>
          </w:p>
        </w:tc>
      </w:tr>
      <w:tr w:rsidR="00DC5EC6" w14:paraId="4839FE69" w14:textId="77777777">
        <w:trPr>
          <w:trHeight w:val="440"/>
        </w:trPr>
        <w:tc>
          <w:tcPr>
            <w:tcW w:w="1200" w:type="dxa"/>
            <w:shd w:val="clear" w:color="auto" w:fill="C4EFCE"/>
            <w:vAlign w:val="center"/>
            <w:hideMark/>
          </w:tcPr>
          <w:p w14:paraId="410B82AF" w14:textId="77777777" w:rsidR="00DC5EC6" w:rsidRDefault="003245A4">
            <w:pPr>
              <w:pStyle w:val="P68B1DB1-Normal23"/>
              <w:spacing w:after="0"/>
              <w:jc w:val="center"/>
              <w:rPr>
                <w:rFonts w:eastAsia="Calibri" w:cs="Calibri"/>
                <w:noProof/>
              </w:rPr>
            </w:pPr>
            <w:r>
              <w:rPr>
                <w:noProof/>
              </w:rPr>
              <w:t>6.17</w:t>
            </w:r>
          </w:p>
        </w:tc>
        <w:tc>
          <w:tcPr>
            <w:tcW w:w="1760" w:type="dxa"/>
            <w:shd w:val="clear" w:color="auto" w:fill="C4EFCE"/>
            <w:vAlign w:val="center"/>
            <w:hideMark/>
          </w:tcPr>
          <w:p w14:paraId="71A13B94" w14:textId="77777777" w:rsidR="00DC5EC6" w:rsidRDefault="003245A4">
            <w:pPr>
              <w:pStyle w:val="P68B1DB1-Normal23"/>
              <w:spacing w:after="0"/>
              <w:jc w:val="center"/>
              <w:rPr>
                <w:rFonts w:eastAsia="Calibri" w:cs="Calibri"/>
                <w:noProof/>
              </w:rPr>
            </w:pPr>
            <w:r>
              <w:rPr>
                <w:noProof/>
              </w:rPr>
              <w:t>Re-C06-r18</w:t>
            </w:r>
          </w:p>
        </w:tc>
        <w:tc>
          <w:tcPr>
            <w:tcW w:w="1520" w:type="dxa"/>
            <w:shd w:val="clear" w:color="auto" w:fill="C4EFCE"/>
            <w:vAlign w:val="center"/>
            <w:hideMark/>
          </w:tcPr>
          <w:p w14:paraId="51778BF5"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41251F" w14:textId="77777777" w:rsidR="00DC5EC6" w:rsidRDefault="003245A4">
            <w:pPr>
              <w:pStyle w:val="P68B1DB1-Normal23"/>
              <w:spacing w:after="0"/>
              <w:jc w:val="both"/>
              <w:rPr>
                <w:rFonts w:eastAsia="Calibri" w:cs="Calibri"/>
                <w:noProof/>
              </w:rPr>
            </w:pPr>
            <w:r>
              <w:rPr>
                <w:noProof/>
              </w:rPr>
              <w:t>Az egyenlő díjazást kezelő rendszerre vonatkozó portugál norma létrehozása.</w:t>
            </w:r>
          </w:p>
        </w:tc>
      </w:tr>
      <w:tr w:rsidR="00DC5EC6" w14:paraId="0118C2E1" w14:textId="77777777">
        <w:trPr>
          <w:trHeight w:val="440"/>
        </w:trPr>
        <w:tc>
          <w:tcPr>
            <w:tcW w:w="1200" w:type="dxa"/>
            <w:shd w:val="clear" w:color="auto" w:fill="C4EFCE"/>
            <w:vAlign w:val="center"/>
          </w:tcPr>
          <w:p w14:paraId="73E1EE90" w14:textId="77777777" w:rsidR="00DC5EC6" w:rsidRDefault="003245A4">
            <w:pPr>
              <w:pStyle w:val="P68B1DB1-Normal23"/>
              <w:spacing w:after="0"/>
              <w:jc w:val="center"/>
              <w:rPr>
                <w:rFonts w:eastAsia="Calibri" w:cs="Calibri"/>
                <w:noProof/>
              </w:rPr>
            </w:pPr>
            <w:r>
              <w:rPr>
                <w:noProof/>
              </w:rPr>
              <w:t>6.18</w:t>
            </w:r>
          </w:p>
        </w:tc>
        <w:tc>
          <w:tcPr>
            <w:tcW w:w="1760" w:type="dxa"/>
            <w:shd w:val="clear" w:color="auto" w:fill="C4EFCE"/>
            <w:vAlign w:val="center"/>
          </w:tcPr>
          <w:p w14:paraId="3D8A0425" w14:textId="77777777" w:rsidR="00DC5EC6" w:rsidRDefault="003245A4">
            <w:pPr>
              <w:pStyle w:val="P68B1DB1-Normal23"/>
              <w:spacing w:after="0"/>
              <w:jc w:val="center"/>
              <w:rPr>
                <w:rFonts w:eastAsia="Calibri" w:cs="Calibri"/>
                <w:noProof/>
              </w:rPr>
            </w:pPr>
            <w:r>
              <w:rPr>
                <w:noProof/>
              </w:rPr>
              <w:t>Re-C06-r18</w:t>
            </w:r>
          </w:p>
        </w:tc>
        <w:tc>
          <w:tcPr>
            <w:tcW w:w="1520" w:type="dxa"/>
            <w:shd w:val="clear" w:color="auto" w:fill="C4EFCE"/>
            <w:vAlign w:val="center"/>
          </w:tcPr>
          <w:p w14:paraId="72CDE6C4"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601AD98C" w14:textId="77777777" w:rsidR="00DC5EC6" w:rsidRDefault="003245A4">
            <w:pPr>
              <w:pStyle w:val="P68B1DB1-Normal23"/>
              <w:spacing w:after="0"/>
              <w:jc w:val="both"/>
              <w:rPr>
                <w:rFonts w:eastAsia="Calibri" w:cs="Calibri"/>
                <w:noProof/>
              </w:rPr>
            </w:pPr>
            <w:r>
              <w:rPr>
                <w:noProof/>
              </w:rPr>
              <w:t>A több mint 50 munkavállalót foglalkoztató, a nemek közötti jelentős bérkülönbséget mutató vállalatok bejelentése</w:t>
            </w:r>
          </w:p>
        </w:tc>
      </w:tr>
      <w:tr w:rsidR="00DC5EC6" w14:paraId="6DE96290" w14:textId="77777777">
        <w:trPr>
          <w:trHeight w:val="440"/>
        </w:trPr>
        <w:tc>
          <w:tcPr>
            <w:tcW w:w="1200" w:type="dxa"/>
            <w:shd w:val="clear" w:color="auto" w:fill="C4EFCE"/>
            <w:vAlign w:val="center"/>
            <w:hideMark/>
          </w:tcPr>
          <w:p w14:paraId="2DF8DE3F" w14:textId="77777777" w:rsidR="00DC5EC6" w:rsidRDefault="003245A4">
            <w:pPr>
              <w:pStyle w:val="P68B1DB1-Normal23"/>
              <w:spacing w:after="0"/>
              <w:jc w:val="center"/>
              <w:rPr>
                <w:rFonts w:eastAsia="Calibri" w:cs="Calibri"/>
                <w:noProof/>
              </w:rPr>
            </w:pPr>
            <w:r>
              <w:rPr>
                <w:noProof/>
              </w:rPr>
              <w:t>6.24</w:t>
            </w:r>
          </w:p>
        </w:tc>
        <w:tc>
          <w:tcPr>
            <w:tcW w:w="1760" w:type="dxa"/>
            <w:shd w:val="clear" w:color="auto" w:fill="C4EFCE"/>
            <w:vAlign w:val="center"/>
            <w:hideMark/>
          </w:tcPr>
          <w:p w14:paraId="3F72ECAE" w14:textId="77777777" w:rsidR="00DC5EC6" w:rsidRDefault="003245A4">
            <w:pPr>
              <w:pStyle w:val="P68B1DB1-Normal23"/>
              <w:spacing w:after="0"/>
              <w:jc w:val="center"/>
              <w:rPr>
                <w:rFonts w:eastAsia="Calibri" w:cs="Calibri"/>
                <w:noProof/>
              </w:rPr>
            </w:pPr>
            <w:r>
              <w:rPr>
                <w:noProof/>
              </w:rPr>
              <w:t>Re-C06-i07</w:t>
            </w:r>
          </w:p>
        </w:tc>
        <w:tc>
          <w:tcPr>
            <w:tcW w:w="1520" w:type="dxa"/>
            <w:shd w:val="clear" w:color="auto" w:fill="C4EFCE"/>
            <w:vAlign w:val="center"/>
            <w:hideMark/>
          </w:tcPr>
          <w:p w14:paraId="36EEB3B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E71C6ED" w14:textId="77777777" w:rsidR="00DC5EC6" w:rsidRDefault="003245A4">
            <w:pPr>
              <w:pStyle w:val="P68B1DB1-Normal23"/>
              <w:spacing w:after="0"/>
              <w:jc w:val="both"/>
              <w:rPr>
                <w:rFonts w:eastAsia="Calibri" w:cs="Calibri"/>
                <w:noProof/>
              </w:rPr>
            </w:pPr>
            <w:r>
              <w:rPr>
                <w:noProof/>
              </w:rPr>
              <w:t xml:space="preserve">Innováció és pedagógiai modernizáció a felsőoktatásban </w:t>
            </w:r>
          </w:p>
        </w:tc>
      </w:tr>
      <w:tr w:rsidR="00DC5EC6" w14:paraId="71CB9782" w14:textId="77777777">
        <w:trPr>
          <w:trHeight w:val="440"/>
        </w:trPr>
        <w:tc>
          <w:tcPr>
            <w:tcW w:w="1200" w:type="dxa"/>
            <w:shd w:val="clear" w:color="auto" w:fill="C4EFCE"/>
            <w:vAlign w:val="center"/>
            <w:hideMark/>
          </w:tcPr>
          <w:p w14:paraId="2D7720E1" w14:textId="77777777" w:rsidR="00DC5EC6" w:rsidRDefault="003245A4">
            <w:pPr>
              <w:pStyle w:val="P68B1DB1-Normal23"/>
              <w:spacing w:after="0"/>
              <w:jc w:val="center"/>
              <w:rPr>
                <w:rFonts w:eastAsia="Calibri" w:cs="Calibri"/>
                <w:noProof/>
              </w:rPr>
            </w:pPr>
            <w:r>
              <w:rPr>
                <w:noProof/>
              </w:rPr>
              <w:t>6.26</w:t>
            </w:r>
          </w:p>
        </w:tc>
        <w:tc>
          <w:tcPr>
            <w:tcW w:w="1760" w:type="dxa"/>
            <w:shd w:val="clear" w:color="auto" w:fill="C4EFCE"/>
            <w:vAlign w:val="center"/>
            <w:hideMark/>
          </w:tcPr>
          <w:p w14:paraId="4E35273D" w14:textId="0EFE6435" w:rsidR="00DC5EC6" w:rsidRDefault="003245A4">
            <w:pPr>
              <w:pStyle w:val="P68B1DB1-Normal23"/>
              <w:spacing w:after="0"/>
              <w:jc w:val="center"/>
              <w:rPr>
                <w:rFonts w:eastAsia="Calibri" w:cs="Calibri"/>
                <w:noProof/>
              </w:rPr>
            </w:pPr>
            <w:r>
              <w:rPr>
                <w:noProof/>
              </w:rPr>
              <w:t>Re-C06-i08-RAM</w:t>
            </w:r>
          </w:p>
        </w:tc>
        <w:tc>
          <w:tcPr>
            <w:tcW w:w="1520" w:type="dxa"/>
            <w:shd w:val="clear" w:color="auto" w:fill="C4EFCE"/>
            <w:vAlign w:val="center"/>
            <w:hideMark/>
          </w:tcPr>
          <w:p w14:paraId="682F1E48"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2A9A92A" w14:textId="77777777" w:rsidR="00DC5EC6" w:rsidRDefault="003245A4">
            <w:pPr>
              <w:pStyle w:val="P68B1DB1-Normal23"/>
              <w:spacing w:after="0"/>
              <w:jc w:val="both"/>
              <w:rPr>
                <w:rFonts w:eastAsia="Calibri" w:cs="Calibri"/>
                <w:noProof/>
              </w:rPr>
            </w:pPr>
            <w:r>
              <w:rPr>
                <w:noProof/>
              </w:rPr>
              <w:t>A CITMA épület bővítésére vonatkozó szerződés aláírása</w:t>
            </w:r>
          </w:p>
        </w:tc>
      </w:tr>
      <w:tr w:rsidR="00DC5EC6" w14:paraId="1641F158" w14:textId="77777777">
        <w:trPr>
          <w:trHeight w:val="440"/>
        </w:trPr>
        <w:tc>
          <w:tcPr>
            <w:tcW w:w="1200" w:type="dxa"/>
            <w:shd w:val="clear" w:color="auto" w:fill="C4EFCE"/>
            <w:vAlign w:val="center"/>
            <w:hideMark/>
          </w:tcPr>
          <w:p w14:paraId="2A803BC2" w14:textId="77777777" w:rsidR="00DC5EC6" w:rsidRDefault="003245A4">
            <w:pPr>
              <w:pStyle w:val="P68B1DB1-Normal23"/>
              <w:spacing w:after="0"/>
              <w:jc w:val="center"/>
              <w:rPr>
                <w:rFonts w:eastAsia="Calibri" w:cs="Calibri"/>
                <w:noProof/>
              </w:rPr>
            </w:pPr>
            <w:r>
              <w:rPr>
                <w:noProof/>
              </w:rPr>
              <w:t>7.2</w:t>
            </w:r>
          </w:p>
        </w:tc>
        <w:tc>
          <w:tcPr>
            <w:tcW w:w="1760" w:type="dxa"/>
            <w:shd w:val="clear" w:color="auto" w:fill="C4EFCE"/>
            <w:vAlign w:val="center"/>
            <w:hideMark/>
          </w:tcPr>
          <w:p w14:paraId="148139C0" w14:textId="77777777" w:rsidR="00DC5EC6" w:rsidRDefault="003245A4">
            <w:pPr>
              <w:pStyle w:val="P68B1DB1-Normal23"/>
              <w:spacing w:after="0"/>
              <w:jc w:val="center"/>
              <w:rPr>
                <w:rFonts w:eastAsia="Calibri" w:cs="Calibri"/>
                <w:noProof/>
              </w:rPr>
            </w:pPr>
            <w:r>
              <w:rPr>
                <w:noProof/>
              </w:rPr>
              <w:t>Vissza-C07-i00</w:t>
            </w:r>
          </w:p>
        </w:tc>
        <w:tc>
          <w:tcPr>
            <w:tcW w:w="1520" w:type="dxa"/>
            <w:shd w:val="clear" w:color="auto" w:fill="C4EFCE"/>
            <w:vAlign w:val="center"/>
            <w:hideMark/>
          </w:tcPr>
          <w:p w14:paraId="3C913E09"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B05BD75" w14:textId="4917198F" w:rsidR="00DC5EC6" w:rsidRDefault="003245A4">
            <w:pPr>
              <w:pStyle w:val="P68B1DB1-Normal23"/>
              <w:spacing w:after="0"/>
              <w:jc w:val="both"/>
              <w:rPr>
                <w:rFonts w:eastAsia="Calibri" w:cs="Calibri"/>
                <w:noProof/>
              </w:rPr>
            </w:pPr>
            <w:r>
              <w:rPr>
                <w:noProof/>
              </w:rPr>
              <w:t>Elektromos járművek nyilvánosan hozzáférhető töltőállomásai</w:t>
            </w:r>
          </w:p>
        </w:tc>
      </w:tr>
      <w:tr w:rsidR="00DC5EC6" w14:paraId="409538B8" w14:textId="77777777">
        <w:trPr>
          <w:trHeight w:val="440"/>
        </w:trPr>
        <w:tc>
          <w:tcPr>
            <w:tcW w:w="1200" w:type="dxa"/>
            <w:shd w:val="clear" w:color="auto" w:fill="C4EFCE"/>
            <w:vAlign w:val="center"/>
            <w:hideMark/>
          </w:tcPr>
          <w:p w14:paraId="7AD48D83" w14:textId="77777777" w:rsidR="00DC5EC6" w:rsidRDefault="003245A4">
            <w:pPr>
              <w:pStyle w:val="P68B1DB1-Normal23"/>
              <w:spacing w:after="0"/>
              <w:jc w:val="center"/>
              <w:rPr>
                <w:rFonts w:eastAsia="Calibri" w:cs="Calibri"/>
                <w:noProof/>
              </w:rPr>
            </w:pPr>
            <w:r>
              <w:rPr>
                <w:noProof/>
              </w:rPr>
              <w:t>8.13</w:t>
            </w:r>
          </w:p>
        </w:tc>
        <w:tc>
          <w:tcPr>
            <w:tcW w:w="1760" w:type="dxa"/>
            <w:shd w:val="clear" w:color="auto" w:fill="C4EFCE"/>
            <w:vAlign w:val="center"/>
            <w:hideMark/>
          </w:tcPr>
          <w:p w14:paraId="4745E4E8" w14:textId="77777777" w:rsidR="00DC5EC6" w:rsidRDefault="003245A4">
            <w:pPr>
              <w:pStyle w:val="P68B1DB1-Normal23"/>
              <w:spacing w:after="0"/>
              <w:jc w:val="center"/>
              <w:rPr>
                <w:rFonts w:eastAsia="Calibri" w:cs="Calibri"/>
                <w:noProof/>
              </w:rPr>
            </w:pPr>
            <w:r>
              <w:rPr>
                <w:noProof/>
              </w:rPr>
              <w:t>Újra-C08-i05</w:t>
            </w:r>
          </w:p>
        </w:tc>
        <w:tc>
          <w:tcPr>
            <w:tcW w:w="1520" w:type="dxa"/>
            <w:shd w:val="clear" w:color="auto" w:fill="C4EFCE"/>
            <w:vAlign w:val="center"/>
            <w:hideMark/>
          </w:tcPr>
          <w:p w14:paraId="5F6B7E1B"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9D1CC3E" w14:textId="77777777" w:rsidR="00DC5EC6" w:rsidRDefault="003245A4">
            <w:pPr>
              <w:pStyle w:val="P68B1DB1-Normal23"/>
              <w:spacing w:after="0"/>
              <w:jc w:val="both"/>
              <w:rPr>
                <w:rFonts w:eastAsia="Calibri" w:cs="Calibri"/>
                <w:noProof/>
              </w:rPr>
            </w:pPr>
            <w:r>
              <w:rPr>
                <w:noProof/>
              </w:rPr>
              <w:t>A Belügyminisztérium (MAI) szervezeteinek megerősítése járművekkel és operatív berendezésekkel</w:t>
            </w:r>
          </w:p>
        </w:tc>
      </w:tr>
      <w:tr w:rsidR="00DC5EC6" w14:paraId="46442EA5" w14:textId="77777777">
        <w:trPr>
          <w:trHeight w:val="440"/>
        </w:trPr>
        <w:tc>
          <w:tcPr>
            <w:tcW w:w="1200" w:type="dxa"/>
            <w:shd w:val="clear" w:color="auto" w:fill="C4EFCE"/>
            <w:vAlign w:val="center"/>
            <w:hideMark/>
          </w:tcPr>
          <w:p w14:paraId="37ADCEA6" w14:textId="77777777" w:rsidR="00DC5EC6" w:rsidRDefault="003245A4">
            <w:pPr>
              <w:pStyle w:val="P68B1DB1-Normal23"/>
              <w:spacing w:after="0"/>
              <w:jc w:val="center"/>
              <w:rPr>
                <w:rFonts w:eastAsia="Calibri" w:cs="Calibri"/>
                <w:noProof/>
              </w:rPr>
            </w:pPr>
            <w:r>
              <w:rPr>
                <w:noProof/>
              </w:rPr>
              <w:t>9.1</w:t>
            </w:r>
          </w:p>
        </w:tc>
        <w:tc>
          <w:tcPr>
            <w:tcW w:w="1760" w:type="dxa"/>
            <w:shd w:val="clear" w:color="auto" w:fill="C4EFCE"/>
            <w:vAlign w:val="center"/>
            <w:hideMark/>
          </w:tcPr>
          <w:p w14:paraId="21DD8E0C" w14:textId="77777777" w:rsidR="00DC5EC6" w:rsidRDefault="003245A4">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4B9F30BC"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51D75FD" w14:textId="77777777" w:rsidR="00DC5EC6" w:rsidRDefault="003245A4">
            <w:pPr>
              <w:pStyle w:val="P68B1DB1-Normal23"/>
              <w:spacing w:after="0"/>
              <w:jc w:val="both"/>
              <w:rPr>
                <w:rFonts w:eastAsia="Calibri" w:cs="Calibri"/>
                <w:noProof/>
              </w:rPr>
            </w:pPr>
            <w:r>
              <w:rPr>
                <w:noProof/>
              </w:rPr>
              <w:t>A felszín alatti vízkészletek telepített kiegészítő megfigyelési pontjai (SM3)</w:t>
            </w:r>
          </w:p>
        </w:tc>
      </w:tr>
      <w:tr w:rsidR="00DC5EC6" w14:paraId="19B5815B" w14:textId="77777777">
        <w:trPr>
          <w:trHeight w:val="440"/>
        </w:trPr>
        <w:tc>
          <w:tcPr>
            <w:tcW w:w="1200" w:type="dxa"/>
            <w:shd w:val="clear" w:color="auto" w:fill="C4EFCE"/>
            <w:vAlign w:val="center"/>
            <w:hideMark/>
          </w:tcPr>
          <w:p w14:paraId="40BE5193" w14:textId="77777777" w:rsidR="00DC5EC6" w:rsidRDefault="003245A4">
            <w:pPr>
              <w:pStyle w:val="P68B1DB1-Normal23"/>
              <w:spacing w:after="0"/>
              <w:jc w:val="center"/>
              <w:rPr>
                <w:rFonts w:eastAsia="Calibri" w:cs="Calibri"/>
                <w:noProof/>
              </w:rPr>
            </w:pPr>
            <w:r>
              <w:rPr>
                <w:noProof/>
              </w:rPr>
              <w:t>9.5</w:t>
            </w:r>
          </w:p>
        </w:tc>
        <w:tc>
          <w:tcPr>
            <w:tcW w:w="1760" w:type="dxa"/>
            <w:shd w:val="clear" w:color="auto" w:fill="C4EFCE"/>
            <w:vAlign w:val="center"/>
            <w:hideMark/>
          </w:tcPr>
          <w:p w14:paraId="604C41E0" w14:textId="77777777" w:rsidR="00DC5EC6" w:rsidRDefault="003245A4">
            <w:pPr>
              <w:pStyle w:val="P68B1DB1-Normal23"/>
              <w:spacing w:after="0"/>
              <w:jc w:val="center"/>
              <w:rPr>
                <w:rFonts w:eastAsia="Calibri" w:cs="Calibri"/>
                <w:noProof/>
              </w:rPr>
            </w:pPr>
            <w:r>
              <w:rPr>
                <w:noProof/>
              </w:rPr>
              <w:t>Re-C09-i01</w:t>
            </w:r>
          </w:p>
        </w:tc>
        <w:tc>
          <w:tcPr>
            <w:tcW w:w="1520" w:type="dxa"/>
            <w:shd w:val="clear" w:color="auto" w:fill="C4EFCE"/>
            <w:vAlign w:val="center"/>
            <w:hideMark/>
          </w:tcPr>
          <w:p w14:paraId="68882788"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A618198" w14:textId="77777777" w:rsidR="00DC5EC6" w:rsidRDefault="003245A4">
            <w:pPr>
              <w:pStyle w:val="P68B1DB1-Normal23"/>
              <w:spacing w:after="0"/>
              <w:jc w:val="both"/>
              <w:rPr>
                <w:rFonts w:eastAsia="Calibri" w:cs="Calibri"/>
                <w:noProof/>
              </w:rPr>
            </w:pPr>
            <w:r>
              <w:rPr>
                <w:noProof/>
              </w:rPr>
              <w:t>A Guadianában végzett vízkivételre vonatkozó intézkedés aktualizált tervének elfogadása (szükség esetén), amely teljes mértékben figyelembe veszi a környezeti hatásvizsgálat eredményeit és feltételeit (SM5)</w:t>
            </w:r>
          </w:p>
        </w:tc>
      </w:tr>
      <w:tr w:rsidR="00DC5EC6" w14:paraId="61BA2CC6" w14:textId="77777777">
        <w:trPr>
          <w:trHeight w:val="440"/>
        </w:trPr>
        <w:tc>
          <w:tcPr>
            <w:tcW w:w="1200" w:type="dxa"/>
            <w:shd w:val="clear" w:color="auto" w:fill="C4EFCE"/>
            <w:vAlign w:val="center"/>
            <w:hideMark/>
          </w:tcPr>
          <w:p w14:paraId="6330516E" w14:textId="77777777" w:rsidR="00DC5EC6" w:rsidRDefault="003245A4">
            <w:pPr>
              <w:pStyle w:val="P68B1DB1-Normal23"/>
              <w:spacing w:after="0"/>
              <w:jc w:val="center"/>
              <w:rPr>
                <w:rFonts w:eastAsia="Calibri" w:cs="Calibri"/>
                <w:noProof/>
              </w:rPr>
            </w:pPr>
            <w:r>
              <w:rPr>
                <w:noProof/>
              </w:rPr>
              <w:t>9.7</w:t>
            </w:r>
          </w:p>
        </w:tc>
        <w:tc>
          <w:tcPr>
            <w:tcW w:w="1760" w:type="dxa"/>
            <w:shd w:val="clear" w:color="auto" w:fill="C4EFCE"/>
            <w:vAlign w:val="center"/>
            <w:hideMark/>
          </w:tcPr>
          <w:p w14:paraId="4FB0CCD7" w14:textId="77777777" w:rsidR="00DC5EC6" w:rsidRDefault="003245A4">
            <w:pPr>
              <w:pStyle w:val="P68B1DB1-Normal23"/>
              <w:spacing w:after="0"/>
              <w:jc w:val="center"/>
              <w:rPr>
                <w:rFonts w:eastAsia="Calibri" w:cs="Calibri"/>
                <w:noProof/>
              </w:rPr>
            </w:pPr>
            <w:r>
              <w:rPr>
                <w:noProof/>
              </w:rPr>
              <w:t xml:space="preserve">Re-C09-i01  </w:t>
            </w:r>
          </w:p>
        </w:tc>
        <w:tc>
          <w:tcPr>
            <w:tcW w:w="1520" w:type="dxa"/>
            <w:shd w:val="clear" w:color="auto" w:fill="C4EFCE"/>
            <w:vAlign w:val="center"/>
            <w:hideMark/>
          </w:tcPr>
          <w:p w14:paraId="4CAF32D0"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83D462D" w14:textId="77777777" w:rsidR="00DC5EC6" w:rsidRDefault="003245A4">
            <w:pPr>
              <w:pStyle w:val="P68B1DB1-Normal23"/>
              <w:spacing w:after="0"/>
              <w:jc w:val="both"/>
              <w:rPr>
                <w:rFonts w:eastAsia="Calibri" w:cs="Calibri"/>
                <w:noProof/>
              </w:rPr>
            </w:pPr>
            <w:r>
              <w:rPr>
                <w:noProof/>
              </w:rPr>
              <w:t>A sótalanítási intézkedés aktualizált tervének elfogadása (ha szükséges) a környezeti hatásvizsgálat (SM6) eredményeinek és feltételeinek teljes körű figyelembevételével</w:t>
            </w:r>
          </w:p>
        </w:tc>
      </w:tr>
      <w:tr w:rsidR="00DC5EC6" w14:paraId="0AB93700" w14:textId="77777777">
        <w:trPr>
          <w:trHeight w:val="440"/>
        </w:trPr>
        <w:tc>
          <w:tcPr>
            <w:tcW w:w="1200" w:type="dxa"/>
            <w:shd w:val="clear" w:color="auto" w:fill="C4EFCE"/>
            <w:vAlign w:val="center"/>
            <w:hideMark/>
          </w:tcPr>
          <w:p w14:paraId="3E548EA8" w14:textId="77777777" w:rsidR="00DC5EC6" w:rsidRDefault="003245A4">
            <w:pPr>
              <w:pStyle w:val="P68B1DB1-Normal23"/>
              <w:spacing w:after="0"/>
              <w:jc w:val="center"/>
              <w:rPr>
                <w:rFonts w:eastAsia="Calibri" w:cs="Calibri"/>
                <w:noProof/>
              </w:rPr>
            </w:pPr>
            <w:r>
              <w:rPr>
                <w:noProof/>
              </w:rPr>
              <w:t>10.15</w:t>
            </w:r>
          </w:p>
        </w:tc>
        <w:tc>
          <w:tcPr>
            <w:tcW w:w="1760" w:type="dxa"/>
            <w:shd w:val="clear" w:color="auto" w:fill="C4EFCE"/>
            <w:vAlign w:val="center"/>
            <w:hideMark/>
          </w:tcPr>
          <w:p w14:paraId="4CF19DFE" w14:textId="77777777" w:rsidR="00DC5EC6" w:rsidRDefault="003245A4">
            <w:pPr>
              <w:pStyle w:val="P68B1DB1-Normal23"/>
              <w:spacing w:after="0"/>
              <w:jc w:val="center"/>
              <w:rPr>
                <w:rFonts w:eastAsia="Calibri" w:cs="Calibri"/>
                <w:noProof/>
              </w:rPr>
            </w:pPr>
            <w:r>
              <w:rPr>
                <w:noProof/>
              </w:rPr>
              <w:t>TC-C10-i06-RAM</w:t>
            </w:r>
          </w:p>
        </w:tc>
        <w:tc>
          <w:tcPr>
            <w:tcW w:w="1520" w:type="dxa"/>
            <w:shd w:val="clear" w:color="auto" w:fill="C4EFCE"/>
            <w:vAlign w:val="center"/>
            <w:hideMark/>
          </w:tcPr>
          <w:p w14:paraId="6C4706BE"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BDA8F52" w14:textId="77777777" w:rsidR="00DC5EC6" w:rsidRDefault="003245A4">
            <w:pPr>
              <w:pStyle w:val="P68B1DB1-Normal23"/>
              <w:spacing w:after="0"/>
              <w:jc w:val="both"/>
              <w:rPr>
                <w:rFonts w:eastAsia="Calibri" w:cs="Calibri"/>
                <w:noProof/>
              </w:rPr>
            </w:pPr>
            <w:r>
              <w:rPr>
                <w:noProof/>
              </w:rPr>
              <w:t>Két pilóta nélküli autonóm jármű szállítása</w:t>
            </w:r>
          </w:p>
        </w:tc>
      </w:tr>
      <w:tr w:rsidR="00DC5EC6" w14:paraId="0980B6CB" w14:textId="77777777">
        <w:trPr>
          <w:trHeight w:val="440"/>
        </w:trPr>
        <w:tc>
          <w:tcPr>
            <w:tcW w:w="1200" w:type="dxa"/>
            <w:shd w:val="clear" w:color="auto" w:fill="C4EFCE"/>
            <w:vAlign w:val="center"/>
            <w:hideMark/>
          </w:tcPr>
          <w:p w14:paraId="7E7FB85D" w14:textId="77777777" w:rsidR="00DC5EC6" w:rsidRDefault="003245A4">
            <w:pPr>
              <w:pStyle w:val="P68B1DB1-Normal23"/>
              <w:spacing w:after="0"/>
              <w:jc w:val="center"/>
              <w:rPr>
                <w:rFonts w:eastAsia="Calibri" w:cs="Calibri"/>
                <w:noProof/>
              </w:rPr>
            </w:pPr>
            <w:r>
              <w:rPr>
                <w:noProof/>
              </w:rPr>
              <w:t>14.4</w:t>
            </w:r>
          </w:p>
        </w:tc>
        <w:tc>
          <w:tcPr>
            <w:tcW w:w="1760" w:type="dxa"/>
            <w:shd w:val="clear" w:color="auto" w:fill="C4EFCE"/>
            <w:vAlign w:val="center"/>
            <w:hideMark/>
          </w:tcPr>
          <w:p w14:paraId="04D0BEED" w14:textId="77777777" w:rsidR="00DC5EC6" w:rsidRDefault="003245A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57393661"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8E80E7D" w14:textId="77777777" w:rsidR="00DC5EC6" w:rsidRDefault="003245A4">
            <w:pPr>
              <w:pStyle w:val="P68B1DB1-Normal23"/>
              <w:spacing w:after="0"/>
              <w:jc w:val="both"/>
              <w:rPr>
                <w:rFonts w:eastAsia="Calibri" w:cs="Calibri"/>
                <w:noProof/>
              </w:rPr>
            </w:pPr>
            <w:r>
              <w:rPr>
                <w:noProof/>
              </w:rPr>
              <w:t>Új szinkronkompenzátor beszerelése</w:t>
            </w:r>
          </w:p>
        </w:tc>
      </w:tr>
      <w:tr w:rsidR="00DC5EC6" w14:paraId="5A41BED8" w14:textId="77777777">
        <w:trPr>
          <w:trHeight w:val="440"/>
        </w:trPr>
        <w:tc>
          <w:tcPr>
            <w:tcW w:w="1200" w:type="dxa"/>
            <w:shd w:val="clear" w:color="auto" w:fill="C4EFCE"/>
            <w:vAlign w:val="center"/>
            <w:hideMark/>
          </w:tcPr>
          <w:p w14:paraId="29F13402" w14:textId="77777777" w:rsidR="00DC5EC6" w:rsidRDefault="003245A4">
            <w:pPr>
              <w:pStyle w:val="P68B1DB1-Normal23"/>
              <w:spacing w:after="0"/>
              <w:jc w:val="center"/>
              <w:rPr>
                <w:rFonts w:eastAsia="Calibri" w:cs="Calibri"/>
                <w:noProof/>
              </w:rPr>
            </w:pPr>
            <w:r>
              <w:rPr>
                <w:noProof/>
              </w:rPr>
              <w:t>14.6</w:t>
            </w:r>
          </w:p>
        </w:tc>
        <w:tc>
          <w:tcPr>
            <w:tcW w:w="1760" w:type="dxa"/>
            <w:shd w:val="clear" w:color="auto" w:fill="C4EFCE"/>
            <w:vAlign w:val="center"/>
            <w:hideMark/>
          </w:tcPr>
          <w:p w14:paraId="2564F54A" w14:textId="77777777" w:rsidR="00DC5EC6" w:rsidRDefault="003245A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2D22D31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2C086CC6" w14:textId="77777777" w:rsidR="00DC5EC6" w:rsidRDefault="003245A4">
            <w:pPr>
              <w:pStyle w:val="P68B1DB1-Normal23"/>
              <w:spacing w:after="0"/>
              <w:jc w:val="both"/>
              <w:rPr>
                <w:rFonts w:eastAsia="Calibri" w:cs="Calibri"/>
                <w:noProof/>
              </w:rPr>
            </w:pPr>
            <w:r>
              <w:rPr>
                <w:noProof/>
              </w:rPr>
              <w:t>Felújított beépített vízenergia-termelési kapacitás</w:t>
            </w:r>
          </w:p>
        </w:tc>
      </w:tr>
      <w:tr w:rsidR="00DC5EC6" w14:paraId="67DAD308" w14:textId="77777777">
        <w:trPr>
          <w:trHeight w:val="440"/>
        </w:trPr>
        <w:tc>
          <w:tcPr>
            <w:tcW w:w="1200" w:type="dxa"/>
            <w:shd w:val="clear" w:color="auto" w:fill="C4EFCE"/>
            <w:vAlign w:val="center"/>
            <w:hideMark/>
          </w:tcPr>
          <w:p w14:paraId="27435949" w14:textId="77777777" w:rsidR="00DC5EC6" w:rsidRDefault="003245A4">
            <w:pPr>
              <w:pStyle w:val="P68B1DB1-Normal23"/>
              <w:spacing w:after="0"/>
              <w:jc w:val="center"/>
              <w:rPr>
                <w:rFonts w:eastAsia="Calibri" w:cs="Calibri"/>
                <w:noProof/>
              </w:rPr>
            </w:pPr>
            <w:r>
              <w:rPr>
                <w:noProof/>
              </w:rPr>
              <w:t>14.7</w:t>
            </w:r>
          </w:p>
        </w:tc>
        <w:tc>
          <w:tcPr>
            <w:tcW w:w="1760" w:type="dxa"/>
            <w:shd w:val="clear" w:color="auto" w:fill="C4EFCE"/>
            <w:vAlign w:val="center"/>
            <w:hideMark/>
          </w:tcPr>
          <w:p w14:paraId="5DC4FFD0" w14:textId="77777777" w:rsidR="00DC5EC6" w:rsidRDefault="003245A4">
            <w:pPr>
              <w:pStyle w:val="P68B1DB1-Normal23"/>
              <w:spacing w:after="0"/>
              <w:jc w:val="center"/>
              <w:rPr>
                <w:rFonts w:eastAsia="Calibri" w:cs="Calibri"/>
                <w:noProof/>
              </w:rPr>
            </w:pPr>
            <w:r>
              <w:rPr>
                <w:noProof/>
              </w:rPr>
              <w:t>TC-C14-i02-RAM</w:t>
            </w:r>
          </w:p>
        </w:tc>
        <w:tc>
          <w:tcPr>
            <w:tcW w:w="1520" w:type="dxa"/>
            <w:shd w:val="clear" w:color="auto" w:fill="C4EFCE"/>
            <w:vAlign w:val="center"/>
            <w:hideMark/>
          </w:tcPr>
          <w:p w14:paraId="6996B48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98F423" w14:textId="77777777" w:rsidR="00DC5EC6" w:rsidRDefault="003245A4">
            <w:pPr>
              <w:pStyle w:val="P68B1DB1-Normal23"/>
              <w:spacing w:after="0"/>
              <w:jc w:val="both"/>
              <w:rPr>
                <w:rFonts w:eastAsia="Calibri" w:cs="Calibri"/>
                <w:noProof/>
              </w:rPr>
            </w:pPr>
            <w:r>
              <w:rPr>
                <w:noProof/>
              </w:rPr>
              <w:t>További beépített kapacitás az akkumulátortároló rendszerben</w:t>
            </w:r>
          </w:p>
        </w:tc>
      </w:tr>
      <w:tr w:rsidR="00DC5EC6" w14:paraId="33AF3466" w14:textId="77777777">
        <w:trPr>
          <w:trHeight w:val="440"/>
        </w:trPr>
        <w:tc>
          <w:tcPr>
            <w:tcW w:w="1200" w:type="dxa"/>
            <w:shd w:val="clear" w:color="auto" w:fill="C4EFCE"/>
            <w:vAlign w:val="center"/>
            <w:hideMark/>
          </w:tcPr>
          <w:p w14:paraId="50DEBE76" w14:textId="77777777" w:rsidR="00DC5EC6" w:rsidRDefault="003245A4">
            <w:pPr>
              <w:pStyle w:val="P68B1DB1-Normal23"/>
              <w:spacing w:after="0"/>
              <w:jc w:val="center"/>
              <w:rPr>
                <w:rFonts w:eastAsia="Calibri" w:cs="Calibri"/>
                <w:noProof/>
              </w:rPr>
            </w:pPr>
            <w:r>
              <w:rPr>
                <w:noProof/>
              </w:rPr>
              <w:t>15.5</w:t>
            </w:r>
          </w:p>
        </w:tc>
        <w:tc>
          <w:tcPr>
            <w:tcW w:w="1760" w:type="dxa"/>
            <w:shd w:val="clear" w:color="auto" w:fill="C4EFCE"/>
            <w:vAlign w:val="center"/>
            <w:hideMark/>
          </w:tcPr>
          <w:p w14:paraId="0C3D8592" w14:textId="77777777" w:rsidR="00DC5EC6" w:rsidRDefault="003245A4">
            <w:pPr>
              <w:pStyle w:val="P68B1DB1-Normal23"/>
              <w:spacing w:after="0"/>
              <w:jc w:val="center"/>
              <w:rPr>
                <w:rFonts w:eastAsia="Calibri" w:cs="Calibri"/>
                <w:noProof/>
              </w:rPr>
            </w:pPr>
            <w:r>
              <w:rPr>
                <w:noProof/>
              </w:rPr>
              <w:t>TC-C15-i02</w:t>
            </w:r>
          </w:p>
        </w:tc>
        <w:tc>
          <w:tcPr>
            <w:tcW w:w="1520" w:type="dxa"/>
            <w:shd w:val="clear" w:color="auto" w:fill="C4EFCE"/>
            <w:vAlign w:val="center"/>
            <w:hideMark/>
          </w:tcPr>
          <w:p w14:paraId="2F39D734"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901C353" w14:textId="77777777" w:rsidR="00DC5EC6" w:rsidRDefault="003245A4">
            <w:pPr>
              <w:pStyle w:val="P68B1DB1-Normal23"/>
              <w:spacing w:after="0"/>
              <w:jc w:val="both"/>
              <w:rPr>
                <w:rFonts w:eastAsia="Calibri" w:cs="Calibri"/>
                <w:noProof/>
              </w:rPr>
            </w:pPr>
            <w:r>
              <w:rPr>
                <w:noProof/>
              </w:rPr>
              <w:t>Jelentés a portói metróhálózat bővítéséről</w:t>
            </w:r>
          </w:p>
        </w:tc>
      </w:tr>
      <w:tr w:rsidR="00DC5EC6" w14:paraId="7CD1B8EB" w14:textId="77777777">
        <w:trPr>
          <w:trHeight w:val="440"/>
        </w:trPr>
        <w:tc>
          <w:tcPr>
            <w:tcW w:w="1200" w:type="dxa"/>
            <w:shd w:val="clear" w:color="auto" w:fill="C4EFCE"/>
            <w:vAlign w:val="center"/>
            <w:hideMark/>
          </w:tcPr>
          <w:p w14:paraId="637A0073" w14:textId="77777777" w:rsidR="00DC5EC6" w:rsidRDefault="003245A4">
            <w:pPr>
              <w:pStyle w:val="P68B1DB1-Normal23"/>
              <w:spacing w:after="0"/>
              <w:jc w:val="center"/>
              <w:rPr>
                <w:rFonts w:eastAsia="Calibri" w:cs="Calibri"/>
                <w:noProof/>
              </w:rPr>
            </w:pPr>
            <w:r>
              <w:rPr>
                <w:noProof/>
              </w:rPr>
              <w:t>15.11</w:t>
            </w:r>
          </w:p>
        </w:tc>
        <w:tc>
          <w:tcPr>
            <w:tcW w:w="1760" w:type="dxa"/>
            <w:shd w:val="clear" w:color="auto" w:fill="C4EFCE"/>
            <w:vAlign w:val="center"/>
            <w:hideMark/>
          </w:tcPr>
          <w:p w14:paraId="5A701BFC" w14:textId="77777777" w:rsidR="00DC5EC6" w:rsidRDefault="003245A4">
            <w:pPr>
              <w:pStyle w:val="P68B1DB1-Normal23"/>
              <w:spacing w:after="0"/>
              <w:jc w:val="center"/>
              <w:rPr>
                <w:rFonts w:eastAsia="Calibri" w:cs="Calibri"/>
                <w:noProof/>
              </w:rPr>
            </w:pPr>
            <w:r>
              <w:rPr>
                <w:noProof/>
              </w:rPr>
              <w:t>TC-C15–i04</w:t>
            </w:r>
          </w:p>
        </w:tc>
        <w:tc>
          <w:tcPr>
            <w:tcW w:w="1520" w:type="dxa"/>
            <w:shd w:val="clear" w:color="auto" w:fill="C4EFCE"/>
            <w:vAlign w:val="center"/>
            <w:hideMark/>
          </w:tcPr>
          <w:p w14:paraId="19EE7515"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0E54A2" w14:textId="77777777" w:rsidR="00DC5EC6" w:rsidRDefault="003245A4">
            <w:pPr>
              <w:pStyle w:val="P68B1DB1-Normal23"/>
              <w:spacing w:after="0"/>
              <w:jc w:val="both"/>
              <w:rPr>
                <w:rFonts w:eastAsia="Calibri" w:cs="Calibri"/>
                <w:noProof/>
              </w:rPr>
            </w:pPr>
            <w:r>
              <w:rPr>
                <w:noProof/>
              </w:rPr>
              <w:t>Praça do Império és Praça Albuquerque Mouzinho közötti gyorsforgalmi út megépítése befejezve</w:t>
            </w:r>
          </w:p>
        </w:tc>
      </w:tr>
      <w:tr w:rsidR="00DC5EC6" w14:paraId="2779212F" w14:textId="77777777">
        <w:trPr>
          <w:trHeight w:val="440"/>
        </w:trPr>
        <w:tc>
          <w:tcPr>
            <w:tcW w:w="1200" w:type="dxa"/>
            <w:shd w:val="clear" w:color="auto" w:fill="C4EFCE"/>
            <w:vAlign w:val="center"/>
            <w:hideMark/>
          </w:tcPr>
          <w:p w14:paraId="14B00922" w14:textId="77777777" w:rsidR="00DC5EC6" w:rsidRDefault="003245A4">
            <w:pPr>
              <w:pStyle w:val="P68B1DB1-Normal23"/>
              <w:spacing w:after="0"/>
              <w:jc w:val="center"/>
              <w:rPr>
                <w:rFonts w:eastAsia="Calibri" w:cs="Calibri"/>
                <w:noProof/>
              </w:rPr>
            </w:pPr>
            <w:r>
              <w:rPr>
                <w:noProof/>
              </w:rPr>
              <w:t>15.15</w:t>
            </w:r>
          </w:p>
        </w:tc>
        <w:tc>
          <w:tcPr>
            <w:tcW w:w="1760" w:type="dxa"/>
            <w:shd w:val="clear" w:color="auto" w:fill="C4EFCE"/>
            <w:vAlign w:val="center"/>
            <w:hideMark/>
          </w:tcPr>
          <w:p w14:paraId="405B1745" w14:textId="77777777" w:rsidR="00DC5EC6" w:rsidRDefault="003245A4">
            <w:pPr>
              <w:pStyle w:val="P68B1DB1-Normal23"/>
              <w:spacing w:after="0"/>
              <w:jc w:val="center"/>
              <w:rPr>
                <w:rFonts w:eastAsia="Calibri" w:cs="Calibri"/>
                <w:noProof/>
              </w:rPr>
            </w:pPr>
            <w:r>
              <w:rPr>
                <w:noProof/>
              </w:rPr>
              <w:t>TC-C15-i06</w:t>
            </w:r>
          </w:p>
        </w:tc>
        <w:tc>
          <w:tcPr>
            <w:tcW w:w="1520" w:type="dxa"/>
            <w:shd w:val="clear" w:color="auto" w:fill="C4EFCE"/>
            <w:vAlign w:val="center"/>
            <w:hideMark/>
          </w:tcPr>
          <w:p w14:paraId="01989B92"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94D9EC" w14:textId="77777777" w:rsidR="00DC5EC6" w:rsidRDefault="003245A4">
            <w:pPr>
              <w:pStyle w:val="P68B1DB1-Normal23"/>
              <w:spacing w:after="0"/>
              <w:jc w:val="both"/>
              <w:rPr>
                <w:rFonts w:eastAsia="Calibri" w:cs="Calibri"/>
                <w:noProof/>
              </w:rPr>
            </w:pPr>
            <w:r>
              <w:rPr>
                <w:noProof/>
              </w:rPr>
              <w:t>Az elektronikus jelzőrendszerekre vonatkozó szerződés aláírása</w:t>
            </w:r>
          </w:p>
        </w:tc>
      </w:tr>
      <w:tr w:rsidR="00DC5EC6" w14:paraId="56D38DB6" w14:textId="77777777">
        <w:trPr>
          <w:trHeight w:val="440"/>
        </w:trPr>
        <w:tc>
          <w:tcPr>
            <w:tcW w:w="1200" w:type="dxa"/>
            <w:shd w:val="clear" w:color="auto" w:fill="C4EFCE"/>
            <w:vAlign w:val="center"/>
            <w:hideMark/>
          </w:tcPr>
          <w:p w14:paraId="6CFABCF9" w14:textId="77777777" w:rsidR="00DC5EC6" w:rsidRDefault="003245A4">
            <w:pPr>
              <w:pStyle w:val="P68B1DB1-Normal23"/>
              <w:spacing w:after="0"/>
              <w:jc w:val="center"/>
              <w:rPr>
                <w:rFonts w:eastAsia="Calibri" w:cs="Calibri"/>
                <w:noProof/>
              </w:rPr>
            </w:pPr>
            <w:r>
              <w:rPr>
                <w:noProof/>
              </w:rPr>
              <w:t>16.5</w:t>
            </w:r>
          </w:p>
        </w:tc>
        <w:tc>
          <w:tcPr>
            <w:tcW w:w="1760" w:type="dxa"/>
            <w:shd w:val="clear" w:color="auto" w:fill="C4EFCE"/>
            <w:vAlign w:val="center"/>
            <w:hideMark/>
          </w:tcPr>
          <w:p w14:paraId="6A307F6F" w14:textId="77777777" w:rsidR="00DC5EC6" w:rsidRDefault="003245A4">
            <w:pPr>
              <w:pStyle w:val="P68B1DB1-Normal23"/>
              <w:spacing w:after="0"/>
              <w:jc w:val="center"/>
              <w:rPr>
                <w:rFonts w:eastAsia="Calibri" w:cs="Calibri"/>
                <w:noProof/>
              </w:rPr>
            </w:pPr>
            <w:r>
              <w:rPr>
                <w:noProof/>
              </w:rPr>
              <w:t>TD-C16-i02</w:t>
            </w:r>
          </w:p>
        </w:tc>
        <w:tc>
          <w:tcPr>
            <w:tcW w:w="1520" w:type="dxa"/>
            <w:shd w:val="clear" w:color="auto" w:fill="C4EFCE"/>
            <w:vAlign w:val="center"/>
            <w:hideMark/>
          </w:tcPr>
          <w:p w14:paraId="6195C39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497CE114" w14:textId="77777777" w:rsidR="00DC5EC6" w:rsidRDefault="003245A4">
            <w:pPr>
              <w:pStyle w:val="P68B1DB1-Normal23"/>
              <w:spacing w:after="0"/>
              <w:jc w:val="both"/>
              <w:rPr>
                <w:rFonts w:eastAsia="Calibri" w:cs="Calibri"/>
                <w:noProof/>
              </w:rPr>
            </w:pPr>
            <w:r>
              <w:rPr>
                <w:noProof/>
              </w:rPr>
              <w:t>A digitális kereskedelem akcelerátorai által támogatott kkv-k</w:t>
            </w:r>
          </w:p>
        </w:tc>
      </w:tr>
      <w:tr w:rsidR="00DC5EC6" w14:paraId="56167A7A" w14:textId="77777777">
        <w:trPr>
          <w:trHeight w:val="440"/>
        </w:trPr>
        <w:tc>
          <w:tcPr>
            <w:tcW w:w="1200" w:type="dxa"/>
            <w:shd w:val="clear" w:color="auto" w:fill="C4EFCE"/>
            <w:vAlign w:val="center"/>
            <w:hideMark/>
          </w:tcPr>
          <w:p w14:paraId="0CF069F8" w14:textId="77777777" w:rsidR="00DC5EC6" w:rsidRDefault="003245A4">
            <w:pPr>
              <w:pStyle w:val="P68B1DB1-Normal23"/>
              <w:spacing w:after="0"/>
              <w:jc w:val="center"/>
              <w:rPr>
                <w:rFonts w:eastAsia="Calibri" w:cs="Calibri"/>
                <w:noProof/>
              </w:rPr>
            </w:pPr>
            <w:r>
              <w:rPr>
                <w:noProof/>
              </w:rPr>
              <w:t>17.5</w:t>
            </w:r>
          </w:p>
        </w:tc>
        <w:tc>
          <w:tcPr>
            <w:tcW w:w="1760" w:type="dxa"/>
            <w:shd w:val="clear" w:color="auto" w:fill="C4EFCE"/>
            <w:vAlign w:val="center"/>
            <w:hideMark/>
          </w:tcPr>
          <w:p w14:paraId="7E1E0351" w14:textId="77777777" w:rsidR="00DC5EC6" w:rsidRDefault="003245A4">
            <w:pPr>
              <w:pStyle w:val="P68B1DB1-Normal23"/>
              <w:spacing w:after="0"/>
              <w:jc w:val="center"/>
              <w:rPr>
                <w:rFonts w:eastAsia="Calibri" w:cs="Calibri"/>
                <w:noProof/>
              </w:rPr>
            </w:pPr>
            <w:r>
              <w:rPr>
                <w:noProof/>
              </w:rPr>
              <w:t>TD-C17-r32</w:t>
            </w:r>
          </w:p>
        </w:tc>
        <w:tc>
          <w:tcPr>
            <w:tcW w:w="1520" w:type="dxa"/>
            <w:shd w:val="clear" w:color="auto" w:fill="C4EFCE"/>
            <w:vAlign w:val="center"/>
            <w:hideMark/>
          </w:tcPr>
          <w:p w14:paraId="60722B6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6F87E6B" w14:textId="77777777" w:rsidR="00DC5EC6" w:rsidRDefault="003245A4">
            <w:pPr>
              <w:pStyle w:val="P68B1DB1-Normal23"/>
              <w:spacing w:after="0"/>
              <w:jc w:val="both"/>
              <w:rPr>
                <w:rFonts w:eastAsia="Calibri" w:cs="Calibri"/>
                <w:noProof/>
              </w:rPr>
            </w:pPr>
            <w:r>
              <w:rPr>
                <w:noProof/>
              </w:rPr>
              <w:t>A kiadások felülvizsgálatának a rendes költségvetési folyamatba való integrálására szolgáló mechanizmusok végrehajtása, beleértve a hatékonysági megtakarítások utólagos értékelését is</w:t>
            </w:r>
          </w:p>
        </w:tc>
      </w:tr>
      <w:tr w:rsidR="00DC5EC6" w14:paraId="17788C3A" w14:textId="77777777">
        <w:trPr>
          <w:trHeight w:val="440"/>
        </w:trPr>
        <w:tc>
          <w:tcPr>
            <w:tcW w:w="1200" w:type="dxa"/>
            <w:shd w:val="clear" w:color="auto" w:fill="C4EFCE"/>
            <w:vAlign w:val="center"/>
            <w:hideMark/>
          </w:tcPr>
          <w:p w14:paraId="37658F95" w14:textId="77777777" w:rsidR="00DC5EC6" w:rsidRDefault="003245A4">
            <w:pPr>
              <w:pStyle w:val="P68B1DB1-Normal23"/>
              <w:spacing w:after="0"/>
              <w:jc w:val="center"/>
              <w:rPr>
                <w:rFonts w:eastAsia="Calibri" w:cs="Calibri"/>
                <w:noProof/>
              </w:rPr>
            </w:pPr>
            <w:r>
              <w:rPr>
                <w:noProof/>
              </w:rPr>
              <w:t>17.10</w:t>
            </w:r>
          </w:p>
        </w:tc>
        <w:tc>
          <w:tcPr>
            <w:tcW w:w="1760" w:type="dxa"/>
            <w:shd w:val="clear" w:color="auto" w:fill="C4EFCE"/>
            <w:vAlign w:val="center"/>
            <w:hideMark/>
          </w:tcPr>
          <w:p w14:paraId="4E422B3C" w14:textId="77777777" w:rsidR="00DC5EC6" w:rsidRDefault="003245A4">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5B816A0C"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0ECE329E" w14:textId="77777777" w:rsidR="00DC5EC6" w:rsidRDefault="003245A4">
            <w:pPr>
              <w:pStyle w:val="P68B1DB1-Normal23"/>
              <w:spacing w:after="0"/>
              <w:jc w:val="both"/>
              <w:rPr>
                <w:rFonts w:eastAsia="Calibri" w:cs="Calibri"/>
                <w:noProof/>
              </w:rPr>
            </w:pPr>
            <w:r>
              <w:rPr>
                <w:noProof/>
              </w:rPr>
              <w:t>A költségvetési folyamat átalakítására és végrehajtására szolgáló információs rendszer működésbe lépése, amely magában foglalja a programok költségvetés-tervezését</w:t>
            </w:r>
          </w:p>
        </w:tc>
      </w:tr>
      <w:tr w:rsidR="00DC5EC6" w14:paraId="7961C854" w14:textId="77777777">
        <w:trPr>
          <w:trHeight w:val="440"/>
        </w:trPr>
        <w:tc>
          <w:tcPr>
            <w:tcW w:w="1200" w:type="dxa"/>
            <w:shd w:val="clear" w:color="auto" w:fill="C4EFCE"/>
            <w:vAlign w:val="center"/>
            <w:hideMark/>
          </w:tcPr>
          <w:p w14:paraId="06A842B9" w14:textId="77777777" w:rsidR="00DC5EC6" w:rsidRDefault="003245A4">
            <w:pPr>
              <w:pStyle w:val="P68B1DB1-Normal23"/>
              <w:spacing w:after="0"/>
              <w:jc w:val="center"/>
              <w:rPr>
                <w:rFonts w:eastAsia="Calibri" w:cs="Calibri"/>
                <w:noProof/>
              </w:rPr>
            </w:pPr>
            <w:r>
              <w:rPr>
                <w:noProof/>
              </w:rPr>
              <w:t>17.12</w:t>
            </w:r>
          </w:p>
        </w:tc>
        <w:tc>
          <w:tcPr>
            <w:tcW w:w="1760" w:type="dxa"/>
            <w:shd w:val="clear" w:color="auto" w:fill="C4EFCE"/>
            <w:vAlign w:val="center"/>
            <w:hideMark/>
          </w:tcPr>
          <w:p w14:paraId="001468C9" w14:textId="77777777" w:rsidR="00DC5EC6" w:rsidRDefault="003245A4">
            <w:pPr>
              <w:pStyle w:val="P68B1DB1-Normal23"/>
              <w:spacing w:after="0"/>
              <w:jc w:val="center"/>
              <w:rPr>
                <w:rFonts w:eastAsia="Calibri" w:cs="Calibri"/>
                <w:noProof/>
              </w:rPr>
            </w:pPr>
            <w:r>
              <w:rPr>
                <w:noProof/>
              </w:rPr>
              <w:t>TD-C17-i01</w:t>
            </w:r>
          </w:p>
        </w:tc>
        <w:tc>
          <w:tcPr>
            <w:tcW w:w="1520" w:type="dxa"/>
            <w:shd w:val="clear" w:color="auto" w:fill="C4EFCE"/>
            <w:vAlign w:val="center"/>
            <w:hideMark/>
          </w:tcPr>
          <w:p w14:paraId="2A0495A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CECF438" w14:textId="77777777" w:rsidR="00DC5EC6" w:rsidRDefault="003245A4">
            <w:pPr>
              <w:pStyle w:val="P68B1DB1-Normal23"/>
              <w:spacing w:after="0"/>
              <w:jc w:val="both"/>
              <w:rPr>
                <w:rFonts w:eastAsia="Calibri" w:cs="Calibri"/>
                <w:noProof/>
              </w:rPr>
            </w:pPr>
            <w:r>
              <w:rPr>
                <w:noProof/>
              </w:rPr>
              <w:t>A nemzeti központi közbeszerzési rendszer információs rendszereinek korszerűsítése és egyszerűsítése</w:t>
            </w:r>
          </w:p>
        </w:tc>
      </w:tr>
      <w:tr w:rsidR="00DC5EC6" w14:paraId="3B8303FF" w14:textId="77777777">
        <w:trPr>
          <w:trHeight w:val="440"/>
        </w:trPr>
        <w:tc>
          <w:tcPr>
            <w:tcW w:w="1200" w:type="dxa"/>
            <w:shd w:val="clear" w:color="auto" w:fill="C4EFCE"/>
            <w:vAlign w:val="center"/>
            <w:hideMark/>
          </w:tcPr>
          <w:p w14:paraId="374F435D" w14:textId="77777777" w:rsidR="00DC5EC6" w:rsidRDefault="003245A4">
            <w:pPr>
              <w:pStyle w:val="P68B1DB1-Normal23"/>
              <w:spacing w:after="0"/>
              <w:jc w:val="center"/>
              <w:rPr>
                <w:rFonts w:eastAsia="Calibri" w:cs="Calibri"/>
                <w:noProof/>
              </w:rPr>
            </w:pPr>
            <w:r>
              <w:rPr>
                <w:noProof/>
              </w:rPr>
              <w:t>19.14</w:t>
            </w:r>
          </w:p>
        </w:tc>
        <w:tc>
          <w:tcPr>
            <w:tcW w:w="1760" w:type="dxa"/>
            <w:shd w:val="clear" w:color="auto" w:fill="C4EFCE"/>
            <w:vAlign w:val="center"/>
            <w:hideMark/>
          </w:tcPr>
          <w:p w14:paraId="76D82292" w14:textId="77777777" w:rsidR="00DC5EC6" w:rsidRDefault="003245A4">
            <w:pPr>
              <w:pStyle w:val="P68B1DB1-Normal23"/>
              <w:spacing w:after="0"/>
              <w:jc w:val="center"/>
              <w:rPr>
                <w:rFonts w:eastAsia="Calibri" w:cs="Calibri"/>
                <w:noProof/>
              </w:rPr>
            </w:pPr>
            <w:r>
              <w:rPr>
                <w:noProof/>
              </w:rPr>
              <w:t>TD-C19-i04</w:t>
            </w:r>
          </w:p>
        </w:tc>
        <w:tc>
          <w:tcPr>
            <w:tcW w:w="1520" w:type="dxa"/>
            <w:shd w:val="clear" w:color="auto" w:fill="C4EFCE"/>
            <w:vAlign w:val="center"/>
            <w:hideMark/>
          </w:tcPr>
          <w:p w14:paraId="5CB3286F"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0230BA8" w14:textId="77777777" w:rsidR="00DC5EC6" w:rsidRDefault="003245A4">
            <w:pPr>
              <w:pStyle w:val="P68B1DB1-Normal23"/>
              <w:spacing w:after="0"/>
              <w:jc w:val="both"/>
              <w:rPr>
                <w:rFonts w:eastAsia="Calibri" w:cs="Calibri"/>
                <w:noProof/>
              </w:rPr>
            </w:pPr>
            <w:r>
              <w:rPr>
                <w:noProof/>
              </w:rPr>
              <w:t>A biztonsági erők és szolgálatok informatikai rendszerének korszerűsítése</w:t>
            </w:r>
          </w:p>
        </w:tc>
      </w:tr>
      <w:tr w:rsidR="00DC5EC6" w14:paraId="388D9F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C3D30EB" w14:textId="77777777" w:rsidR="00DC5EC6" w:rsidRDefault="003245A4">
            <w:pPr>
              <w:pStyle w:val="P68B1DB1-Normal23"/>
              <w:spacing w:after="0"/>
              <w:jc w:val="center"/>
              <w:rPr>
                <w:rFonts w:eastAsia="Calibri" w:cs="Calibri"/>
                <w:noProof/>
              </w:rPr>
            </w:pPr>
            <w:r>
              <w:rPr>
                <w:noProof/>
              </w:rPr>
              <w:t>19.25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28A74B2" w14:textId="77777777" w:rsidR="00DC5EC6" w:rsidRDefault="003245A4">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4ABBBE3" w14:textId="77777777" w:rsidR="00DC5EC6" w:rsidRDefault="003245A4">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B53CA88" w14:textId="79A90FE7" w:rsidR="00DC5EC6" w:rsidRDefault="003245A4">
            <w:pPr>
              <w:pStyle w:val="P68B1DB1-Normal23"/>
              <w:spacing w:after="0"/>
              <w:jc w:val="both"/>
              <w:rPr>
                <w:rFonts w:eastAsia="Calibri" w:cs="Calibri"/>
                <w:noProof/>
              </w:rPr>
            </w:pPr>
            <w:r>
              <w:rPr>
                <w:noProof/>
              </w:rPr>
              <w:t>Az új lakossági üzletek és polgári terek létesítésének protocomjainak aláírása</w:t>
            </w:r>
          </w:p>
        </w:tc>
      </w:tr>
      <w:tr w:rsidR="00DC5EC6" w14:paraId="355D6EE4" w14:textId="77777777">
        <w:trPr>
          <w:trHeight w:val="440"/>
        </w:trPr>
        <w:tc>
          <w:tcPr>
            <w:tcW w:w="1200" w:type="dxa"/>
            <w:shd w:val="clear" w:color="auto" w:fill="C4EFCE"/>
            <w:vAlign w:val="center"/>
            <w:hideMark/>
          </w:tcPr>
          <w:p w14:paraId="2C38072A" w14:textId="77777777" w:rsidR="00DC5EC6" w:rsidRDefault="003245A4">
            <w:pPr>
              <w:pStyle w:val="P68B1DB1-Normal23"/>
              <w:spacing w:after="0"/>
              <w:jc w:val="center"/>
              <w:rPr>
                <w:rFonts w:eastAsia="Calibri" w:cs="Calibri"/>
                <w:noProof/>
              </w:rPr>
            </w:pPr>
            <w:r>
              <w:rPr>
                <w:noProof/>
              </w:rPr>
              <w:t>19.28</w:t>
            </w:r>
          </w:p>
        </w:tc>
        <w:tc>
          <w:tcPr>
            <w:tcW w:w="1760" w:type="dxa"/>
            <w:shd w:val="clear" w:color="auto" w:fill="C4EFCE"/>
            <w:vAlign w:val="center"/>
            <w:hideMark/>
          </w:tcPr>
          <w:p w14:paraId="7C77969E" w14:textId="77777777" w:rsidR="00DC5EC6" w:rsidRDefault="003245A4">
            <w:pPr>
              <w:pStyle w:val="P68B1DB1-Normal23"/>
              <w:spacing w:after="0"/>
              <w:jc w:val="center"/>
              <w:rPr>
                <w:rFonts w:eastAsia="Calibri" w:cs="Calibri"/>
                <w:noProof/>
              </w:rPr>
            </w:pPr>
            <w:r>
              <w:rPr>
                <w:noProof/>
              </w:rPr>
              <w:t>TD-C19i05-RAM</w:t>
            </w:r>
          </w:p>
        </w:tc>
        <w:tc>
          <w:tcPr>
            <w:tcW w:w="1520" w:type="dxa"/>
            <w:shd w:val="clear" w:color="auto" w:fill="C4EFCE"/>
            <w:vAlign w:val="center"/>
            <w:hideMark/>
          </w:tcPr>
          <w:p w14:paraId="12DA2CBA"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56F2A2D3" w14:textId="77777777" w:rsidR="00DC5EC6" w:rsidRDefault="003245A4">
            <w:pPr>
              <w:pStyle w:val="P68B1DB1-Normal23"/>
              <w:spacing w:after="0"/>
              <w:jc w:val="both"/>
              <w:rPr>
                <w:rFonts w:eastAsia="Calibri" w:cs="Calibri"/>
                <w:noProof/>
              </w:rPr>
            </w:pPr>
            <w:r>
              <w:rPr>
                <w:noProof/>
              </w:rPr>
              <w:t>Központosított adatkezelési megoldás funkcionális prototípusa</w:t>
            </w:r>
          </w:p>
        </w:tc>
      </w:tr>
      <w:tr w:rsidR="00DC5EC6" w14:paraId="0C5EE933" w14:textId="77777777">
        <w:trPr>
          <w:trHeight w:val="440"/>
        </w:trPr>
        <w:tc>
          <w:tcPr>
            <w:tcW w:w="1200" w:type="dxa"/>
            <w:shd w:val="clear" w:color="auto" w:fill="C4EFCE"/>
            <w:vAlign w:val="center"/>
            <w:hideMark/>
          </w:tcPr>
          <w:p w14:paraId="5C73EC6E" w14:textId="77777777" w:rsidR="00DC5EC6" w:rsidRDefault="003245A4">
            <w:pPr>
              <w:pStyle w:val="P68B1DB1-Normal23"/>
              <w:spacing w:after="0"/>
              <w:jc w:val="center"/>
              <w:rPr>
                <w:rFonts w:eastAsia="Calibri" w:cs="Calibri"/>
                <w:noProof/>
              </w:rPr>
            </w:pPr>
            <w:r>
              <w:rPr>
                <w:noProof/>
              </w:rPr>
              <w:t>20.4</w:t>
            </w:r>
          </w:p>
        </w:tc>
        <w:tc>
          <w:tcPr>
            <w:tcW w:w="1760" w:type="dxa"/>
            <w:shd w:val="clear" w:color="auto" w:fill="C4EFCE"/>
            <w:vAlign w:val="center"/>
            <w:hideMark/>
          </w:tcPr>
          <w:p w14:paraId="66421C5D" w14:textId="77777777" w:rsidR="00DC5EC6" w:rsidRDefault="003245A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114704E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C943269" w14:textId="77777777" w:rsidR="00DC5EC6" w:rsidRDefault="003245A4">
            <w:pPr>
              <w:pStyle w:val="P68B1DB1-Normal23"/>
              <w:spacing w:after="0"/>
              <w:jc w:val="both"/>
              <w:rPr>
                <w:rFonts w:eastAsia="Calibri" w:cs="Calibri"/>
                <w:noProof/>
              </w:rPr>
            </w:pPr>
            <w:r>
              <w:rPr>
                <w:noProof/>
              </w:rPr>
              <w:t>Az általános és középiskolák összeköttetésének korszerűsítése</w:t>
            </w:r>
          </w:p>
        </w:tc>
      </w:tr>
      <w:tr w:rsidR="00DC5EC6" w14:paraId="71AD5736" w14:textId="77777777">
        <w:trPr>
          <w:trHeight w:val="440"/>
        </w:trPr>
        <w:tc>
          <w:tcPr>
            <w:tcW w:w="1200" w:type="dxa"/>
            <w:shd w:val="clear" w:color="auto" w:fill="C4EFCE"/>
            <w:vAlign w:val="center"/>
            <w:hideMark/>
          </w:tcPr>
          <w:p w14:paraId="3024F12A" w14:textId="77777777" w:rsidR="00DC5EC6" w:rsidRDefault="003245A4">
            <w:pPr>
              <w:pStyle w:val="P68B1DB1-Normal23"/>
              <w:spacing w:after="0"/>
              <w:jc w:val="center"/>
              <w:rPr>
                <w:rFonts w:eastAsia="Calibri" w:cs="Calibri"/>
                <w:noProof/>
              </w:rPr>
            </w:pPr>
            <w:r>
              <w:rPr>
                <w:noProof/>
              </w:rPr>
              <w:t>20.5</w:t>
            </w:r>
          </w:p>
        </w:tc>
        <w:tc>
          <w:tcPr>
            <w:tcW w:w="1760" w:type="dxa"/>
            <w:shd w:val="clear" w:color="auto" w:fill="C4EFCE"/>
            <w:vAlign w:val="center"/>
            <w:hideMark/>
          </w:tcPr>
          <w:p w14:paraId="1444B579" w14:textId="77777777" w:rsidR="00DC5EC6" w:rsidRDefault="003245A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2AF294F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7487495" w14:textId="77777777" w:rsidR="00DC5EC6" w:rsidRDefault="003245A4">
            <w:pPr>
              <w:pStyle w:val="P68B1DB1-Normal23"/>
              <w:spacing w:after="0"/>
              <w:jc w:val="both"/>
              <w:rPr>
                <w:rFonts w:eastAsia="Calibri" w:cs="Calibri"/>
                <w:noProof/>
              </w:rPr>
            </w:pPr>
            <w:r>
              <w:rPr>
                <w:noProof/>
              </w:rPr>
              <w:t>Digitális oktatási laboratóriumok telepítése</w:t>
            </w:r>
          </w:p>
        </w:tc>
      </w:tr>
      <w:tr w:rsidR="00DC5EC6" w14:paraId="5D89430C" w14:textId="77777777">
        <w:trPr>
          <w:trHeight w:val="440"/>
        </w:trPr>
        <w:tc>
          <w:tcPr>
            <w:tcW w:w="1200" w:type="dxa"/>
            <w:shd w:val="clear" w:color="auto" w:fill="C4EFCE"/>
            <w:vAlign w:val="center"/>
            <w:hideMark/>
          </w:tcPr>
          <w:p w14:paraId="21F79FB7" w14:textId="77777777" w:rsidR="00DC5EC6" w:rsidRDefault="003245A4">
            <w:pPr>
              <w:pStyle w:val="P68B1DB1-Normal23"/>
              <w:spacing w:after="0"/>
              <w:jc w:val="center"/>
              <w:rPr>
                <w:rFonts w:eastAsia="Calibri" w:cs="Calibri"/>
                <w:noProof/>
              </w:rPr>
            </w:pPr>
            <w:r>
              <w:rPr>
                <w:noProof/>
              </w:rPr>
              <w:t>20.7</w:t>
            </w:r>
          </w:p>
        </w:tc>
        <w:tc>
          <w:tcPr>
            <w:tcW w:w="1760" w:type="dxa"/>
            <w:shd w:val="clear" w:color="auto" w:fill="C4EFCE"/>
            <w:vAlign w:val="center"/>
            <w:hideMark/>
          </w:tcPr>
          <w:p w14:paraId="33B6F4F1" w14:textId="77777777" w:rsidR="00DC5EC6" w:rsidRDefault="003245A4">
            <w:pPr>
              <w:pStyle w:val="P68B1DB1-Normal23"/>
              <w:spacing w:after="0"/>
              <w:jc w:val="center"/>
              <w:rPr>
                <w:rFonts w:eastAsia="Calibri" w:cs="Calibri"/>
                <w:noProof/>
              </w:rPr>
            </w:pPr>
            <w:r>
              <w:rPr>
                <w:noProof/>
              </w:rPr>
              <w:t>TD-C20-i01</w:t>
            </w:r>
          </w:p>
        </w:tc>
        <w:tc>
          <w:tcPr>
            <w:tcW w:w="1520" w:type="dxa"/>
            <w:shd w:val="clear" w:color="auto" w:fill="C4EFCE"/>
            <w:vAlign w:val="center"/>
            <w:hideMark/>
          </w:tcPr>
          <w:p w14:paraId="0CDF83A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C9E5FE" w14:textId="77777777" w:rsidR="00DC5EC6" w:rsidRDefault="003245A4">
            <w:pPr>
              <w:pStyle w:val="P68B1DB1-Normal23"/>
              <w:spacing w:after="0"/>
              <w:jc w:val="both"/>
              <w:rPr>
                <w:rFonts w:eastAsia="Calibri" w:cs="Calibri"/>
                <w:noProof/>
              </w:rPr>
            </w:pPr>
            <w:r>
              <w:rPr>
                <w:noProof/>
              </w:rPr>
              <w:t>Az iskolaigazgatás szerepének erősítése</w:t>
            </w:r>
          </w:p>
        </w:tc>
      </w:tr>
      <w:tr w:rsidR="00DC5EC6" w14:paraId="095F7BC5" w14:textId="77777777">
        <w:trPr>
          <w:trHeight w:val="440"/>
        </w:trPr>
        <w:tc>
          <w:tcPr>
            <w:tcW w:w="1200" w:type="dxa"/>
            <w:shd w:val="clear" w:color="auto" w:fill="C4EFCE"/>
            <w:vAlign w:val="center"/>
            <w:hideMark/>
          </w:tcPr>
          <w:p w14:paraId="75DE1446" w14:textId="77777777" w:rsidR="00DC5EC6" w:rsidRDefault="003245A4">
            <w:pPr>
              <w:pStyle w:val="P68B1DB1-Normal23"/>
              <w:spacing w:after="0"/>
              <w:jc w:val="center"/>
              <w:rPr>
                <w:rFonts w:eastAsia="Calibri" w:cs="Calibri"/>
                <w:noProof/>
              </w:rPr>
            </w:pPr>
            <w:r>
              <w:rPr>
                <w:noProof/>
              </w:rPr>
              <w:t>20.15</w:t>
            </w:r>
          </w:p>
        </w:tc>
        <w:tc>
          <w:tcPr>
            <w:tcW w:w="1760" w:type="dxa"/>
            <w:shd w:val="clear" w:color="auto" w:fill="C4EFCE"/>
            <w:vAlign w:val="center"/>
            <w:hideMark/>
          </w:tcPr>
          <w:p w14:paraId="63BCB75D" w14:textId="77777777" w:rsidR="00DC5EC6" w:rsidRDefault="003245A4">
            <w:pPr>
              <w:pStyle w:val="P68B1DB1-Normal23"/>
              <w:spacing w:after="0"/>
              <w:jc w:val="center"/>
              <w:rPr>
                <w:rFonts w:eastAsia="Calibri" w:cs="Calibri"/>
                <w:noProof/>
              </w:rPr>
            </w:pPr>
            <w:r>
              <w:rPr>
                <w:noProof/>
              </w:rPr>
              <w:t>TD-C20i03-RAM</w:t>
            </w:r>
          </w:p>
        </w:tc>
        <w:tc>
          <w:tcPr>
            <w:tcW w:w="1520" w:type="dxa"/>
            <w:shd w:val="clear" w:color="auto" w:fill="C4EFCE"/>
            <w:vAlign w:val="center"/>
            <w:hideMark/>
          </w:tcPr>
          <w:p w14:paraId="59D36764"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E3243CB" w14:textId="77777777" w:rsidR="00DC5EC6" w:rsidRDefault="003245A4">
            <w:pPr>
              <w:pStyle w:val="P68B1DB1-Normal23"/>
              <w:spacing w:after="0"/>
              <w:jc w:val="both"/>
              <w:rPr>
                <w:rFonts w:eastAsia="Calibri" w:cs="Calibri"/>
                <w:noProof/>
              </w:rPr>
            </w:pPr>
            <w:r>
              <w:rPr>
                <w:noProof/>
              </w:rPr>
              <w:t>Iskolai kapcsolat az ARM-ben</w:t>
            </w:r>
          </w:p>
        </w:tc>
      </w:tr>
      <w:tr w:rsidR="00DC5EC6" w14:paraId="66DB9AD9" w14:textId="77777777">
        <w:trPr>
          <w:trHeight w:val="440"/>
        </w:trPr>
        <w:tc>
          <w:tcPr>
            <w:tcW w:w="1200" w:type="dxa"/>
            <w:shd w:val="clear" w:color="auto" w:fill="C4EFCE"/>
            <w:vAlign w:val="center"/>
            <w:hideMark/>
          </w:tcPr>
          <w:p w14:paraId="2F1BF0CF" w14:textId="77777777" w:rsidR="00DC5EC6" w:rsidRDefault="003245A4">
            <w:pPr>
              <w:pStyle w:val="P68B1DB1-Normal23"/>
              <w:spacing w:after="0"/>
              <w:jc w:val="center"/>
              <w:rPr>
                <w:rFonts w:eastAsia="Calibri" w:cs="Calibri"/>
                <w:noProof/>
              </w:rPr>
            </w:pPr>
            <w:r>
              <w:rPr>
                <w:noProof/>
              </w:rPr>
              <w:t>21.10</w:t>
            </w:r>
          </w:p>
        </w:tc>
        <w:tc>
          <w:tcPr>
            <w:tcW w:w="1760" w:type="dxa"/>
            <w:shd w:val="clear" w:color="auto" w:fill="C4EFCE"/>
            <w:vAlign w:val="center"/>
            <w:hideMark/>
          </w:tcPr>
          <w:p w14:paraId="5DF21089" w14:textId="77777777" w:rsidR="00DC5EC6" w:rsidRDefault="003245A4">
            <w:pPr>
              <w:pStyle w:val="P68B1DB1-Normal23"/>
              <w:spacing w:after="0"/>
              <w:jc w:val="center"/>
              <w:rPr>
                <w:rFonts w:eastAsia="Calibri" w:cs="Calibri"/>
                <w:noProof/>
              </w:rPr>
            </w:pPr>
            <w:r>
              <w:rPr>
                <w:noProof/>
              </w:rPr>
              <w:t>RP-C21-r44</w:t>
            </w:r>
          </w:p>
        </w:tc>
        <w:tc>
          <w:tcPr>
            <w:tcW w:w="1520" w:type="dxa"/>
            <w:shd w:val="clear" w:color="auto" w:fill="C4EFCE"/>
            <w:vAlign w:val="center"/>
            <w:hideMark/>
          </w:tcPr>
          <w:p w14:paraId="2A7141B8"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5F3038A" w14:textId="77777777" w:rsidR="00DC5EC6" w:rsidRDefault="003245A4">
            <w:pPr>
              <w:pStyle w:val="P68B1DB1-Normal23"/>
              <w:spacing w:after="0"/>
              <w:jc w:val="both"/>
              <w:rPr>
                <w:rFonts w:eastAsia="Calibri" w:cs="Calibri"/>
                <w:noProof/>
              </w:rPr>
            </w:pPr>
            <w:r>
              <w:rPr>
                <w:noProof/>
              </w:rPr>
              <w:t>Kapacitásépítési intézkedések</w:t>
            </w:r>
          </w:p>
        </w:tc>
      </w:tr>
      <w:tr w:rsidR="00DC5EC6" w14:paraId="17B29DAC" w14:textId="77777777">
        <w:trPr>
          <w:trHeight w:val="440"/>
        </w:trPr>
        <w:tc>
          <w:tcPr>
            <w:tcW w:w="1200" w:type="dxa"/>
            <w:shd w:val="clear" w:color="auto" w:fill="C4EFCE"/>
            <w:vAlign w:val="center"/>
            <w:hideMark/>
          </w:tcPr>
          <w:p w14:paraId="11D06F3F" w14:textId="77777777" w:rsidR="00DC5EC6" w:rsidRDefault="003245A4">
            <w:pPr>
              <w:pStyle w:val="P68B1DB1-Normal23"/>
              <w:spacing w:after="0"/>
              <w:jc w:val="center"/>
              <w:rPr>
                <w:rFonts w:eastAsia="Calibri" w:cs="Calibri"/>
                <w:noProof/>
              </w:rPr>
            </w:pPr>
            <w:r>
              <w:rPr>
                <w:noProof/>
              </w:rPr>
              <w:t>21.14</w:t>
            </w:r>
          </w:p>
        </w:tc>
        <w:tc>
          <w:tcPr>
            <w:tcW w:w="1760" w:type="dxa"/>
            <w:shd w:val="clear" w:color="auto" w:fill="C4EFCE"/>
            <w:vAlign w:val="center"/>
            <w:hideMark/>
          </w:tcPr>
          <w:p w14:paraId="04487365" w14:textId="1CEA46B2" w:rsidR="00DC5EC6" w:rsidRDefault="003245A4">
            <w:pPr>
              <w:pStyle w:val="P68B1DB1-Normal23"/>
              <w:spacing w:after="0"/>
              <w:jc w:val="center"/>
              <w:rPr>
                <w:rFonts w:eastAsia="Calibri" w:cs="Calibri"/>
                <w:noProof/>
              </w:rPr>
            </w:pPr>
            <w:r>
              <w:rPr>
                <w:noProof/>
              </w:rPr>
              <w:t>RP-C21-r45</w:t>
            </w:r>
          </w:p>
        </w:tc>
        <w:tc>
          <w:tcPr>
            <w:tcW w:w="1520" w:type="dxa"/>
            <w:shd w:val="clear" w:color="auto" w:fill="C4EFCE"/>
            <w:vAlign w:val="center"/>
            <w:hideMark/>
          </w:tcPr>
          <w:p w14:paraId="6A7FA34F"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DA901B0" w14:textId="77777777" w:rsidR="00DC5EC6" w:rsidRDefault="003245A4">
            <w:pPr>
              <w:pStyle w:val="P68B1DB1-Normal23"/>
              <w:spacing w:after="0"/>
              <w:jc w:val="both"/>
              <w:rPr>
                <w:rFonts w:eastAsia="Calibri" w:cs="Calibri"/>
                <w:noProof/>
              </w:rPr>
            </w:pPr>
            <w:r>
              <w:rPr>
                <w:noProof/>
              </w:rPr>
              <w:t>A zöld készségekkel kapcsolatos képzési tevékenységek</w:t>
            </w:r>
          </w:p>
        </w:tc>
      </w:tr>
      <w:tr w:rsidR="00DC5EC6" w14:paraId="7B6DBAA0" w14:textId="77777777">
        <w:trPr>
          <w:trHeight w:val="440"/>
        </w:trPr>
        <w:tc>
          <w:tcPr>
            <w:tcW w:w="1200" w:type="dxa"/>
            <w:shd w:val="clear" w:color="auto" w:fill="C4EFCE"/>
            <w:vAlign w:val="center"/>
            <w:hideMark/>
          </w:tcPr>
          <w:p w14:paraId="3A579611" w14:textId="77777777" w:rsidR="00DC5EC6" w:rsidRDefault="003245A4">
            <w:pPr>
              <w:pStyle w:val="P68B1DB1-Normal23"/>
              <w:spacing w:after="0"/>
              <w:jc w:val="center"/>
              <w:rPr>
                <w:rFonts w:eastAsia="Calibri" w:cs="Calibri"/>
                <w:noProof/>
              </w:rPr>
            </w:pPr>
            <w:r>
              <w:rPr>
                <w:noProof/>
              </w:rPr>
              <w:t>21.30</w:t>
            </w:r>
          </w:p>
        </w:tc>
        <w:tc>
          <w:tcPr>
            <w:tcW w:w="1760" w:type="dxa"/>
            <w:shd w:val="clear" w:color="auto" w:fill="C4EFCE"/>
            <w:vAlign w:val="center"/>
            <w:hideMark/>
          </w:tcPr>
          <w:p w14:paraId="4D24E80F" w14:textId="66AD4A61" w:rsidR="00DC5EC6" w:rsidRDefault="003245A4">
            <w:pPr>
              <w:pStyle w:val="P68B1DB1-Normal23"/>
              <w:spacing w:after="0"/>
              <w:jc w:val="center"/>
              <w:rPr>
                <w:rFonts w:eastAsia="Calibri" w:cs="Calibri"/>
                <w:noProof/>
              </w:rPr>
            </w:pPr>
            <w:r>
              <w:rPr>
                <w:noProof/>
              </w:rPr>
              <w:t>RP-C21-i9</w:t>
            </w:r>
          </w:p>
        </w:tc>
        <w:tc>
          <w:tcPr>
            <w:tcW w:w="1520" w:type="dxa"/>
            <w:shd w:val="clear" w:color="auto" w:fill="C4EFCE"/>
            <w:vAlign w:val="center"/>
            <w:hideMark/>
          </w:tcPr>
          <w:p w14:paraId="1BE77825"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9F8DE1D" w14:textId="77777777" w:rsidR="00DC5EC6" w:rsidRDefault="003245A4">
            <w:pPr>
              <w:pStyle w:val="P68B1DB1-Normal23"/>
              <w:spacing w:after="0"/>
              <w:jc w:val="both"/>
              <w:rPr>
                <w:rFonts w:eastAsia="Calibri" w:cs="Calibri"/>
                <w:noProof/>
              </w:rPr>
            </w:pPr>
            <w:r>
              <w:rPr>
                <w:noProof/>
              </w:rPr>
              <w:t>A megújulóenergia-projektek engedélyezésére és nyomon követésére szolgáló egyablakos digitális platform első fázisú moduljainak üzembe helyezése</w:t>
            </w:r>
          </w:p>
        </w:tc>
      </w:tr>
      <w:tr w:rsidR="00DC5EC6" w14:paraId="7AEA5439" w14:textId="77777777">
        <w:trPr>
          <w:trHeight w:val="440"/>
        </w:trPr>
        <w:tc>
          <w:tcPr>
            <w:tcW w:w="1200" w:type="dxa"/>
            <w:shd w:val="clear" w:color="auto" w:fill="C4EFCE"/>
            <w:vAlign w:val="center"/>
            <w:hideMark/>
          </w:tcPr>
          <w:p w14:paraId="3B9D7FE4" w14:textId="77777777" w:rsidR="00DC5EC6" w:rsidRDefault="003245A4">
            <w:pPr>
              <w:pStyle w:val="P68B1DB1-Normal23"/>
              <w:spacing w:after="0"/>
              <w:jc w:val="center"/>
              <w:rPr>
                <w:rFonts w:eastAsia="Calibri" w:cs="Calibri"/>
                <w:noProof/>
              </w:rPr>
            </w:pPr>
            <w:r>
              <w:rPr>
                <w:noProof/>
              </w:rPr>
              <w:t>21.38</w:t>
            </w:r>
          </w:p>
        </w:tc>
        <w:tc>
          <w:tcPr>
            <w:tcW w:w="1760" w:type="dxa"/>
            <w:shd w:val="clear" w:color="auto" w:fill="C4EFCE"/>
            <w:vAlign w:val="center"/>
            <w:hideMark/>
          </w:tcPr>
          <w:p w14:paraId="244019BC" w14:textId="436D4207" w:rsidR="00DC5EC6" w:rsidRDefault="003245A4">
            <w:pPr>
              <w:pStyle w:val="P68B1DB1-Normal23"/>
              <w:spacing w:after="0"/>
              <w:jc w:val="center"/>
              <w:rPr>
                <w:rFonts w:eastAsia="Calibri" w:cs="Calibri"/>
                <w:noProof/>
              </w:rPr>
            </w:pPr>
            <w:r>
              <w:rPr>
                <w:noProof/>
              </w:rPr>
              <w:t>RP-C21-i14</w:t>
            </w:r>
          </w:p>
        </w:tc>
        <w:tc>
          <w:tcPr>
            <w:tcW w:w="1520" w:type="dxa"/>
            <w:shd w:val="clear" w:color="auto" w:fill="C4EFCE"/>
            <w:vAlign w:val="center"/>
            <w:hideMark/>
          </w:tcPr>
          <w:p w14:paraId="4A27F4D9"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9E90178" w14:textId="77777777" w:rsidR="00DC5EC6" w:rsidRDefault="003245A4">
            <w:pPr>
              <w:pStyle w:val="P68B1DB1-Normal23"/>
              <w:spacing w:after="0"/>
              <w:jc w:val="both"/>
              <w:rPr>
                <w:rFonts w:eastAsia="Calibri" w:cs="Calibri"/>
                <w:noProof/>
              </w:rPr>
            </w:pPr>
            <w:r>
              <w:rPr>
                <w:noProof/>
              </w:rPr>
              <w:t>A bragai gyorsforgalmi út két vonalának megépítésére vonatkozó szerződés aláírása</w:t>
            </w:r>
          </w:p>
        </w:tc>
      </w:tr>
      <w:tr w:rsidR="00DC5EC6" w14:paraId="385E0783" w14:textId="77777777">
        <w:trPr>
          <w:trHeight w:val="440"/>
        </w:trPr>
        <w:tc>
          <w:tcPr>
            <w:tcW w:w="1200" w:type="dxa"/>
            <w:shd w:val="clear" w:color="auto" w:fill="C4EFCE"/>
            <w:vAlign w:val="center"/>
            <w:hideMark/>
          </w:tcPr>
          <w:p w14:paraId="0AAE03D3" w14:textId="77777777" w:rsidR="00DC5EC6" w:rsidRDefault="003245A4">
            <w:pPr>
              <w:pStyle w:val="P68B1DB1-Normal23"/>
              <w:spacing w:after="0"/>
              <w:jc w:val="center"/>
              <w:rPr>
                <w:rFonts w:eastAsia="Calibri" w:cs="Calibri"/>
                <w:noProof/>
              </w:rPr>
            </w:pPr>
            <w:r>
              <w:rPr>
                <w:noProof/>
              </w:rPr>
              <w:t>21.42</w:t>
            </w:r>
          </w:p>
        </w:tc>
        <w:tc>
          <w:tcPr>
            <w:tcW w:w="1760" w:type="dxa"/>
            <w:shd w:val="clear" w:color="auto" w:fill="C4EFCE"/>
            <w:vAlign w:val="center"/>
            <w:hideMark/>
          </w:tcPr>
          <w:p w14:paraId="50D56588" w14:textId="707B6BFA" w:rsidR="00DC5EC6" w:rsidRDefault="003245A4">
            <w:pPr>
              <w:pStyle w:val="P68B1DB1-Normal23"/>
              <w:spacing w:after="0"/>
              <w:jc w:val="center"/>
              <w:rPr>
                <w:rFonts w:eastAsia="Calibri" w:cs="Calibri"/>
                <w:noProof/>
              </w:rPr>
            </w:pPr>
            <w:r>
              <w:rPr>
                <w:noProof/>
              </w:rPr>
              <w:t>RP-C21–i16</w:t>
            </w:r>
          </w:p>
        </w:tc>
        <w:tc>
          <w:tcPr>
            <w:tcW w:w="1520" w:type="dxa"/>
            <w:shd w:val="clear" w:color="auto" w:fill="C4EFCE"/>
            <w:vAlign w:val="center"/>
          </w:tcPr>
          <w:p w14:paraId="25A4EEDF"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tcPr>
          <w:p w14:paraId="436C9A08" w14:textId="77777777" w:rsidR="00DC5EC6" w:rsidRDefault="003245A4">
            <w:pPr>
              <w:pStyle w:val="P68B1DB1-Normal23"/>
              <w:spacing w:after="0" w:line="240" w:lineRule="auto"/>
              <w:rPr>
                <w:rFonts w:cs="Calibri"/>
                <w:i/>
                <w:noProof/>
              </w:rPr>
            </w:pPr>
            <w:r>
              <w:rPr>
                <w:noProof/>
              </w:rPr>
              <w:t>A projekt végrehajtására vonatkozó szerződés aláírása</w:t>
            </w:r>
          </w:p>
        </w:tc>
      </w:tr>
      <w:tr w:rsidR="00DC5EC6" w14:paraId="4F03A3E2" w14:textId="77777777">
        <w:trPr>
          <w:trHeight w:val="440"/>
        </w:trPr>
        <w:tc>
          <w:tcPr>
            <w:tcW w:w="1200" w:type="dxa"/>
            <w:shd w:val="clear" w:color="auto" w:fill="C4EFCE"/>
            <w:vAlign w:val="center"/>
          </w:tcPr>
          <w:p w14:paraId="0A5307EE" w14:textId="77777777" w:rsidR="00DC5EC6" w:rsidRDefault="00DC5EC6">
            <w:pPr>
              <w:spacing w:after="0"/>
              <w:jc w:val="center"/>
              <w:rPr>
                <w:rFonts w:ascii="Calibri" w:eastAsia="Calibri" w:hAnsi="Calibri" w:cs="Calibri"/>
                <w:noProof/>
                <w:sz w:val="18"/>
              </w:rPr>
            </w:pPr>
          </w:p>
        </w:tc>
        <w:tc>
          <w:tcPr>
            <w:tcW w:w="1760" w:type="dxa"/>
            <w:shd w:val="clear" w:color="auto" w:fill="C4EFCE"/>
            <w:vAlign w:val="center"/>
          </w:tcPr>
          <w:p w14:paraId="2E63F90C" w14:textId="77777777" w:rsidR="00DC5EC6" w:rsidRDefault="00DC5EC6">
            <w:pPr>
              <w:spacing w:after="0"/>
              <w:jc w:val="center"/>
              <w:rPr>
                <w:rFonts w:ascii="Calibri" w:eastAsia="Calibri" w:hAnsi="Calibri" w:cs="Calibri"/>
                <w:noProof/>
                <w:sz w:val="18"/>
              </w:rPr>
            </w:pPr>
          </w:p>
        </w:tc>
        <w:tc>
          <w:tcPr>
            <w:tcW w:w="1520" w:type="dxa"/>
            <w:shd w:val="clear" w:color="auto" w:fill="C4EFCE"/>
            <w:vAlign w:val="center"/>
          </w:tcPr>
          <w:p w14:paraId="4C56150E" w14:textId="77777777" w:rsidR="00DC5EC6" w:rsidRDefault="003245A4">
            <w:pPr>
              <w:pStyle w:val="P68B1DB1-Normal24"/>
              <w:spacing w:after="0"/>
              <w:jc w:val="center"/>
              <w:rPr>
                <w:rFonts w:eastAsia="Calibri" w:cs="Calibri"/>
                <w:noProof/>
                <w:sz w:val="18"/>
              </w:rPr>
            </w:pPr>
            <w:r>
              <w:rPr>
                <w:noProof/>
              </w:rPr>
              <w:t>Részösszeg</w:t>
            </w:r>
          </w:p>
        </w:tc>
        <w:tc>
          <w:tcPr>
            <w:tcW w:w="5060" w:type="dxa"/>
            <w:shd w:val="clear" w:color="auto" w:fill="C4EFCE"/>
            <w:vAlign w:val="center"/>
          </w:tcPr>
          <w:p w14:paraId="1D728FCE" w14:textId="4021B04F" w:rsidR="00DC5EC6" w:rsidRDefault="003245A4">
            <w:pPr>
              <w:pStyle w:val="P68B1DB1-Normal25"/>
              <w:spacing w:after="0"/>
              <w:jc w:val="center"/>
              <w:rPr>
                <w:rFonts w:eastAsia="Calibri" w:cs="Calibri"/>
                <w:noProof/>
                <w:sz w:val="18"/>
              </w:rPr>
            </w:pPr>
            <w:r>
              <w:rPr>
                <w:noProof/>
              </w:rPr>
              <w:t xml:space="preserve">·EURÓPAI BIZOTTSÁG 2 023 192 454 EUR </w:t>
            </w:r>
          </w:p>
        </w:tc>
      </w:tr>
    </w:tbl>
    <w:p w14:paraId="59B2EAF8"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3FED0C14"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Nyolcadik kifizetési kérelem (vissza nem térítendő támogatás): </w:t>
      </w:r>
    </w:p>
    <w:p w14:paraId="03F528E5"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51282D2E" w14:textId="77777777">
        <w:trPr>
          <w:trHeight w:val="509"/>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F2E938F"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8DFC1E5"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6B1E4C39"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045F2557"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43E0E792"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0D5A2EDB" w14:textId="77777777" w:rsidR="00DC5EC6" w:rsidRDefault="00DC5EC6">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57C445AC" w14:textId="77777777" w:rsidR="00DC5EC6" w:rsidRDefault="00DC5EC6">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FB1C794" w14:textId="77777777" w:rsidR="00DC5EC6" w:rsidRDefault="00DC5EC6">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0242486B" w14:textId="77777777" w:rsidR="00DC5EC6" w:rsidRDefault="00DC5EC6">
            <w:pPr>
              <w:spacing w:after="0" w:line="240" w:lineRule="auto"/>
              <w:rPr>
                <w:rFonts w:ascii="Times New Roman" w:eastAsia="Times New Roman" w:hAnsi="Times New Roman" w:cs="Times New Roman"/>
                <w:b/>
                <w:noProof/>
                <w:sz w:val="20"/>
              </w:rPr>
            </w:pPr>
          </w:p>
        </w:tc>
      </w:tr>
      <w:tr w:rsidR="00DC5EC6" w14:paraId="47702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6209672" w14:textId="77777777" w:rsidR="00DC5EC6" w:rsidRDefault="003245A4">
            <w:pPr>
              <w:pStyle w:val="P68B1DB1-Normal23"/>
              <w:spacing w:after="0"/>
              <w:jc w:val="center"/>
              <w:rPr>
                <w:rFonts w:eastAsia="Calibri" w:cs="Calibri"/>
                <w:noProof/>
                <w:sz w:val="20"/>
              </w:rPr>
            </w:pPr>
            <w:r>
              <w:rPr>
                <w:noProof/>
              </w:rPr>
              <w:t>1.34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B386C0E" w14:textId="77777777" w:rsidR="00DC5EC6" w:rsidRDefault="003245A4">
            <w:pPr>
              <w:pStyle w:val="P68B1DB1-Normal23"/>
              <w:spacing w:after="0"/>
              <w:jc w:val="center"/>
              <w:rPr>
                <w:rFonts w:eastAsia="Calibri" w:cs="Calibri"/>
                <w:noProof/>
                <w:sz w:val="20"/>
              </w:rPr>
            </w:pPr>
            <w:r>
              <w:rPr>
                <w:noProof/>
              </w:rPr>
              <w:t>Vissza-C01-i06</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E962A5B"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E3B3A8" w14:textId="77777777" w:rsidR="00DC5EC6" w:rsidRDefault="003245A4">
            <w:pPr>
              <w:pStyle w:val="P68B1DB1-Normal23"/>
              <w:spacing w:after="0"/>
              <w:jc w:val="both"/>
              <w:rPr>
                <w:rFonts w:eastAsia="Calibri" w:cs="Calibri"/>
                <w:noProof/>
                <w:sz w:val="20"/>
              </w:rPr>
            </w:pPr>
            <w:r>
              <w:rPr>
                <w:noProof/>
              </w:rPr>
              <w:t>Információtechnológiai igazgatási modulok, alapvető klinikai modulok és sürgősségi klinikai modulok végrehajtása</w:t>
            </w:r>
          </w:p>
        </w:tc>
      </w:tr>
      <w:tr w:rsidR="00DC5EC6" w14:paraId="2D80F58A"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33ED31DD" w14:textId="77777777" w:rsidR="00DC5EC6" w:rsidRDefault="003245A4">
            <w:pPr>
              <w:pStyle w:val="P68B1DB1-Normal23"/>
              <w:spacing w:after="0"/>
              <w:jc w:val="center"/>
              <w:rPr>
                <w:rFonts w:eastAsia="Calibri" w:cs="Calibri"/>
                <w:noProof/>
                <w:sz w:val="20"/>
              </w:rPr>
            </w:pPr>
            <w:r>
              <w:rPr>
                <w:noProof/>
              </w:rPr>
              <w:t>2.29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9EA7AE" w14:textId="77777777" w:rsidR="00DC5EC6" w:rsidRDefault="003245A4">
            <w:pPr>
              <w:pStyle w:val="P68B1DB1-Normal23"/>
              <w:spacing w:after="0"/>
              <w:jc w:val="center"/>
              <w:rPr>
                <w:rFonts w:eastAsia="Calibri" w:cs="Calibri"/>
                <w:noProof/>
                <w:sz w:val="20"/>
              </w:rPr>
            </w:pPr>
            <w:r>
              <w:rPr>
                <w:noProof/>
              </w:rPr>
              <w:t>Re-C02-i01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A93811F"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47CD63F8" w14:textId="77777777" w:rsidR="00DC5EC6" w:rsidRDefault="003245A4">
            <w:pPr>
              <w:pStyle w:val="P68B1DB1-Normal23"/>
              <w:spacing w:after="0"/>
              <w:jc w:val="both"/>
              <w:rPr>
                <w:rFonts w:eastAsia="Calibri" w:cs="Calibri"/>
                <w:noProof/>
                <w:sz w:val="20"/>
              </w:rPr>
            </w:pPr>
            <w:r>
              <w:rPr>
                <w:noProof/>
              </w:rPr>
              <w:t>Lakhatáshoz való hozzáférést támogató program – háztartásoknak nyújtott vásárolt, épített (nagy energiahatékonyságú) vagy rehabilitált (jobb energiahatékonyságú) lakások</w:t>
            </w:r>
          </w:p>
        </w:tc>
      </w:tr>
      <w:tr w:rsidR="00DC5EC6" w14:paraId="16BAF70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7587DCF" w14:textId="77777777" w:rsidR="00DC5EC6" w:rsidRDefault="003245A4">
            <w:pPr>
              <w:pStyle w:val="P68B1DB1-Normal23"/>
              <w:spacing w:after="0"/>
              <w:jc w:val="center"/>
              <w:rPr>
                <w:rFonts w:eastAsia="Calibri" w:cs="Calibri"/>
                <w:noProof/>
                <w:sz w:val="20"/>
              </w:rPr>
            </w:pPr>
            <w:r>
              <w:rPr>
                <w:noProof/>
              </w:rPr>
              <w:t>3.29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8DF3D66" w14:textId="77777777" w:rsidR="00DC5EC6" w:rsidRDefault="003245A4">
            <w:pPr>
              <w:pStyle w:val="P68B1DB1-Normal23"/>
              <w:spacing w:after="0"/>
              <w:jc w:val="center"/>
              <w:rPr>
                <w:rFonts w:eastAsia="Calibri" w:cs="Calibri"/>
                <w:noProof/>
                <w:sz w:val="20"/>
              </w:rPr>
            </w:pPr>
            <w:r>
              <w:rPr>
                <w:noProof/>
              </w:rPr>
              <w:t>Re-C03-r38</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7434BAC"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BBAC241" w14:textId="77777777" w:rsidR="00DC5EC6" w:rsidRDefault="003245A4">
            <w:pPr>
              <w:pStyle w:val="P68B1DB1-Normal23"/>
              <w:spacing w:after="0"/>
              <w:jc w:val="both"/>
              <w:rPr>
                <w:rFonts w:eastAsia="Calibri" w:cs="Calibri"/>
                <w:noProof/>
                <w:sz w:val="20"/>
              </w:rPr>
            </w:pPr>
            <w:r>
              <w:rPr>
                <w:noProof/>
              </w:rPr>
              <w:t>Az egységes szociális ellátással foglalkozó munkacsoport jelentése</w:t>
            </w:r>
          </w:p>
        </w:tc>
      </w:tr>
      <w:tr w:rsidR="00DC5EC6" w14:paraId="45320B6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DA2AE78" w14:textId="77777777" w:rsidR="00DC5EC6" w:rsidRDefault="003245A4">
            <w:pPr>
              <w:pStyle w:val="P68B1DB1-Normal23"/>
              <w:spacing w:after="0"/>
              <w:jc w:val="center"/>
              <w:rPr>
                <w:rFonts w:eastAsia="Calibri" w:cs="Calibri"/>
                <w:noProof/>
                <w:sz w:val="20"/>
              </w:rPr>
            </w:pPr>
            <w:r>
              <w:rPr>
                <w:noProof/>
              </w:rPr>
              <w:t>6.1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50BE18D" w14:textId="77777777" w:rsidR="00DC5EC6" w:rsidRDefault="003245A4">
            <w:pPr>
              <w:pStyle w:val="P68B1DB1-Normal23"/>
              <w:spacing w:after="0"/>
              <w:jc w:val="center"/>
              <w:rPr>
                <w:rFonts w:eastAsia="Calibri" w:cs="Calibri"/>
                <w:noProof/>
                <w:sz w:val="20"/>
              </w:rPr>
            </w:pPr>
            <w:r>
              <w:rPr>
                <w:noProof/>
              </w:rPr>
              <w:t>Re-C06-i01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3D89B4A"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7CA4126" w14:textId="77777777" w:rsidR="00DC5EC6" w:rsidRDefault="003245A4">
            <w:pPr>
              <w:pStyle w:val="P68B1DB1-Normal23"/>
              <w:spacing w:after="0"/>
              <w:jc w:val="both"/>
              <w:rPr>
                <w:rFonts w:eastAsia="Calibri" w:cs="Calibri"/>
                <w:noProof/>
                <w:sz w:val="20"/>
              </w:rPr>
            </w:pPr>
            <w:r>
              <w:rPr>
                <w:noProof/>
              </w:rPr>
              <w:t>Felújított vagy épített szakosodott technológiai központok</w:t>
            </w:r>
          </w:p>
        </w:tc>
      </w:tr>
      <w:tr w:rsidR="00DC5EC6" w14:paraId="7C00D43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BED060D" w14:textId="77777777" w:rsidR="00DC5EC6" w:rsidRDefault="003245A4">
            <w:pPr>
              <w:pStyle w:val="P68B1DB1-Normal23"/>
              <w:spacing w:after="0"/>
              <w:jc w:val="center"/>
              <w:rPr>
                <w:rFonts w:eastAsia="Calibri" w:cs="Calibri"/>
                <w:noProof/>
                <w:sz w:val="20"/>
              </w:rPr>
            </w:pPr>
            <w:r>
              <w:rPr>
                <w:noProof/>
              </w:rPr>
              <w:t>6.8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F0DF611" w14:textId="77777777" w:rsidR="00DC5EC6" w:rsidRDefault="003245A4">
            <w:pPr>
              <w:pStyle w:val="P68B1DB1-Normal23"/>
              <w:spacing w:after="0"/>
              <w:jc w:val="center"/>
              <w:rPr>
                <w:rFonts w:eastAsia="Calibri" w:cs="Calibri"/>
                <w:noProof/>
                <w:sz w:val="20"/>
              </w:rPr>
            </w:pPr>
            <w:r>
              <w:rPr>
                <w:noProof/>
              </w:rPr>
              <w:t>Re-C06-i04</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A5BFBF"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B9C680" w14:textId="77777777" w:rsidR="00DC5EC6" w:rsidRDefault="003245A4">
            <w:pPr>
              <w:pStyle w:val="P68B1DB1-Normal23"/>
              <w:spacing w:after="0"/>
              <w:jc w:val="both"/>
              <w:rPr>
                <w:rFonts w:eastAsia="Calibri" w:cs="Calibri"/>
                <w:noProof/>
                <w:sz w:val="20"/>
              </w:rPr>
            </w:pPr>
            <w:r>
              <w:rPr>
                <w:noProof/>
              </w:rPr>
              <w:t>A STEAM területén felsőfokú képzésben részt vevő hallgatók további száma</w:t>
            </w:r>
          </w:p>
        </w:tc>
      </w:tr>
      <w:tr w:rsidR="00DC5EC6" w14:paraId="3AD54D52"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6DB541F" w14:textId="77777777" w:rsidR="00DC5EC6" w:rsidRDefault="003245A4">
            <w:pPr>
              <w:pStyle w:val="P68B1DB1-Normal23"/>
              <w:spacing w:after="0"/>
              <w:jc w:val="center"/>
              <w:rPr>
                <w:rFonts w:eastAsia="Calibri" w:cs="Calibri"/>
                <w:noProof/>
                <w:sz w:val="20"/>
              </w:rPr>
            </w:pPr>
            <w:r>
              <w:rPr>
                <w:noProof/>
              </w:rPr>
              <w:t>8.6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736FE01" w14:textId="77777777" w:rsidR="00DC5EC6" w:rsidRDefault="003245A4">
            <w:pPr>
              <w:pStyle w:val="P68B1DB1-Normal23"/>
              <w:spacing w:after="0"/>
              <w:jc w:val="center"/>
              <w:rPr>
                <w:rFonts w:eastAsia="Calibri" w:cs="Calibri"/>
                <w:noProof/>
                <w:sz w:val="20"/>
              </w:rPr>
            </w:pPr>
            <w:r>
              <w:rPr>
                <w:noProof/>
              </w:rPr>
              <w:t>Re-C08-i02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3BB56E9"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5020DBA" w14:textId="77777777" w:rsidR="00DC5EC6" w:rsidRDefault="003245A4">
            <w:pPr>
              <w:pStyle w:val="P68B1DB1-Normal23"/>
              <w:spacing w:after="0"/>
              <w:jc w:val="both"/>
              <w:rPr>
                <w:rFonts w:eastAsia="Calibri" w:cs="Calibri"/>
                <w:noProof/>
                <w:sz w:val="20"/>
              </w:rPr>
            </w:pPr>
            <w:r>
              <w:rPr>
                <w:noProof/>
              </w:rPr>
              <w:t>Referenciatérkép készítése a felszínborítás nyomon követésére szolgáló rendszerhez (SMOS)</w:t>
            </w:r>
          </w:p>
        </w:tc>
      </w:tr>
      <w:tr w:rsidR="00DC5EC6" w14:paraId="039E9D87"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0417D6" w14:textId="77777777" w:rsidR="00DC5EC6" w:rsidRDefault="003245A4">
            <w:pPr>
              <w:pStyle w:val="P68B1DB1-Normal23"/>
              <w:spacing w:after="0"/>
              <w:jc w:val="center"/>
              <w:rPr>
                <w:rFonts w:eastAsia="Calibri" w:cs="Calibri"/>
                <w:noProof/>
                <w:sz w:val="20"/>
              </w:rPr>
            </w:pPr>
            <w:r>
              <w:rPr>
                <w:noProof/>
              </w:rPr>
              <w:t>9.12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4C132670" w14:textId="77777777" w:rsidR="00DC5EC6" w:rsidRDefault="003245A4">
            <w:pPr>
              <w:pStyle w:val="P68B1DB1-Normal23"/>
              <w:spacing w:after="0"/>
              <w:jc w:val="center"/>
              <w:rPr>
                <w:rFonts w:eastAsia="Calibri" w:cs="Calibri"/>
                <w:noProof/>
                <w:sz w:val="20"/>
              </w:rPr>
            </w:pPr>
            <w:r>
              <w:rPr>
                <w:noProof/>
              </w:rPr>
              <w:t>Re-C09-i03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5B66B49"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23E85C5" w14:textId="77777777" w:rsidR="00DC5EC6" w:rsidRDefault="003245A4">
            <w:pPr>
              <w:pStyle w:val="P68B1DB1-Normal23"/>
              <w:spacing w:after="0"/>
              <w:jc w:val="both"/>
              <w:rPr>
                <w:rFonts w:eastAsia="Calibri" w:cs="Calibri"/>
                <w:noProof/>
                <w:sz w:val="20"/>
              </w:rPr>
            </w:pPr>
            <w:r>
              <w:rPr>
                <w:noProof/>
              </w:rPr>
              <w:t>A felújított vagy rehabilitált vezetékek további km-ben</w:t>
            </w:r>
          </w:p>
        </w:tc>
      </w:tr>
      <w:tr w:rsidR="00DC5EC6" w14:paraId="392112A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70DF80A" w14:textId="77777777" w:rsidR="00DC5EC6" w:rsidRDefault="003245A4">
            <w:pPr>
              <w:pStyle w:val="P68B1DB1-Normal23"/>
              <w:spacing w:after="0"/>
              <w:jc w:val="center"/>
              <w:rPr>
                <w:rFonts w:eastAsia="Calibri" w:cs="Calibri"/>
                <w:noProof/>
                <w:sz w:val="20"/>
              </w:rPr>
            </w:pPr>
            <w:r>
              <w:rPr>
                <w:noProof/>
              </w:rPr>
              <w:t>13.2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DF19A15" w14:textId="77777777" w:rsidR="00DC5EC6" w:rsidRDefault="003245A4">
            <w:pPr>
              <w:pStyle w:val="P68B1DB1-Normal23"/>
              <w:spacing w:after="0"/>
              <w:jc w:val="center"/>
              <w:rPr>
                <w:rFonts w:eastAsia="Calibri" w:cs="Calibri"/>
                <w:noProof/>
                <w:sz w:val="20"/>
              </w:rPr>
            </w:pPr>
            <w:r>
              <w:rPr>
                <w:noProof/>
              </w:rPr>
              <w:t>TC-C13-i01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68B0FA9B"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688B0A90" w14:textId="77777777" w:rsidR="00DC5EC6" w:rsidRDefault="003245A4">
            <w:pPr>
              <w:pStyle w:val="P68B1DB1-Normal23"/>
              <w:spacing w:after="0"/>
              <w:jc w:val="both"/>
              <w:rPr>
                <w:rFonts w:eastAsia="Calibri" w:cs="Calibri"/>
                <w:noProof/>
                <w:sz w:val="20"/>
              </w:rPr>
            </w:pPr>
            <w:r>
              <w:rPr>
                <w:noProof/>
              </w:rPr>
              <w:t>A magánlakóépületek energiahatékonysági felújítása</w:t>
            </w:r>
          </w:p>
        </w:tc>
      </w:tr>
      <w:tr w:rsidR="00DC5EC6" w14:paraId="3F852D0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4D45592" w14:textId="77777777" w:rsidR="00DC5EC6" w:rsidRDefault="003245A4">
            <w:pPr>
              <w:pStyle w:val="P68B1DB1-Normal23"/>
              <w:spacing w:after="0"/>
              <w:jc w:val="center"/>
              <w:rPr>
                <w:rFonts w:eastAsia="Calibri" w:cs="Calibri"/>
                <w:noProof/>
                <w:sz w:val="20"/>
              </w:rPr>
            </w:pPr>
            <w:r>
              <w:rPr>
                <w:noProof/>
              </w:rPr>
              <w:t>13.5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0E3ACE4" w14:textId="77777777" w:rsidR="00DC5EC6" w:rsidRDefault="003245A4">
            <w:pPr>
              <w:pStyle w:val="P68B1DB1-Normal23"/>
              <w:spacing w:after="0"/>
              <w:jc w:val="center"/>
              <w:rPr>
                <w:rFonts w:eastAsia="Calibri" w:cs="Calibri"/>
                <w:noProof/>
                <w:sz w:val="20"/>
              </w:rPr>
            </w:pPr>
            <w:r>
              <w:rPr>
                <w:noProof/>
              </w:rPr>
              <w:t>TC-C13-i02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96C5B0D"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CEDF2B7" w14:textId="77777777" w:rsidR="00DC5EC6" w:rsidRDefault="003245A4">
            <w:pPr>
              <w:pStyle w:val="P68B1DB1-Normal23"/>
              <w:spacing w:after="0"/>
              <w:jc w:val="both"/>
              <w:rPr>
                <w:rFonts w:eastAsia="Calibri" w:cs="Calibri"/>
                <w:noProof/>
                <w:sz w:val="20"/>
              </w:rPr>
            </w:pPr>
            <w:r>
              <w:rPr>
                <w:noProof/>
              </w:rPr>
              <w:t>A központi kormányzati épületek energiahatékonysági felújítása</w:t>
            </w:r>
          </w:p>
        </w:tc>
      </w:tr>
      <w:tr w:rsidR="00DC5EC6" w14:paraId="2194D2E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1D1126" w14:textId="77777777" w:rsidR="00DC5EC6" w:rsidRDefault="003245A4">
            <w:pPr>
              <w:pStyle w:val="P68B1DB1-Normal23"/>
              <w:spacing w:after="0"/>
              <w:jc w:val="center"/>
              <w:rPr>
                <w:rFonts w:eastAsia="Calibri" w:cs="Calibri"/>
                <w:noProof/>
                <w:sz w:val="20"/>
              </w:rPr>
            </w:pPr>
            <w:r>
              <w:rPr>
                <w:noProof/>
              </w:rPr>
              <w:t>13.8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3D27D411" w14:textId="77777777" w:rsidR="00DC5EC6" w:rsidRDefault="003245A4">
            <w:pPr>
              <w:pStyle w:val="P68B1DB1-Normal23"/>
              <w:spacing w:after="0"/>
              <w:jc w:val="center"/>
              <w:rPr>
                <w:rFonts w:eastAsia="Calibri" w:cs="Calibri"/>
                <w:noProof/>
                <w:sz w:val="20"/>
              </w:rPr>
            </w:pPr>
            <w:r>
              <w:rPr>
                <w:noProof/>
              </w:rPr>
              <w:t>TC-C13-i03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BFF745B"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21F9B47" w14:textId="77777777" w:rsidR="00DC5EC6" w:rsidRDefault="003245A4">
            <w:pPr>
              <w:pStyle w:val="P68B1DB1-Normal23"/>
              <w:spacing w:after="0"/>
              <w:jc w:val="both"/>
              <w:rPr>
                <w:rFonts w:eastAsia="Calibri" w:cs="Calibri"/>
                <w:noProof/>
                <w:sz w:val="20"/>
              </w:rPr>
            </w:pPr>
            <w:r>
              <w:rPr>
                <w:noProof/>
              </w:rPr>
              <w:t>A magánszolgáltató épületek energiahatékonysági felújítása</w:t>
            </w:r>
          </w:p>
        </w:tc>
      </w:tr>
      <w:tr w:rsidR="00DC5EC6" w14:paraId="340E5320"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6CA9A8" w14:textId="77777777" w:rsidR="00DC5EC6" w:rsidRDefault="003245A4">
            <w:pPr>
              <w:pStyle w:val="P68B1DB1-Normal23"/>
              <w:spacing w:after="0"/>
              <w:jc w:val="center"/>
              <w:rPr>
                <w:rFonts w:eastAsia="Calibri" w:cs="Calibri"/>
                <w:noProof/>
                <w:sz w:val="20"/>
              </w:rPr>
            </w:pPr>
            <w:r>
              <w:rPr>
                <w:noProof/>
              </w:rPr>
              <w:t>14.8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4B590E3" w14:textId="77777777" w:rsidR="00DC5EC6" w:rsidRDefault="003245A4">
            <w:pPr>
              <w:pStyle w:val="P68B1DB1-Normal23"/>
              <w:spacing w:after="0"/>
              <w:jc w:val="center"/>
              <w:rPr>
                <w:rFonts w:eastAsia="Calibri" w:cs="Calibri"/>
                <w:noProof/>
                <w:sz w:val="20"/>
              </w:rPr>
            </w:pPr>
            <w:r>
              <w:rPr>
                <w:noProof/>
              </w:rPr>
              <w:t>TC-C14-i02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4841BCD"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B2B37F4" w14:textId="77777777" w:rsidR="00DC5EC6" w:rsidRDefault="003245A4">
            <w:pPr>
              <w:pStyle w:val="P68B1DB1-Normal23"/>
              <w:spacing w:after="0"/>
              <w:jc w:val="both"/>
              <w:rPr>
                <w:rFonts w:eastAsia="Calibri" w:cs="Calibri"/>
                <w:noProof/>
                <w:sz w:val="20"/>
              </w:rPr>
            </w:pPr>
            <w:r>
              <w:rPr>
                <w:noProof/>
              </w:rPr>
              <w:t>További kapacitás az új beépített energia villamosenergia-rendszerbe történő integrálására</w:t>
            </w:r>
          </w:p>
        </w:tc>
      </w:tr>
      <w:tr w:rsidR="00DC5EC6" w14:paraId="0BF233C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2497B10B" w14:textId="77777777" w:rsidR="00DC5EC6" w:rsidRDefault="003245A4">
            <w:pPr>
              <w:pStyle w:val="P68B1DB1-Normal23"/>
              <w:spacing w:after="0"/>
              <w:jc w:val="center"/>
              <w:rPr>
                <w:rFonts w:eastAsia="Calibri" w:cs="Calibri"/>
                <w:noProof/>
                <w:sz w:val="20"/>
              </w:rPr>
            </w:pPr>
            <w:r>
              <w:rPr>
                <w:noProof/>
              </w:rPr>
              <w:t>17.24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A6FB23C" w14:textId="52A4CD72" w:rsidR="00DC5EC6" w:rsidRDefault="003245A4">
            <w:pPr>
              <w:pStyle w:val="P68B1DB1-Normal23"/>
              <w:spacing w:after="0"/>
              <w:jc w:val="center"/>
              <w:rPr>
                <w:rFonts w:eastAsia="Calibri" w:cs="Calibri"/>
                <w:noProof/>
                <w:sz w:val="20"/>
              </w:rPr>
            </w:pPr>
            <w:r>
              <w:rPr>
                <w:noProof/>
              </w:rPr>
              <w:t>TD-C17-r40</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A158D53"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7DB87B7" w14:textId="77777777" w:rsidR="00DC5EC6" w:rsidRDefault="003245A4">
            <w:pPr>
              <w:pStyle w:val="P68B1DB1-Normal23"/>
              <w:spacing w:after="0"/>
              <w:jc w:val="both"/>
              <w:rPr>
                <w:rFonts w:eastAsia="Calibri" w:cs="Calibri"/>
                <w:noProof/>
                <w:sz w:val="20"/>
              </w:rPr>
            </w:pPr>
            <w:r>
              <w:rPr>
                <w:noProof/>
              </w:rPr>
              <w:t>Az U-TAX értékelő jelentésének közzététele a meglévő adókedvezményekről</w:t>
            </w:r>
          </w:p>
        </w:tc>
      </w:tr>
      <w:tr w:rsidR="00DC5EC6" w14:paraId="0AC27CC9"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B9FB6A" w14:textId="77777777" w:rsidR="00DC5EC6" w:rsidRDefault="003245A4">
            <w:pPr>
              <w:pStyle w:val="P68B1DB1-Normal23"/>
              <w:spacing w:after="0"/>
              <w:jc w:val="center"/>
              <w:rPr>
                <w:rFonts w:eastAsia="Calibri" w:cs="Calibri"/>
                <w:noProof/>
                <w:sz w:val="20"/>
              </w:rPr>
            </w:pPr>
            <w:r>
              <w:rPr>
                <w:noProof/>
              </w:rPr>
              <w:t>19.16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AEEF756" w14:textId="77777777" w:rsidR="00DC5EC6" w:rsidRDefault="003245A4">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C937250"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F953943" w14:textId="77777777" w:rsidR="00DC5EC6" w:rsidRDefault="003245A4">
            <w:pPr>
              <w:pStyle w:val="P68B1DB1-Normal23"/>
              <w:spacing w:after="0"/>
              <w:jc w:val="both"/>
              <w:rPr>
                <w:rFonts w:eastAsia="Calibri" w:cs="Calibri"/>
                <w:noProof/>
                <w:sz w:val="20"/>
              </w:rPr>
            </w:pPr>
            <w:r>
              <w:rPr>
                <w:noProof/>
              </w:rPr>
              <w:t>Közszolgáltatások a polgárok, a látogatók és a vállalkozások számára az ARM-ben</w:t>
            </w:r>
          </w:p>
        </w:tc>
      </w:tr>
      <w:tr w:rsidR="00DC5EC6" w14:paraId="57E07F0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239DC65" w14:textId="77777777" w:rsidR="00DC5EC6" w:rsidRDefault="003245A4">
            <w:pPr>
              <w:pStyle w:val="P68B1DB1-Normal23"/>
              <w:spacing w:after="0"/>
              <w:jc w:val="center"/>
              <w:rPr>
                <w:rFonts w:eastAsia="Calibri" w:cs="Calibri"/>
                <w:noProof/>
                <w:sz w:val="20"/>
              </w:rPr>
            </w:pPr>
            <w:r>
              <w:rPr>
                <w:noProof/>
              </w:rPr>
              <w:t>19.17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0C9036E" w14:textId="77777777" w:rsidR="00DC5EC6" w:rsidRDefault="003245A4">
            <w:pPr>
              <w:pStyle w:val="P68B1DB1-Normal23"/>
              <w:spacing w:after="0"/>
              <w:jc w:val="center"/>
              <w:rPr>
                <w:rFonts w:eastAsia="Calibri" w:cs="Calibri"/>
                <w:noProof/>
                <w:sz w:val="20"/>
              </w:rPr>
            </w:pPr>
            <w:r>
              <w:rPr>
                <w:noProof/>
              </w:rPr>
              <w:t>TD-C19i05-RAM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A956CA7"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71760667" w14:textId="77777777" w:rsidR="00DC5EC6" w:rsidRDefault="003245A4">
            <w:pPr>
              <w:pStyle w:val="P68B1DB1-Normal23"/>
              <w:spacing w:after="0"/>
              <w:jc w:val="both"/>
              <w:rPr>
                <w:rFonts w:eastAsia="Calibri" w:cs="Calibri"/>
                <w:noProof/>
                <w:sz w:val="20"/>
              </w:rPr>
            </w:pPr>
            <w:r>
              <w:rPr>
                <w:noProof/>
              </w:rPr>
              <w:t>A kritikus infrastruktúra és a közszolgáltatások számítógépes architektúrájának korszerűsítése az ARM-ben</w:t>
            </w:r>
          </w:p>
        </w:tc>
      </w:tr>
      <w:tr w:rsidR="00DC5EC6" w14:paraId="50C6DABF"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A76E346" w14:textId="77777777" w:rsidR="00DC5EC6" w:rsidRDefault="003245A4">
            <w:pPr>
              <w:pStyle w:val="P68B1DB1-Normal23"/>
              <w:spacing w:after="0"/>
              <w:jc w:val="center"/>
              <w:rPr>
                <w:rFonts w:eastAsia="Calibri" w:cs="Calibri"/>
                <w:noProof/>
              </w:rPr>
            </w:pPr>
            <w:r>
              <w:rPr>
                <w:noProof/>
              </w:rPr>
              <w:t>19.27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DF9CE32" w14:textId="77777777" w:rsidR="00DC5EC6" w:rsidRDefault="003245A4">
            <w:pPr>
              <w:pStyle w:val="P68B1DB1-Normal23"/>
              <w:spacing w:after="0"/>
              <w:jc w:val="center"/>
              <w:rPr>
                <w:rFonts w:eastAsia="Calibri" w:cs="Calibri"/>
                <w:noProof/>
              </w:rPr>
            </w:pPr>
            <w:r>
              <w:rPr>
                <w:noProof/>
              </w:rPr>
              <w:t>TD-C19-i01</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13681EDF"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C750829" w14:textId="5FBBDF08" w:rsidR="00DC5EC6" w:rsidRDefault="003245A4">
            <w:pPr>
              <w:pStyle w:val="P68B1DB1-Normal23"/>
              <w:spacing w:after="0"/>
              <w:jc w:val="both"/>
              <w:rPr>
                <w:rFonts w:eastAsia="Calibri" w:cs="Calibri"/>
                <w:noProof/>
              </w:rPr>
            </w:pPr>
            <w:r>
              <w:rPr>
                <w:noProof/>
              </w:rPr>
              <w:t>Polgári kérelem</w:t>
            </w:r>
          </w:p>
        </w:tc>
      </w:tr>
      <w:tr w:rsidR="00DC5EC6" w14:paraId="308524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70544E" w14:textId="77777777" w:rsidR="00DC5EC6" w:rsidRDefault="003245A4">
            <w:pPr>
              <w:pStyle w:val="P68B1DB1-Normal23"/>
              <w:spacing w:after="0"/>
              <w:jc w:val="center"/>
              <w:rPr>
                <w:rFonts w:eastAsia="Calibri" w:cs="Calibri"/>
                <w:noProof/>
                <w:sz w:val="20"/>
              </w:rPr>
            </w:pPr>
            <w:r>
              <w:rPr>
                <w:noProof/>
              </w:rPr>
              <w:t>19.34</w:t>
            </w:r>
          </w:p>
        </w:tc>
        <w:tc>
          <w:tcPr>
            <w:tcW w:w="1760" w:type="dxa"/>
            <w:tcBorders>
              <w:top w:val="nil"/>
              <w:left w:val="nil"/>
              <w:bottom w:val="single" w:sz="4" w:space="0" w:color="auto"/>
              <w:right w:val="single" w:sz="4" w:space="0" w:color="auto"/>
            </w:tcBorders>
            <w:shd w:val="clear" w:color="auto" w:fill="C4EFCE"/>
            <w:vAlign w:val="center"/>
            <w:hideMark/>
          </w:tcPr>
          <w:p w14:paraId="5A5F2BD8" w14:textId="77777777" w:rsidR="00DC5EC6" w:rsidRDefault="003245A4">
            <w:pPr>
              <w:pStyle w:val="P68B1DB1-Normal23"/>
              <w:spacing w:after="0"/>
              <w:jc w:val="center"/>
              <w:rPr>
                <w:rFonts w:eastAsia="Calibri" w:cs="Calibri"/>
                <w:noProof/>
                <w:sz w:val="20"/>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1021F2E2"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16F93C9" w14:textId="77777777" w:rsidR="00DC5EC6" w:rsidRDefault="003245A4">
            <w:pPr>
              <w:pStyle w:val="P68B1DB1-Normal23"/>
              <w:spacing w:after="0"/>
              <w:jc w:val="both"/>
              <w:rPr>
                <w:rFonts w:eastAsia="Calibri" w:cs="Calibri"/>
                <w:noProof/>
                <w:sz w:val="20"/>
              </w:rPr>
            </w:pPr>
            <w:r>
              <w:rPr>
                <w:noProof/>
              </w:rPr>
              <w:t>Az intelligens területek portáljának elindítása</w:t>
            </w:r>
          </w:p>
        </w:tc>
      </w:tr>
      <w:tr w:rsidR="00DC5EC6" w14:paraId="32DC818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DC72C2" w14:textId="77777777" w:rsidR="00DC5EC6" w:rsidRDefault="003245A4">
            <w:pPr>
              <w:pStyle w:val="P68B1DB1-Normal23"/>
              <w:spacing w:after="0"/>
              <w:jc w:val="center"/>
              <w:rPr>
                <w:rFonts w:eastAsia="Calibri" w:cs="Calibri"/>
                <w:noProof/>
                <w:sz w:val="20"/>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6A2B827C" w14:textId="77777777" w:rsidR="00DC5EC6" w:rsidRDefault="003245A4">
            <w:pPr>
              <w:pStyle w:val="P68B1DB1-Normal23"/>
              <w:spacing w:after="0"/>
              <w:jc w:val="center"/>
              <w:rPr>
                <w:rFonts w:eastAsia="Calibri" w:cs="Calibri"/>
                <w:noProof/>
                <w:sz w:val="20"/>
              </w:rPr>
            </w:pPr>
            <w:r>
              <w:rPr>
                <w:noProof/>
              </w:rPr>
              <w:t>RP-C21-r43</w:t>
            </w:r>
          </w:p>
        </w:tc>
        <w:tc>
          <w:tcPr>
            <w:tcW w:w="1520" w:type="dxa"/>
            <w:tcBorders>
              <w:top w:val="nil"/>
              <w:left w:val="nil"/>
              <w:bottom w:val="single" w:sz="4" w:space="0" w:color="auto"/>
              <w:right w:val="single" w:sz="4" w:space="0" w:color="auto"/>
            </w:tcBorders>
            <w:shd w:val="clear" w:color="auto" w:fill="C4EFCE"/>
            <w:vAlign w:val="center"/>
            <w:hideMark/>
          </w:tcPr>
          <w:p w14:paraId="2239B6F9" w14:textId="77777777" w:rsidR="00DC5EC6" w:rsidRDefault="003245A4">
            <w:pPr>
              <w:pStyle w:val="P68B1DB1-Normal23"/>
              <w:spacing w:after="0"/>
              <w:jc w:val="center"/>
              <w:rPr>
                <w:rFonts w:eastAsia="Calibri" w:cs="Calibri"/>
                <w:noProof/>
                <w:sz w:val="20"/>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B2D45D3" w14:textId="77777777" w:rsidR="00DC5EC6" w:rsidRDefault="003245A4">
            <w:pPr>
              <w:pStyle w:val="P68B1DB1-Normal23"/>
              <w:spacing w:after="0"/>
              <w:jc w:val="both"/>
              <w:rPr>
                <w:rFonts w:eastAsia="Calibri" w:cs="Calibri"/>
                <w:noProof/>
                <w:sz w:val="20"/>
              </w:rPr>
            </w:pPr>
            <w:r>
              <w:rPr>
                <w:noProof/>
              </w:rPr>
              <w:t>Az energiaszegénység elleni küzdelmet szolgáló finanszírozási eszköz elindítása</w:t>
            </w:r>
          </w:p>
        </w:tc>
      </w:tr>
      <w:tr w:rsidR="00DC5EC6" w14:paraId="5FD1D2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62C627" w14:textId="77777777" w:rsidR="00DC5EC6" w:rsidRDefault="003245A4">
            <w:pPr>
              <w:pStyle w:val="P68B1DB1-Normal23"/>
              <w:spacing w:after="0"/>
              <w:jc w:val="center"/>
              <w:rPr>
                <w:rFonts w:eastAsia="Calibri" w:cs="Calibri"/>
                <w:noProof/>
                <w:sz w:val="20"/>
              </w:rPr>
            </w:pPr>
            <w:r>
              <w:rPr>
                <w:noProof/>
              </w:rPr>
              <w:t>21.11</w:t>
            </w:r>
          </w:p>
        </w:tc>
        <w:tc>
          <w:tcPr>
            <w:tcW w:w="1760" w:type="dxa"/>
            <w:tcBorders>
              <w:top w:val="nil"/>
              <w:left w:val="nil"/>
              <w:bottom w:val="single" w:sz="4" w:space="0" w:color="auto"/>
              <w:right w:val="single" w:sz="4" w:space="0" w:color="auto"/>
            </w:tcBorders>
            <w:shd w:val="clear" w:color="auto" w:fill="C4EFCE"/>
            <w:vAlign w:val="center"/>
            <w:hideMark/>
          </w:tcPr>
          <w:p w14:paraId="7858AE64" w14:textId="77777777" w:rsidR="00DC5EC6" w:rsidRDefault="003245A4">
            <w:pPr>
              <w:pStyle w:val="P68B1DB1-Normal23"/>
              <w:spacing w:after="0"/>
              <w:jc w:val="center"/>
              <w:rPr>
                <w:rFonts w:eastAsia="Calibri" w:cs="Calibri"/>
                <w:noProof/>
                <w:sz w:val="20"/>
              </w:rPr>
            </w:pPr>
            <w:r>
              <w:rPr>
                <w:noProof/>
              </w:rPr>
              <w:t>RP-C21-r44</w:t>
            </w:r>
          </w:p>
        </w:tc>
        <w:tc>
          <w:tcPr>
            <w:tcW w:w="1520" w:type="dxa"/>
            <w:tcBorders>
              <w:top w:val="nil"/>
              <w:left w:val="nil"/>
              <w:bottom w:val="single" w:sz="4" w:space="0" w:color="auto"/>
              <w:right w:val="single" w:sz="4" w:space="0" w:color="auto"/>
            </w:tcBorders>
            <w:shd w:val="clear" w:color="auto" w:fill="C4EFCE"/>
            <w:vAlign w:val="center"/>
            <w:hideMark/>
          </w:tcPr>
          <w:p w14:paraId="7D272590" w14:textId="77777777" w:rsidR="00DC5EC6" w:rsidRDefault="003245A4">
            <w:pPr>
              <w:pStyle w:val="P68B1DB1-Normal23"/>
              <w:spacing w:after="0"/>
              <w:jc w:val="center"/>
              <w:rPr>
                <w:rFonts w:eastAsia="Calibri" w:cs="Calibri"/>
                <w:noProof/>
                <w:sz w:val="20"/>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1D91399" w14:textId="77777777" w:rsidR="00DC5EC6" w:rsidRDefault="003245A4">
            <w:pPr>
              <w:pStyle w:val="P68B1DB1-Normal23"/>
              <w:spacing w:after="0"/>
              <w:jc w:val="both"/>
              <w:rPr>
                <w:rFonts w:eastAsia="Calibri" w:cs="Calibri"/>
                <w:noProof/>
                <w:sz w:val="20"/>
              </w:rPr>
            </w:pPr>
            <w:r>
              <w:rPr>
                <w:noProof/>
              </w:rPr>
              <w:t>Az Espaços Cidadão Energia elindítása</w:t>
            </w:r>
          </w:p>
        </w:tc>
      </w:tr>
      <w:tr w:rsidR="00DC5EC6" w14:paraId="47B732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80F8D5" w14:textId="77777777" w:rsidR="00DC5EC6" w:rsidRDefault="003245A4">
            <w:pPr>
              <w:pStyle w:val="P68B1DB1-Normal23"/>
              <w:spacing w:after="0"/>
              <w:jc w:val="center"/>
              <w:rPr>
                <w:rFonts w:eastAsia="Calibri" w:cs="Calibri"/>
                <w:noProof/>
              </w:rPr>
            </w:pPr>
            <w:r>
              <w:rPr>
                <w:noProof/>
              </w:rPr>
              <w:t>21.31</w:t>
            </w:r>
          </w:p>
        </w:tc>
        <w:tc>
          <w:tcPr>
            <w:tcW w:w="1760" w:type="dxa"/>
            <w:tcBorders>
              <w:top w:val="nil"/>
              <w:left w:val="nil"/>
              <w:bottom w:val="single" w:sz="4" w:space="0" w:color="auto"/>
              <w:right w:val="single" w:sz="4" w:space="0" w:color="auto"/>
            </w:tcBorders>
            <w:shd w:val="clear" w:color="auto" w:fill="C4EFCE"/>
            <w:vAlign w:val="center"/>
            <w:hideMark/>
          </w:tcPr>
          <w:p w14:paraId="61D6C730" w14:textId="5CCAB5AE" w:rsidR="00DC5EC6" w:rsidRDefault="003245A4">
            <w:pPr>
              <w:pStyle w:val="P68B1DB1-Normal23"/>
              <w:spacing w:after="0"/>
              <w:jc w:val="center"/>
              <w:rPr>
                <w:rFonts w:eastAsia="Calibri" w:cs="Calibri"/>
                <w:noProof/>
              </w:rPr>
            </w:pPr>
            <w:r>
              <w:rPr>
                <w:noProof/>
              </w:rPr>
              <w:t>RP-C21-i9</w:t>
            </w:r>
          </w:p>
        </w:tc>
        <w:tc>
          <w:tcPr>
            <w:tcW w:w="1520" w:type="dxa"/>
            <w:tcBorders>
              <w:top w:val="nil"/>
              <w:left w:val="nil"/>
              <w:bottom w:val="single" w:sz="4" w:space="0" w:color="auto"/>
              <w:right w:val="single" w:sz="4" w:space="0" w:color="auto"/>
            </w:tcBorders>
            <w:shd w:val="clear" w:color="auto" w:fill="C4EFCE"/>
            <w:vAlign w:val="center"/>
            <w:hideMark/>
          </w:tcPr>
          <w:p w14:paraId="07A4650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8C4F9FD" w14:textId="77777777" w:rsidR="00DC5EC6" w:rsidRDefault="003245A4">
            <w:pPr>
              <w:pStyle w:val="P68B1DB1-Normal23"/>
              <w:spacing w:after="0"/>
              <w:jc w:val="both"/>
              <w:rPr>
                <w:rFonts w:eastAsia="Calibri" w:cs="Calibri"/>
                <w:noProof/>
              </w:rPr>
            </w:pPr>
            <w:r>
              <w:rPr>
                <w:noProof/>
              </w:rPr>
              <w:t>A megújulóenergia-projektek engedélyezésére és nyomon követésére szolgáló egyablakos digitális platform második fázisú moduljainak üzembe helyezése, valamint a meglévő engedélyezési dokumentumok dematerializációs folyamatának befejezése.</w:t>
            </w:r>
          </w:p>
        </w:tc>
      </w:tr>
      <w:tr w:rsidR="00DC5EC6" w14:paraId="769B3C1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091AE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2A5B0B5B" w14:textId="77777777" w:rsidR="00DC5EC6" w:rsidRDefault="003245A4">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01CF754F"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nil"/>
              <w:left w:val="nil"/>
              <w:bottom w:val="single" w:sz="4" w:space="0" w:color="auto"/>
              <w:right w:val="single" w:sz="4" w:space="0" w:color="auto"/>
            </w:tcBorders>
            <w:shd w:val="clear" w:color="auto" w:fill="C4EFCE"/>
            <w:vAlign w:val="center"/>
            <w:hideMark/>
          </w:tcPr>
          <w:p w14:paraId="0ED4039C" w14:textId="7BBDA010" w:rsidR="00DC5EC6" w:rsidRDefault="003245A4">
            <w:pPr>
              <w:pStyle w:val="P68B1DB1-Normal25"/>
              <w:spacing w:after="0" w:line="240" w:lineRule="auto"/>
              <w:jc w:val="center"/>
              <w:rPr>
                <w:rFonts w:cs="Calibri"/>
                <w:noProof/>
              </w:rPr>
            </w:pPr>
            <w:r>
              <w:rPr>
                <w:noProof/>
              </w:rPr>
              <w:t xml:space="preserve">·EURÓPAI BIZOTTSÁG 1 056 518 233 EUR </w:t>
            </w:r>
          </w:p>
        </w:tc>
      </w:tr>
    </w:tbl>
    <w:p w14:paraId="3C5CDC41"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517A6F5F"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Kilencedik kifizetési kérelem (vissza nem térítendő támogatás): </w:t>
      </w:r>
    </w:p>
    <w:p w14:paraId="610F6D78"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0D25D50E" w14:textId="77777777">
        <w:trPr>
          <w:trHeight w:val="509"/>
          <w:tblHeader/>
        </w:trPr>
        <w:tc>
          <w:tcPr>
            <w:tcW w:w="1200" w:type="dxa"/>
            <w:vMerge w:val="restart"/>
            <w:tcBorders>
              <w:top w:val="single" w:sz="4" w:space="0" w:color="auto"/>
              <w:left w:val="single" w:sz="4" w:space="0" w:color="auto"/>
              <w:right w:val="single" w:sz="4" w:space="0" w:color="auto"/>
            </w:tcBorders>
            <w:shd w:val="clear" w:color="auto" w:fill="BDD7EE"/>
            <w:vAlign w:val="center"/>
            <w:hideMark/>
          </w:tcPr>
          <w:p w14:paraId="27E78C42"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tcBorders>
              <w:top w:val="single" w:sz="4" w:space="0" w:color="auto"/>
              <w:left w:val="single" w:sz="4" w:space="0" w:color="auto"/>
              <w:right w:val="single" w:sz="4" w:space="0" w:color="auto"/>
            </w:tcBorders>
            <w:shd w:val="clear" w:color="auto" w:fill="BDD7EE"/>
            <w:vAlign w:val="center"/>
            <w:hideMark/>
          </w:tcPr>
          <w:p w14:paraId="78FC7685"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tcBorders>
              <w:top w:val="single" w:sz="4" w:space="0" w:color="auto"/>
              <w:left w:val="single" w:sz="4" w:space="0" w:color="auto"/>
              <w:right w:val="single" w:sz="4" w:space="0" w:color="auto"/>
            </w:tcBorders>
            <w:shd w:val="clear" w:color="auto" w:fill="BDD7EE"/>
            <w:vAlign w:val="center"/>
            <w:hideMark/>
          </w:tcPr>
          <w:p w14:paraId="085BD584"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461ACC8B"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1782CE3F" w14:textId="77777777">
        <w:trPr>
          <w:trHeight w:val="509"/>
          <w:tblHead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F6B246B" w14:textId="77777777" w:rsidR="00DC5EC6" w:rsidRDefault="00DC5EC6">
            <w:pPr>
              <w:spacing w:after="0" w:line="240" w:lineRule="auto"/>
              <w:rPr>
                <w:rFonts w:ascii="Times New Roman" w:eastAsia="Times New Roman" w:hAnsi="Times New Roman" w:cs="Times New Roman"/>
                <w:b/>
                <w:noProof/>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C610EC3" w14:textId="77777777" w:rsidR="00DC5EC6" w:rsidRDefault="00DC5EC6">
            <w:pPr>
              <w:spacing w:after="0" w:line="240" w:lineRule="auto"/>
              <w:rPr>
                <w:rFonts w:ascii="Times New Roman" w:eastAsia="Times New Roman" w:hAnsi="Times New Roman" w:cs="Times New Roman"/>
                <w:b/>
                <w:noProof/>
                <w:sz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2802C47" w14:textId="77777777" w:rsidR="00DC5EC6" w:rsidRDefault="00DC5EC6">
            <w:pPr>
              <w:spacing w:after="0" w:line="240" w:lineRule="auto"/>
              <w:rPr>
                <w:rFonts w:ascii="Times New Roman" w:eastAsia="Times New Roman" w:hAnsi="Times New Roman" w:cs="Times New Roman"/>
                <w:b/>
                <w:noProof/>
                <w:sz w:val="20"/>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14:paraId="4A2F66AD" w14:textId="77777777" w:rsidR="00DC5EC6" w:rsidRDefault="00DC5EC6">
            <w:pPr>
              <w:spacing w:after="0" w:line="240" w:lineRule="auto"/>
              <w:rPr>
                <w:rFonts w:ascii="Times New Roman" w:eastAsia="Times New Roman" w:hAnsi="Times New Roman" w:cs="Times New Roman"/>
                <w:b/>
                <w:noProof/>
                <w:sz w:val="20"/>
              </w:rPr>
            </w:pPr>
          </w:p>
        </w:tc>
      </w:tr>
      <w:tr w:rsidR="00DC5EC6" w14:paraId="22F761C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02F00BC" w14:textId="77777777" w:rsidR="00DC5EC6" w:rsidRDefault="003245A4">
            <w:pPr>
              <w:pStyle w:val="P68B1DB1-Normal23"/>
              <w:spacing w:after="0"/>
              <w:jc w:val="center"/>
              <w:rPr>
                <w:rFonts w:eastAsia="Calibri" w:cs="Calibri"/>
                <w:noProof/>
              </w:rPr>
            </w:pPr>
            <w:r>
              <w:rPr>
                <w:noProof/>
              </w:rPr>
              <w:t>1.9</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763BE876" w14:textId="77777777" w:rsidR="00DC5EC6" w:rsidRDefault="003245A4">
            <w:pPr>
              <w:pStyle w:val="P68B1DB1-Normal23"/>
              <w:spacing w:after="0"/>
              <w:jc w:val="center"/>
              <w:rPr>
                <w:rFonts w:eastAsia="Calibri" w:cs="Calibri"/>
                <w:noProof/>
              </w:rPr>
            </w:pPr>
            <w:r>
              <w:rPr>
                <w:noProof/>
              </w:rPr>
              <w:t>Re-C01-r03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351F199"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9AE68CE" w14:textId="77777777" w:rsidR="00DC5EC6" w:rsidRDefault="003245A4">
            <w:pPr>
              <w:pStyle w:val="P68B1DB1-Normal23"/>
              <w:spacing w:after="0"/>
              <w:jc w:val="both"/>
              <w:rPr>
                <w:rFonts w:eastAsia="Calibri" w:cs="Calibri"/>
                <w:noProof/>
              </w:rPr>
            </w:pPr>
            <w:r>
              <w:rPr>
                <w:noProof/>
              </w:rPr>
              <w:t>Új integrált felelősségi központok létrehozása a nemzeti egészségügyi szolgálat kórházaiban</w:t>
            </w:r>
          </w:p>
        </w:tc>
      </w:tr>
      <w:tr w:rsidR="00DC5EC6" w14:paraId="5CFF73B6"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076FF3CE" w14:textId="77777777" w:rsidR="00DC5EC6" w:rsidRDefault="003245A4">
            <w:pPr>
              <w:pStyle w:val="P68B1DB1-Normal23"/>
              <w:spacing w:after="0"/>
              <w:jc w:val="center"/>
              <w:rPr>
                <w:rFonts w:eastAsia="Calibri" w:cs="Calibri"/>
                <w:noProof/>
              </w:rPr>
            </w:pPr>
            <w:r>
              <w:rPr>
                <w:noProof/>
              </w:rPr>
              <w:t>1.21</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6CE8E2C0" w14:textId="77777777" w:rsidR="00DC5EC6" w:rsidRDefault="003245A4">
            <w:pPr>
              <w:pStyle w:val="P68B1DB1-Normal23"/>
              <w:spacing w:after="0"/>
              <w:jc w:val="center"/>
              <w:rPr>
                <w:rFonts w:eastAsia="Calibri" w:cs="Calibri"/>
                <w:noProof/>
              </w:rPr>
            </w:pPr>
            <w:r>
              <w:rPr>
                <w:noProof/>
              </w:rPr>
              <w:t>Re-C01-i02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4FD371"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3A6F5AE9" w14:textId="77777777" w:rsidR="00DC5EC6" w:rsidRDefault="003245A4">
            <w:pPr>
              <w:pStyle w:val="P68B1DB1-Normal23"/>
              <w:spacing w:after="0"/>
              <w:jc w:val="both"/>
              <w:rPr>
                <w:rFonts w:eastAsia="Calibri" w:cs="Calibri"/>
                <w:noProof/>
              </w:rPr>
            </w:pPr>
            <w:r>
              <w:rPr>
                <w:noProof/>
              </w:rPr>
              <w:t>Az integrált folyamatos ápolási-gondozási és palliatív ellátási szolgáltatások nemzeti hálózatai reagálási képességének megerősítése a fekvőbeteg- és járóbeteg-ellátásban</w:t>
            </w:r>
          </w:p>
        </w:tc>
      </w:tr>
      <w:tr w:rsidR="00DC5EC6" w14:paraId="1E600A4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F06E981" w14:textId="77777777" w:rsidR="00DC5EC6" w:rsidRDefault="003245A4">
            <w:pPr>
              <w:pStyle w:val="P68B1DB1-Normal23"/>
              <w:spacing w:after="0"/>
              <w:jc w:val="center"/>
              <w:rPr>
                <w:rFonts w:eastAsia="Calibri" w:cs="Calibri"/>
                <w:noProof/>
              </w:rPr>
            </w:pPr>
            <w:r>
              <w:rPr>
                <w:noProof/>
              </w:rPr>
              <w:t>1.23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738D247" w14:textId="77777777" w:rsidR="00DC5EC6" w:rsidRDefault="003245A4">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9E7D485"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0DD0CD48" w14:textId="77777777" w:rsidR="00DC5EC6" w:rsidRDefault="003245A4">
            <w:pPr>
              <w:pStyle w:val="P68B1DB1-Normal23"/>
              <w:spacing w:after="0"/>
              <w:jc w:val="both"/>
              <w:rPr>
                <w:rFonts w:eastAsia="Calibri" w:cs="Calibri"/>
                <w:noProof/>
              </w:rPr>
            </w:pPr>
            <w:r>
              <w:rPr>
                <w:noProof/>
              </w:rPr>
              <w:t>Igazságügyi pszichiátriai egységek és berendezések felújítása</w:t>
            </w:r>
          </w:p>
        </w:tc>
      </w:tr>
      <w:tr w:rsidR="00DC5EC6" w14:paraId="5216BA78"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57694A3" w14:textId="77777777" w:rsidR="00DC5EC6" w:rsidRDefault="003245A4">
            <w:pPr>
              <w:pStyle w:val="P68B1DB1-Normal23"/>
              <w:spacing w:after="0"/>
              <w:jc w:val="center"/>
              <w:rPr>
                <w:rFonts w:eastAsia="Calibri" w:cs="Calibri"/>
                <w:noProof/>
              </w:rPr>
            </w:pPr>
            <w:r>
              <w:rPr>
                <w:noProof/>
              </w:rPr>
              <w:t>1.25</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1312B6D" w14:textId="77777777" w:rsidR="00DC5EC6" w:rsidRDefault="003245A4">
            <w:pPr>
              <w:pStyle w:val="P68B1DB1-Normal23"/>
              <w:spacing w:after="0"/>
              <w:jc w:val="center"/>
              <w:rPr>
                <w:rFonts w:eastAsia="Calibri" w:cs="Calibri"/>
                <w:noProof/>
              </w:rPr>
            </w:pPr>
            <w:r>
              <w:rPr>
                <w:noProof/>
              </w:rPr>
              <w:t>Re-C01-i03</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65BB1E4" w14:textId="77777777" w:rsidR="00DC5EC6" w:rsidRDefault="003245A4">
            <w:pPr>
              <w:pStyle w:val="P68B1DB1-Normal23"/>
              <w:spacing w:after="0"/>
              <w:jc w:val="center"/>
              <w:rPr>
                <w:rFonts w:eastAsia="Calibri" w:cs="Calibri"/>
                <w:noProof/>
              </w:rPr>
            </w:pPr>
            <w:r>
              <w:rPr>
                <w:noProof/>
              </w:rPr>
              <w:t>M</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26C441A2" w14:textId="77777777" w:rsidR="00DC5EC6" w:rsidRDefault="003245A4">
            <w:pPr>
              <w:pStyle w:val="P68B1DB1-Normal23"/>
              <w:spacing w:after="0"/>
              <w:jc w:val="both"/>
              <w:rPr>
                <w:rFonts w:eastAsia="Calibri" w:cs="Calibri"/>
                <w:noProof/>
              </w:rPr>
            </w:pPr>
            <w:r>
              <w:rPr>
                <w:noProof/>
              </w:rPr>
              <w:t>A mentális egészségügyi ellátási hálózat megerősítésének befejezése</w:t>
            </w:r>
          </w:p>
        </w:tc>
      </w:tr>
      <w:tr w:rsidR="00DC5EC6" w14:paraId="45D850E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CFC6688" w14:textId="77777777" w:rsidR="00DC5EC6" w:rsidRDefault="003245A4">
            <w:pPr>
              <w:pStyle w:val="P68B1DB1-Normal23"/>
              <w:spacing w:after="0"/>
              <w:jc w:val="center"/>
              <w:rPr>
                <w:rFonts w:eastAsia="Calibri" w:cs="Calibri"/>
                <w:noProof/>
              </w:rPr>
            </w:pPr>
            <w:r>
              <w:rPr>
                <w:noProof/>
              </w:rPr>
              <w:t>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9F6608D" w14:textId="77777777" w:rsidR="00DC5EC6" w:rsidRDefault="003245A4">
            <w:pPr>
              <w:pStyle w:val="P68B1DB1-Normal23"/>
              <w:spacing w:after="0"/>
              <w:jc w:val="center"/>
              <w:rPr>
                <w:rFonts w:eastAsia="Calibri" w:cs="Calibri"/>
                <w:noProof/>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BE2BF56"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54D33655" w14:textId="77777777" w:rsidR="00DC5EC6" w:rsidRDefault="003245A4">
            <w:pPr>
              <w:pStyle w:val="P68B1DB1-Normal23"/>
              <w:spacing w:after="0"/>
              <w:jc w:val="both"/>
              <w:rPr>
                <w:rFonts w:eastAsia="Calibri" w:cs="Calibri"/>
                <w:noProof/>
              </w:rPr>
            </w:pPr>
            <w:r>
              <w:rPr>
                <w:noProof/>
              </w:rPr>
              <w:t>Az integrált folyamatos ápolási-gondozási szolgáltatásokban részt vevő férőhelyek számának növekedése Madeira regionális egészségügyi szolgálatában</w:t>
            </w:r>
          </w:p>
        </w:tc>
      </w:tr>
      <w:tr w:rsidR="00DC5EC6" w14:paraId="307E282C"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tcPr>
          <w:p w14:paraId="16A417E4" w14:textId="77777777" w:rsidR="00DC5EC6" w:rsidRDefault="003245A4">
            <w:pPr>
              <w:pStyle w:val="P68B1DB1-Normal23"/>
              <w:spacing w:after="0"/>
              <w:jc w:val="center"/>
              <w:rPr>
                <w:rFonts w:eastAsia="Calibri" w:cs="Calibri"/>
                <w:noProof/>
              </w:rPr>
            </w:pPr>
            <w:r>
              <w:rPr>
                <w:noProof/>
              </w:rPr>
              <w:t>1.30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3035503C" w14:textId="77777777" w:rsidR="00DC5EC6" w:rsidRDefault="003245A4">
            <w:pPr>
              <w:pStyle w:val="P68B1DB1-Normal8"/>
              <w:spacing w:after="0"/>
              <w:jc w:val="center"/>
              <w:rPr>
                <w:rFonts w:eastAsia="Calibri" w:cs="Calibri"/>
                <w:noProof/>
                <w:sz w:val="18"/>
              </w:rPr>
            </w:pPr>
            <w:r>
              <w:rPr>
                <w:noProof/>
              </w:rPr>
              <w:t>Re-C01-i05-RAM</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0853CF70"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1249B3A9" w14:textId="77777777" w:rsidR="00DC5EC6" w:rsidRDefault="003245A4">
            <w:pPr>
              <w:pStyle w:val="P68B1DB1-Normal8"/>
              <w:spacing w:after="0"/>
              <w:jc w:val="both"/>
              <w:rPr>
                <w:rFonts w:eastAsia="Calibri" w:cs="Calibri"/>
                <w:noProof/>
                <w:sz w:val="18"/>
              </w:rPr>
            </w:pPr>
            <w:r>
              <w:rPr>
                <w:noProof/>
              </w:rPr>
              <w:t>Az integrált folyamatos ápolási-gondozási szolgáltatásokban részt vevő férőhelyek számának növekedése Madeira regionális egészségügyi szolgálatában</w:t>
            </w:r>
          </w:p>
        </w:tc>
      </w:tr>
      <w:tr w:rsidR="00DC5EC6" w14:paraId="25064C9E"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2D7E84A" w14:textId="77777777" w:rsidR="00DC5EC6" w:rsidRDefault="003245A4">
            <w:pPr>
              <w:pStyle w:val="P68B1DB1-Normal23"/>
              <w:spacing w:after="0"/>
              <w:jc w:val="center"/>
              <w:rPr>
                <w:rFonts w:eastAsia="Calibri" w:cs="Calibri"/>
                <w:noProof/>
              </w:rPr>
            </w:pPr>
            <w:r>
              <w:rPr>
                <w:noProof/>
              </w:rPr>
              <w:t>1.36</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FF74396" w14:textId="77777777" w:rsidR="00DC5EC6" w:rsidRDefault="003245A4">
            <w:pPr>
              <w:pStyle w:val="P68B1DB1-Normal23"/>
              <w:spacing w:after="0"/>
              <w:jc w:val="center"/>
              <w:rPr>
                <w:rFonts w:eastAsia="Calibri" w:cs="Calibri"/>
                <w:noProof/>
              </w:rPr>
            </w:pPr>
            <w:r>
              <w:rPr>
                <w:noProof/>
              </w:rPr>
              <w:t>Re-C01-i08-RAA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2BE8B021"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hideMark/>
          </w:tcPr>
          <w:p w14:paraId="18B9A547" w14:textId="77777777" w:rsidR="00DC5EC6" w:rsidRDefault="003245A4">
            <w:pPr>
              <w:pStyle w:val="P68B1DB1-Normal23"/>
              <w:spacing w:after="0"/>
              <w:jc w:val="both"/>
              <w:rPr>
                <w:rFonts w:eastAsia="Calibri" w:cs="Calibri"/>
                <w:noProof/>
              </w:rPr>
            </w:pPr>
            <w:r>
              <w:rPr>
                <w:noProof/>
              </w:rPr>
              <w:t>Az Azori-szigetek regionális egészségügyi szolgálatának felhasználói portáljához való jobb hozzáférés</w:t>
            </w:r>
          </w:p>
        </w:tc>
      </w:tr>
      <w:tr w:rsidR="00DC5EC6" w14:paraId="3A971B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B6093C" w14:textId="77777777" w:rsidR="00DC5EC6" w:rsidRDefault="003245A4">
            <w:pPr>
              <w:pStyle w:val="P68B1DB1-Normal23"/>
              <w:spacing w:after="0"/>
              <w:jc w:val="center"/>
              <w:rPr>
                <w:rFonts w:eastAsia="Calibri" w:cs="Calibri"/>
                <w:noProof/>
              </w:rPr>
            </w:pPr>
            <w:r>
              <w:rPr>
                <w:noProof/>
              </w:rPr>
              <w:t>1.38</w:t>
            </w:r>
          </w:p>
        </w:tc>
        <w:tc>
          <w:tcPr>
            <w:tcW w:w="1760" w:type="dxa"/>
            <w:tcBorders>
              <w:top w:val="nil"/>
              <w:left w:val="nil"/>
              <w:bottom w:val="single" w:sz="4" w:space="0" w:color="auto"/>
              <w:right w:val="single" w:sz="4" w:space="0" w:color="auto"/>
            </w:tcBorders>
            <w:shd w:val="clear" w:color="auto" w:fill="C4EFCE"/>
            <w:vAlign w:val="center"/>
            <w:hideMark/>
          </w:tcPr>
          <w:p w14:paraId="4B8D39B5" w14:textId="77777777" w:rsidR="00DC5EC6" w:rsidRDefault="003245A4">
            <w:pPr>
              <w:pStyle w:val="P68B1DB1-Normal23"/>
              <w:spacing w:after="0"/>
              <w:jc w:val="center"/>
              <w:rPr>
                <w:rFonts w:eastAsia="Calibri" w:cs="Calibri"/>
                <w:noProof/>
              </w:rPr>
            </w:pPr>
            <w:r>
              <w:rPr>
                <w:noProof/>
              </w:rPr>
              <w:t>Újra-C01-i09</w:t>
            </w:r>
          </w:p>
        </w:tc>
        <w:tc>
          <w:tcPr>
            <w:tcW w:w="1520" w:type="dxa"/>
            <w:tcBorders>
              <w:top w:val="nil"/>
              <w:left w:val="nil"/>
              <w:bottom w:val="single" w:sz="4" w:space="0" w:color="auto"/>
              <w:right w:val="single" w:sz="4" w:space="0" w:color="auto"/>
            </w:tcBorders>
            <w:shd w:val="clear" w:color="auto" w:fill="C4EFCE"/>
            <w:vAlign w:val="center"/>
            <w:hideMark/>
          </w:tcPr>
          <w:p w14:paraId="03EBB8C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1CBD4E" w14:textId="77777777" w:rsidR="00DC5EC6" w:rsidRDefault="003245A4">
            <w:pPr>
              <w:pStyle w:val="P68B1DB1-Normal23"/>
              <w:spacing w:after="0"/>
              <w:jc w:val="both"/>
              <w:rPr>
                <w:rFonts w:eastAsia="Calibri" w:cs="Calibri"/>
                <w:noProof/>
              </w:rPr>
            </w:pPr>
            <w:r>
              <w:rPr>
                <w:noProof/>
              </w:rPr>
              <w:t>A „School Sports Community” és a „School Sports on Wheels” program iskolai végrehajtásának befejezése</w:t>
            </w:r>
          </w:p>
        </w:tc>
      </w:tr>
      <w:tr w:rsidR="00DC5EC6" w14:paraId="6B7A456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010025" w14:textId="77777777" w:rsidR="00DC5EC6" w:rsidRDefault="003245A4">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0B6F6AFA" w14:textId="77777777" w:rsidR="00DC5EC6" w:rsidRDefault="003245A4">
            <w:pPr>
              <w:pStyle w:val="P68B1DB1-Normal23"/>
              <w:spacing w:after="0"/>
              <w:jc w:val="center"/>
              <w:rPr>
                <w:rFonts w:eastAsia="Calibri" w:cs="Calibri"/>
                <w:noProof/>
              </w:rPr>
            </w:pPr>
            <w:r>
              <w:rPr>
                <w:noProof/>
              </w:rPr>
              <w:t>Újra-C01-i09</w:t>
            </w:r>
          </w:p>
        </w:tc>
        <w:tc>
          <w:tcPr>
            <w:tcW w:w="1520" w:type="dxa"/>
            <w:tcBorders>
              <w:top w:val="nil"/>
              <w:left w:val="nil"/>
              <w:bottom w:val="single" w:sz="4" w:space="0" w:color="auto"/>
              <w:right w:val="single" w:sz="4" w:space="0" w:color="auto"/>
            </w:tcBorders>
            <w:shd w:val="clear" w:color="auto" w:fill="C4EFCE"/>
            <w:vAlign w:val="center"/>
            <w:hideMark/>
          </w:tcPr>
          <w:p w14:paraId="4C67C300"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3B0AA18" w14:textId="77777777" w:rsidR="00DC5EC6" w:rsidRDefault="003245A4">
            <w:pPr>
              <w:pStyle w:val="P68B1DB1-Normal23"/>
              <w:spacing w:after="0"/>
              <w:jc w:val="both"/>
              <w:rPr>
                <w:rFonts w:eastAsia="Calibri" w:cs="Calibri"/>
                <w:noProof/>
              </w:rPr>
            </w:pPr>
            <w:r>
              <w:rPr>
                <w:noProof/>
              </w:rPr>
              <w:t>Az egyetemes aktív élettámogató rendszerre és a kapcsolódó technológiai platformra irányuló nemzeti kampány elindítása</w:t>
            </w:r>
          </w:p>
        </w:tc>
      </w:tr>
      <w:tr w:rsidR="00DC5EC6" w14:paraId="4976BF8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C5E686" w14:textId="77777777" w:rsidR="00DC5EC6" w:rsidRDefault="003245A4">
            <w:pPr>
              <w:pStyle w:val="P68B1DB1-Normal23"/>
              <w:spacing w:after="0"/>
              <w:jc w:val="center"/>
              <w:rPr>
                <w:rFonts w:eastAsia="Calibri" w:cs="Calibri"/>
                <w:noProof/>
              </w:rPr>
            </w:pPr>
            <w:r>
              <w:rPr>
                <w:noProof/>
              </w:rPr>
              <w:t>2.17</w:t>
            </w:r>
          </w:p>
        </w:tc>
        <w:tc>
          <w:tcPr>
            <w:tcW w:w="1760" w:type="dxa"/>
            <w:tcBorders>
              <w:top w:val="nil"/>
              <w:left w:val="nil"/>
              <w:bottom w:val="single" w:sz="4" w:space="0" w:color="auto"/>
              <w:right w:val="single" w:sz="4" w:space="0" w:color="auto"/>
            </w:tcBorders>
            <w:shd w:val="clear" w:color="auto" w:fill="C4EFCE"/>
            <w:vAlign w:val="center"/>
            <w:hideMark/>
          </w:tcPr>
          <w:p w14:paraId="5F2975A0" w14:textId="77777777" w:rsidR="00DC5EC6" w:rsidRDefault="003245A4">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549257E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D42745D"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épületépítés</w:t>
            </w:r>
          </w:p>
        </w:tc>
      </w:tr>
      <w:tr w:rsidR="00DC5EC6" w14:paraId="48998A7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9F1454" w14:textId="77777777" w:rsidR="00DC5EC6" w:rsidRDefault="003245A4">
            <w:pPr>
              <w:pStyle w:val="P68B1DB1-Normal23"/>
              <w:spacing w:after="0"/>
              <w:jc w:val="center"/>
              <w:rPr>
                <w:rFonts w:eastAsia="Calibri" w:cs="Calibri"/>
                <w:noProof/>
              </w:rPr>
            </w:pPr>
            <w:r>
              <w:rPr>
                <w:noProof/>
              </w:rPr>
              <w:t>2.18</w:t>
            </w:r>
          </w:p>
        </w:tc>
        <w:tc>
          <w:tcPr>
            <w:tcW w:w="1760" w:type="dxa"/>
            <w:tcBorders>
              <w:top w:val="nil"/>
              <w:left w:val="nil"/>
              <w:bottom w:val="single" w:sz="4" w:space="0" w:color="auto"/>
              <w:right w:val="single" w:sz="4" w:space="0" w:color="auto"/>
            </w:tcBorders>
            <w:shd w:val="clear" w:color="auto" w:fill="C4EFCE"/>
            <w:vAlign w:val="center"/>
            <w:hideMark/>
          </w:tcPr>
          <w:p w14:paraId="50DBDCBE" w14:textId="77777777" w:rsidR="00DC5EC6" w:rsidRDefault="003245A4">
            <w:pPr>
              <w:pStyle w:val="P68B1DB1-Normal23"/>
              <w:spacing w:after="0"/>
              <w:jc w:val="center"/>
              <w:rPr>
                <w:rFonts w:eastAsia="Calibri" w:cs="Calibri"/>
                <w:noProof/>
              </w:rPr>
            </w:pPr>
            <w:r>
              <w:rPr>
                <w:noProof/>
              </w:rPr>
              <w:t>Re-C02-i04-RAA</w:t>
            </w:r>
          </w:p>
        </w:tc>
        <w:tc>
          <w:tcPr>
            <w:tcW w:w="1520" w:type="dxa"/>
            <w:tcBorders>
              <w:top w:val="nil"/>
              <w:left w:val="nil"/>
              <w:bottom w:val="single" w:sz="4" w:space="0" w:color="auto"/>
              <w:right w:val="single" w:sz="4" w:space="0" w:color="auto"/>
            </w:tcBorders>
            <w:shd w:val="clear" w:color="auto" w:fill="C4EFCE"/>
            <w:vAlign w:val="center"/>
            <w:hideMark/>
          </w:tcPr>
          <w:p w14:paraId="1DB0332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A80A23" w14:textId="77777777" w:rsidR="00DC5EC6" w:rsidRDefault="003245A4">
            <w:pPr>
              <w:pStyle w:val="P68B1DB1-Normal23"/>
              <w:spacing w:after="0"/>
              <w:jc w:val="both"/>
              <w:rPr>
                <w:rFonts w:eastAsia="Calibri" w:cs="Calibri"/>
                <w:noProof/>
              </w:rPr>
            </w:pPr>
            <w:r>
              <w:rPr>
                <w:noProof/>
              </w:rPr>
              <w:t>Beavatkozások az Azori-szigetek Autonóm Régió középület-állományában – felújítás</w:t>
            </w:r>
          </w:p>
        </w:tc>
      </w:tr>
      <w:tr w:rsidR="00DC5EC6" w14:paraId="42BE288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613E49" w14:textId="77777777" w:rsidR="00DC5EC6" w:rsidRDefault="003245A4">
            <w:pPr>
              <w:pStyle w:val="P68B1DB1-Normal23"/>
              <w:spacing w:after="0"/>
              <w:jc w:val="center"/>
              <w:rPr>
                <w:rFonts w:eastAsia="Calibri" w:cs="Calibri"/>
                <w:noProof/>
              </w:rPr>
            </w:pPr>
            <w:r>
              <w:rPr>
                <w:noProof/>
              </w:rPr>
              <w:t>2.31</w:t>
            </w:r>
          </w:p>
        </w:tc>
        <w:tc>
          <w:tcPr>
            <w:tcW w:w="1760" w:type="dxa"/>
            <w:tcBorders>
              <w:top w:val="nil"/>
              <w:left w:val="nil"/>
              <w:bottom w:val="single" w:sz="4" w:space="0" w:color="auto"/>
              <w:right w:val="single" w:sz="4" w:space="0" w:color="auto"/>
            </w:tcBorders>
            <w:shd w:val="clear" w:color="auto" w:fill="C4EFCE"/>
            <w:vAlign w:val="center"/>
            <w:hideMark/>
          </w:tcPr>
          <w:p w14:paraId="3E9F4E90" w14:textId="77777777" w:rsidR="00DC5EC6" w:rsidRDefault="003245A4">
            <w:pPr>
              <w:pStyle w:val="P68B1DB1-Normal23"/>
              <w:spacing w:after="0"/>
              <w:jc w:val="center"/>
              <w:rPr>
                <w:rFonts w:eastAsia="Calibri" w:cs="Calibri"/>
                <w:noProof/>
              </w:rPr>
            </w:pPr>
            <w:r>
              <w:rPr>
                <w:noProof/>
              </w:rPr>
              <w:t>Re-C02-i08-RAA</w:t>
            </w:r>
          </w:p>
        </w:tc>
        <w:tc>
          <w:tcPr>
            <w:tcW w:w="1520" w:type="dxa"/>
            <w:tcBorders>
              <w:top w:val="nil"/>
              <w:left w:val="nil"/>
              <w:bottom w:val="single" w:sz="4" w:space="0" w:color="auto"/>
              <w:right w:val="single" w:sz="4" w:space="0" w:color="auto"/>
            </w:tcBorders>
            <w:shd w:val="clear" w:color="auto" w:fill="C4EFCE"/>
            <w:vAlign w:val="center"/>
            <w:hideMark/>
          </w:tcPr>
          <w:p w14:paraId="0095AE3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48A3BC" w14:textId="77777777" w:rsidR="00DC5EC6" w:rsidRDefault="003245A4">
            <w:pPr>
              <w:pStyle w:val="P68B1DB1-Normal23"/>
              <w:spacing w:after="0"/>
              <w:jc w:val="both"/>
              <w:rPr>
                <w:rFonts w:eastAsia="Calibri" w:cs="Calibri"/>
                <w:noProof/>
              </w:rPr>
            </w:pPr>
            <w:r>
              <w:rPr>
                <w:noProof/>
              </w:rPr>
              <w:t>Az Azori-szigetek autonóm régió szociális lakásállományának megerősítése – épített lakások</w:t>
            </w:r>
          </w:p>
        </w:tc>
      </w:tr>
      <w:tr w:rsidR="00DC5EC6" w14:paraId="4267AE6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1425C875" w14:textId="77777777" w:rsidR="00DC5EC6" w:rsidRDefault="003245A4">
            <w:pPr>
              <w:pStyle w:val="P68B1DB1-Normal23"/>
              <w:spacing w:after="0"/>
              <w:jc w:val="center"/>
              <w:rPr>
                <w:rFonts w:eastAsia="Calibri" w:cs="Calibri"/>
                <w:noProof/>
              </w:rPr>
            </w:pPr>
            <w:r>
              <w:rPr>
                <w:noProof/>
              </w:rPr>
              <w:t>3.7</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0887E09D" w14:textId="77777777" w:rsidR="00DC5EC6" w:rsidRDefault="003245A4">
            <w:pPr>
              <w:pStyle w:val="P68B1DB1-Normal23"/>
              <w:spacing w:after="0"/>
              <w:jc w:val="center"/>
              <w:rPr>
                <w:rFonts w:eastAsia="Calibri" w:cs="Calibri"/>
                <w:noProof/>
              </w:rPr>
            </w:pPr>
            <w:r>
              <w:rPr>
                <w:noProof/>
              </w:rPr>
              <w:t>Re-C03-i02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5FC08BAC"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BB3EDD" w14:textId="77777777" w:rsidR="00DC5EC6" w:rsidRDefault="003245A4">
            <w:pPr>
              <w:pStyle w:val="P68B1DB1-Normal23"/>
              <w:spacing w:after="0"/>
              <w:jc w:val="both"/>
              <w:rPr>
                <w:rFonts w:eastAsia="Calibri" w:cs="Calibri"/>
                <w:noProof/>
              </w:rPr>
            </w:pPr>
            <w:r>
              <w:rPr>
                <w:noProof/>
              </w:rPr>
              <w:t>A csökkent mozgásképességű személyek számára jobb megközelíthető lakások</w:t>
            </w:r>
          </w:p>
        </w:tc>
      </w:tr>
      <w:tr w:rsidR="00DC5EC6" w14:paraId="596C5FB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E999017" w14:textId="77777777" w:rsidR="00DC5EC6" w:rsidRDefault="003245A4">
            <w:pPr>
              <w:pStyle w:val="P68B1DB1-Normal23"/>
              <w:spacing w:after="0"/>
              <w:jc w:val="center"/>
              <w:rPr>
                <w:rFonts w:eastAsia="Calibri" w:cs="Calibri"/>
                <w:noProof/>
              </w:rPr>
            </w:pPr>
            <w:r>
              <w:rPr>
                <w:noProof/>
              </w:rPr>
              <w:t>3.8</w:t>
            </w:r>
          </w:p>
        </w:tc>
        <w:tc>
          <w:tcPr>
            <w:tcW w:w="1760" w:type="dxa"/>
            <w:tcBorders>
              <w:top w:val="nil"/>
              <w:left w:val="nil"/>
              <w:bottom w:val="single" w:sz="4" w:space="0" w:color="auto"/>
              <w:right w:val="single" w:sz="4" w:space="0" w:color="auto"/>
            </w:tcBorders>
            <w:shd w:val="clear" w:color="auto" w:fill="C4EFCE"/>
            <w:vAlign w:val="center"/>
            <w:hideMark/>
          </w:tcPr>
          <w:p w14:paraId="04397576" w14:textId="77777777" w:rsidR="00DC5EC6" w:rsidRDefault="003245A4">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2B5BDEB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7B40A8" w14:textId="77777777" w:rsidR="00DC5EC6" w:rsidRDefault="003245A4">
            <w:pPr>
              <w:pStyle w:val="P68B1DB1-Normal23"/>
              <w:spacing w:after="0"/>
              <w:jc w:val="both"/>
              <w:rPr>
                <w:rFonts w:eastAsia="Calibri" w:cs="Calibri"/>
                <w:noProof/>
              </w:rPr>
            </w:pPr>
            <w:r>
              <w:rPr>
                <w:noProof/>
              </w:rPr>
              <w:t>A csökkent mozgásképességű személyek számára jobb hozzáférhetőséget biztosító nyilvános tér</w:t>
            </w:r>
          </w:p>
        </w:tc>
      </w:tr>
      <w:tr w:rsidR="00DC5EC6" w14:paraId="6076F1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A1FFD3" w14:textId="77777777" w:rsidR="00DC5EC6" w:rsidRDefault="003245A4">
            <w:pPr>
              <w:pStyle w:val="P68B1DB1-Normal23"/>
              <w:spacing w:after="0"/>
              <w:jc w:val="center"/>
              <w:rPr>
                <w:rFonts w:eastAsia="Calibri" w:cs="Calibri"/>
                <w:noProof/>
              </w:rPr>
            </w:pPr>
            <w:r>
              <w:rPr>
                <w:noProof/>
              </w:rPr>
              <w:t>3.9</w:t>
            </w:r>
          </w:p>
        </w:tc>
        <w:tc>
          <w:tcPr>
            <w:tcW w:w="1760" w:type="dxa"/>
            <w:tcBorders>
              <w:top w:val="nil"/>
              <w:left w:val="nil"/>
              <w:bottom w:val="single" w:sz="4" w:space="0" w:color="auto"/>
              <w:right w:val="single" w:sz="4" w:space="0" w:color="auto"/>
            </w:tcBorders>
            <w:shd w:val="clear" w:color="auto" w:fill="C4EFCE"/>
            <w:vAlign w:val="center"/>
            <w:hideMark/>
          </w:tcPr>
          <w:p w14:paraId="3AE00889" w14:textId="77777777" w:rsidR="00DC5EC6" w:rsidRDefault="003245A4">
            <w:pPr>
              <w:pStyle w:val="P68B1DB1-Normal23"/>
              <w:spacing w:after="0"/>
              <w:jc w:val="center"/>
              <w:rPr>
                <w:rFonts w:eastAsia="Calibri" w:cs="Calibri"/>
                <w:noProof/>
              </w:rPr>
            </w:pPr>
            <w:r>
              <w:rPr>
                <w:noProof/>
              </w:rPr>
              <w:t>Re-C03-i02</w:t>
            </w:r>
          </w:p>
        </w:tc>
        <w:tc>
          <w:tcPr>
            <w:tcW w:w="1520" w:type="dxa"/>
            <w:tcBorders>
              <w:top w:val="nil"/>
              <w:left w:val="nil"/>
              <w:bottom w:val="single" w:sz="4" w:space="0" w:color="auto"/>
              <w:right w:val="single" w:sz="4" w:space="0" w:color="auto"/>
            </w:tcBorders>
            <w:shd w:val="clear" w:color="auto" w:fill="C4EFCE"/>
            <w:vAlign w:val="center"/>
            <w:hideMark/>
          </w:tcPr>
          <w:p w14:paraId="3FB4432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818278" w14:textId="77777777" w:rsidR="00DC5EC6" w:rsidRDefault="003245A4">
            <w:pPr>
              <w:pStyle w:val="P68B1DB1-Normal23"/>
              <w:spacing w:after="0"/>
              <w:jc w:val="both"/>
              <w:rPr>
                <w:rFonts w:eastAsia="Calibri" w:cs="Calibri"/>
                <w:noProof/>
              </w:rPr>
            </w:pPr>
            <w:r>
              <w:rPr>
                <w:noProof/>
              </w:rPr>
              <w:t>A csökkent mozgásképességű személyek számára jobb hozzáférhetőséget biztosító közszolgáltatások</w:t>
            </w:r>
          </w:p>
        </w:tc>
      </w:tr>
      <w:tr w:rsidR="00DC5EC6" w14:paraId="41C932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E259A36" w14:textId="77777777" w:rsidR="00DC5EC6" w:rsidRDefault="003245A4">
            <w:pPr>
              <w:pStyle w:val="P68B1DB1-Normal23"/>
              <w:spacing w:after="0"/>
              <w:jc w:val="center"/>
              <w:rPr>
                <w:rFonts w:eastAsia="Calibri" w:cs="Calibri"/>
                <w:noProof/>
              </w:rPr>
            </w:pPr>
            <w:r>
              <w:rPr>
                <w:noProof/>
              </w:rPr>
              <w:t>3.10</w:t>
            </w:r>
          </w:p>
        </w:tc>
        <w:tc>
          <w:tcPr>
            <w:tcW w:w="1760" w:type="dxa"/>
            <w:tcBorders>
              <w:top w:val="nil"/>
              <w:left w:val="nil"/>
              <w:bottom w:val="single" w:sz="4" w:space="0" w:color="auto"/>
              <w:right w:val="single" w:sz="4" w:space="0" w:color="auto"/>
            </w:tcBorders>
            <w:shd w:val="clear" w:color="auto" w:fill="C4EFCE"/>
            <w:vAlign w:val="center"/>
            <w:hideMark/>
          </w:tcPr>
          <w:p w14:paraId="1399DCCA" w14:textId="77777777" w:rsidR="00DC5EC6" w:rsidRDefault="003245A4">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10B7FCB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65B477" w14:textId="77777777" w:rsidR="00DC5EC6" w:rsidRDefault="003245A4">
            <w:pPr>
              <w:pStyle w:val="P68B1DB1-Normal23"/>
              <w:spacing w:after="0"/>
              <w:jc w:val="both"/>
              <w:rPr>
                <w:rFonts w:eastAsia="Calibri" w:cs="Calibri"/>
                <w:noProof/>
              </w:rPr>
            </w:pPr>
            <w:r>
              <w:rPr>
                <w:noProof/>
              </w:rPr>
              <w:t xml:space="preserve">Új és rehabilitált férőhelyek lakó- és nem lakóotthonokban </w:t>
            </w:r>
          </w:p>
        </w:tc>
      </w:tr>
      <w:tr w:rsidR="00DC5EC6" w14:paraId="66BF7C5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EB03473" w14:textId="77777777" w:rsidR="00DC5EC6" w:rsidRDefault="003245A4">
            <w:pPr>
              <w:pStyle w:val="P68B1DB1-Normal23"/>
              <w:spacing w:after="0"/>
              <w:jc w:val="center"/>
              <w:rPr>
                <w:rFonts w:eastAsia="Calibri" w:cs="Calibri"/>
                <w:noProof/>
              </w:rPr>
            </w:pPr>
            <w:r>
              <w:rPr>
                <w:noProof/>
              </w:rPr>
              <w:t>3.12</w:t>
            </w:r>
          </w:p>
        </w:tc>
        <w:tc>
          <w:tcPr>
            <w:tcW w:w="1760" w:type="dxa"/>
            <w:tcBorders>
              <w:top w:val="nil"/>
              <w:left w:val="nil"/>
              <w:bottom w:val="single" w:sz="4" w:space="0" w:color="auto"/>
              <w:right w:val="single" w:sz="4" w:space="0" w:color="auto"/>
            </w:tcBorders>
            <w:shd w:val="clear" w:color="auto" w:fill="C4EFCE"/>
            <w:vAlign w:val="center"/>
            <w:hideMark/>
          </w:tcPr>
          <w:p w14:paraId="28D91185"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A81EAD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1A230D" w14:textId="77777777" w:rsidR="00DC5EC6" w:rsidRDefault="003245A4">
            <w:pPr>
              <w:pStyle w:val="P68B1DB1-Normal23"/>
              <w:spacing w:after="0"/>
              <w:jc w:val="both"/>
              <w:rPr>
                <w:rFonts w:eastAsia="Calibri" w:cs="Calibri"/>
                <w:noProof/>
              </w:rPr>
            </w:pPr>
            <w:r>
              <w:rPr>
                <w:noProof/>
              </w:rPr>
              <w:t>A társadalmi befogadást elősegítő jövedelemmel rendelkező családokból származó egyének képzése</w:t>
            </w:r>
          </w:p>
        </w:tc>
      </w:tr>
      <w:tr w:rsidR="00DC5EC6" w14:paraId="76CD6A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130966" w14:textId="77777777" w:rsidR="00DC5EC6" w:rsidRDefault="003245A4">
            <w:pPr>
              <w:pStyle w:val="P68B1DB1-Normal23"/>
              <w:spacing w:after="0"/>
              <w:jc w:val="center"/>
              <w:rPr>
                <w:rFonts w:eastAsia="Calibri" w:cs="Calibri"/>
                <w:noProof/>
              </w:rPr>
            </w:pPr>
            <w:r>
              <w:rPr>
                <w:noProof/>
              </w:rPr>
              <w:t>3.14</w:t>
            </w:r>
          </w:p>
        </w:tc>
        <w:tc>
          <w:tcPr>
            <w:tcW w:w="1760" w:type="dxa"/>
            <w:tcBorders>
              <w:top w:val="nil"/>
              <w:left w:val="nil"/>
              <w:bottom w:val="single" w:sz="4" w:space="0" w:color="auto"/>
              <w:right w:val="single" w:sz="4" w:space="0" w:color="auto"/>
            </w:tcBorders>
            <w:shd w:val="clear" w:color="auto" w:fill="C4EFCE"/>
            <w:vAlign w:val="center"/>
            <w:hideMark/>
          </w:tcPr>
          <w:p w14:paraId="045C7370"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9C539F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E4CE3D6" w14:textId="77777777" w:rsidR="00DC5EC6" w:rsidRDefault="003245A4">
            <w:pPr>
              <w:pStyle w:val="P68B1DB1-Normal23"/>
              <w:spacing w:after="0"/>
              <w:jc w:val="both"/>
              <w:rPr>
                <w:rFonts w:eastAsia="Calibri" w:cs="Calibri"/>
                <w:noProof/>
              </w:rPr>
            </w:pPr>
            <w:r>
              <w:rPr>
                <w:noProof/>
              </w:rPr>
              <w:t>Az Instituições Particulares de Solidariedade Social számára vásárolt járművek</w:t>
            </w:r>
          </w:p>
        </w:tc>
      </w:tr>
      <w:tr w:rsidR="00DC5EC6" w14:paraId="289CE0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73D27B" w14:textId="77777777" w:rsidR="00DC5EC6" w:rsidRDefault="003245A4">
            <w:pPr>
              <w:pStyle w:val="P68B1DB1-Normal23"/>
              <w:spacing w:after="0"/>
              <w:jc w:val="center"/>
              <w:rPr>
                <w:rFonts w:eastAsia="Calibri" w:cs="Calibri"/>
                <w:noProof/>
              </w:rPr>
            </w:pPr>
            <w:r>
              <w:rPr>
                <w:noProof/>
              </w:rPr>
              <w:t>3.15</w:t>
            </w:r>
          </w:p>
        </w:tc>
        <w:tc>
          <w:tcPr>
            <w:tcW w:w="1760" w:type="dxa"/>
            <w:tcBorders>
              <w:top w:val="nil"/>
              <w:left w:val="nil"/>
              <w:bottom w:val="single" w:sz="4" w:space="0" w:color="auto"/>
              <w:right w:val="single" w:sz="4" w:space="0" w:color="auto"/>
            </w:tcBorders>
            <w:shd w:val="clear" w:color="auto" w:fill="C4EFCE"/>
            <w:vAlign w:val="center"/>
            <w:hideMark/>
          </w:tcPr>
          <w:p w14:paraId="135E8FAE"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2DBAB54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EC8CE3D" w14:textId="77777777" w:rsidR="00DC5EC6" w:rsidRDefault="003245A4">
            <w:pPr>
              <w:pStyle w:val="P68B1DB1-Normal23"/>
              <w:spacing w:after="0"/>
              <w:jc w:val="both"/>
              <w:rPr>
                <w:rFonts w:eastAsia="Calibri" w:cs="Calibri"/>
                <w:noProof/>
              </w:rPr>
            </w:pPr>
            <w:r>
              <w:rPr>
                <w:noProof/>
              </w:rPr>
              <w:t>Az idősödéssel kapcsolatos projekt</w:t>
            </w:r>
          </w:p>
        </w:tc>
      </w:tr>
      <w:tr w:rsidR="00DC5EC6" w14:paraId="02338D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5DE03A" w14:textId="77777777" w:rsidR="00DC5EC6" w:rsidRDefault="003245A4">
            <w:pPr>
              <w:pStyle w:val="P68B1DB1-Normal23"/>
              <w:spacing w:after="0"/>
              <w:jc w:val="center"/>
              <w:rPr>
                <w:rFonts w:eastAsia="Calibri" w:cs="Calibri"/>
                <w:noProof/>
              </w:rPr>
            </w:pPr>
            <w:r>
              <w:rPr>
                <w:noProof/>
              </w:rPr>
              <w:t>3.16</w:t>
            </w:r>
          </w:p>
        </w:tc>
        <w:tc>
          <w:tcPr>
            <w:tcW w:w="1760" w:type="dxa"/>
            <w:tcBorders>
              <w:top w:val="nil"/>
              <w:left w:val="nil"/>
              <w:bottom w:val="single" w:sz="4" w:space="0" w:color="auto"/>
              <w:right w:val="single" w:sz="4" w:space="0" w:color="auto"/>
            </w:tcBorders>
            <w:shd w:val="clear" w:color="auto" w:fill="C4EFCE"/>
            <w:vAlign w:val="center"/>
            <w:hideMark/>
          </w:tcPr>
          <w:p w14:paraId="1D6FD45C" w14:textId="77777777" w:rsidR="00DC5EC6" w:rsidRDefault="003245A4">
            <w:pPr>
              <w:pStyle w:val="P68B1DB1-Normal23"/>
              <w:spacing w:after="0"/>
              <w:jc w:val="center"/>
              <w:rPr>
                <w:rFonts w:eastAsia="Calibri" w:cs="Calibri"/>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632853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B2E81BA" w14:textId="77777777" w:rsidR="00DC5EC6" w:rsidRDefault="003245A4">
            <w:pPr>
              <w:pStyle w:val="P68B1DB1-Normal23"/>
              <w:spacing w:after="0"/>
              <w:jc w:val="both"/>
              <w:rPr>
                <w:rFonts w:eastAsia="Calibri" w:cs="Calibri"/>
                <w:noProof/>
              </w:rPr>
            </w:pPr>
            <w:r>
              <w:rPr>
                <w:noProof/>
              </w:rPr>
              <w:t>A gyermekek és fiatalok korai iskolaelhagyása elleni küzdelmet célzó intézkedések.</w:t>
            </w:r>
          </w:p>
        </w:tc>
      </w:tr>
      <w:tr w:rsidR="00DC5EC6" w14:paraId="5AD9EF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B99BDB" w14:textId="77777777" w:rsidR="00DC5EC6" w:rsidRDefault="003245A4">
            <w:pPr>
              <w:pStyle w:val="P68B1DB1-Normal23"/>
              <w:spacing w:after="0"/>
              <w:jc w:val="center"/>
              <w:rPr>
                <w:rFonts w:eastAsia="Calibri" w:cs="Calibri"/>
                <w:noProof/>
              </w:rPr>
            </w:pPr>
            <w:r>
              <w:rPr>
                <w:noProof/>
              </w:rPr>
              <w:t>3.19</w:t>
            </w:r>
          </w:p>
        </w:tc>
        <w:tc>
          <w:tcPr>
            <w:tcW w:w="1760" w:type="dxa"/>
            <w:tcBorders>
              <w:top w:val="nil"/>
              <w:left w:val="nil"/>
              <w:bottom w:val="single" w:sz="4" w:space="0" w:color="auto"/>
              <w:right w:val="single" w:sz="4" w:space="0" w:color="auto"/>
            </w:tcBorders>
            <w:shd w:val="clear" w:color="auto" w:fill="C4EFCE"/>
            <w:vAlign w:val="center"/>
            <w:hideMark/>
          </w:tcPr>
          <w:p w14:paraId="019CDFE1" w14:textId="77777777" w:rsidR="00DC5EC6" w:rsidRDefault="003245A4">
            <w:pPr>
              <w:pStyle w:val="P68B1DB1-Normal23"/>
              <w:spacing w:after="0"/>
              <w:jc w:val="center"/>
              <w:rPr>
                <w:rFonts w:eastAsia="Calibri" w:cs="Calibri"/>
                <w:noProof/>
              </w:rPr>
            </w:pPr>
            <w:r>
              <w:rPr>
                <w:noProof/>
              </w:rPr>
              <w:t>Re-C03-i05</w:t>
            </w:r>
          </w:p>
        </w:tc>
        <w:tc>
          <w:tcPr>
            <w:tcW w:w="1520" w:type="dxa"/>
            <w:tcBorders>
              <w:top w:val="nil"/>
              <w:left w:val="nil"/>
              <w:bottom w:val="single" w:sz="4" w:space="0" w:color="auto"/>
              <w:right w:val="single" w:sz="4" w:space="0" w:color="auto"/>
            </w:tcBorders>
            <w:shd w:val="clear" w:color="auto" w:fill="C4EFCE"/>
            <w:vAlign w:val="center"/>
            <w:hideMark/>
          </w:tcPr>
          <w:p w14:paraId="7A45718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5207FF6" w14:textId="77777777" w:rsidR="00DC5EC6" w:rsidRDefault="003245A4">
            <w:pPr>
              <w:pStyle w:val="P68B1DB1-Normal23"/>
              <w:spacing w:after="0"/>
              <w:jc w:val="both"/>
              <w:rPr>
                <w:rFonts w:eastAsia="Calibri" w:cs="Calibri"/>
                <w:noProof/>
              </w:rPr>
            </w:pPr>
            <w:r>
              <w:rPr>
                <w:noProof/>
              </w:rPr>
              <w:t>A portugál jelnyelv hívóközpontja</w:t>
            </w:r>
          </w:p>
        </w:tc>
      </w:tr>
      <w:tr w:rsidR="00DC5EC6" w14:paraId="1BA193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5D0CFAD" w14:textId="77777777" w:rsidR="00DC5EC6" w:rsidRDefault="003245A4">
            <w:pPr>
              <w:pStyle w:val="P68B1DB1-Normal23"/>
              <w:spacing w:after="0"/>
              <w:jc w:val="center"/>
              <w:rPr>
                <w:rFonts w:eastAsia="Calibri" w:cs="Calibri"/>
                <w:noProof/>
              </w:rPr>
            </w:pPr>
            <w:r>
              <w:rPr>
                <w:noProof/>
              </w:rPr>
              <w:t>3.26</w:t>
            </w:r>
          </w:p>
        </w:tc>
        <w:tc>
          <w:tcPr>
            <w:tcW w:w="1760" w:type="dxa"/>
            <w:tcBorders>
              <w:top w:val="nil"/>
              <w:left w:val="nil"/>
              <w:bottom w:val="single" w:sz="4" w:space="0" w:color="auto"/>
              <w:right w:val="single" w:sz="4" w:space="0" w:color="auto"/>
            </w:tcBorders>
            <w:shd w:val="clear" w:color="auto" w:fill="C4EFCE"/>
            <w:vAlign w:val="center"/>
            <w:hideMark/>
          </w:tcPr>
          <w:p w14:paraId="66BC21FF" w14:textId="77777777" w:rsidR="00DC5EC6" w:rsidRDefault="003245A4">
            <w:pPr>
              <w:pStyle w:val="P68B1DB1-Normal23"/>
              <w:spacing w:after="0"/>
              <w:jc w:val="center"/>
              <w:rPr>
                <w:rFonts w:eastAsia="Calibri" w:cs="Calibri"/>
                <w:noProof/>
              </w:rPr>
            </w:pPr>
            <w:r>
              <w:rPr>
                <w:noProof/>
              </w:rPr>
              <w:t>Re-C03-i06</w:t>
            </w:r>
          </w:p>
        </w:tc>
        <w:tc>
          <w:tcPr>
            <w:tcW w:w="1520" w:type="dxa"/>
            <w:tcBorders>
              <w:top w:val="nil"/>
              <w:left w:val="nil"/>
              <w:bottom w:val="single" w:sz="4" w:space="0" w:color="auto"/>
              <w:right w:val="single" w:sz="4" w:space="0" w:color="auto"/>
            </w:tcBorders>
            <w:shd w:val="clear" w:color="auto" w:fill="C4EFCE"/>
            <w:vAlign w:val="center"/>
            <w:hideMark/>
          </w:tcPr>
          <w:p w14:paraId="5A71211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0FF11C" w14:textId="77777777" w:rsidR="00DC5EC6" w:rsidRDefault="003245A4">
            <w:pPr>
              <w:pStyle w:val="P68B1DB1-Normal23"/>
              <w:spacing w:after="0"/>
              <w:jc w:val="both"/>
              <w:rPr>
                <w:rFonts w:eastAsia="Calibri" w:cs="Calibri"/>
                <w:noProof/>
              </w:rPr>
            </w:pPr>
            <w:r>
              <w:rPr>
                <w:noProof/>
              </w:rPr>
              <w:t>Az intézkedések legalább 90%-ának teljes körű végrehajtása</w:t>
            </w:r>
          </w:p>
        </w:tc>
      </w:tr>
      <w:tr w:rsidR="00DC5EC6" w14:paraId="4169E8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091E41C" w14:textId="77777777" w:rsidR="00DC5EC6" w:rsidRDefault="003245A4">
            <w:pPr>
              <w:pStyle w:val="P68B1DB1-Normal23"/>
              <w:spacing w:after="0"/>
              <w:jc w:val="center"/>
              <w:rPr>
                <w:rFonts w:eastAsia="Calibri" w:cs="Calibri"/>
                <w:noProof/>
              </w:rPr>
            </w:pPr>
            <w:r>
              <w:rPr>
                <w:noProof/>
              </w:rPr>
              <w:t>3.27</w:t>
            </w:r>
          </w:p>
        </w:tc>
        <w:tc>
          <w:tcPr>
            <w:tcW w:w="1760" w:type="dxa"/>
            <w:tcBorders>
              <w:top w:val="nil"/>
              <w:left w:val="nil"/>
              <w:bottom w:val="single" w:sz="4" w:space="0" w:color="auto"/>
              <w:right w:val="single" w:sz="4" w:space="0" w:color="auto"/>
            </w:tcBorders>
            <w:shd w:val="clear" w:color="auto" w:fill="C4EFCE"/>
            <w:vAlign w:val="center"/>
            <w:hideMark/>
          </w:tcPr>
          <w:p w14:paraId="17E8CFFB" w14:textId="77777777" w:rsidR="00DC5EC6" w:rsidRDefault="003245A4">
            <w:pPr>
              <w:pStyle w:val="P68B1DB1-Normal23"/>
              <w:spacing w:after="0"/>
              <w:jc w:val="center"/>
              <w:rPr>
                <w:rFonts w:eastAsia="Calibri" w:cs="Calibri"/>
                <w:noProof/>
              </w:rPr>
            </w:pPr>
            <w:r>
              <w:rPr>
                <w:noProof/>
              </w:rPr>
              <w:t>Re-C03-i03-RAM</w:t>
            </w:r>
          </w:p>
        </w:tc>
        <w:tc>
          <w:tcPr>
            <w:tcW w:w="1520" w:type="dxa"/>
            <w:tcBorders>
              <w:top w:val="nil"/>
              <w:left w:val="nil"/>
              <w:bottom w:val="single" w:sz="4" w:space="0" w:color="auto"/>
              <w:right w:val="single" w:sz="4" w:space="0" w:color="auto"/>
            </w:tcBorders>
            <w:shd w:val="clear" w:color="auto" w:fill="C4EFCE"/>
            <w:vAlign w:val="center"/>
            <w:hideMark/>
          </w:tcPr>
          <w:p w14:paraId="597F807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6F21A2" w14:textId="77777777" w:rsidR="00DC5EC6" w:rsidRDefault="003245A4">
            <w:pPr>
              <w:pStyle w:val="P68B1DB1-Normal23"/>
              <w:spacing w:after="0"/>
              <w:jc w:val="both"/>
              <w:rPr>
                <w:rFonts w:eastAsia="Calibri" w:cs="Calibri"/>
                <w:noProof/>
              </w:rPr>
            </w:pPr>
            <w:r>
              <w:rPr>
                <w:noProof/>
              </w:rPr>
              <w:t>A hajléktalanokat támogató gondozóotthonokban található helyek száma</w:t>
            </w:r>
          </w:p>
        </w:tc>
      </w:tr>
      <w:tr w:rsidR="00DC5EC6" w14:paraId="54E515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7005D2F" w14:textId="77777777" w:rsidR="00DC5EC6" w:rsidRDefault="003245A4">
            <w:pPr>
              <w:pStyle w:val="P68B1DB1-Normal23"/>
              <w:spacing w:after="0"/>
              <w:jc w:val="center"/>
              <w:rPr>
                <w:rFonts w:eastAsia="Calibri" w:cs="Calibri"/>
                <w:noProof/>
              </w:rPr>
            </w:pPr>
            <w:r>
              <w:rPr>
                <w:noProof/>
              </w:rPr>
              <w:t>4.2</w:t>
            </w:r>
          </w:p>
        </w:tc>
        <w:tc>
          <w:tcPr>
            <w:tcW w:w="1760" w:type="dxa"/>
            <w:tcBorders>
              <w:top w:val="nil"/>
              <w:left w:val="nil"/>
              <w:bottom w:val="single" w:sz="4" w:space="0" w:color="auto"/>
              <w:right w:val="single" w:sz="4" w:space="0" w:color="auto"/>
            </w:tcBorders>
            <w:shd w:val="clear" w:color="auto" w:fill="C4EFCE"/>
            <w:vAlign w:val="center"/>
            <w:hideMark/>
          </w:tcPr>
          <w:p w14:paraId="04039DCF"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19C9B77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90ED1B" w14:textId="77777777" w:rsidR="00DC5EC6" w:rsidRDefault="003245A4">
            <w:pPr>
              <w:pStyle w:val="P68B1DB1-Normal23"/>
              <w:spacing w:after="0"/>
              <w:jc w:val="both"/>
              <w:rPr>
                <w:rFonts w:eastAsia="Calibri" w:cs="Calibri"/>
                <w:noProof/>
              </w:rPr>
            </w:pPr>
            <w:r>
              <w:rPr>
                <w:noProof/>
              </w:rPr>
              <w:t>Pénzügyi támogatás a könyvesboltok digitális átállásához</w:t>
            </w:r>
          </w:p>
        </w:tc>
      </w:tr>
      <w:tr w:rsidR="00DC5EC6" w14:paraId="53B3FF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799066" w14:textId="77777777" w:rsidR="00DC5EC6" w:rsidRDefault="003245A4">
            <w:pPr>
              <w:pStyle w:val="P68B1DB1-Normal23"/>
              <w:spacing w:after="0"/>
              <w:jc w:val="center"/>
              <w:rPr>
                <w:rFonts w:eastAsia="Calibri" w:cs="Calibri"/>
                <w:noProof/>
              </w:rPr>
            </w:pPr>
            <w:r>
              <w:rPr>
                <w:noProof/>
              </w:rPr>
              <w:t>4.3</w:t>
            </w:r>
          </w:p>
        </w:tc>
        <w:tc>
          <w:tcPr>
            <w:tcW w:w="1760" w:type="dxa"/>
            <w:tcBorders>
              <w:top w:val="nil"/>
              <w:left w:val="nil"/>
              <w:bottom w:val="single" w:sz="4" w:space="0" w:color="auto"/>
              <w:right w:val="single" w:sz="4" w:space="0" w:color="auto"/>
            </w:tcBorders>
            <w:shd w:val="clear" w:color="auto" w:fill="C4EFCE"/>
            <w:vAlign w:val="center"/>
            <w:hideMark/>
          </w:tcPr>
          <w:p w14:paraId="19A59DC1"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01A1C2F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5C14D01" w14:textId="77777777" w:rsidR="00DC5EC6" w:rsidRDefault="003245A4">
            <w:pPr>
              <w:pStyle w:val="P68B1DB1-Normal23"/>
              <w:spacing w:after="0"/>
              <w:jc w:val="both"/>
              <w:rPr>
                <w:rFonts w:eastAsia="Calibri" w:cs="Calibri"/>
                <w:noProof/>
              </w:rPr>
            </w:pPr>
            <w:r>
              <w:rPr>
                <w:noProof/>
              </w:rPr>
              <w:t>A közgyűjtemények digitalizálása és virtualizációja</w:t>
            </w:r>
          </w:p>
        </w:tc>
      </w:tr>
      <w:tr w:rsidR="00DC5EC6" w14:paraId="056817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6ED163" w14:textId="77777777" w:rsidR="00DC5EC6" w:rsidRDefault="003245A4">
            <w:pPr>
              <w:pStyle w:val="P68B1DB1-Normal23"/>
              <w:spacing w:after="0"/>
              <w:jc w:val="center"/>
              <w:rPr>
                <w:rFonts w:eastAsia="Calibri" w:cs="Calibri"/>
                <w:noProof/>
              </w:rPr>
            </w:pPr>
            <w:r>
              <w:rPr>
                <w:noProof/>
              </w:rPr>
              <w:t>4.5</w:t>
            </w:r>
          </w:p>
        </w:tc>
        <w:tc>
          <w:tcPr>
            <w:tcW w:w="1760" w:type="dxa"/>
            <w:tcBorders>
              <w:top w:val="nil"/>
              <w:left w:val="nil"/>
              <w:bottom w:val="single" w:sz="4" w:space="0" w:color="auto"/>
              <w:right w:val="single" w:sz="4" w:space="0" w:color="auto"/>
            </w:tcBorders>
            <w:shd w:val="clear" w:color="auto" w:fill="C4EFCE"/>
            <w:vAlign w:val="center"/>
            <w:hideMark/>
          </w:tcPr>
          <w:p w14:paraId="2563A114"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7A27352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2E5462" w14:textId="77777777" w:rsidR="00DC5EC6" w:rsidRDefault="003245A4">
            <w:pPr>
              <w:pStyle w:val="P68B1DB1-Normal23"/>
              <w:spacing w:after="0"/>
              <w:jc w:val="both"/>
              <w:rPr>
                <w:rFonts w:eastAsia="Calibri" w:cs="Calibri"/>
                <w:noProof/>
              </w:rPr>
            </w:pPr>
            <w:r>
              <w:rPr>
                <w:noProof/>
              </w:rPr>
              <w:t>Pénzügyi támogatás fordításhoz és irodalmi művek kiadásához</w:t>
            </w:r>
          </w:p>
        </w:tc>
      </w:tr>
      <w:tr w:rsidR="00DC5EC6" w14:paraId="7117E24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53E8A8" w14:textId="77777777" w:rsidR="00DC5EC6" w:rsidRDefault="003245A4">
            <w:pPr>
              <w:pStyle w:val="P68B1DB1-Normal23"/>
              <w:spacing w:after="0"/>
              <w:jc w:val="center"/>
              <w:rPr>
                <w:rFonts w:eastAsia="Calibri" w:cs="Calibri"/>
                <w:noProof/>
              </w:rPr>
            </w:pPr>
            <w:r>
              <w:rPr>
                <w:noProof/>
              </w:rPr>
              <w:t>4.11</w:t>
            </w:r>
          </w:p>
        </w:tc>
        <w:tc>
          <w:tcPr>
            <w:tcW w:w="1760" w:type="dxa"/>
            <w:tcBorders>
              <w:top w:val="nil"/>
              <w:left w:val="nil"/>
              <w:bottom w:val="single" w:sz="4" w:space="0" w:color="auto"/>
              <w:right w:val="single" w:sz="4" w:space="0" w:color="auto"/>
            </w:tcBorders>
            <w:shd w:val="clear" w:color="auto" w:fill="C4EFCE"/>
            <w:vAlign w:val="center"/>
            <w:hideMark/>
          </w:tcPr>
          <w:p w14:paraId="7F112129"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4F32219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13ECBA9" w14:textId="77777777" w:rsidR="00DC5EC6" w:rsidRDefault="003245A4">
            <w:pPr>
              <w:pStyle w:val="P68B1DB1-Normal23"/>
              <w:spacing w:after="0"/>
              <w:jc w:val="both"/>
              <w:rPr>
                <w:rFonts w:eastAsia="Calibri" w:cs="Calibri"/>
                <w:noProof/>
              </w:rPr>
            </w:pPr>
            <w:r>
              <w:rPr>
                <w:noProof/>
              </w:rPr>
              <w:t>A „Saber Fazer” technológiai központ kezdeményezés laboratóriumainak és útvonalainak telepítése, valamint a hagyományos technikákkal kapcsolatos pedagógiai és információs tevékenységek létrehozása.</w:t>
            </w:r>
          </w:p>
        </w:tc>
      </w:tr>
      <w:tr w:rsidR="00DC5EC6" w14:paraId="54F146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503CAB" w14:textId="77777777" w:rsidR="00DC5EC6" w:rsidRDefault="003245A4">
            <w:pPr>
              <w:pStyle w:val="P68B1DB1-Normal23"/>
              <w:spacing w:after="0"/>
              <w:jc w:val="center"/>
              <w:rPr>
                <w:rFonts w:eastAsia="Calibri" w:cs="Calibri"/>
                <w:noProof/>
              </w:rPr>
            </w:pPr>
            <w:r>
              <w:rPr>
                <w:noProof/>
              </w:rPr>
              <w:t>5.6</w:t>
            </w:r>
          </w:p>
        </w:tc>
        <w:tc>
          <w:tcPr>
            <w:tcW w:w="1760" w:type="dxa"/>
            <w:tcBorders>
              <w:top w:val="nil"/>
              <w:left w:val="nil"/>
              <w:bottom w:val="single" w:sz="4" w:space="0" w:color="auto"/>
              <w:right w:val="single" w:sz="4" w:space="0" w:color="auto"/>
            </w:tcBorders>
            <w:shd w:val="clear" w:color="auto" w:fill="C4EFCE"/>
            <w:vAlign w:val="center"/>
            <w:hideMark/>
          </w:tcPr>
          <w:p w14:paraId="6D345099" w14:textId="77777777" w:rsidR="00DC5EC6" w:rsidRDefault="003245A4">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0B04EDA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1ED57F" w14:textId="77777777" w:rsidR="00DC5EC6" w:rsidRDefault="003245A4">
            <w:pPr>
              <w:pStyle w:val="P68B1DB1-Normal23"/>
              <w:spacing w:after="0"/>
              <w:jc w:val="both"/>
              <w:rPr>
                <w:rFonts w:eastAsia="Calibri" w:cs="Calibri"/>
                <w:noProof/>
              </w:rPr>
            </w:pPr>
            <w:r>
              <w:rPr>
                <w:noProof/>
              </w:rPr>
              <w:t>A 6 szerződés végrehajtásának lezárása (innovációs paktumok vagy projektek mozgósítása)</w:t>
            </w:r>
          </w:p>
        </w:tc>
      </w:tr>
      <w:tr w:rsidR="00DC5EC6" w14:paraId="56FFCB9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1EDCEE" w14:textId="77777777" w:rsidR="00DC5EC6" w:rsidRDefault="003245A4">
            <w:pPr>
              <w:pStyle w:val="P68B1DB1-Normal23"/>
              <w:spacing w:after="0"/>
              <w:jc w:val="center"/>
              <w:rPr>
                <w:rFonts w:eastAsia="Calibri" w:cs="Calibri"/>
                <w:noProof/>
              </w:rPr>
            </w:pPr>
            <w:r>
              <w:rPr>
                <w:noProof/>
              </w:rPr>
              <w:t>5.8</w:t>
            </w:r>
          </w:p>
        </w:tc>
        <w:tc>
          <w:tcPr>
            <w:tcW w:w="1760" w:type="dxa"/>
            <w:tcBorders>
              <w:top w:val="nil"/>
              <w:left w:val="nil"/>
              <w:bottom w:val="single" w:sz="4" w:space="0" w:color="auto"/>
              <w:right w:val="single" w:sz="4" w:space="0" w:color="auto"/>
            </w:tcBorders>
            <w:shd w:val="clear" w:color="auto" w:fill="C4EFCE"/>
            <w:vAlign w:val="center"/>
            <w:hideMark/>
          </w:tcPr>
          <w:p w14:paraId="060E7E77" w14:textId="77777777" w:rsidR="00DC5EC6" w:rsidRDefault="003245A4">
            <w:pPr>
              <w:pStyle w:val="P68B1DB1-Normal23"/>
              <w:spacing w:after="0"/>
              <w:jc w:val="center"/>
              <w:rPr>
                <w:rFonts w:eastAsia="Calibri" w:cs="Calibri"/>
                <w:noProof/>
              </w:rPr>
            </w:pPr>
            <w:r>
              <w:rPr>
                <w:noProof/>
              </w:rPr>
              <w:t>Re-C05-i01</w:t>
            </w:r>
          </w:p>
        </w:tc>
        <w:tc>
          <w:tcPr>
            <w:tcW w:w="1520" w:type="dxa"/>
            <w:tcBorders>
              <w:top w:val="nil"/>
              <w:left w:val="nil"/>
              <w:bottom w:val="single" w:sz="4" w:space="0" w:color="auto"/>
              <w:right w:val="single" w:sz="4" w:space="0" w:color="auto"/>
            </w:tcBorders>
            <w:shd w:val="clear" w:color="auto" w:fill="C4EFCE"/>
            <w:vAlign w:val="center"/>
            <w:hideMark/>
          </w:tcPr>
          <w:p w14:paraId="7516533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82BFAA" w14:textId="77777777" w:rsidR="00DC5EC6" w:rsidRDefault="003245A4">
            <w:pPr>
              <w:pStyle w:val="P68B1DB1-Normal23"/>
              <w:spacing w:after="0"/>
              <w:jc w:val="both"/>
              <w:rPr>
                <w:rFonts w:eastAsia="Calibri" w:cs="Calibri"/>
                <w:noProof/>
              </w:rPr>
            </w:pPr>
            <w:r>
              <w:rPr>
                <w:noProof/>
              </w:rPr>
              <w:t>Az alacsony szén-dioxid-kibocsátású gazdaság, az ellenálló képesség és az éghajlatváltozáshoz való alkalmazkodás szempontjából releváns termékek, folyamatok vagy szolgáltatások</w:t>
            </w:r>
          </w:p>
        </w:tc>
      </w:tr>
      <w:tr w:rsidR="00DC5EC6" w14:paraId="5DA861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E31B91E" w14:textId="77777777" w:rsidR="00DC5EC6" w:rsidRDefault="003245A4">
            <w:pPr>
              <w:pStyle w:val="P68B1DB1-Normal23"/>
              <w:spacing w:after="0"/>
              <w:jc w:val="center"/>
              <w:rPr>
                <w:rFonts w:eastAsia="Calibri" w:cs="Calibri"/>
                <w:noProof/>
              </w:rPr>
            </w:pPr>
            <w:r>
              <w:rPr>
                <w:noProof/>
              </w:rPr>
              <w:t>5.10</w:t>
            </w:r>
          </w:p>
        </w:tc>
        <w:tc>
          <w:tcPr>
            <w:tcW w:w="1760" w:type="dxa"/>
            <w:tcBorders>
              <w:top w:val="nil"/>
              <w:left w:val="nil"/>
              <w:bottom w:val="single" w:sz="4" w:space="0" w:color="auto"/>
              <w:right w:val="single" w:sz="4" w:space="0" w:color="auto"/>
            </w:tcBorders>
            <w:shd w:val="clear" w:color="auto" w:fill="C4EFCE"/>
            <w:vAlign w:val="center"/>
            <w:hideMark/>
          </w:tcPr>
          <w:p w14:paraId="44979142" w14:textId="77777777" w:rsidR="00DC5EC6" w:rsidRDefault="003245A4">
            <w:pPr>
              <w:pStyle w:val="P68B1DB1-Normal23"/>
              <w:spacing w:after="0"/>
              <w:jc w:val="center"/>
              <w:rPr>
                <w:rFonts w:eastAsia="Calibri" w:cs="Calibri"/>
                <w:noProof/>
              </w:rPr>
            </w:pPr>
            <w:r>
              <w:rPr>
                <w:noProof/>
              </w:rPr>
              <w:t>Re-C05-i02</w:t>
            </w:r>
          </w:p>
        </w:tc>
        <w:tc>
          <w:tcPr>
            <w:tcW w:w="1520" w:type="dxa"/>
            <w:tcBorders>
              <w:top w:val="nil"/>
              <w:left w:val="nil"/>
              <w:bottom w:val="single" w:sz="4" w:space="0" w:color="auto"/>
              <w:right w:val="single" w:sz="4" w:space="0" w:color="auto"/>
            </w:tcBorders>
            <w:shd w:val="clear" w:color="auto" w:fill="C4EFCE"/>
            <w:vAlign w:val="center"/>
            <w:hideMark/>
          </w:tcPr>
          <w:p w14:paraId="05AC774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467D021" w14:textId="77777777" w:rsidR="00DC5EC6" w:rsidRDefault="003245A4">
            <w:pPr>
              <w:pStyle w:val="P68B1DB1-Normal23"/>
              <w:spacing w:after="0"/>
              <w:jc w:val="both"/>
              <w:rPr>
                <w:rFonts w:eastAsia="Calibri" w:cs="Calibri"/>
                <w:noProof/>
              </w:rPr>
            </w:pPr>
            <w:r>
              <w:rPr>
                <w:noProof/>
              </w:rPr>
              <w:t>Az interfészt biztosító szervezetek, köztük az együttműködő laboratóriumok által nyújtott szolgáltatásokat igénybe vevő vállalatok – Colab-ok</w:t>
            </w:r>
          </w:p>
        </w:tc>
      </w:tr>
      <w:tr w:rsidR="00DC5EC6" w14:paraId="13B590C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BD9B58" w14:textId="77777777" w:rsidR="00DC5EC6" w:rsidRDefault="003245A4">
            <w:pPr>
              <w:pStyle w:val="P68B1DB1-Normal23"/>
              <w:spacing w:after="0"/>
              <w:jc w:val="center"/>
              <w:rPr>
                <w:rFonts w:eastAsia="Calibri" w:cs="Calibri"/>
                <w:noProof/>
              </w:rPr>
            </w:pPr>
            <w:r>
              <w:rPr>
                <w:noProof/>
              </w:rPr>
              <w:t>5.12</w:t>
            </w:r>
          </w:p>
        </w:tc>
        <w:tc>
          <w:tcPr>
            <w:tcW w:w="1760" w:type="dxa"/>
            <w:tcBorders>
              <w:top w:val="nil"/>
              <w:left w:val="nil"/>
              <w:bottom w:val="single" w:sz="4" w:space="0" w:color="auto"/>
              <w:right w:val="single" w:sz="4" w:space="0" w:color="auto"/>
            </w:tcBorders>
            <w:shd w:val="clear" w:color="auto" w:fill="C4EFCE"/>
            <w:vAlign w:val="center"/>
            <w:hideMark/>
          </w:tcPr>
          <w:p w14:paraId="47FD4194" w14:textId="77777777" w:rsidR="00DC5EC6" w:rsidRDefault="003245A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59C9B6F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7CE04C" w14:textId="77777777" w:rsidR="00DC5EC6" w:rsidRDefault="003245A4">
            <w:pPr>
              <w:pStyle w:val="P68B1DB1-Normal23"/>
              <w:spacing w:after="0"/>
              <w:jc w:val="both"/>
              <w:rPr>
                <w:rFonts w:eastAsia="Calibri" w:cs="Calibri"/>
                <w:noProof/>
              </w:rPr>
            </w:pPr>
            <w:r>
              <w:rPr>
                <w:noProof/>
              </w:rPr>
              <w:t>A 2030-ig tartó időszakra vonatkozó mezőgazdasági innovációs menetrend zöld szempontjaira összpontosító innovációs és kutatási projektek lezárása</w:t>
            </w:r>
          </w:p>
        </w:tc>
      </w:tr>
      <w:tr w:rsidR="00DC5EC6" w14:paraId="67C701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7804C4E" w14:textId="77777777" w:rsidR="00DC5EC6" w:rsidRDefault="003245A4">
            <w:pPr>
              <w:pStyle w:val="P68B1DB1-Normal23"/>
              <w:spacing w:after="0"/>
              <w:jc w:val="center"/>
              <w:rPr>
                <w:rFonts w:eastAsia="Calibri" w:cs="Calibri"/>
                <w:noProof/>
              </w:rPr>
            </w:pPr>
            <w:r>
              <w:rPr>
                <w:noProof/>
              </w:rPr>
              <w:t>5.13</w:t>
            </w:r>
          </w:p>
        </w:tc>
        <w:tc>
          <w:tcPr>
            <w:tcW w:w="1760" w:type="dxa"/>
            <w:tcBorders>
              <w:top w:val="nil"/>
              <w:left w:val="nil"/>
              <w:bottom w:val="single" w:sz="4" w:space="0" w:color="auto"/>
              <w:right w:val="single" w:sz="4" w:space="0" w:color="auto"/>
            </w:tcBorders>
            <w:shd w:val="clear" w:color="auto" w:fill="C4EFCE"/>
            <w:vAlign w:val="center"/>
            <w:hideMark/>
          </w:tcPr>
          <w:p w14:paraId="4FFC2BA5" w14:textId="77777777" w:rsidR="00DC5EC6" w:rsidRDefault="003245A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1823349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A4F13A" w14:textId="2A433732" w:rsidR="00DC5EC6" w:rsidRDefault="003245A4">
            <w:pPr>
              <w:pStyle w:val="P68B1DB1-Normal23"/>
              <w:spacing w:after="0"/>
              <w:jc w:val="both"/>
              <w:rPr>
                <w:rFonts w:eastAsia="Calibri" w:cs="Calibri"/>
                <w:noProof/>
              </w:rPr>
            </w:pPr>
            <w:r>
              <w:rPr>
                <w:noProof/>
              </w:rPr>
              <w:t>A 2030-ig tartó időszakra vonatkozó mezőgazdasági innovációs terv digitális szempontjaira összpontosító 5 strukturáló projekt lezárása</w:t>
            </w:r>
          </w:p>
        </w:tc>
      </w:tr>
      <w:tr w:rsidR="00DC5EC6" w14:paraId="26F745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88FE5F" w14:textId="77777777" w:rsidR="00DC5EC6" w:rsidRDefault="003245A4">
            <w:pPr>
              <w:pStyle w:val="P68B1DB1-Normal23"/>
              <w:spacing w:after="0"/>
              <w:jc w:val="center"/>
              <w:rPr>
                <w:rFonts w:eastAsia="Calibri" w:cs="Calibri"/>
                <w:noProof/>
              </w:rPr>
            </w:pPr>
            <w:r>
              <w:rPr>
                <w:noProof/>
              </w:rPr>
              <w:t>5.14</w:t>
            </w:r>
          </w:p>
        </w:tc>
        <w:tc>
          <w:tcPr>
            <w:tcW w:w="1760" w:type="dxa"/>
            <w:tcBorders>
              <w:top w:val="nil"/>
              <w:left w:val="nil"/>
              <w:bottom w:val="single" w:sz="4" w:space="0" w:color="auto"/>
              <w:right w:val="single" w:sz="4" w:space="0" w:color="auto"/>
            </w:tcBorders>
            <w:shd w:val="clear" w:color="auto" w:fill="C4EFCE"/>
            <w:vAlign w:val="center"/>
            <w:hideMark/>
          </w:tcPr>
          <w:p w14:paraId="1A936CD6" w14:textId="77777777" w:rsidR="00DC5EC6" w:rsidRDefault="003245A4">
            <w:pPr>
              <w:pStyle w:val="P68B1DB1-Normal23"/>
              <w:spacing w:after="0"/>
              <w:jc w:val="center"/>
              <w:rPr>
                <w:rFonts w:eastAsia="Calibri" w:cs="Calibri"/>
                <w:noProof/>
              </w:rPr>
            </w:pPr>
            <w:r>
              <w:rPr>
                <w:noProof/>
              </w:rPr>
              <w:t>Re-C05-i03</w:t>
            </w:r>
          </w:p>
        </w:tc>
        <w:tc>
          <w:tcPr>
            <w:tcW w:w="1520" w:type="dxa"/>
            <w:tcBorders>
              <w:top w:val="nil"/>
              <w:left w:val="nil"/>
              <w:bottom w:val="single" w:sz="4" w:space="0" w:color="auto"/>
              <w:right w:val="single" w:sz="4" w:space="0" w:color="auto"/>
            </w:tcBorders>
            <w:shd w:val="clear" w:color="auto" w:fill="C4EFCE"/>
            <w:vAlign w:val="center"/>
            <w:hideMark/>
          </w:tcPr>
          <w:p w14:paraId="24C31DE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C5F817B" w14:textId="77777777" w:rsidR="00DC5EC6" w:rsidRDefault="003245A4">
            <w:pPr>
              <w:pStyle w:val="P68B1DB1-Normal23"/>
              <w:spacing w:after="0"/>
              <w:jc w:val="both"/>
              <w:rPr>
                <w:rFonts w:eastAsia="Calibri" w:cs="Calibri"/>
                <w:noProof/>
              </w:rPr>
            </w:pPr>
            <w:r>
              <w:rPr>
                <w:noProof/>
              </w:rPr>
              <w:t>A mezőgazdasági innovációs központok megújítása/korszerűsítése</w:t>
            </w:r>
          </w:p>
        </w:tc>
      </w:tr>
      <w:tr w:rsidR="00DC5EC6" w14:paraId="485018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43FF5A" w14:textId="77777777" w:rsidR="00DC5EC6" w:rsidRDefault="003245A4">
            <w:pPr>
              <w:pStyle w:val="P68B1DB1-Normal23"/>
              <w:spacing w:after="0"/>
              <w:jc w:val="center"/>
              <w:rPr>
                <w:rFonts w:eastAsia="Calibri" w:cs="Calibri"/>
                <w:noProof/>
              </w:rPr>
            </w:pPr>
            <w:r>
              <w:rPr>
                <w:noProof/>
              </w:rPr>
              <w:t>5.17</w:t>
            </w:r>
          </w:p>
        </w:tc>
        <w:tc>
          <w:tcPr>
            <w:tcW w:w="1760" w:type="dxa"/>
            <w:tcBorders>
              <w:top w:val="nil"/>
              <w:left w:val="nil"/>
              <w:bottom w:val="single" w:sz="4" w:space="0" w:color="auto"/>
              <w:right w:val="single" w:sz="4" w:space="0" w:color="auto"/>
            </w:tcBorders>
            <w:shd w:val="clear" w:color="auto" w:fill="C4EFCE"/>
            <w:vAlign w:val="center"/>
            <w:hideMark/>
          </w:tcPr>
          <w:p w14:paraId="06A80BBF" w14:textId="77777777" w:rsidR="00DC5EC6" w:rsidRDefault="003245A4">
            <w:pPr>
              <w:pStyle w:val="P68B1DB1-Normal23"/>
              <w:spacing w:after="0"/>
              <w:jc w:val="center"/>
              <w:rPr>
                <w:rFonts w:eastAsia="Calibri" w:cs="Calibri"/>
                <w:noProof/>
              </w:rPr>
            </w:pPr>
            <w:r>
              <w:rPr>
                <w:noProof/>
              </w:rPr>
              <w:t>Re-C05-i04-RAA</w:t>
            </w:r>
          </w:p>
        </w:tc>
        <w:tc>
          <w:tcPr>
            <w:tcW w:w="1520" w:type="dxa"/>
            <w:tcBorders>
              <w:top w:val="nil"/>
              <w:left w:val="nil"/>
              <w:bottom w:val="single" w:sz="4" w:space="0" w:color="auto"/>
              <w:right w:val="single" w:sz="4" w:space="0" w:color="auto"/>
            </w:tcBorders>
            <w:shd w:val="clear" w:color="auto" w:fill="C4EFCE"/>
            <w:vAlign w:val="center"/>
            <w:hideMark/>
          </w:tcPr>
          <w:p w14:paraId="77D74F2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04E19E" w14:textId="77777777" w:rsidR="00DC5EC6" w:rsidRDefault="003245A4">
            <w:pPr>
              <w:pStyle w:val="P68B1DB1-Normal23"/>
              <w:spacing w:after="0"/>
              <w:jc w:val="both"/>
              <w:rPr>
                <w:rFonts w:eastAsia="Calibri" w:cs="Calibri"/>
                <w:noProof/>
              </w:rPr>
            </w:pPr>
            <w:r>
              <w:rPr>
                <w:noProof/>
              </w:rPr>
              <w:t>Összesen 125 000 000 EUR leszállítása a régió nem pénzügyi vállalatainak sajáttőke- és kvázisajáttőke-támogatás formájában, az eszköz beruházási politikájával összhangban. Indikatív jelleggel a becslések szerint a terv befejezésével legalább 300 vállalkozást kell támogatni.</w:t>
            </w:r>
          </w:p>
        </w:tc>
      </w:tr>
      <w:tr w:rsidR="00DC5EC6" w14:paraId="76F54C1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3C7F55C" w14:textId="77777777" w:rsidR="00DC5EC6" w:rsidRDefault="003245A4">
            <w:pPr>
              <w:pStyle w:val="P68B1DB1-Normal23"/>
              <w:spacing w:after="0"/>
              <w:jc w:val="center"/>
              <w:rPr>
                <w:rFonts w:eastAsia="Calibri" w:cs="Calibri"/>
                <w:noProof/>
              </w:rPr>
            </w:pPr>
            <w:r>
              <w:rPr>
                <w:noProof/>
              </w:rPr>
              <w:t>5.19</w:t>
            </w:r>
          </w:p>
        </w:tc>
        <w:tc>
          <w:tcPr>
            <w:tcW w:w="1760" w:type="dxa"/>
            <w:tcBorders>
              <w:top w:val="nil"/>
              <w:left w:val="nil"/>
              <w:bottom w:val="single" w:sz="4" w:space="0" w:color="auto"/>
              <w:right w:val="single" w:sz="4" w:space="0" w:color="auto"/>
            </w:tcBorders>
            <w:shd w:val="clear" w:color="auto" w:fill="C4EFCE"/>
            <w:vAlign w:val="center"/>
            <w:hideMark/>
          </w:tcPr>
          <w:p w14:paraId="691C999E"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093E426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4854002" w14:textId="77777777" w:rsidR="00DC5EC6" w:rsidRDefault="003245A4">
            <w:pPr>
              <w:pStyle w:val="P68B1DB1-Normal23"/>
              <w:spacing w:after="0"/>
              <w:jc w:val="both"/>
              <w:rPr>
                <w:rFonts w:eastAsia="Calibri" w:cs="Calibri"/>
                <w:noProof/>
              </w:rPr>
            </w:pPr>
            <w:r>
              <w:rPr>
                <w:noProof/>
              </w:rPr>
              <w:t>Új (az elavult struktúrák felváltására) vagy az állatok levágásáért felelős átminősített struktúrákra, valamint a tej minőségének és az élelmiszer-biztonságnak a tanúsítására</w:t>
            </w:r>
          </w:p>
        </w:tc>
      </w:tr>
      <w:tr w:rsidR="00DC5EC6" w14:paraId="6BB6737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75E800" w14:textId="77777777" w:rsidR="00DC5EC6" w:rsidRDefault="003245A4">
            <w:pPr>
              <w:pStyle w:val="P68B1DB1-Normal23"/>
              <w:spacing w:after="0"/>
              <w:jc w:val="center"/>
              <w:rPr>
                <w:rFonts w:eastAsia="Calibri" w:cs="Calibri"/>
                <w:noProof/>
              </w:rPr>
            </w:pPr>
            <w:r>
              <w:rPr>
                <w:noProof/>
              </w:rPr>
              <w:t>5.20</w:t>
            </w:r>
          </w:p>
        </w:tc>
        <w:tc>
          <w:tcPr>
            <w:tcW w:w="1760" w:type="dxa"/>
            <w:tcBorders>
              <w:top w:val="nil"/>
              <w:left w:val="nil"/>
              <w:bottom w:val="single" w:sz="4" w:space="0" w:color="auto"/>
              <w:right w:val="single" w:sz="4" w:space="0" w:color="auto"/>
            </w:tcBorders>
            <w:shd w:val="clear" w:color="auto" w:fill="C4EFCE"/>
            <w:vAlign w:val="center"/>
            <w:hideMark/>
          </w:tcPr>
          <w:p w14:paraId="35521E65"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2A64CCB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80ED2B5" w14:textId="77777777" w:rsidR="00DC5EC6" w:rsidRDefault="003245A4">
            <w:pPr>
              <w:pStyle w:val="P68B1DB1-Normal23"/>
              <w:spacing w:after="0"/>
              <w:jc w:val="both"/>
              <w:rPr>
                <w:rFonts w:eastAsia="Calibri" w:cs="Calibri"/>
                <w:noProof/>
              </w:rPr>
            </w:pPr>
            <w:r>
              <w:rPr>
                <w:noProof/>
              </w:rPr>
              <w:t>A feldolgozó és forgalmazó ágazatban működő vállalkozások szerkezetátalakítására irányuló támogatási rendszerek keretében támogatott projektek</w:t>
            </w:r>
          </w:p>
        </w:tc>
      </w:tr>
      <w:tr w:rsidR="00DC5EC6" w14:paraId="3FDB28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78BD67" w14:textId="77777777" w:rsidR="00DC5EC6" w:rsidRDefault="003245A4">
            <w:pPr>
              <w:pStyle w:val="P68B1DB1-Normal23"/>
              <w:spacing w:after="0"/>
              <w:jc w:val="center"/>
              <w:rPr>
                <w:rFonts w:eastAsia="Calibri" w:cs="Calibri"/>
                <w:noProof/>
              </w:rPr>
            </w:pPr>
            <w:r>
              <w:rPr>
                <w:noProof/>
              </w:rPr>
              <w:t>5.21</w:t>
            </w:r>
          </w:p>
        </w:tc>
        <w:tc>
          <w:tcPr>
            <w:tcW w:w="1760" w:type="dxa"/>
            <w:tcBorders>
              <w:top w:val="nil"/>
              <w:left w:val="nil"/>
              <w:bottom w:val="single" w:sz="4" w:space="0" w:color="auto"/>
              <w:right w:val="single" w:sz="4" w:space="0" w:color="auto"/>
            </w:tcBorders>
            <w:shd w:val="clear" w:color="auto" w:fill="C4EFCE"/>
            <w:vAlign w:val="center"/>
            <w:hideMark/>
          </w:tcPr>
          <w:p w14:paraId="2006E72B"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nil"/>
              <w:left w:val="nil"/>
              <w:bottom w:val="single" w:sz="4" w:space="0" w:color="auto"/>
              <w:right w:val="single" w:sz="4" w:space="0" w:color="auto"/>
            </w:tcBorders>
            <w:shd w:val="clear" w:color="auto" w:fill="C4EFCE"/>
            <w:vAlign w:val="center"/>
            <w:hideMark/>
          </w:tcPr>
          <w:p w14:paraId="43DF32C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4AC44E0" w14:textId="77777777" w:rsidR="00DC5EC6" w:rsidRDefault="003245A4">
            <w:pPr>
              <w:pStyle w:val="P68B1DB1-Normal23"/>
              <w:spacing w:after="0"/>
              <w:jc w:val="both"/>
              <w:rPr>
                <w:rFonts w:eastAsia="Calibri" w:cs="Calibri"/>
                <w:noProof/>
              </w:rPr>
            </w:pPr>
            <w:r>
              <w:rPr>
                <w:noProof/>
              </w:rPr>
              <w:t>A mezőgazdasági üzemek szerkezetátalakítására irányuló támogatási rendszerek keretében támogatott projektek</w:t>
            </w:r>
          </w:p>
        </w:tc>
      </w:tr>
      <w:tr w:rsidR="00DC5EC6" w14:paraId="100DF5DB"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55BC21F8" w14:textId="77777777" w:rsidR="00DC5EC6" w:rsidRDefault="003245A4">
            <w:pPr>
              <w:pStyle w:val="P68B1DB1-Normal23"/>
              <w:spacing w:after="0"/>
              <w:jc w:val="center"/>
              <w:rPr>
                <w:rFonts w:eastAsia="Calibri" w:cs="Calibri"/>
                <w:noProof/>
              </w:rPr>
            </w:pPr>
            <w:r>
              <w:rPr>
                <w:noProof/>
              </w:rPr>
              <w:t>5.22</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2D7005F4" w14:textId="77777777" w:rsidR="00DC5EC6" w:rsidRDefault="003245A4">
            <w:pPr>
              <w:pStyle w:val="P68B1DB1-Normal23"/>
              <w:spacing w:after="0"/>
              <w:jc w:val="center"/>
              <w:rPr>
                <w:rFonts w:eastAsia="Calibri" w:cs="Calibri"/>
                <w:noProof/>
              </w:rPr>
            </w:pPr>
            <w:r>
              <w:rPr>
                <w:noProof/>
              </w:rPr>
              <w:t>Re-C05-i05-RAA</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3DA139D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D347233" w14:textId="77777777" w:rsidR="00DC5EC6" w:rsidRDefault="003245A4">
            <w:pPr>
              <w:pStyle w:val="P68B1DB1-Normal23"/>
              <w:spacing w:after="0"/>
              <w:jc w:val="both"/>
              <w:rPr>
                <w:rFonts w:eastAsia="Calibri" w:cs="Calibri"/>
                <w:noProof/>
              </w:rPr>
            </w:pPr>
            <w:r>
              <w:rPr>
                <w:noProof/>
              </w:rPr>
              <w:t>A mezőgazdasági termelők szerepvállalásának növelését célzó program keretében speciális technikai támogatásban részesülő gazdaságok</w:t>
            </w:r>
          </w:p>
        </w:tc>
      </w:tr>
      <w:tr w:rsidR="00DC5EC6" w14:paraId="30BF76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9D989F" w14:textId="77777777" w:rsidR="00DC5EC6" w:rsidRDefault="003245A4">
            <w:pPr>
              <w:pStyle w:val="P68B1DB1-Normal23"/>
              <w:spacing w:after="0"/>
              <w:jc w:val="center"/>
              <w:rPr>
                <w:rFonts w:eastAsia="Calibri" w:cs="Calibri"/>
                <w:noProof/>
              </w:rPr>
            </w:pPr>
            <w:r>
              <w:rPr>
                <w:noProof/>
              </w:rPr>
              <w:t>5.34</w:t>
            </w:r>
          </w:p>
        </w:tc>
        <w:tc>
          <w:tcPr>
            <w:tcW w:w="1760" w:type="dxa"/>
            <w:tcBorders>
              <w:top w:val="nil"/>
              <w:left w:val="nil"/>
              <w:bottom w:val="single" w:sz="4" w:space="0" w:color="auto"/>
              <w:right w:val="single" w:sz="4" w:space="0" w:color="auto"/>
            </w:tcBorders>
            <w:shd w:val="clear" w:color="auto" w:fill="C4EFCE"/>
            <w:vAlign w:val="center"/>
            <w:hideMark/>
          </w:tcPr>
          <w:p w14:paraId="72F4B8DE" w14:textId="1915F13C" w:rsidR="00DC5EC6" w:rsidRDefault="003245A4">
            <w:pPr>
              <w:pStyle w:val="P68B1DB1-Normal23"/>
              <w:spacing w:after="0"/>
              <w:jc w:val="center"/>
              <w:rPr>
                <w:rFonts w:eastAsia="Calibri" w:cs="Calibri"/>
                <w:noProof/>
              </w:rPr>
            </w:pPr>
            <w:r>
              <w:rPr>
                <w:noProof/>
              </w:rPr>
              <w:t>Re-C05-i07-RAM</w:t>
            </w:r>
          </w:p>
        </w:tc>
        <w:tc>
          <w:tcPr>
            <w:tcW w:w="1520" w:type="dxa"/>
            <w:tcBorders>
              <w:top w:val="nil"/>
              <w:left w:val="nil"/>
              <w:bottom w:val="single" w:sz="4" w:space="0" w:color="auto"/>
              <w:right w:val="single" w:sz="4" w:space="0" w:color="auto"/>
            </w:tcBorders>
            <w:shd w:val="clear" w:color="auto" w:fill="C4EFCE"/>
            <w:vAlign w:val="center"/>
            <w:hideMark/>
          </w:tcPr>
          <w:p w14:paraId="316503D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B50AB12" w14:textId="77777777" w:rsidR="00DC5EC6" w:rsidRDefault="003245A4">
            <w:pPr>
              <w:pStyle w:val="P68B1DB1-Normal23"/>
              <w:spacing w:after="0"/>
              <w:jc w:val="both"/>
              <w:rPr>
                <w:rFonts w:eastAsia="Calibri" w:cs="Calibri"/>
                <w:noProof/>
              </w:rPr>
            </w:pPr>
            <w:r>
              <w:rPr>
                <w:noProof/>
              </w:rPr>
              <w:t>Regionális vállalkozások projektjeit támogató hitelgaranciák.</w:t>
            </w:r>
          </w:p>
        </w:tc>
      </w:tr>
      <w:tr w:rsidR="00DC5EC6" w14:paraId="1D91A46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3F7491" w14:textId="77777777" w:rsidR="00DC5EC6" w:rsidRDefault="003245A4">
            <w:pPr>
              <w:pStyle w:val="P68B1DB1-Normal23"/>
              <w:spacing w:after="0"/>
              <w:jc w:val="center"/>
              <w:rPr>
                <w:rFonts w:eastAsia="Calibri" w:cs="Calibri"/>
                <w:noProof/>
              </w:rPr>
            </w:pPr>
            <w:r>
              <w:rPr>
                <w:noProof/>
              </w:rPr>
              <w:t>5.35</w:t>
            </w:r>
          </w:p>
        </w:tc>
        <w:tc>
          <w:tcPr>
            <w:tcW w:w="1760" w:type="dxa"/>
            <w:tcBorders>
              <w:top w:val="nil"/>
              <w:left w:val="nil"/>
              <w:bottom w:val="single" w:sz="4" w:space="0" w:color="auto"/>
              <w:right w:val="single" w:sz="4" w:space="0" w:color="auto"/>
            </w:tcBorders>
            <w:shd w:val="clear" w:color="auto" w:fill="C4EFCE"/>
            <w:vAlign w:val="center"/>
            <w:hideMark/>
          </w:tcPr>
          <w:p w14:paraId="6967C3AD" w14:textId="77777777" w:rsidR="00DC5EC6" w:rsidRDefault="003245A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4CCABE5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F5823A" w14:textId="1C28B1CC" w:rsidR="00DC5EC6" w:rsidRDefault="003245A4">
            <w:pPr>
              <w:pStyle w:val="P68B1DB1-Normal23"/>
              <w:spacing w:after="0"/>
              <w:jc w:val="both"/>
              <w:rPr>
                <w:rFonts w:eastAsia="Calibri" w:cs="Calibri"/>
                <w:noProof/>
              </w:rPr>
            </w:pPr>
            <w:r>
              <w:rPr>
                <w:noProof/>
              </w:rPr>
              <w:t>A „Science XXI campus” és a „Science Desk” befejezése, valamint szolgáltatások nyújtása a Nemzeti Nyílt Tudomány és Nyílt Kutatási Adatprogram (PNCADAI) keretében</w:t>
            </w:r>
          </w:p>
        </w:tc>
      </w:tr>
      <w:tr w:rsidR="00DC5EC6" w14:paraId="7A31595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C6871" w14:textId="77777777" w:rsidR="00DC5EC6" w:rsidRDefault="003245A4">
            <w:pPr>
              <w:pStyle w:val="P68B1DB1-Normal23"/>
              <w:spacing w:after="0"/>
              <w:jc w:val="center"/>
              <w:rPr>
                <w:rFonts w:eastAsia="Calibri" w:cs="Calibri"/>
                <w:noProof/>
              </w:rPr>
            </w:pPr>
            <w:r>
              <w:rPr>
                <w:noProof/>
              </w:rPr>
              <w:t>5.40</w:t>
            </w:r>
          </w:p>
        </w:tc>
        <w:tc>
          <w:tcPr>
            <w:tcW w:w="1760" w:type="dxa"/>
            <w:tcBorders>
              <w:top w:val="nil"/>
              <w:left w:val="nil"/>
              <w:bottom w:val="single" w:sz="4" w:space="0" w:color="auto"/>
              <w:right w:val="single" w:sz="4" w:space="0" w:color="auto"/>
            </w:tcBorders>
            <w:shd w:val="clear" w:color="auto" w:fill="C4EFCE"/>
            <w:vAlign w:val="center"/>
            <w:hideMark/>
          </w:tcPr>
          <w:p w14:paraId="2F1FA845" w14:textId="77777777" w:rsidR="00DC5EC6" w:rsidRDefault="003245A4">
            <w:pPr>
              <w:pStyle w:val="P68B1DB1-Normal23"/>
              <w:spacing w:after="0"/>
              <w:jc w:val="center"/>
              <w:rPr>
                <w:rFonts w:eastAsia="Calibri" w:cs="Calibri"/>
                <w:noProof/>
              </w:rPr>
            </w:pPr>
            <w:r>
              <w:rPr>
                <w:noProof/>
              </w:rPr>
              <w:t>Újra-C05-i09</w:t>
            </w:r>
          </w:p>
        </w:tc>
        <w:tc>
          <w:tcPr>
            <w:tcW w:w="1520" w:type="dxa"/>
            <w:tcBorders>
              <w:top w:val="nil"/>
              <w:left w:val="nil"/>
              <w:bottom w:val="single" w:sz="4" w:space="0" w:color="auto"/>
              <w:right w:val="single" w:sz="4" w:space="0" w:color="auto"/>
            </w:tcBorders>
            <w:shd w:val="clear" w:color="auto" w:fill="C4EFCE"/>
            <w:vAlign w:val="center"/>
            <w:hideMark/>
          </w:tcPr>
          <w:p w14:paraId="6C87243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8591A6" w14:textId="77777777" w:rsidR="00DC5EC6" w:rsidRDefault="003245A4">
            <w:pPr>
              <w:pStyle w:val="P68B1DB1-Normal23"/>
              <w:spacing w:after="0"/>
              <w:jc w:val="both"/>
              <w:rPr>
                <w:rFonts w:eastAsia="Calibri" w:cs="Calibri"/>
                <w:noProof/>
              </w:rPr>
            </w:pPr>
            <w:r>
              <w:rPr>
                <w:noProof/>
              </w:rPr>
              <w:t>168 termék, eljárás vagy szolgáltatás befejezése.</w:t>
            </w:r>
          </w:p>
        </w:tc>
      </w:tr>
      <w:tr w:rsidR="00DC5EC6" w14:paraId="421627E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3DDFE9" w14:textId="77777777" w:rsidR="00DC5EC6" w:rsidRDefault="003245A4">
            <w:pPr>
              <w:pStyle w:val="P68B1DB1-Normal23"/>
              <w:spacing w:after="0"/>
              <w:jc w:val="center"/>
              <w:rPr>
                <w:rFonts w:eastAsia="Calibri" w:cs="Calibri"/>
                <w:noProof/>
              </w:rPr>
            </w:pPr>
            <w:r>
              <w:rPr>
                <w:noProof/>
              </w:rPr>
              <w:t>5.42</w:t>
            </w:r>
          </w:p>
        </w:tc>
        <w:tc>
          <w:tcPr>
            <w:tcW w:w="1760" w:type="dxa"/>
            <w:tcBorders>
              <w:top w:val="nil"/>
              <w:left w:val="nil"/>
              <w:bottom w:val="single" w:sz="4" w:space="0" w:color="auto"/>
              <w:right w:val="single" w:sz="4" w:space="0" w:color="auto"/>
            </w:tcBorders>
            <w:shd w:val="clear" w:color="auto" w:fill="C4EFCE"/>
            <w:vAlign w:val="center"/>
            <w:hideMark/>
          </w:tcPr>
          <w:p w14:paraId="2AC3BE32" w14:textId="77777777" w:rsidR="00DC5EC6" w:rsidRDefault="003245A4">
            <w:pPr>
              <w:pStyle w:val="P68B1DB1-Normal23"/>
              <w:spacing w:after="0"/>
              <w:jc w:val="center"/>
              <w:rPr>
                <w:rFonts w:eastAsia="Calibri" w:cs="Calibri"/>
                <w:noProof/>
              </w:rPr>
            </w:pPr>
            <w:r>
              <w:rPr>
                <w:noProof/>
              </w:rPr>
              <w:t>Re-C05-i10</w:t>
            </w:r>
          </w:p>
        </w:tc>
        <w:tc>
          <w:tcPr>
            <w:tcW w:w="1520" w:type="dxa"/>
            <w:tcBorders>
              <w:top w:val="nil"/>
              <w:left w:val="nil"/>
              <w:bottom w:val="single" w:sz="4" w:space="0" w:color="auto"/>
              <w:right w:val="single" w:sz="4" w:space="0" w:color="auto"/>
            </w:tcBorders>
            <w:shd w:val="clear" w:color="auto" w:fill="C4EFCE"/>
            <w:vAlign w:val="center"/>
            <w:hideMark/>
          </w:tcPr>
          <w:p w14:paraId="326441C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B3B6ECA" w14:textId="77777777" w:rsidR="00DC5EC6" w:rsidRDefault="003245A4">
            <w:pPr>
              <w:pStyle w:val="P68B1DB1-Normal23"/>
              <w:spacing w:after="0"/>
              <w:jc w:val="both"/>
              <w:rPr>
                <w:rFonts w:eastAsia="Calibri" w:cs="Calibri"/>
                <w:noProof/>
              </w:rPr>
            </w:pPr>
            <w:r>
              <w:rPr>
                <w:noProof/>
              </w:rPr>
              <w:t>Az alacsony szén-dioxid-kibocsátású gazdaság, a reziliencia és az éghajlatváltozáshoz való alkalmazkodás szempontjából releváns termékek, folyamatok vagy szolgáltatások (PPS) befejezése.</w:t>
            </w:r>
          </w:p>
        </w:tc>
      </w:tr>
      <w:tr w:rsidR="00DC5EC6" w14:paraId="14988A7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04BD2D" w14:textId="77777777" w:rsidR="00DC5EC6" w:rsidRDefault="003245A4">
            <w:pPr>
              <w:pStyle w:val="P68B1DB1-Normal23"/>
              <w:spacing w:after="0"/>
              <w:jc w:val="center"/>
              <w:rPr>
                <w:rFonts w:eastAsia="Calibri" w:cs="Calibri"/>
                <w:noProof/>
              </w:rPr>
            </w:pPr>
            <w:r>
              <w:rPr>
                <w:noProof/>
              </w:rPr>
              <w:t>6.2</w:t>
            </w:r>
          </w:p>
        </w:tc>
        <w:tc>
          <w:tcPr>
            <w:tcW w:w="1760" w:type="dxa"/>
            <w:tcBorders>
              <w:top w:val="nil"/>
              <w:left w:val="nil"/>
              <w:bottom w:val="single" w:sz="4" w:space="0" w:color="auto"/>
              <w:right w:val="single" w:sz="4" w:space="0" w:color="auto"/>
            </w:tcBorders>
            <w:shd w:val="clear" w:color="auto" w:fill="C4EFCE"/>
            <w:vAlign w:val="center"/>
            <w:hideMark/>
          </w:tcPr>
          <w:p w14:paraId="3BDA4A67" w14:textId="77777777" w:rsidR="00DC5EC6" w:rsidRDefault="003245A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4065303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F70C1E" w14:textId="77777777" w:rsidR="00DC5EC6" w:rsidRDefault="003245A4">
            <w:pPr>
              <w:pStyle w:val="P68B1DB1-Normal23"/>
              <w:spacing w:after="0"/>
              <w:jc w:val="both"/>
              <w:rPr>
                <w:rFonts w:eastAsia="Calibri" w:cs="Calibri"/>
                <w:noProof/>
              </w:rPr>
            </w:pPr>
            <w:r>
              <w:rPr>
                <w:noProof/>
              </w:rPr>
              <w:t>Felújított vagy épített szakosodott technológiai központok</w:t>
            </w:r>
          </w:p>
        </w:tc>
      </w:tr>
      <w:tr w:rsidR="00DC5EC6" w14:paraId="67A0ACB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055146" w14:textId="77777777" w:rsidR="00DC5EC6" w:rsidRDefault="003245A4">
            <w:pPr>
              <w:pStyle w:val="P68B1DB1-Normal23"/>
              <w:spacing w:after="0"/>
              <w:jc w:val="center"/>
              <w:rPr>
                <w:rFonts w:eastAsia="Calibri" w:cs="Calibri"/>
                <w:noProof/>
              </w:rPr>
            </w:pPr>
            <w:r>
              <w:rPr>
                <w:noProof/>
              </w:rPr>
              <w:t>6.4</w:t>
            </w:r>
          </w:p>
        </w:tc>
        <w:tc>
          <w:tcPr>
            <w:tcW w:w="1760" w:type="dxa"/>
            <w:tcBorders>
              <w:top w:val="nil"/>
              <w:left w:val="nil"/>
              <w:bottom w:val="single" w:sz="4" w:space="0" w:color="auto"/>
              <w:right w:val="single" w:sz="4" w:space="0" w:color="auto"/>
            </w:tcBorders>
            <w:shd w:val="clear" w:color="auto" w:fill="C4EFCE"/>
            <w:vAlign w:val="center"/>
            <w:hideMark/>
          </w:tcPr>
          <w:p w14:paraId="560BB3EF" w14:textId="77777777" w:rsidR="00DC5EC6" w:rsidRDefault="003245A4">
            <w:pPr>
              <w:pStyle w:val="P68B1DB1-Normal23"/>
              <w:spacing w:after="0"/>
              <w:jc w:val="center"/>
              <w:rPr>
                <w:rFonts w:eastAsia="Calibri" w:cs="Calibri"/>
                <w:noProof/>
              </w:rPr>
            </w:pPr>
            <w:r>
              <w:rPr>
                <w:noProof/>
              </w:rPr>
              <w:t>Re-C06-i01</w:t>
            </w:r>
          </w:p>
        </w:tc>
        <w:tc>
          <w:tcPr>
            <w:tcW w:w="1520" w:type="dxa"/>
            <w:tcBorders>
              <w:top w:val="nil"/>
              <w:left w:val="nil"/>
              <w:bottom w:val="single" w:sz="4" w:space="0" w:color="auto"/>
              <w:right w:val="single" w:sz="4" w:space="0" w:color="auto"/>
            </w:tcBorders>
            <w:shd w:val="clear" w:color="auto" w:fill="C4EFCE"/>
            <w:vAlign w:val="center"/>
            <w:hideMark/>
          </w:tcPr>
          <w:p w14:paraId="1A02B8E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7D6BE2" w14:textId="77777777" w:rsidR="00DC5EC6" w:rsidRDefault="003245A4">
            <w:pPr>
              <w:pStyle w:val="P68B1DB1-Normal23"/>
              <w:spacing w:after="0"/>
              <w:jc w:val="both"/>
              <w:rPr>
                <w:rFonts w:eastAsia="Calibri" w:cs="Calibri"/>
                <w:noProof/>
              </w:rPr>
            </w:pPr>
            <w:r>
              <w:rPr>
                <w:noProof/>
              </w:rPr>
              <w:t>Korszerűsített oktatóállomások</w:t>
            </w:r>
          </w:p>
        </w:tc>
      </w:tr>
      <w:tr w:rsidR="00DC5EC6" w14:paraId="5E314A8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0FE7BE" w14:textId="77777777" w:rsidR="00DC5EC6" w:rsidRDefault="003245A4">
            <w:pPr>
              <w:pStyle w:val="P68B1DB1-Normal23"/>
              <w:spacing w:after="0"/>
              <w:jc w:val="center"/>
              <w:rPr>
                <w:rFonts w:eastAsia="Calibri" w:cs="Calibri"/>
                <w:noProof/>
              </w:rPr>
            </w:pPr>
            <w:r>
              <w:rPr>
                <w:noProof/>
              </w:rPr>
              <w:t>6.6</w:t>
            </w:r>
          </w:p>
        </w:tc>
        <w:tc>
          <w:tcPr>
            <w:tcW w:w="1760" w:type="dxa"/>
            <w:tcBorders>
              <w:top w:val="nil"/>
              <w:left w:val="nil"/>
              <w:bottom w:val="single" w:sz="4" w:space="0" w:color="auto"/>
              <w:right w:val="single" w:sz="4" w:space="0" w:color="auto"/>
            </w:tcBorders>
            <w:shd w:val="clear" w:color="auto" w:fill="C4EFCE"/>
            <w:vAlign w:val="center"/>
            <w:hideMark/>
          </w:tcPr>
          <w:p w14:paraId="6F3A1B05" w14:textId="77777777" w:rsidR="00DC5EC6" w:rsidRDefault="003245A4">
            <w:pPr>
              <w:pStyle w:val="P68B1DB1-Normal23"/>
              <w:spacing w:after="0"/>
              <w:jc w:val="center"/>
              <w:rPr>
                <w:rFonts w:eastAsia="Calibri" w:cs="Calibri"/>
                <w:noProof/>
              </w:rPr>
            </w:pPr>
            <w:r>
              <w:rPr>
                <w:noProof/>
              </w:rPr>
              <w:t>Re-C06-i03</w:t>
            </w:r>
          </w:p>
        </w:tc>
        <w:tc>
          <w:tcPr>
            <w:tcW w:w="1520" w:type="dxa"/>
            <w:tcBorders>
              <w:top w:val="nil"/>
              <w:left w:val="nil"/>
              <w:bottom w:val="single" w:sz="4" w:space="0" w:color="auto"/>
              <w:right w:val="single" w:sz="4" w:space="0" w:color="auto"/>
            </w:tcBorders>
            <w:shd w:val="clear" w:color="auto" w:fill="C4EFCE"/>
            <w:vAlign w:val="center"/>
            <w:hideMark/>
          </w:tcPr>
          <w:p w14:paraId="232B751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37F14F" w14:textId="77777777" w:rsidR="00DC5EC6" w:rsidRDefault="003245A4">
            <w:pPr>
              <w:pStyle w:val="P68B1DB1-Normal23"/>
              <w:spacing w:after="0"/>
              <w:jc w:val="both"/>
              <w:rPr>
                <w:rFonts w:eastAsia="Calibri" w:cs="Calibri"/>
                <w:noProof/>
              </w:rPr>
            </w:pPr>
            <w:r>
              <w:rPr>
                <w:noProof/>
              </w:rPr>
              <w:t>A felnőttek továbbképzését támogató intézkedések további résztvevői</w:t>
            </w:r>
          </w:p>
        </w:tc>
      </w:tr>
      <w:tr w:rsidR="00DC5EC6" w14:paraId="050A7C9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403F26F" w14:textId="77777777" w:rsidR="00DC5EC6" w:rsidRDefault="003245A4">
            <w:pPr>
              <w:pStyle w:val="P68B1DB1-Normal23"/>
              <w:spacing w:after="0"/>
              <w:jc w:val="center"/>
              <w:rPr>
                <w:rFonts w:eastAsia="Calibri" w:cs="Calibri"/>
                <w:noProof/>
              </w:rPr>
            </w:pPr>
            <w:r>
              <w:rPr>
                <w:noProof/>
              </w:rPr>
              <w:t>6.7</w:t>
            </w:r>
          </w:p>
        </w:tc>
        <w:tc>
          <w:tcPr>
            <w:tcW w:w="1760" w:type="dxa"/>
            <w:tcBorders>
              <w:top w:val="nil"/>
              <w:left w:val="nil"/>
              <w:bottom w:val="single" w:sz="4" w:space="0" w:color="auto"/>
              <w:right w:val="single" w:sz="4" w:space="0" w:color="auto"/>
            </w:tcBorders>
            <w:shd w:val="clear" w:color="auto" w:fill="C4EFCE"/>
            <w:vAlign w:val="center"/>
            <w:hideMark/>
          </w:tcPr>
          <w:p w14:paraId="46784F4F" w14:textId="77777777" w:rsidR="00DC5EC6" w:rsidRDefault="003245A4">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1087726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3B9D33" w14:textId="77777777" w:rsidR="00DC5EC6" w:rsidRDefault="003245A4">
            <w:pPr>
              <w:pStyle w:val="P68B1DB1-Normal23"/>
              <w:spacing w:after="0"/>
              <w:jc w:val="both"/>
              <w:rPr>
                <w:rFonts w:eastAsia="Calibri" w:cs="Calibri"/>
                <w:noProof/>
              </w:rPr>
            </w:pPr>
            <w:r>
              <w:rPr>
                <w:noProof/>
              </w:rPr>
              <w:t>További Ciência Viva klubok</w:t>
            </w:r>
          </w:p>
        </w:tc>
      </w:tr>
      <w:tr w:rsidR="00DC5EC6" w14:paraId="582916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5A0571" w14:textId="77777777" w:rsidR="00DC5EC6" w:rsidRDefault="003245A4">
            <w:pPr>
              <w:pStyle w:val="P68B1DB1-Normal23"/>
              <w:spacing w:after="0"/>
              <w:jc w:val="center"/>
              <w:rPr>
                <w:rFonts w:eastAsia="Calibri" w:cs="Calibri"/>
                <w:noProof/>
              </w:rPr>
            </w:pPr>
            <w:r>
              <w:rPr>
                <w:noProof/>
              </w:rPr>
              <w:t>6.9</w:t>
            </w:r>
          </w:p>
        </w:tc>
        <w:tc>
          <w:tcPr>
            <w:tcW w:w="1760" w:type="dxa"/>
            <w:tcBorders>
              <w:top w:val="nil"/>
              <w:left w:val="nil"/>
              <w:bottom w:val="single" w:sz="4" w:space="0" w:color="auto"/>
              <w:right w:val="single" w:sz="4" w:space="0" w:color="auto"/>
            </w:tcBorders>
            <w:shd w:val="clear" w:color="auto" w:fill="C4EFCE"/>
            <w:vAlign w:val="center"/>
            <w:hideMark/>
          </w:tcPr>
          <w:p w14:paraId="5E8FAB6C" w14:textId="77777777" w:rsidR="00DC5EC6" w:rsidRDefault="003245A4">
            <w:pPr>
              <w:pStyle w:val="P68B1DB1-Normal23"/>
              <w:spacing w:after="0"/>
              <w:jc w:val="center"/>
              <w:rPr>
                <w:rFonts w:eastAsia="Calibri" w:cs="Calibri"/>
                <w:noProof/>
              </w:rPr>
            </w:pPr>
            <w:r>
              <w:rPr>
                <w:noProof/>
              </w:rPr>
              <w:t>Re-C06-i04</w:t>
            </w:r>
          </w:p>
        </w:tc>
        <w:tc>
          <w:tcPr>
            <w:tcW w:w="1520" w:type="dxa"/>
            <w:tcBorders>
              <w:top w:val="nil"/>
              <w:left w:val="nil"/>
              <w:bottom w:val="single" w:sz="4" w:space="0" w:color="auto"/>
              <w:right w:val="single" w:sz="4" w:space="0" w:color="auto"/>
            </w:tcBorders>
            <w:shd w:val="clear" w:color="auto" w:fill="C4EFCE"/>
            <w:vAlign w:val="center"/>
            <w:hideMark/>
          </w:tcPr>
          <w:p w14:paraId="48B0335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AD5F2D" w14:textId="77777777" w:rsidR="00DC5EC6" w:rsidRDefault="003245A4">
            <w:pPr>
              <w:pStyle w:val="P68B1DB1-Normal23"/>
              <w:spacing w:after="0"/>
              <w:jc w:val="both"/>
              <w:rPr>
                <w:rFonts w:eastAsia="Calibri" w:cs="Calibri"/>
                <w:noProof/>
              </w:rPr>
            </w:pPr>
            <w:r>
              <w:rPr>
                <w:noProof/>
              </w:rPr>
              <w:t>A STEAM felsőoktatásban végzett hallgatók további száma</w:t>
            </w:r>
          </w:p>
        </w:tc>
      </w:tr>
      <w:tr w:rsidR="00DC5EC6" w14:paraId="3C70A66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4CDA63" w14:textId="77777777" w:rsidR="00DC5EC6" w:rsidRDefault="003245A4">
            <w:pPr>
              <w:pStyle w:val="P68B1DB1-Normal23"/>
              <w:spacing w:after="0"/>
              <w:jc w:val="center"/>
              <w:rPr>
                <w:rFonts w:eastAsia="Calibri" w:cs="Calibri"/>
                <w:noProof/>
              </w:rPr>
            </w:pPr>
            <w:r>
              <w:rPr>
                <w:noProof/>
              </w:rPr>
              <w:t>6.10</w:t>
            </w:r>
          </w:p>
        </w:tc>
        <w:tc>
          <w:tcPr>
            <w:tcW w:w="1760" w:type="dxa"/>
            <w:tcBorders>
              <w:top w:val="nil"/>
              <w:left w:val="nil"/>
              <w:bottom w:val="single" w:sz="4" w:space="0" w:color="auto"/>
              <w:right w:val="single" w:sz="4" w:space="0" w:color="auto"/>
            </w:tcBorders>
            <w:shd w:val="clear" w:color="auto" w:fill="C4EFCE"/>
            <w:vAlign w:val="center"/>
            <w:hideMark/>
          </w:tcPr>
          <w:p w14:paraId="0E62DC90" w14:textId="77777777" w:rsidR="00DC5EC6" w:rsidRDefault="003245A4">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01B4369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9DF944" w14:textId="77777777" w:rsidR="00DC5EC6" w:rsidRDefault="003245A4">
            <w:pPr>
              <w:pStyle w:val="P68B1DB1-Normal23"/>
              <w:spacing w:after="0"/>
              <w:jc w:val="both"/>
              <w:rPr>
                <w:rFonts w:eastAsia="Calibri" w:cs="Calibri"/>
                <w:noProof/>
              </w:rPr>
            </w:pPr>
            <w:r>
              <w:rPr>
                <w:noProof/>
              </w:rPr>
              <w:t>A felsőfokú és felsőfokú oktatásban részt vevő felnőttek további száma az Azori-szigetek autonóm régióban</w:t>
            </w:r>
          </w:p>
        </w:tc>
      </w:tr>
      <w:tr w:rsidR="00DC5EC6" w14:paraId="2B7ADEC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ADBD20" w14:textId="77777777" w:rsidR="00DC5EC6" w:rsidRDefault="003245A4">
            <w:pPr>
              <w:pStyle w:val="P68B1DB1-Normal23"/>
              <w:spacing w:after="0"/>
              <w:jc w:val="center"/>
              <w:rPr>
                <w:rFonts w:eastAsia="Calibri" w:cs="Calibri"/>
                <w:noProof/>
              </w:rPr>
            </w:pPr>
            <w:r>
              <w:rPr>
                <w:noProof/>
              </w:rPr>
              <w:t>6.11</w:t>
            </w:r>
          </w:p>
        </w:tc>
        <w:tc>
          <w:tcPr>
            <w:tcW w:w="1760" w:type="dxa"/>
            <w:tcBorders>
              <w:top w:val="nil"/>
              <w:left w:val="nil"/>
              <w:bottom w:val="single" w:sz="4" w:space="0" w:color="auto"/>
              <w:right w:val="single" w:sz="4" w:space="0" w:color="auto"/>
            </w:tcBorders>
            <w:shd w:val="clear" w:color="auto" w:fill="C4EFCE"/>
            <w:vAlign w:val="center"/>
            <w:hideMark/>
          </w:tcPr>
          <w:p w14:paraId="4C3D556F" w14:textId="77777777" w:rsidR="00DC5EC6" w:rsidRDefault="003245A4">
            <w:pPr>
              <w:pStyle w:val="P68B1DB1-Normal23"/>
              <w:spacing w:after="0"/>
              <w:jc w:val="center"/>
              <w:rPr>
                <w:rFonts w:eastAsia="Calibri" w:cs="Calibri"/>
                <w:noProof/>
              </w:rPr>
            </w:pPr>
            <w:r>
              <w:rPr>
                <w:noProof/>
              </w:rPr>
              <w:t>Re-C06-i05-RAA</w:t>
            </w:r>
          </w:p>
        </w:tc>
        <w:tc>
          <w:tcPr>
            <w:tcW w:w="1520" w:type="dxa"/>
            <w:tcBorders>
              <w:top w:val="nil"/>
              <w:left w:val="nil"/>
              <w:bottom w:val="single" w:sz="4" w:space="0" w:color="auto"/>
              <w:right w:val="single" w:sz="4" w:space="0" w:color="auto"/>
            </w:tcBorders>
            <w:shd w:val="clear" w:color="auto" w:fill="C4EFCE"/>
            <w:vAlign w:val="center"/>
            <w:hideMark/>
          </w:tcPr>
          <w:p w14:paraId="680350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2427B23" w14:textId="77777777" w:rsidR="00DC5EC6" w:rsidRDefault="003245A4">
            <w:pPr>
              <w:pStyle w:val="P68B1DB1-Normal23"/>
              <w:spacing w:after="0"/>
              <w:jc w:val="both"/>
              <w:rPr>
                <w:rFonts w:eastAsia="Calibri" w:cs="Calibri"/>
                <w:noProof/>
              </w:rPr>
            </w:pPr>
            <w:r>
              <w:rPr>
                <w:noProof/>
              </w:rPr>
              <w:t>Korszerűsített szakiskolák az Azori-szigetek autonóm régióban</w:t>
            </w:r>
          </w:p>
        </w:tc>
      </w:tr>
      <w:tr w:rsidR="00DC5EC6" w14:paraId="24EC007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7C2B" w14:textId="77777777" w:rsidR="00DC5EC6" w:rsidRDefault="003245A4">
            <w:pPr>
              <w:pStyle w:val="P68B1DB1-Normal23"/>
              <w:spacing w:after="0"/>
              <w:jc w:val="center"/>
              <w:rPr>
                <w:rFonts w:eastAsia="Calibri" w:cs="Calibri"/>
                <w:noProof/>
              </w:rPr>
            </w:pPr>
            <w:r>
              <w:rPr>
                <w:noProof/>
              </w:rPr>
              <w:t>6.12</w:t>
            </w:r>
          </w:p>
        </w:tc>
        <w:tc>
          <w:tcPr>
            <w:tcW w:w="1760" w:type="dxa"/>
            <w:tcBorders>
              <w:top w:val="nil"/>
              <w:left w:val="nil"/>
              <w:bottom w:val="single" w:sz="4" w:space="0" w:color="auto"/>
              <w:right w:val="single" w:sz="4" w:space="0" w:color="auto"/>
            </w:tcBorders>
            <w:shd w:val="clear" w:color="auto" w:fill="C4EFCE"/>
            <w:vAlign w:val="center"/>
            <w:hideMark/>
          </w:tcPr>
          <w:p w14:paraId="50C54B79" w14:textId="77777777" w:rsidR="00DC5EC6" w:rsidRDefault="003245A4">
            <w:pPr>
              <w:pStyle w:val="P68B1DB1-Normal23"/>
              <w:spacing w:after="0"/>
              <w:jc w:val="center"/>
              <w:rPr>
                <w:rFonts w:eastAsia="Calibri" w:cs="Calibri"/>
                <w:noProof/>
              </w:rPr>
            </w:pPr>
            <w:r>
              <w:rPr>
                <w:noProof/>
              </w:rPr>
              <w:t>Re-C06-r14</w:t>
            </w:r>
          </w:p>
        </w:tc>
        <w:tc>
          <w:tcPr>
            <w:tcW w:w="1520" w:type="dxa"/>
            <w:tcBorders>
              <w:top w:val="nil"/>
              <w:left w:val="nil"/>
              <w:bottom w:val="single" w:sz="4" w:space="0" w:color="auto"/>
              <w:right w:val="single" w:sz="4" w:space="0" w:color="auto"/>
            </w:tcBorders>
            <w:shd w:val="clear" w:color="auto" w:fill="C4EFCE"/>
            <w:vAlign w:val="center"/>
            <w:hideMark/>
          </w:tcPr>
          <w:p w14:paraId="3BED303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5602805" w14:textId="77777777" w:rsidR="00DC5EC6" w:rsidRDefault="003245A4">
            <w:pPr>
              <w:pStyle w:val="P68B1DB1-Normal23"/>
              <w:spacing w:after="0"/>
              <w:jc w:val="both"/>
              <w:rPr>
                <w:rFonts w:eastAsia="Calibri" w:cs="Calibri"/>
                <w:noProof/>
              </w:rPr>
            </w:pPr>
            <w:r>
              <w:rPr>
                <w:noProof/>
              </w:rPr>
              <w:t>A képzési állások megnyitása</w:t>
            </w:r>
          </w:p>
        </w:tc>
      </w:tr>
      <w:tr w:rsidR="00DC5EC6" w14:paraId="33E8B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A94FF" w14:textId="77777777" w:rsidR="00DC5EC6" w:rsidRDefault="003245A4">
            <w:pPr>
              <w:pStyle w:val="P68B1DB1-Normal23"/>
              <w:spacing w:after="0"/>
              <w:jc w:val="center"/>
              <w:rPr>
                <w:rFonts w:eastAsia="Calibri" w:cs="Calibri"/>
                <w:noProof/>
              </w:rPr>
            </w:pPr>
            <w:r>
              <w:rPr>
                <w:noProof/>
              </w:rPr>
              <w:t>7.3</w:t>
            </w:r>
          </w:p>
        </w:tc>
        <w:tc>
          <w:tcPr>
            <w:tcW w:w="1760" w:type="dxa"/>
            <w:tcBorders>
              <w:top w:val="nil"/>
              <w:left w:val="nil"/>
              <w:bottom w:val="single" w:sz="4" w:space="0" w:color="auto"/>
              <w:right w:val="single" w:sz="4" w:space="0" w:color="auto"/>
            </w:tcBorders>
            <w:shd w:val="clear" w:color="auto" w:fill="C4EFCE"/>
            <w:vAlign w:val="center"/>
            <w:hideMark/>
          </w:tcPr>
          <w:p w14:paraId="3892C438" w14:textId="77777777" w:rsidR="00DC5EC6" w:rsidRDefault="003245A4">
            <w:pPr>
              <w:pStyle w:val="P68B1DB1-Normal23"/>
              <w:spacing w:after="0"/>
              <w:jc w:val="center"/>
              <w:rPr>
                <w:rFonts w:eastAsia="Calibri" w:cs="Calibri"/>
                <w:noProof/>
              </w:rPr>
            </w:pPr>
            <w:r>
              <w:rPr>
                <w:noProof/>
              </w:rPr>
              <w:t>Vissza-C07-i00</w:t>
            </w:r>
          </w:p>
        </w:tc>
        <w:tc>
          <w:tcPr>
            <w:tcW w:w="1520" w:type="dxa"/>
            <w:tcBorders>
              <w:top w:val="nil"/>
              <w:left w:val="nil"/>
              <w:bottom w:val="single" w:sz="4" w:space="0" w:color="auto"/>
              <w:right w:val="single" w:sz="4" w:space="0" w:color="auto"/>
            </w:tcBorders>
            <w:shd w:val="clear" w:color="auto" w:fill="C4EFCE"/>
            <w:vAlign w:val="center"/>
            <w:hideMark/>
          </w:tcPr>
          <w:p w14:paraId="717E5A0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51B064" w14:textId="15C38C04" w:rsidR="00DC5EC6" w:rsidRDefault="003245A4">
            <w:pPr>
              <w:pStyle w:val="P68B1DB1-Normal23"/>
              <w:spacing w:after="0"/>
              <w:jc w:val="both"/>
              <w:rPr>
                <w:rFonts w:eastAsia="Calibri" w:cs="Calibri"/>
                <w:noProof/>
              </w:rPr>
            </w:pPr>
            <w:r>
              <w:rPr>
                <w:noProof/>
              </w:rPr>
              <w:t>Elektromos járművek nyilvánosan hozzáférhető töltőállomásai</w:t>
            </w:r>
          </w:p>
        </w:tc>
      </w:tr>
      <w:tr w:rsidR="00DC5EC6" w14:paraId="650DC7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9A4D3B" w14:textId="77777777" w:rsidR="00DC5EC6" w:rsidRDefault="003245A4">
            <w:pPr>
              <w:pStyle w:val="P68B1DB1-Normal23"/>
              <w:spacing w:after="0"/>
              <w:jc w:val="center"/>
              <w:rPr>
                <w:rFonts w:eastAsia="Calibri" w:cs="Calibri"/>
                <w:noProof/>
              </w:rPr>
            </w:pPr>
            <w:r>
              <w:rPr>
                <w:noProof/>
              </w:rPr>
              <w:t>7.5</w:t>
            </w:r>
          </w:p>
        </w:tc>
        <w:tc>
          <w:tcPr>
            <w:tcW w:w="1760" w:type="dxa"/>
            <w:tcBorders>
              <w:top w:val="nil"/>
              <w:left w:val="nil"/>
              <w:bottom w:val="single" w:sz="4" w:space="0" w:color="auto"/>
              <w:right w:val="single" w:sz="4" w:space="0" w:color="auto"/>
            </w:tcBorders>
            <w:shd w:val="clear" w:color="auto" w:fill="C4EFCE"/>
            <w:vAlign w:val="center"/>
            <w:hideMark/>
          </w:tcPr>
          <w:p w14:paraId="17918B41" w14:textId="77777777" w:rsidR="00DC5EC6" w:rsidRDefault="003245A4">
            <w:pPr>
              <w:pStyle w:val="P68B1DB1-Normal23"/>
              <w:spacing w:after="0"/>
              <w:jc w:val="center"/>
              <w:rPr>
                <w:rFonts w:eastAsia="Calibri" w:cs="Calibri"/>
                <w:noProof/>
              </w:rPr>
            </w:pPr>
            <w:r>
              <w:rPr>
                <w:noProof/>
              </w:rPr>
              <w:t>Re-C07-i01</w:t>
            </w:r>
          </w:p>
        </w:tc>
        <w:tc>
          <w:tcPr>
            <w:tcW w:w="1520" w:type="dxa"/>
            <w:tcBorders>
              <w:top w:val="nil"/>
              <w:left w:val="nil"/>
              <w:bottom w:val="single" w:sz="4" w:space="0" w:color="auto"/>
              <w:right w:val="single" w:sz="4" w:space="0" w:color="auto"/>
            </w:tcBorders>
            <w:shd w:val="clear" w:color="auto" w:fill="C4EFCE"/>
            <w:vAlign w:val="center"/>
            <w:hideMark/>
          </w:tcPr>
          <w:p w14:paraId="459806A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443B899" w14:textId="77777777" w:rsidR="00DC5EC6" w:rsidRDefault="003245A4">
            <w:pPr>
              <w:pStyle w:val="P68B1DB1-Normal23"/>
              <w:spacing w:after="0"/>
              <w:jc w:val="both"/>
              <w:rPr>
                <w:rFonts w:eastAsia="Calibri" w:cs="Calibri"/>
                <w:noProof/>
              </w:rPr>
            </w:pPr>
            <w:r>
              <w:rPr>
                <w:noProof/>
              </w:rPr>
              <w:t>A beavatkozások lezárása a kiválasztott üzleti fogadási területeken</w:t>
            </w:r>
          </w:p>
        </w:tc>
      </w:tr>
      <w:tr w:rsidR="00DC5EC6" w14:paraId="6CD2520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A01F62" w14:textId="77777777" w:rsidR="00DC5EC6" w:rsidRDefault="003245A4">
            <w:pPr>
              <w:pStyle w:val="P68B1DB1-Normal23"/>
              <w:spacing w:after="0"/>
              <w:jc w:val="center"/>
              <w:rPr>
                <w:rFonts w:eastAsia="Calibri" w:cs="Calibri"/>
                <w:noProof/>
              </w:rPr>
            </w:pPr>
            <w:r>
              <w:rPr>
                <w:noProof/>
              </w:rPr>
              <w:t>7.8</w:t>
            </w:r>
          </w:p>
        </w:tc>
        <w:tc>
          <w:tcPr>
            <w:tcW w:w="1760" w:type="dxa"/>
            <w:tcBorders>
              <w:top w:val="nil"/>
              <w:left w:val="nil"/>
              <w:bottom w:val="single" w:sz="4" w:space="0" w:color="auto"/>
              <w:right w:val="single" w:sz="4" w:space="0" w:color="auto"/>
            </w:tcBorders>
            <w:shd w:val="clear" w:color="auto" w:fill="C4EFCE"/>
            <w:vAlign w:val="center"/>
            <w:hideMark/>
          </w:tcPr>
          <w:p w14:paraId="05E0D85C" w14:textId="77777777" w:rsidR="00DC5EC6" w:rsidRDefault="003245A4">
            <w:pPr>
              <w:pStyle w:val="P68B1DB1-Normal23"/>
              <w:spacing w:after="0"/>
              <w:jc w:val="center"/>
              <w:rPr>
                <w:rFonts w:eastAsia="Calibri" w:cs="Calibri"/>
                <w:noProof/>
              </w:rPr>
            </w:pPr>
            <w:r>
              <w:rPr>
                <w:noProof/>
              </w:rPr>
              <w:t>Re-C07-i02</w:t>
            </w:r>
          </w:p>
        </w:tc>
        <w:tc>
          <w:tcPr>
            <w:tcW w:w="1520" w:type="dxa"/>
            <w:tcBorders>
              <w:top w:val="nil"/>
              <w:left w:val="nil"/>
              <w:bottom w:val="single" w:sz="4" w:space="0" w:color="auto"/>
              <w:right w:val="single" w:sz="4" w:space="0" w:color="auto"/>
            </w:tcBorders>
            <w:shd w:val="clear" w:color="auto" w:fill="C4EFCE"/>
            <w:vAlign w:val="center"/>
            <w:hideMark/>
          </w:tcPr>
          <w:p w14:paraId="1DD8E82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4F4337"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377F20C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BA2719F" w14:textId="77777777" w:rsidR="00DC5EC6" w:rsidRDefault="003245A4">
            <w:pPr>
              <w:pStyle w:val="P68B1DB1-Normal23"/>
              <w:spacing w:after="0"/>
              <w:jc w:val="center"/>
              <w:rPr>
                <w:rFonts w:eastAsia="Calibri" w:cs="Calibri"/>
                <w:noProof/>
              </w:rPr>
            </w:pPr>
            <w:r>
              <w:rPr>
                <w:noProof/>
              </w:rPr>
              <w:t>8.1</w:t>
            </w:r>
          </w:p>
        </w:tc>
        <w:tc>
          <w:tcPr>
            <w:tcW w:w="1760" w:type="dxa"/>
            <w:tcBorders>
              <w:top w:val="nil"/>
              <w:left w:val="nil"/>
              <w:bottom w:val="single" w:sz="4" w:space="0" w:color="auto"/>
              <w:right w:val="single" w:sz="4" w:space="0" w:color="auto"/>
            </w:tcBorders>
            <w:shd w:val="clear" w:color="auto" w:fill="C4EFCE"/>
            <w:vAlign w:val="center"/>
            <w:hideMark/>
          </w:tcPr>
          <w:p w14:paraId="01EDC3E5"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vAlign w:val="center"/>
            <w:hideMark/>
          </w:tcPr>
          <w:p w14:paraId="1980E79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1410C3D" w14:textId="77777777" w:rsidR="00DC5EC6" w:rsidRDefault="003245A4">
            <w:pPr>
              <w:pStyle w:val="P68B1DB1-Normal23"/>
              <w:spacing w:after="0"/>
              <w:jc w:val="both"/>
              <w:rPr>
                <w:rFonts w:eastAsia="Calibri" w:cs="Calibri"/>
                <w:noProof/>
              </w:rPr>
            </w:pPr>
            <w:r>
              <w:rPr>
                <w:noProof/>
              </w:rPr>
              <w:t>Tájtervezési és -gazdálkodási programok (PRGP) kidolgozása a veszélyeztetettként meghatározott területeken.</w:t>
            </w:r>
          </w:p>
        </w:tc>
      </w:tr>
      <w:tr w:rsidR="00DC5EC6" w14:paraId="57C969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18667B" w14:textId="77777777" w:rsidR="00DC5EC6" w:rsidRDefault="003245A4">
            <w:pPr>
              <w:pStyle w:val="P68B1DB1-Normal23"/>
              <w:spacing w:after="0"/>
              <w:jc w:val="center"/>
              <w:rPr>
                <w:rFonts w:eastAsia="Calibri" w:cs="Calibri"/>
                <w:noProof/>
              </w:rPr>
            </w:pPr>
            <w:r>
              <w:rPr>
                <w:noProof/>
              </w:rPr>
              <w:t>8.2</w:t>
            </w:r>
          </w:p>
        </w:tc>
        <w:tc>
          <w:tcPr>
            <w:tcW w:w="1760" w:type="dxa"/>
            <w:tcBorders>
              <w:top w:val="nil"/>
              <w:left w:val="nil"/>
              <w:bottom w:val="single" w:sz="4" w:space="0" w:color="auto"/>
              <w:right w:val="single" w:sz="4" w:space="0" w:color="auto"/>
            </w:tcBorders>
            <w:shd w:val="clear" w:color="auto" w:fill="C4EFCE"/>
            <w:vAlign w:val="center"/>
            <w:hideMark/>
          </w:tcPr>
          <w:p w14:paraId="7A203DDE"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noWrap/>
            <w:vAlign w:val="center"/>
            <w:hideMark/>
          </w:tcPr>
          <w:p w14:paraId="41F26EE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noWrap/>
            <w:vAlign w:val="center"/>
            <w:hideMark/>
          </w:tcPr>
          <w:p w14:paraId="0C955423" w14:textId="77777777" w:rsidR="00DC5EC6" w:rsidRDefault="003245A4">
            <w:pPr>
              <w:pStyle w:val="P68B1DB1-Normal23"/>
              <w:spacing w:after="0"/>
              <w:jc w:val="both"/>
              <w:rPr>
                <w:rFonts w:eastAsia="Calibri" w:cs="Calibri"/>
                <w:noProof/>
              </w:rPr>
            </w:pPr>
            <w:r>
              <w:rPr>
                <w:noProof/>
              </w:rPr>
              <w:t xml:space="preserve"> Az integrált tájvédelmi műveletek közzététele a Diário da Republicában</w:t>
            </w:r>
          </w:p>
        </w:tc>
      </w:tr>
      <w:tr w:rsidR="00DC5EC6" w14:paraId="7FAC8B4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DC7D96" w14:textId="77777777" w:rsidR="00DC5EC6" w:rsidRDefault="003245A4">
            <w:pPr>
              <w:pStyle w:val="P68B1DB1-Normal23"/>
              <w:spacing w:after="0"/>
              <w:jc w:val="center"/>
              <w:rPr>
                <w:rFonts w:eastAsia="Calibri" w:cs="Calibri"/>
                <w:noProof/>
              </w:rPr>
            </w:pPr>
            <w:r>
              <w:rPr>
                <w:noProof/>
              </w:rPr>
              <w:t>8.3</w:t>
            </w:r>
          </w:p>
        </w:tc>
        <w:tc>
          <w:tcPr>
            <w:tcW w:w="1760" w:type="dxa"/>
            <w:tcBorders>
              <w:top w:val="nil"/>
              <w:left w:val="nil"/>
              <w:bottom w:val="single" w:sz="4" w:space="0" w:color="auto"/>
              <w:right w:val="single" w:sz="4" w:space="0" w:color="auto"/>
            </w:tcBorders>
            <w:shd w:val="clear" w:color="auto" w:fill="C4EFCE"/>
            <w:vAlign w:val="center"/>
            <w:hideMark/>
          </w:tcPr>
          <w:p w14:paraId="79CACB0A"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vAlign w:val="center"/>
            <w:hideMark/>
          </w:tcPr>
          <w:p w14:paraId="73DC3FE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38BA7AD" w14:textId="77777777" w:rsidR="00DC5EC6" w:rsidRDefault="003245A4">
            <w:pPr>
              <w:pStyle w:val="P68B1DB1-Normal23"/>
              <w:spacing w:after="0"/>
              <w:jc w:val="both"/>
              <w:rPr>
                <w:rFonts w:eastAsia="Calibri" w:cs="Calibri"/>
                <w:noProof/>
              </w:rPr>
            </w:pPr>
            <w:r>
              <w:rPr>
                <w:noProof/>
              </w:rPr>
              <w:t>Üzemanyag-gazdálkodási projektekkel rendelkező falvak</w:t>
            </w:r>
          </w:p>
        </w:tc>
      </w:tr>
      <w:tr w:rsidR="00DC5EC6" w14:paraId="61C196A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9695262" w14:textId="77777777" w:rsidR="00DC5EC6" w:rsidRDefault="003245A4">
            <w:pPr>
              <w:pStyle w:val="P68B1DB1-Normal23"/>
              <w:spacing w:after="0"/>
              <w:jc w:val="center"/>
              <w:rPr>
                <w:rFonts w:eastAsia="Calibri" w:cs="Calibri"/>
                <w:noProof/>
              </w:rPr>
            </w:pPr>
            <w:r>
              <w:rPr>
                <w:noProof/>
              </w:rPr>
              <w:t>8.8</w:t>
            </w:r>
          </w:p>
        </w:tc>
        <w:tc>
          <w:tcPr>
            <w:tcW w:w="1760" w:type="dxa"/>
            <w:tcBorders>
              <w:top w:val="nil"/>
              <w:left w:val="nil"/>
              <w:bottom w:val="single" w:sz="4" w:space="0" w:color="auto"/>
              <w:right w:val="single" w:sz="4" w:space="0" w:color="auto"/>
            </w:tcBorders>
            <w:shd w:val="clear" w:color="auto" w:fill="C4EFCE"/>
            <w:vAlign w:val="center"/>
            <w:hideMark/>
          </w:tcPr>
          <w:p w14:paraId="788A36AA" w14:textId="77777777" w:rsidR="00DC5EC6" w:rsidRDefault="003245A4">
            <w:pPr>
              <w:pStyle w:val="P68B1DB1-Normal23"/>
              <w:spacing w:after="0"/>
              <w:jc w:val="center"/>
              <w:rPr>
                <w:rFonts w:eastAsia="Calibri" w:cs="Calibri"/>
                <w:noProof/>
              </w:rPr>
            </w:pPr>
            <w:r>
              <w:rPr>
                <w:noProof/>
              </w:rPr>
              <w:t>Újra-C08-i03</w:t>
            </w:r>
          </w:p>
        </w:tc>
        <w:tc>
          <w:tcPr>
            <w:tcW w:w="1520" w:type="dxa"/>
            <w:tcBorders>
              <w:top w:val="nil"/>
              <w:left w:val="nil"/>
              <w:bottom w:val="single" w:sz="4" w:space="0" w:color="auto"/>
              <w:right w:val="single" w:sz="4" w:space="0" w:color="auto"/>
            </w:tcBorders>
            <w:shd w:val="clear" w:color="auto" w:fill="C4EFCE"/>
            <w:vAlign w:val="center"/>
            <w:hideMark/>
          </w:tcPr>
          <w:p w14:paraId="6960196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BAA7BC" w14:textId="77777777" w:rsidR="00DC5EC6" w:rsidRDefault="003245A4">
            <w:pPr>
              <w:pStyle w:val="P68B1DB1-Normal23"/>
              <w:spacing w:after="0"/>
              <w:jc w:val="both"/>
              <w:rPr>
                <w:rFonts w:eastAsia="Calibri" w:cs="Calibri"/>
                <w:noProof/>
              </w:rPr>
            </w:pPr>
            <w:r>
              <w:rPr>
                <w:noProof/>
              </w:rPr>
              <w:t>Meghatározott szolgalmi terület</w:t>
            </w:r>
          </w:p>
        </w:tc>
      </w:tr>
      <w:tr w:rsidR="00DC5EC6" w14:paraId="0F8A647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BEAB0A" w14:textId="77777777" w:rsidR="00DC5EC6" w:rsidRDefault="003245A4">
            <w:pPr>
              <w:pStyle w:val="P68B1DB1-Normal23"/>
              <w:spacing w:after="0"/>
              <w:jc w:val="center"/>
              <w:rPr>
                <w:rFonts w:eastAsia="Calibri" w:cs="Calibri"/>
                <w:noProof/>
              </w:rPr>
            </w:pPr>
            <w:r>
              <w:rPr>
                <w:noProof/>
              </w:rPr>
              <w:t>8.9</w:t>
            </w:r>
          </w:p>
        </w:tc>
        <w:tc>
          <w:tcPr>
            <w:tcW w:w="1760" w:type="dxa"/>
            <w:tcBorders>
              <w:top w:val="nil"/>
              <w:left w:val="nil"/>
              <w:bottom w:val="single" w:sz="4" w:space="0" w:color="auto"/>
              <w:right w:val="single" w:sz="4" w:space="0" w:color="auto"/>
            </w:tcBorders>
            <w:shd w:val="clear" w:color="auto" w:fill="C4EFCE"/>
            <w:vAlign w:val="center"/>
            <w:hideMark/>
          </w:tcPr>
          <w:p w14:paraId="5FB474F3" w14:textId="77777777" w:rsidR="00DC5EC6" w:rsidRDefault="003245A4">
            <w:pPr>
              <w:pStyle w:val="P68B1DB1-Normal23"/>
              <w:spacing w:after="0"/>
              <w:jc w:val="center"/>
              <w:rPr>
                <w:rFonts w:eastAsia="Calibri" w:cs="Calibri"/>
                <w:noProof/>
              </w:rPr>
            </w:pPr>
            <w:r>
              <w:rPr>
                <w:noProof/>
              </w:rPr>
              <w:t>Újra-C08-i03</w:t>
            </w:r>
          </w:p>
        </w:tc>
        <w:tc>
          <w:tcPr>
            <w:tcW w:w="1520" w:type="dxa"/>
            <w:tcBorders>
              <w:top w:val="nil"/>
              <w:left w:val="nil"/>
              <w:bottom w:val="single" w:sz="4" w:space="0" w:color="auto"/>
              <w:right w:val="single" w:sz="4" w:space="0" w:color="auto"/>
            </w:tcBorders>
            <w:shd w:val="clear" w:color="auto" w:fill="C4EFCE"/>
            <w:vAlign w:val="center"/>
            <w:hideMark/>
          </w:tcPr>
          <w:p w14:paraId="28F771B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7D20804" w14:textId="77777777" w:rsidR="00DC5EC6" w:rsidRDefault="003245A4">
            <w:pPr>
              <w:pStyle w:val="P68B1DB1-Normal23"/>
              <w:spacing w:after="0"/>
              <w:jc w:val="both"/>
              <w:rPr>
                <w:rFonts w:eastAsia="Calibri" w:cs="Calibri"/>
                <w:noProof/>
              </w:rPr>
            </w:pPr>
            <w:r>
              <w:rPr>
                <w:noProof/>
              </w:rPr>
              <w:t>Az elsődleges tüzelőanyag-gazdálkodási hiányosságok stratégiai hálózatának (RPFGC) megvalósítása</w:t>
            </w:r>
          </w:p>
        </w:tc>
      </w:tr>
      <w:tr w:rsidR="00DC5EC6" w14:paraId="7433700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3BCE24" w14:textId="77777777" w:rsidR="00DC5EC6" w:rsidRDefault="003245A4">
            <w:pPr>
              <w:pStyle w:val="P68B1DB1-Normal23"/>
              <w:spacing w:after="0"/>
              <w:jc w:val="center"/>
              <w:rPr>
                <w:rFonts w:eastAsia="Calibri" w:cs="Calibri"/>
                <w:noProof/>
              </w:rPr>
            </w:pPr>
            <w:r>
              <w:rPr>
                <w:noProof/>
              </w:rPr>
              <w:t>8.11</w:t>
            </w:r>
          </w:p>
        </w:tc>
        <w:tc>
          <w:tcPr>
            <w:tcW w:w="1760" w:type="dxa"/>
            <w:tcBorders>
              <w:top w:val="nil"/>
              <w:left w:val="nil"/>
              <w:bottom w:val="single" w:sz="4" w:space="0" w:color="auto"/>
              <w:right w:val="single" w:sz="4" w:space="0" w:color="auto"/>
            </w:tcBorders>
            <w:shd w:val="clear" w:color="auto" w:fill="C4EFCE"/>
            <w:vAlign w:val="center"/>
            <w:hideMark/>
          </w:tcPr>
          <w:p w14:paraId="5060106C" w14:textId="77777777" w:rsidR="00DC5EC6" w:rsidRDefault="003245A4">
            <w:pPr>
              <w:pStyle w:val="P68B1DB1-Normal23"/>
              <w:spacing w:after="0"/>
              <w:jc w:val="center"/>
              <w:rPr>
                <w:rFonts w:eastAsia="Calibri" w:cs="Calibri"/>
                <w:noProof/>
              </w:rPr>
            </w:pPr>
            <w:r>
              <w:rPr>
                <w:noProof/>
              </w:rPr>
              <w:t>Újra-C08–i04</w:t>
            </w:r>
          </w:p>
        </w:tc>
        <w:tc>
          <w:tcPr>
            <w:tcW w:w="1520" w:type="dxa"/>
            <w:tcBorders>
              <w:top w:val="nil"/>
              <w:left w:val="nil"/>
              <w:bottom w:val="single" w:sz="4" w:space="0" w:color="auto"/>
              <w:right w:val="single" w:sz="4" w:space="0" w:color="auto"/>
            </w:tcBorders>
            <w:shd w:val="clear" w:color="auto" w:fill="C4EFCE"/>
            <w:vAlign w:val="center"/>
            <w:hideMark/>
          </w:tcPr>
          <w:p w14:paraId="1062D4C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8AA6F2" w14:textId="77777777" w:rsidR="00DC5EC6" w:rsidRDefault="003245A4">
            <w:pPr>
              <w:pStyle w:val="P68B1DB1-Normal23"/>
              <w:spacing w:after="0"/>
              <w:jc w:val="both"/>
              <w:rPr>
                <w:rFonts w:eastAsia="Calibri" w:cs="Calibri"/>
                <w:noProof/>
              </w:rPr>
            </w:pPr>
            <w:r>
              <w:rPr>
                <w:noProof/>
              </w:rPr>
              <w:t>Könnyű és közepes tűzoltó helikopterek szállítása</w:t>
            </w:r>
          </w:p>
        </w:tc>
      </w:tr>
      <w:tr w:rsidR="00DC5EC6" w14:paraId="029E127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45D7569" w14:textId="77777777" w:rsidR="00DC5EC6" w:rsidRDefault="003245A4">
            <w:pPr>
              <w:pStyle w:val="P68B1DB1-Normal23"/>
              <w:spacing w:after="0"/>
              <w:jc w:val="center"/>
              <w:rPr>
                <w:rFonts w:eastAsia="Calibri" w:cs="Calibri"/>
                <w:noProof/>
              </w:rPr>
            </w:pPr>
            <w:r>
              <w:rPr>
                <w:noProof/>
              </w:rPr>
              <w:t>8.16</w:t>
            </w:r>
          </w:p>
        </w:tc>
        <w:tc>
          <w:tcPr>
            <w:tcW w:w="1760" w:type="dxa"/>
            <w:tcBorders>
              <w:top w:val="nil"/>
              <w:left w:val="nil"/>
              <w:bottom w:val="single" w:sz="4" w:space="0" w:color="auto"/>
              <w:right w:val="single" w:sz="4" w:space="0" w:color="auto"/>
            </w:tcBorders>
            <w:shd w:val="clear" w:color="auto" w:fill="C4EFCE"/>
            <w:vAlign w:val="center"/>
            <w:hideMark/>
          </w:tcPr>
          <w:p w14:paraId="406E3841" w14:textId="77777777" w:rsidR="00DC5EC6" w:rsidRDefault="003245A4">
            <w:pPr>
              <w:pStyle w:val="P68B1DB1-Normal23"/>
              <w:spacing w:after="0"/>
              <w:jc w:val="center"/>
              <w:rPr>
                <w:rFonts w:eastAsia="Calibri" w:cs="Calibri"/>
                <w:noProof/>
              </w:rPr>
            </w:pPr>
            <w:r>
              <w:rPr>
                <w:noProof/>
              </w:rPr>
              <w:t>Újra-C08-i05</w:t>
            </w:r>
          </w:p>
        </w:tc>
        <w:tc>
          <w:tcPr>
            <w:tcW w:w="1520" w:type="dxa"/>
            <w:tcBorders>
              <w:top w:val="nil"/>
              <w:left w:val="nil"/>
              <w:bottom w:val="single" w:sz="4" w:space="0" w:color="auto"/>
              <w:right w:val="single" w:sz="4" w:space="0" w:color="auto"/>
            </w:tcBorders>
            <w:shd w:val="clear" w:color="auto" w:fill="C4EFCE"/>
            <w:vAlign w:val="center"/>
            <w:hideMark/>
          </w:tcPr>
          <w:p w14:paraId="5F70D9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632C10" w14:textId="77777777" w:rsidR="00DC5EC6" w:rsidRDefault="003245A4">
            <w:pPr>
              <w:pStyle w:val="P68B1DB1-Normal23"/>
              <w:spacing w:after="0"/>
              <w:jc w:val="both"/>
              <w:rPr>
                <w:rFonts w:eastAsia="Calibri" w:cs="Calibri"/>
                <w:noProof/>
              </w:rPr>
            </w:pPr>
            <w:r>
              <w:rPr>
                <w:noProof/>
              </w:rPr>
              <w:t>Nemzeti képzési program végrehajtása</w:t>
            </w:r>
          </w:p>
        </w:tc>
      </w:tr>
      <w:tr w:rsidR="00DC5EC6" w14:paraId="151E9F4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364E79" w14:textId="77777777" w:rsidR="00DC5EC6" w:rsidRDefault="003245A4">
            <w:pPr>
              <w:pStyle w:val="P68B1DB1-Normal23"/>
              <w:spacing w:after="0"/>
              <w:jc w:val="center"/>
              <w:rPr>
                <w:rFonts w:eastAsia="Calibri" w:cs="Calibri"/>
                <w:noProof/>
              </w:rPr>
            </w:pPr>
            <w:r>
              <w:rPr>
                <w:noProof/>
              </w:rPr>
              <w:t>8.20</w:t>
            </w:r>
          </w:p>
        </w:tc>
        <w:tc>
          <w:tcPr>
            <w:tcW w:w="1760" w:type="dxa"/>
            <w:tcBorders>
              <w:top w:val="nil"/>
              <w:left w:val="nil"/>
              <w:bottom w:val="single" w:sz="4" w:space="0" w:color="auto"/>
              <w:right w:val="single" w:sz="4" w:space="0" w:color="auto"/>
            </w:tcBorders>
            <w:shd w:val="clear" w:color="auto" w:fill="C4EFCE"/>
            <w:vAlign w:val="center"/>
            <w:hideMark/>
          </w:tcPr>
          <w:p w14:paraId="0F6D2E23" w14:textId="77777777" w:rsidR="00DC5EC6" w:rsidRDefault="003245A4">
            <w:pPr>
              <w:pStyle w:val="P68B1DB1-Normal23"/>
              <w:spacing w:after="0"/>
              <w:jc w:val="center"/>
              <w:rPr>
                <w:rFonts w:eastAsia="Calibri" w:cs="Calibri"/>
                <w:noProof/>
              </w:rPr>
            </w:pPr>
            <w:r>
              <w:rPr>
                <w:noProof/>
              </w:rPr>
              <w:t>Újra-C08-i01</w:t>
            </w:r>
          </w:p>
        </w:tc>
        <w:tc>
          <w:tcPr>
            <w:tcW w:w="1520" w:type="dxa"/>
            <w:tcBorders>
              <w:top w:val="nil"/>
              <w:left w:val="nil"/>
              <w:bottom w:val="single" w:sz="4" w:space="0" w:color="auto"/>
              <w:right w:val="single" w:sz="4" w:space="0" w:color="auto"/>
            </w:tcBorders>
            <w:shd w:val="clear" w:color="auto" w:fill="C4EFCE"/>
            <w:vAlign w:val="center"/>
            <w:hideMark/>
          </w:tcPr>
          <w:p w14:paraId="6A8FA55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C69A6A" w14:textId="77777777" w:rsidR="00DC5EC6" w:rsidRDefault="003245A4">
            <w:pPr>
              <w:pStyle w:val="P68B1DB1-Normal23"/>
              <w:spacing w:after="0"/>
              <w:jc w:val="both"/>
              <w:rPr>
                <w:rFonts w:eastAsia="Calibri" w:cs="Calibri"/>
                <w:noProof/>
              </w:rPr>
            </w:pPr>
            <w:r>
              <w:rPr>
                <w:noProof/>
              </w:rPr>
              <w:t>A birtokrendezési intézkedések végrehajtása – „Emparcelar para Ordenar” program</w:t>
            </w:r>
          </w:p>
        </w:tc>
      </w:tr>
      <w:tr w:rsidR="00DC5EC6" w14:paraId="3400313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197FF" w14:textId="77777777" w:rsidR="00DC5EC6" w:rsidRDefault="003245A4">
            <w:pPr>
              <w:pStyle w:val="P68B1DB1-Normal23"/>
              <w:spacing w:after="0"/>
              <w:jc w:val="center"/>
              <w:rPr>
                <w:rFonts w:eastAsia="Calibri" w:cs="Calibri"/>
                <w:noProof/>
              </w:rPr>
            </w:pPr>
            <w:r>
              <w:rPr>
                <w:noProof/>
              </w:rPr>
              <w:t>9.13</w:t>
            </w:r>
          </w:p>
        </w:tc>
        <w:tc>
          <w:tcPr>
            <w:tcW w:w="1760" w:type="dxa"/>
            <w:tcBorders>
              <w:top w:val="nil"/>
              <w:left w:val="nil"/>
              <w:bottom w:val="single" w:sz="4" w:space="0" w:color="auto"/>
              <w:right w:val="single" w:sz="4" w:space="0" w:color="auto"/>
            </w:tcBorders>
            <w:shd w:val="clear" w:color="auto" w:fill="C4EFCE"/>
            <w:vAlign w:val="center"/>
            <w:hideMark/>
          </w:tcPr>
          <w:p w14:paraId="4DC101BB" w14:textId="77777777" w:rsidR="00DC5EC6" w:rsidRDefault="003245A4">
            <w:pPr>
              <w:pStyle w:val="P68B1DB1-Normal23"/>
              <w:spacing w:after="0"/>
              <w:jc w:val="center"/>
              <w:rPr>
                <w:rFonts w:eastAsia="Calibri" w:cs="Calibri"/>
                <w:noProof/>
              </w:rPr>
            </w:pPr>
            <w:r>
              <w:rPr>
                <w:noProof/>
              </w:rPr>
              <w:t>Re-C09-i03-RAM</w:t>
            </w:r>
          </w:p>
        </w:tc>
        <w:tc>
          <w:tcPr>
            <w:tcW w:w="1520" w:type="dxa"/>
            <w:tcBorders>
              <w:top w:val="nil"/>
              <w:left w:val="nil"/>
              <w:bottom w:val="single" w:sz="4" w:space="0" w:color="auto"/>
              <w:right w:val="single" w:sz="4" w:space="0" w:color="auto"/>
            </w:tcBorders>
            <w:shd w:val="clear" w:color="auto" w:fill="C4EFCE"/>
            <w:vAlign w:val="center"/>
            <w:hideMark/>
          </w:tcPr>
          <w:p w14:paraId="006C329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DD5B30" w14:textId="77777777" w:rsidR="00DC5EC6" w:rsidRDefault="003245A4">
            <w:pPr>
              <w:pStyle w:val="P68B1DB1-Normal23"/>
              <w:spacing w:after="0"/>
              <w:jc w:val="both"/>
              <w:rPr>
                <w:rFonts w:eastAsia="Calibri" w:cs="Calibri"/>
                <w:noProof/>
              </w:rPr>
            </w:pPr>
            <w:r>
              <w:rPr>
                <w:noProof/>
              </w:rPr>
              <w:t>A Madeira sziget déli részén közellátásra és öntözésre rendelkezésre bocsátott további vízmennyiség</w:t>
            </w:r>
          </w:p>
        </w:tc>
      </w:tr>
      <w:tr w:rsidR="00DC5EC6" w14:paraId="785F1D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66C8B5C" w14:textId="77777777" w:rsidR="00DC5EC6" w:rsidRDefault="003245A4">
            <w:pPr>
              <w:pStyle w:val="P68B1DB1-Normal23"/>
              <w:spacing w:after="0"/>
              <w:jc w:val="center"/>
              <w:rPr>
                <w:rFonts w:eastAsia="Calibri" w:cs="Calibri"/>
                <w:noProof/>
              </w:rPr>
            </w:pPr>
            <w:r>
              <w:rPr>
                <w:noProof/>
              </w:rPr>
              <w:t>10.2</w:t>
            </w:r>
          </w:p>
        </w:tc>
        <w:tc>
          <w:tcPr>
            <w:tcW w:w="1760" w:type="dxa"/>
            <w:tcBorders>
              <w:top w:val="nil"/>
              <w:left w:val="nil"/>
              <w:bottom w:val="single" w:sz="4" w:space="0" w:color="auto"/>
              <w:right w:val="single" w:sz="4" w:space="0" w:color="auto"/>
            </w:tcBorders>
            <w:shd w:val="clear" w:color="auto" w:fill="C4EFCE"/>
            <w:vAlign w:val="center"/>
            <w:hideMark/>
          </w:tcPr>
          <w:p w14:paraId="0D2AF861" w14:textId="77777777" w:rsidR="00DC5EC6" w:rsidRDefault="003245A4">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44875E4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39B19A" w14:textId="77777777" w:rsidR="00DC5EC6" w:rsidRDefault="003245A4">
            <w:pPr>
              <w:pStyle w:val="P68B1DB1-Normal23"/>
              <w:spacing w:after="0"/>
              <w:jc w:val="both"/>
              <w:rPr>
                <w:rFonts w:eastAsia="Calibri" w:cs="Calibri"/>
                <w:noProof/>
              </w:rPr>
            </w:pPr>
            <w:r>
              <w:rPr>
                <w:noProof/>
              </w:rPr>
              <w:t>A Blue Hub School modernizálásának befejezése, valamint az ellátás és a felszerelések megerősítése</w:t>
            </w:r>
          </w:p>
        </w:tc>
      </w:tr>
      <w:tr w:rsidR="00DC5EC6" w14:paraId="5CCE596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FDF520" w14:textId="77777777" w:rsidR="00DC5EC6" w:rsidRDefault="003245A4">
            <w:pPr>
              <w:pStyle w:val="P68B1DB1-Normal23"/>
              <w:spacing w:after="0"/>
              <w:jc w:val="center"/>
              <w:rPr>
                <w:rFonts w:eastAsia="Calibri" w:cs="Calibri"/>
                <w:noProof/>
              </w:rPr>
            </w:pPr>
            <w:r>
              <w:rPr>
                <w:noProof/>
              </w:rPr>
              <w:t>10.3</w:t>
            </w:r>
          </w:p>
        </w:tc>
        <w:tc>
          <w:tcPr>
            <w:tcW w:w="1760" w:type="dxa"/>
            <w:tcBorders>
              <w:top w:val="nil"/>
              <w:left w:val="nil"/>
              <w:bottom w:val="single" w:sz="4" w:space="0" w:color="auto"/>
              <w:right w:val="single" w:sz="4" w:space="0" w:color="auto"/>
            </w:tcBorders>
            <w:shd w:val="clear" w:color="auto" w:fill="C4EFCE"/>
            <w:vAlign w:val="center"/>
            <w:hideMark/>
          </w:tcPr>
          <w:p w14:paraId="70B1C854" w14:textId="77777777" w:rsidR="00DC5EC6" w:rsidRDefault="003245A4">
            <w:pPr>
              <w:pStyle w:val="P68B1DB1-Normal23"/>
              <w:spacing w:after="0"/>
              <w:jc w:val="center"/>
              <w:rPr>
                <w:rFonts w:eastAsia="Calibri" w:cs="Calibri"/>
                <w:noProof/>
              </w:rPr>
            </w:pPr>
            <w:r>
              <w:rPr>
                <w:noProof/>
              </w:rPr>
              <w:t>TC-C10-i01</w:t>
            </w:r>
          </w:p>
        </w:tc>
        <w:tc>
          <w:tcPr>
            <w:tcW w:w="1520" w:type="dxa"/>
            <w:tcBorders>
              <w:top w:val="nil"/>
              <w:left w:val="nil"/>
              <w:bottom w:val="single" w:sz="4" w:space="0" w:color="auto"/>
              <w:right w:val="single" w:sz="4" w:space="0" w:color="auto"/>
            </w:tcBorders>
            <w:shd w:val="clear" w:color="auto" w:fill="C4EFCE"/>
            <w:vAlign w:val="center"/>
            <w:hideMark/>
          </w:tcPr>
          <w:p w14:paraId="6F5F3A8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54F1D5" w14:textId="77777777" w:rsidR="00DC5EC6" w:rsidRDefault="003245A4">
            <w:pPr>
              <w:pStyle w:val="P68B1DB1-Normal23"/>
              <w:spacing w:after="0"/>
              <w:jc w:val="both"/>
              <w:rPr>
                <w:rFonts w:eastAsia="Calibri" w:cs="Calibri"/>
                <w:noProof/>
              </w:rPr>
            </w:pPr>
            <w:r>
              <w:rPr>
                <w:noProof/>
              </w:rPr>
              <w:t>A kék központ központjai telepítésének és/vagy korszerűsítésének befejezése</w:t>
            </w:r>
          </w:p>
        </w:tc>
      </w:tr>
      <w:tr w:rsidR="00DC5EC6" w14:paraId="7B6EB3C1"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7348F399" w14:textId="77777777" w:rsidR="00DC5EC6" w:rsidRDefault="003245A4">
            <w:pPr>
              <w:pStyle w:val="P68B1DB1-Normal23"/>
              <w:spacing w:after="0"/>
              <w:jc w:val="center"/>
              <w:rPr>
                <w:rFonts w:eastAsia="Calibri" w:cs="Calibri"/>
                <w:noProof/>
              </w:rPr>
            </w:pPr>
            <w:r>
              <w:rPr>
                <w:noProof/>
              </w:rPr>
              <w:t>10.4</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0B62858" w14:textId="77777777" w:rsidR="00DC5EC6" w:rsidRDefault="003245A4">
            <w:pPr>
              <w:pStyle w:val="P68B1DB1-Normal23"/>
              <w:spacing w:after="0"/>
              <w:jc w:val="center"/>
              <w:rPr>
                <w:rFonts w:eastAsia="Calibri" w:cs="Calibri"/>
                <w:noProof/>
              </w:rPr>
            </w:pPr>
            <w:r>
              <w:rPr>
                <w:noProof/>
              </w:rPr>
              <w:t>TC-C10-i02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736AA3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2D99B7" w14:textId="77777777" w:rsidR="00DC5EC6" w:rsidRDefault="003245A4">
            <w:pPr>
              <w:pStyle w:val="P68B1DB1-Normal23"/>
              <w:spacing w:after="0"/>
              <w:jc w:val="both"/>
              <w:rPr>
                <w:rFonts w:eastAsia="Calibri" w:cs="Calibri"/>
                <w:noProof/>
              </w:rPr>
            </w:pPr>
            <w:r>
              <w:rPr>
                <w:noProof/>
              </w:rPr>
              <w:t>Az innovációt, az energetikai átállást és a halászati ágazat szervezeteire gyakorolt környezeti hatás csökkentését támogató 70 projekt zárójelentésének jóváhagyása</w:t>
            </w:r>
          </w:p>
        </w:tc>
      </w:tr>
      <w:tr w:rsidR="00DC5EC6" w14:paraId="2377D9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F2EEBE" w14:textId="77777777" w:rsidR="00DC5EC6" w:rsidRDefault="003245A4">
            <w:pPr>
              <w:pStyle w:val="P68B1DB1-Normal23"/>
              <w:spacing w:after="0"/>
              <w:jc w:val="center"/>
              <w:rPr>
                <w:rFonts w:eastAsia="Calibri" w:cs="Calibri"/>
                <w:noProof/>
              </w:rPr>
            </w:pPr>
            <w:r>
              <w:rPr>
                <w:noProof/>
              </w:rPr>
              <w:t>10.9</w:t>
            </w:r>
          </w:p>
        </w:tc>
        <w:tc>
          <w:tcPr>
            <w:tcW w:w="1760" w:type="dxa"/>
            <w:tcBorders>
              <w:top w:val="nil"/>
              <w:left w:val="nil"/>
              <w:bottom w:val="single" w:sz="4" w:space="0" w:color="auto"/>
              <w:right w:val="single" w:sz="4" w:space="0" w:color="auto"/>
            </w:tcBorders>
            <w:shd w:val="clear" w:color="auto" w:fill="C4EFCE"/>
            <w:vAlign w:val="center"/>
            <w:hideMark/>
          </w:tcPr>
          <w:p w14:paraId="62BDE422"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9E5E8E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423FB98" w14:textId="77777777" w:rsidR="00DC5EC6" w:rsidRDefault="003245A4">
            <w:pPr>
              <w:pStyle w:val="P68B1DB1-Normal23"/>
              <w:spacing w:after="0"/>
              <w:jc w:val="both"/>
              <w:rPr>
                <w:rFonts w:eastAsia="Calibri" w:cs="Calibri"/>
                <w:noProof/>
              </w:rPr>
            </w:pPr>
            <w:r>
              <w:rPr>
                <w:noProof/>
              </w:rPr>
              <w:t>Kutatóhajó átadása</w:t>
            </w:r>
          </w:p>
        </w:tc>
      </w:tr>
      <w:tr w:rsidR="00DC5EC6" w14:paraId="64CC4D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E87070" w14:textId="77777777" w:rsidR="00DC5EC6" w:rsidRDefault="003245A4">
            <w:pPr>
              <w:pStyle w:val="P68B1DB1-Normal23"/>
              <w:spacing w:after="0"/>
              <w:jc w:val="center"/>
              <w:rPr>
                <w:rFonts w:eastAsia="Calibri" w:cs="Calibri"/>
                <w:noProof/>
              </w:rPr>
            </w:pPr>
            <w:r>
              <w:rPr>
                <w:noProof/>
              </w:rPr>
              <w:t>10.16</w:t>
            </w:r>
          </w:p>
        </w:tc>
        <w:tc>
          <w:tcPr>
            <w:tcW w:w="1760" w:type="dxa"/>
            <w:tcBorders>
              <w:top w:val="nil"/>
              <w:left w:val="nil"/>
              <w:bottom w:val="single" w:sz="4" w:space="0" w:color="auto"/>
              <w:right w:val="single" w:sz="4" w:space="0" w:color="auto"/>
            </w:tcBorders>
            <w:shd w:val="clear" w:color="auto" w:fill="C4EFCE"/>
            <w:vAlign w:val="center"/>
            <w:hideMark/>
          </w:tcPr>
          <w:p w14:paraId="3B2E578C" w14:textId="77777777" w:rsidR="00DC5EC6" w:rsidRDefault="003245A4">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7BE16E0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247BA8C" w14:textId="77777777" w:rsidR="00DC5EC6" w:rsidRDefault="003245A4">
            <w:pPr>
              <w:pStyle w:val="P68B1DB1-Normal23"/>
              <w:spacing w:after="0"/>
              <w:jc w:val="both"/>
              <w:rPr>
                <w:rFonts w:eastAsia="Calibri" w:cs="Calibri"/>
                <w:noProof/>
              </w:rPr>
            </w:pPr>
            <w:r>
              <w:rPr>
                <w:noProof/>
              </w:rPr>
              <w:t>Pilóta nélküli önvezető jármű szállítása</w:t>
            </w:r>
          </w:p>
        </w:tc>
      </w:tr>
      <w:tr w:rsidR="00DC5EC6" w14:paraId="260DB7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D25DA4" w14:textId="77777777" w:rsidR="00DC5EC6" w:rsidRDefault="003245A4">
            <w:pPr>
              <w:pStyle w:val="P68B1DB1-Normal23"/>
              <w:spacing w:after="0"/>
              <w:jc w:val="center"/>
              <w:rPr>
                <w:rFonts w:eastAsia="Calibri" w:cs="Calibri"/>
                <w:noProof/>
              </w:rPr>
            </w:pPr>
            <w:r>
              <w:rPr>
                <w:noProof/>
              </w:rPr>
              <w:t>11.3</w:t>
            </w:r>
          </w:p>
        </w:tc>
        <w:tc>
          <w:tcPr>
            <w:tcW w:w="1760" w:type="dxa"/>
            <w:tcBorders>
              <w:top w:val="nil"/>
              <w:left w:val="nil"/>
              <w:bottom w:val="single" w:sz="4" w:space="0" w:color="auto"/>
              <w:right w:val="single" w:sz="4" w:space="0" w:color="auto"/>
            </w:tcBorders>
            <w:shd w:val="clear" w:color="auto" w:fill="C4EFCE"/>
            <w:vAlign w:val="center"/>
            <w:hideMark/>
          </w:tcPr>
          <w:p w14:paraId="7D5F02B7" w14:textId="77777777" w:rsidR="00DC5EC6" w:rsidRDefault="003245A4">
            <w:pPr>
              <w:pStyle w:val="P68B1DB1-Normal23"/>
              <w:spacing w:after="0"/>
              <w:jc w:val="center"/>
              <w:rPr>
                <w:rFonts w:eastAsia="Calibri" w:cs="Calibri"/>
                <w:noProof/>
              </w:rPr>
            </w:pPr>
            <w:r>
              <w:rPr>
                <w:noProof/>
              </w:rPr>
              <w:t>TC-C11–i01</w:t>
            </w:r>
          </w:p>
        </w:tc>
        <w:tc>
          <w:tcPr>
            <w:tcW w:w="1520" w:type="dxa"/>
            <w:tcBorders>
              <w:top w:val="nil"/>
              <w:left w:val="nil"/>
              <w:bottom w:val="single" w:sz="4" w:space="0" w:color="auto"/>
              <w:right w:val="single" w:sz="4" w:space="0" w:color="auto"/>
            </w:tcBorders>
            <w:shd w:val="clear" w:color="auto" w:fill="C4EFCE"/>
            <w:vAlign w:val="center"/>
            <w:hideMark/>
          </w:tcPr>
          <w:p w14:paraId="40F811C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CEDD55" w14:textId="77777777" w:rsidR="00DC5EC6" w:rsidRDefault="003245A4">
            <w:pPr>
              <w:pStyle w:val="P68B1DB1-Normal23"/>
              <w:spacing w:after="0"/>
              <w:jc w:val="both"/>
              <w:rPr>
                <w:rFonts w:eastAsia="Calibri" w:cs="Calibri"/>
                <w:noProof/>
              </w:rPr>
            </w:pPr>
            <w:r>
              <w:rPr>
                <w:noProof/>
              </w:rPr>
              <w:t>Az ipari dekarbonizációs projektek pénzügyi támogatása</w:t>
            </w:r>
          </w:p>
        </w:tc>
      </w:tr>
      <w:tr w:rsidR="00DC5EC6" w14:paraId="52A5E53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7504C71" w14:textId="77777777" w:rsidR="00DC5EC6" w:rsidRDefault="003245A4">
            <w:pPr>
              <w:pStyle w:val="P68B1DB1-Normal23"/>
              <w:spacing w:after="0"/>
              <w:jc w:val="center"/>
              <w:rPr>
                <w:rFonts w:eastAsia="Calibri" w:cs="Calibri"/>
                <w:noProof/>
              </w:rPr>
            </w:pPr>
            <w:r>
              <w:rPr>
                <w:noProof/>
              </w:rPr>
              <w:t>12.3</w:t>
            </w:r>
          </w:p>
        </w:tc>
        <w:tc>
          <w:tcPr>
            <w:tcW w:w="1760" w:type="dxa"/>
            <w:tcBorders>
              <w:top w:val="nil"/>
              <w:left w:val="nil"/>
              <w:bottom w:val="single" w:sz="4" w:space="0" w:color="auto"/>
              <w:right w:val="single" w:sz="4" w:space="0" w:color="auto"/>
            </w:tcBorders>
            <w:shd w:val="clear" w:color="auto" w:fill="C4EFCE"/>
            <w:vAlign w:val="center"/>
            <w:hideMark/>
          </w:tcPr>
          <w:p w14:paraId="5E91949E" w14:textId="77777777" w:rsidR="00DC5EC6" w:rsidRDefault="003245A4">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11FF5E1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CCA943F" w14:textId="77777777" w:rsidR="00DC5EC6" w:rsidRDefault="003245A4">
            <w:pPr>
              <w:pStyle w:val="P68B1DB1-Normal23"/>
              <w:spacing w:after="0"/>
              <w:jc w:val="both"/>
              <w:rPr>
                <w:rFonts w:eastAsia="Calibri" w:cs="Calibri"/>
                <w:noProof/>
              </w:rPr>
            </w:pPr>
            <w:r>
              <w:rPr>
                <w:noProof/>
              </w:rPr>
              <w:t>Bioalapú erőforrásokat integráló új termékek, technológiák és kísérleti folyamatok</w:t>
            </w:r>
          </w:p>
        </w:tc>
      </w:tr>
      <w:tr w:rsidR="00DC5EC6" w14:paraId="6307650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574EE4" w14:textId="77777777" w:rsidR="00DC5EC6" w:rsidRDefault="003245A4">
            <w:pPr>
              <w:pStyle w:val="P68B1DB1-Normal23"/>
              <w:spacing w:after="0"/>
              <w:jc w:val="center"/>
              <w:rPr>
                <w:rFonts w:eastAsia="Calibri" w:cs="Calibri"/>
                <w:noProof/>
              </w:rPr>
            </w:pPr>
            <w:r>
              <w:rPr>
                <w:noProof/>
              </w:rPr>
              <w:t>12.4</w:t>
            </w:r>
          </w:p>
        </w:tc>
        <w:tc>
          <w:tcPr>
            <w:tcW w:w="1760" w:type="dxa"/>
            <w:tcBorders>
              <w:top w:val="nil"/>
              <w:left w:val="nil"/>
              <w:bottom w:val="single" w:sz="4" w:space="0" w:color="auto"/>
              <w:right w:val="single" w:sz="4" w:space="0" w:color="auto"/>
            </w:tcBorders>
            <w:shd w:val="clear" w:color="auto" w:fill="C4EFCE"/>
            <w:vAlign w:val="center"/>
            <w:hideMark/>
          </w:tcPr>
          <w:p w14:paraId="4D7A477C" w14:textId="77777777" w:rsidR="00DC5EC6" w:rsidRDefault="003245A4">
            <w:pPr>
              <w:pStyle w:val="P68B1DB1-Normal23"/>
              <w:spacing w:after="0"/>
              <w:jc w:val="center"/>
              <w:rPr>
                <w:rFonts w:eastAsia="Calibri" w:cs="Calibri"/>
                <w:noProof/>
              </w:rPr>
            </w:pPr>
            <w:r>
              <w:rPr>
                <w:noProof/>
              </w:rPr>
              <w:t>TC-C12–i01</w:t>
            </w:r>
          </w:p>
        </w:tc>
        <w:tc>
          <w:tcPr>
            <w:tcW w:w="1520" w:type="dxa"/>
            <w:tcBorders>
              <w:top w:val="nil"/>
              <w:left w:val="nil"/>
              <w:bottom w:val="single" w:sz="4" w:space="0" w:color="auto"/>
              <w:right w:val="single" w:sz="4" w:space="0" w:color="auto"/>
            </w:tcBorders>
            <w:shd w:val="clear" w:color="auto" w:fill="C4EFCE"/>
            <w:vAlign w:val="center"/>
            <w:hideMark/>
          </w:tcPr>
          <w:p w14:paraId="671544E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011820" w14:textId="77777777" w:rsidR="00DC5EC6" w:rsidRDefault="003245A4">
            <w:pPr>
              <w:pStyle w:val="P68B1DB1-Normal23"/>
              <w:spacing w:after="0"/>
              <w:jc w:val="both"/>
              <w:rPr>
                <w:rFonts w:eastAsia="Calibri" w:cs="Calibri"/>
                <w:noProof/>
              </w:rPr>
            </w:pPr>
            <w:r>
              <w:rPr>
                <w:noProof/>
              </w:rPr>
              <w:t>Gyantatermesztési potenciállal rendelkező tengeri fenyőerdők fejlesztése</w:t>
            </w:r>
          </w:p>
        </w:tc>
      </w:tr>
      <w:tr w:rsidR="00DC5EC6" w14:paraId="420B45B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BBC2D8" w14:textId="77777777" w:rsidR="00DC5EC6" w:rsidRDefault="003245A4">
            <w:pPr>
              <w:pStyle w:val="P68B1DB1-Normal23"/>
              <w:spacing w:after="0"/>
              <w:jc w:val="center"/>
              <w:rPr>
                <w:rFonts w:eastAsia="Calibri" w:cs="Calibri"/>
                <w:noProof/>
              </w:rPr>
            </w:pPr>
            <w:r>
              <w:rPr>
                <w:noProof/>
              </w:rPr>
              <w:t>12.9</w:t>
            </w:r>
          </w:p>
        </w:tc>
        <w:tc>
          <w:tcPr>
            <w:tcW w:w="1760" w:type="dxa"/>
            <w:tcBorders>
              <w:top w:val="nil"/>
              <w:left w:val="nil"/>
              <w:bottom w:val="single" w:sz="4" w:space="0" w:color="auto"/>
              <w:right w:val="single" w:sz="4" w:space="0" w:color="auto"/>
            </w:tcBorders>
            <w:shd w:val="clear" w:color="auto" w:fill="C4EFCE"/>
            <w:vAlign w:val="center"/>
            <w:hideMark/>
          </w:tcPr>
          <w:p w14:paraId="172E9144" w14:textId="77777777" w:rsidR="00DC5EC6" w:rsidRDefault="003245A4">
            <w:pPr>
              <w:pStyle w:val="P68B1DB1-Normal23"/>
              <w:spacing w:after="0"/>
              <w:jc w:val="center"/>
              <w:rPr>
                <w:rFonts w:eastAsia="Calibri" w:cs="Calibri"/>
                <w:noProof/>
              </w:rPr>
            </w:pPr>
            <w:r>
              <w:rPr>
                <w:noProof/>
              </w:rPr>
              <w:t>TC-C12-r39</w:t>
            </w:r>
          </w:p>
        </w:tc>
        <w:tc>
          <w:tcPr>
            <w:tcW w:w="1520" w:type="dxa"/>
            <w:tcBorders>
              <w:top w:val="nil"/>
              <w:left w:val="nil"/>
              <w:bottom w:val="single" w:sz="4" w:space="0" w:color="auto"/>
              <w:right w:val="single" w:sz="4" w:space="0" w:color="auto"/>
            </w:tcBorders>
            <w:shd w:val="clear" w:color="auto" w:fill="C4EFCE"/>
            <w:vAlign w:val="center"/>
            <w:hideMark/>
          </w:tcPr>
          <w:p w14:paraId="7087AB6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FC7761F" w14:textId="77777777" w:rsidR="00DC5EC6" w:rsidRDefault="003245A4">
            <w:pPr>
              <w:pStyle w:val="P68B1DB1-Normal23"/>
              <w:spacing w:after="0"/>
              <w:jc w:val="both"/>
              <w:rPr>
                <w:rFonts w:eastAsia="Calibri" w:cs="Calibri"/>
                <w:noProof/>
              </w:rPr>
            </w:pPr>
            <w:r>
              <w:rPr>
                <w:noProof/>
              </w:rPr>
              <w:t>Visszavételi rendszer az elektromos hulladék és az elektronikus berendezések esetében</w:t>
            </w:r>
          </w:p>
        </w:tc>
      </w:tr>
      <w:tr w:rsidR="00DC5EC6" w14:paraId="7F4AB35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EA878" w14:textId="77777777" w:rsidR="00DC5EC6" w:rsidRDefault="003245A4">
            <w:pPr>
              <w:pStyle w:val="P68B1DB1-Normal23"/>
              <w:spacing w:after="0"/>
              <w:jc w:val="center"/>
              <w:rPr>
                <w:rFonts w:eastAsia="Calibri" w:cs="Calibri"/>
                <w:noProof/>
              </w:rPr>
            </w:pPr>
            <w:r>
              <w:rPr>
                <w:noProof/>
              </w:rPr>
              <w:t>13.3</w:t>
            </w:r>
          </w:p>
        </w:tc>
        <w:tc>
          <w:tcPr>
            <w:tcW w:w="1760" w:type="dxa"/>
            <w:tcBorders>
              <w:top w:val="nil"/>
              <w:left w:val="nil"/>
              <w:bottom w:val="single" w:sz="4" w:space="0" w:color="auto"/>
              <w:right w:val="single" w:sz="4" w:space="0" w:color="auto"/>
            </w:tcBorders>
            <w:shd w:val="clear" w:color="auto" w:fill="C4EFCE"/>
            <w:vAlign w:val="center"/>
            <w:hideMark/>
          </w:tcPr>
          <w:p w14:paraId="2711CA67" w14:textId="77777777" w:rsidR="00DC5EC6" w:rsidRDefault="003245A4">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708E9DD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A4BCD" w14:textId="77777777" w:rsidR="00DC5EC6" w:rsidRDefault="003245A4">
            <w:pPr>
              <w:pStyle w:val="P68B1DB1-Normal23"/>
              <w:spacing w:after="0"/>
              <w:jc w:val="both"/>
              <w:rPr>
                <w:rFonts w:eastAsia="Calibri" w:cs="Calibri"/>
                <w:noProof/>
              </w:rPr>
            </w:pPr>
            <w:r>
              <w:rPr>
                <w:noProof/>
              </w:rPr>
              <w:t>Az energiaszegénységben élő háztartásoknak kiosztott „hatékonysági utalványok”, amelyek célja a régi berendezések cseréje és energiahatékony megoldások alkalmazása</w:t>
            </w:r>
          </w:p>
        </w:tc>
      </w:tr>
      <w:tr w:rsidR="00DC5EC6" w14:paraId="10CFDBA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CEEF76" w14:textId="77777777" w:rsidR="00DC5EC6" w:rsidRDefault="003245A4">
            <w:pPr>
              <w:pStyle w:val="P68B1DB1-Normal23"/>
              <w:spacing w:after="0"/>
              <w:jc w:val="center"/>
              <w:rPr>
                <w:rFonts w:eastAsia="Calibri" w:cs="Calibri"/>
                <w:noProof/>
              </w:rPr>
            </w:pPr>
            <w:r>
              <w:rPr>
                <w:noProof/>
              </w:rPr>
              <w:t>13.4</w:t>
            </w:r>
          </w:p>
        </w:tc>
        <w:tc>
          <w:tcPr>
            <w:tcW w:w="1760" w:type="dxa"/>
            <w:tcBorders>
              <w:top w:val="nil"/>
              <w:left w:val="nil"/>
              <w:bottom w:val="single" w:sz="4" w:space="0" w:color="auto"/>
              <w:right w:val="single" w:sz="4" w:space="0" w:color="auto"/>
            </w:tcBorders>
            <w:shd w:val="clear" w:color="auto" w:fill="C4EFCE"/>
            <w:vAlign w:val="center"/>
            <w:hideMark/>
          </w:tcPr>
          <w:p w14:paraId="70C58091" w14:textId="77777777" w:rsidR="00DC5EC6" w:rsidRDefault="003245A4">
            <w:pPr>
              <w:pStyle w:val="P68B1DB1-Normal23"/>
              <w:spacing w:after="0"/>
              <w:jc w:val="center"/>
              <w:rPr>
                <w:rFonts w:eastAsia="Calibri" w:cs="Calibri"/>
                <w:noProof/>
              </w:rPr>
            </w:pPr>
            <w:r>
              <w:rPr>
                <w:noProof/>
              </w:rPr>
              <w:t>TC-C13-i01</w:t>
            </w:r>
          </w:p>
        </w:tc>
        <w:tc>
          <w:tcPr>
            <w:tcW w:w="1520" w:type="dxa"/>
            <w:tcBorders>
              <w:top w:val="nil"/>
              <w:left w:val="nil"/>
              <w:bottom w:val="single" w:sz="4" w:space="0" w:color="auto"/>
              <w:right w:val="single" w:sz="4" w:space="0" w:color="auto"/>
            </w:tcBorders>
            <w:shd w:val="clear" w:color="auto" w:fill="C4EFCE"/>
            <w:vAlign w:val="center"/>
            <w:hideMark/>
          </w:tcPr>
          <w:p w14:paraId="63E240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9DF9123" w14:textId="77777777"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magánlakásos ágazatban</w:t>
            </w:r>
          </w:p>
        </w:tc>
      </w:tr>
      <w:tr w:rsidR="00DC5EC6" w14:paraId="5266E9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2AA442" w14:textId="77777777" w:rsidR="00DC5EC6" w:rsidRDefault="003245A4">
            <w:pPr>
              <w:pStyle w:val="P68B1DB1-Normal23"/>
              <w:spacing w:after="0"/>
              <w:jc w:val="center"/>
              <w:rPr>
                <w:rFonts w:eastAsia="Calibri" w:cs="Calibri"/>
                <w:noProof/>
              </w:rPr>
            </w:pPr>
            <w:r>
              <w:rPr>
                <w:noProof/>
              </w:rPr>
              <w:t>13.6</w:t>
            </w:r>
          </w:p>
        </w:tc>
        <w:tc>
          <w:tcPr>
            <w:tcW w:w="1760" w:type="dxa"/>
            <w:tcBorders>
              <w:top w:val="nil"/>
              <w:left w:val="nil"/>
              <w:bottom w:val="single" w:sz="4" w:space="0" w:color="auto"/>
              <w:right w:val="single" w:sz="4" w:space="0" w:color="auto"/>
            </w:tcBorders>
            <w:shd w:val="clear" w:color="auto" w:fill="C4EFCE"/>
            <w:vAlign w:val="center"/>
            <w:hideMark/>
          </w:tcPr>
          <w:p w14:paraId="2BEC44DB" w14:textId="77777777" w:rsidR="00DC5EC6" w:rsidRDefault="003245A4">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221A46F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2187E3" w14:textId="77777777" w:rsidR="00DC5EC6" w:rsidRDefault="003245A4">
            <w:pPr>
              <w:pStyle w:val="P68B1DB1-Normal23"/>
              <w:spacing w:after="0"/>
              <w:jc w:val="both"/>
              <w:rPr>
                <w:rFonts w:eastAsia="Calibri" w:cs="Calibri"/>
                <w:noProof/>
              </w:rPr>
            </w:pPr>
            <w:r>
              <w:rPr>
                <w:noProof/>
              </w:rPr>
              <w:t>A központi kormányzati épületek energiahatékonysági felújítása</w:t>
            </w:r>
          </w:p>
        </w:tc>
      </w:tr>
      <w:tr w:rsidR="00DC5EC6" w14:paraId="3C9445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11CA67D" w14:textId="77777777" w:rsidR="00DC5EC6" w:rsidRDefault="003245A4">
            <w:pPr>
              <w:pStyle w:val="P68B1DB1-Normal23"/>
              <w:spacing w:after="0"/>
              <w:jc w:val="center"/>
              <w:rPr>
                <w:rFonts w:eastAsia="Calibri" w:cs="Calibri"/>
                <w:noProof/>
              </w:rPr>
            </w:pPr>
            <w:r>
              <w:rPr>
                <w:noProof/>
              </w:rPr>
              <w:t>13.7</w:t>
            </w:r>
          </w:p>
        </w:tc>
        <w:tc>
          <w:tcPr>
            <w:tcW w:w="1760" w:type="dxa"/>
            <w:tcBorders>
              <w:top w:val="nil"/>
              <w:left w:val="nil"/>
              <w:bottom w:val="single" w:sz="4" w:space="0" w:color="auto"/>
              <w:right w:val="single" w:sz="4" w:space="0" w:color="auto"/>
            </w:tcBorders>
            <w:shd w:val="clear" w:color="auto" w:fill="C4EFCE"/>
            <w:vAlign w:val="center"/>
            <w:hideMark/>
          </w:tcPr>
          <w:p w14:paraId="532BF8AE" w14:textId="77777777" w:rsidR="00DC5EC6" w:rsidRDefault="003245A4">
            <w:pPr>
              <w:pStyle w:val="P68B1DB1-Normal23"/>
              <w:spacing w:after="0"/>
              <w:jc w:val="center"/>
              <w:rPr>
                <w:rFonts w:eastAsia="Calibri" w:cs="Calibri"/>
                <w:noProof/>
              </w:rPr>
            </w:pPr>
            <w:r>
              <w:rPr>
                <w:noProof/>
              </w:rPr>
              <w:t>TC-C13-i02</w:t>
            </w:r>
          </w:p>
        </w:tc>
        <w:tc>
          <w:tcPr>
            <w:tcW w:w="1520" w:type="dxa"/>
            <w:tcBorders>
              <w:top w:val="nil"/>
              <w:left w:val="nil"/>
              <w:bottom w:val="single" w:sz="4" w:space="0" w:color="auto"/>
              <w:right w:val="single" w:sz="4" w:space="0" w:color="auto"/>
            </w:tcBorders>
            <w:shd w:val="clear" w:color="auto" w:fill="C4EFCE"/>
            <w:vAlign w:val="center"/>
            <w:hideMark/>
          </w:tcPr>
          <w:p w14:paraId="58EFFAE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97A86DB" w14:textId="77777777"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központi kormányzati épületekben</w:t>
            </w:r>
          </w:p>
        </w:tc>
      </w:tr>
      <w:tr w:rsidR="00DC5EC6" w14:paraId="3D6B69D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F48317C" w14:textId="77777777" w:rsidR="00DC5EC6" w:rsidRDefault="003245A4">
            <w:pPr>
              <w:pStyle w:val="P68B1DB1-Normal23"/>
              <w:spacing w:after="0"/>
              <w:jc w:val="center"/>
              <w:rPr>
                <w:rFonts w:eastAsia="Calibri" w:cs="Calibri"/>
                <w:noProof/>
              </w:rPr>
            </w:pPr>
            <w:r>
              <w:rPr>
                <w:noProof/>
              </w:rPr>
              <w:t>13.9</w:t>
            </w:r>
          </w:p>
        </w:tc>
        <w:tc>
          <w:tcPr>
            <w:tcW w:w="1760" w:type="dxa"/>
            <w:tcBorders>
              <w:top w:val="nil"/>
              <w:left w:val="nil"/>
              <w:bottom w:val="single" w:sz="4" w:space="0" w:color="auto"/>
              <w:right w:val="single" w:sz="4" w:space="0" w:color="auto"/>
            </w:tcBorders>
            <w:shd w:val="clear" w:color="auto" w:fill="C4EFCE"/>
            <w:vAlign w:val="center"/>
            <w:hideMark/>
          </w:tcPr>
          <w:p w14:paraId="2F9F167F" w14:textId="77777777" w:rsidR="00DC5EC6" w:rsidRDefault="003245A4">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052EE5A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2DC1A9" w14:textId="77777777" w:rsidR="00DC5EC6" w:rsidRDefault="003245A4">
            <w:pPr>
              <w:pStyle w:val="P68B1DB1-Normal23"/>
              <w:spacing w:after="0"/>
              <w:jc w:val="both"/>
              <w:rPr>
                <w:rFonts w:eastAsia="Calibri" w:cs="Calibri"/>
                <w:noProof/>
              </w:rPr>
            </w:pPr>
            <w:r>
              <w:rPr>
                <w:noProof/>
              </w:rPr>
              <w:t>A magánszolgáltató épületek energiahatékonysági felújítása</w:t>
            </w:r>
          </w:p>
        </w:tc>
      </w:tr>
      <w:tr w:rsidR="00DC5EC6" w14:paraId="142EE0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C8BAF7" w14:textId="77777777" w:rsidR="00DC5EC6" w:rsidRDefault="003245A4">
            <w:pPr>
              <w:pStyle w:val="P68B1DB1-Normal23"/>
              <w:spacing w:after="0"/>
              <w:jc w:val="center"/>
              <w:rPr>
                <w:rFonts w:eastAsia="Calibri" w:cs="Calibri"/>
                <w:noProof/>
              </w:rPr>
            </w:pPr>
            <w:r>
              <w:rPr>
                <w:noProof/>
              </w:rPr>
              <w:t>13.10</w:t>
            </w:r>
          </w:p>
        </w:tc>
        <w:tc>
          <w:tcPr>
            <w:tcW w:w="1760" w:type="dxa"/>
            <w:tcBorders>
              <w:top w:val="nil"/>
              <w:left w:val="nil"/>
              <w:bottom w:val="single" w:sz="4" w:space="0" w:color="auto"/>
              <w:right w:val="single" w:sz="4" w:space="0" w:color="auto"/>
            </w:tcBorders>
            <w:shd w:val="clear" w:color="auto" w:fill="C4EFCE"/>
            <w:vAlign w:val="center"/>
            <w:hideMark/>
          </w:tcPr>
          <w:p w14:paraId="1BB98FB7" w14:textId="77777777" w:rsidR="00DC5EC6" w:rsidRDefault="003245A4">
            <w:pPr>
              <w:pStyle w:val="P68B1DB1-Normal23"/>
              <w:spacing w:after="0"/>
              <w:jc w:val="center"/>
              <w:rPr>
                <w:rFonts w:eastAsia="Calibri" w:cs="Calibri"/>
                <w:noProof/>
              </w:rPr>
            </w:pPr>
            <w:r>
              <w:rPr>
                <w:noProof/>
              </w:rPr>
              <w:t>TC-C13-i03</w:t>
            </w:r>
          </w:p>
        </w:tc>
        <w:tc>
          <w:tcPr>
            <w:tcW w:w="1520" w:type="dxa"/>
            <w:tcBorders>
              <w:top w:val="nil"/>
              <w:left w:val="nil"/>
              <w:bottom w:val="single" w:sz="4" w:space="0" w:color="auto"/>
              <w:right w:val="single" w:sz="4" w:space="0" w:color="auto"/>
            </w:tcBorders>
            <w:shd w:val="clear" w:color="auto" w:fill="C4EFCE"/>
            <w:vAlign w:val="center"/>
            <w:hideMark/>
          </w:tcPr>
          <w:p w14:paraId="38CB2E3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5B96399" w14:textId="77777777"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magánszektorban</w:t>
            </w:r>
          </w:p>
        </w:tc>
      </w:tr>
      <w:tr w:rsidR="00DC5EC6" w14:paraId="1F41F64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5650C31" w14:textId="77777777" w:rsidR="00DC5EC6" w:rsidRDefault="003245A4">
            <w:pPr>
              <w:pStyle w:val="P68B1DB1-Normal23"/>
              <w:spacing w:after="0"/>
              <w:jc w:val="center"/>
              <w:rPr>
                <w:rFonts w:eastAsia="Calibri" w:cs="Calibri"/>
                <w:noProof/>
              </w:rPr>
            </w:pPr>
            <w:r>
              <w:rPr>
                <w:noProof/>
              </w:rPr>
              <w:t>14.9</w:t>
            </w:r>
          </w:p>
        </w:tc>
        <w:tc>
          <w:tcPr>
            <w:tcW w:w="1760" w:type="dxa"/>
            <w:tcBorders>
              <w:top w:val="nil"/>
              <w:left w:val="nil"/>
              <w:bottom w:val="single" w:sz="4" w:space="0" w:color="auto"/>
              <w:right w:val="single" w:sz="4" w:space="0" w:color="auto"/>
            </w:tcBorders>
            <w:shd w:val="clear" w:color="auto" w:fill="C4EFCE"/>
            <w:vAlign w:val="center"/>
            <w:hideMark/>
          </w:tcPr>
          <w:p w14:paraId="70919607" w14:textId="77777777" w:rsidR="00DC5EC6" w:rsidRDefault="003245A4">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C358FC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DD92A8B" w14:textId="77777777" w:rsidR="00DC5EC6" w:rsidRDefault="003245A4">
            <w:pPr>
              <w:pStyle w:val="P68B1DB1-Normal23"/>
              <w:spacing w:after="0"/>
              <w:jc w:val="both"/>
              <w:rPr>
                <w:rFonts w:eastAsia="Calibri" w:cs="Calibri"/>
                <w:noProof/>
              </w:rPr>
            </w:pPr>
            <w:r>
              <w:rPr>
                <w:noProof/>
              </w:rPr>
              <w:t>Intelligens fogyasztásmérők telepítése</w:t>
            </w:r>
          </w:p>
        </w:tc>
      </w:tr>
      <w:tr w:rsidR="00DC5EC6" w14:paraId="41E942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090FAB3" w14:textId="77777777" w:rsidR="00DC5EC6" w:rsidRDefault="003245A4">
            <w:pPr>
              <w:pStyle w:val="P68B1DB1-Normal23"/>
              <w:spacing w:after="0"/>
              <w:jc w:val="center"/>
              <w:rPr>
                <w:rFonts w:eastAsia="Calibri" w:cs="Calibri"/>
                <w:noProof/>
              </w:rPr>
            </w:pPr>
            <w:r>
              <w:rPr>
                <w:noProof/>
              </w:rPr>
              <w:t>14.10</w:t>
            </w:r>
          </w:p>
        </w:tc>
        <w:tc>
          <w:tcPr>
            <w:tcW w:w="1760" w:type="dxa"/>
            <w:tcBorders>
              <w:top w:val="nil"/>
              <w:left w:val="nil"/>
              <w:bottom w:val="single" w:sz="4" w:space="0" w:color="auto"/>
              <w:right w:val="single" w:sz="4" w:space="0" w:color="auto"/>
            </w:tcBorders>
            <w:shd w:val="clear" w:color="auto" w:fill="C4EFCE"/>
            <w:vAlign w:val="center"/>
            <w:hideMark/>
          </w:tcPr>
          <w:p w14:paraId="14EE6BC3" w14:textId="77777777" w:rsidR="00DC5EC6" w:rsidRDefault="003245A4">
            <w:pPr>
              <w:pStyle w:val="P68B1DB1-Normal23"/>
              <w:spacing w:after="0"/>
              <w:jc w:val="center"/>
              <w:rPr>
                <w:rFonts w:eastAsia="Calibri" w:cs="Calibri"/>
                <w:noProof/>
              </w:rPr>
            </w:pPr>
            <w:r>
              <w:rPr>
                <w:noProof/>
              </w:rPr>
              <w:t>TC-C14-i02-RAM</w:t>
            </w:r>
          </w:p>
        </w:tc>
        <w:tc>
          <w:tcPr>
            <w:tcW w:w="1520" w:type="dxa"/>
            <w:tcBorders>
              <w:top w:val="nil"/>
              <w:left w:val="nil"/>
              <w:bottom w:val="single" w:sz="4" w:space="0" w:color="auto"/>
              <w:right w:val="single" w:sz="4" w:space="0" w:color="auto"/>
            </w:tcBorders>
            <w:shd w:val="clear" w:color="auto" w:fill="C4EFCE"/>
            <w:vAlign w:val="center"/>
            <w:hideMark/>
          </w:tcPr>
          <w:p w14:paraId="19A8DD4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E3E950E" w14:textId="77777777" w:rsidR="00DC5EC6" w:rsidRDefault="003245A4">
            <w:pPr>
              <w:pStyle w:val="P68B1DB1-Normal23"/>
              <w:spacing w:after="0"/>
              <w:jc w:val="both"/>
              <w:rPr>
                <w:rFonts w:eastAsia="Calibri" w:cs="Calibri"/>
                <w:noProof/>
              </w:rPr>
            </w:pPr>
            <w:r>
              <w:rPr>
                <w:noProof/>
              </w:rPr>
              <w:t>Közvilágítási pontok cseréje</w:t>
            </w:r>
          </w:p>
        </w:tc>
      </w:tr>
      <w:tr w:rsidR="00DC5EC6" w14:paraId="1259CE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C9EACEC" w14:textId="77777777" w:rsidR="00DC5EC6" w:rsidRDefault="003245A4">
            <w:pPr>
              <w:pStyle w:val="P68B1DB1-Normal23"/>
              <w:spacing w:after="0"/>
              <w:jc w:val="center"/>
              <w:rPr>
                <w:rFonts w:eastAsia="Calibri" w:cs="Calibri"/>
                <w:noProof/>
              </w:rPr>
            </w:pPr>
            <w:r>
              <w:rPr>
                <w:noProof/>
              </w:rPr>
              <w:t>14.14</w:t>
            </w:r>
          </w:p>
        </w:tc>
        <w:tc>
          <w:tcPr>
            <w:tcW w:w="1760" w:type="dxa"/>
            <w:tcBorders>
              <w:top w:val="nil"/>
              <w:left w:val="nil"/>
              <w:bottom w:val="single" w:sz="4" w:space="0" w:color="auto"/>
              <w:right w:val="single" w:sz="4" w:space="0" w:color="auto"/>
            </w:tcBorders>
            <w:shd w:val="clear" w:color="auto" w:fill="C4EFCE"/>
            <w:vAlign w:val="center"/>
            <w:hideMark/>
          </w:tcPr>
          <w:p w14:paraId="5E5CAB41" w14:textId="77777777" w:rsidR="00DC5EC6" w:rsidRDefault="003245A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2422CE6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56286D" w14:textId="77777777" w:rsidR="00DC5EC6" w:rsidRDefault="003245A4">
            <w:pPr>
              <w:pStyle w:val="P68B1DB1-Normal23"/>
              <w:spacing w:after="0"/>
              <w:jc w:val="both"/>
              <w:rPr>
                <w:rFonts w:eastAsia="Calibri" w:cs="Calibri"/>
                <w:noProof/>
              </w:rPr>
            </w:pPr>
            <w:r>
              <w:rPr>
                <w:noProof/>
              </w:rPr>
              <w:t>Kis méretű fotovoltaikus erőművek telepítése helyi villamosenergia-termelésre és -fogyasztásra</w:t>
            </w:r>
          </w:p>
        </w:tc>
      </w:tr>
      <w:tr w:rsidR="00DC5EC6" w14:paraId="28AF18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A65ACC1" w14:textId="77777777" w:rsidR="00DC5EC6" w:rsidRDefault="003245A4">
            <w:pPr>
              <w:pStyle w:val="P68B1DB1-Normal23"/>
              <w:spacing w:after="0"/>
              <w:jc w:val="center"/>
              <w:rPr>
                <w:rFonts w:eastAsia="Calibri" w:cs="Calibri"/>
                <w:noProof/>
              </w:rPr>
            </w:pPr>
            <w:r>
              <w:rPr>
                <w:noProof/>
              </w:rPr>
              <w:t>16.3</w:t>
            </w:r>
          </w:p>
        </w:tc>
        <w:tc>
          <w:tcPr>
            <w:tcW w:w="1760" w:type="dxa"/>
            <w:tcBorders>
              <w:top w:val="nil"/>
              <w:left w:val="nil"/>
              <w:bottom w:val="single" w:sz="4" w:space="0" w:color="auto"/>
              <w:right w:val="single" w:sz="4" w:space="0" w:color="auto"/>
            </w:tcBorders>
            <w:shd w:val="clear" w:color="auto" w:fill="C4EFCE"/>
            <w:vAlign w:val="center"/>
            <w:hideMark/>
          </w:tcPr>
          <w:p w14:paraId="49A1257B" w14:textId="77777777" w:rsidR="00DC5EC6" w:rsidRDefault="003245A4">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4627B07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BA94AFF" w14:textId="77777777" w:rsidR="00DC5EC6" w:rsidRDefault="003245A4">
            <w:pPr>
              <w:pStyle w:val="P68B1DB1-Normal23"/>
              <w:spacing w:after="0"/>
              <w:jc w:val="both"/>
              <w:rPr>
                <w:rFonts w:eastAsia="Calibri" w:cs="Calibri"/>
                <w:noProof/>
              </w:rPr>
            </w:pPr>
            <w:r>
              <w:rPr>
                <w:noProof/>
              </w:rPr>
              <w:t>Foglalkoztatás + digitális képzésben résztvevők</w:t>
            </w:r>
          </w:p>
        </w:tc>
      </w:tr>
      <w:tr w:rsidR="00DC5EC6" w14:paraId="1C0A03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44A2AE" w14:textId="77777777" w:rsidR="00DC5EC6" w:rsidRDefault="003245A4">
            <w:pPr>
              <w:pStyle w:val="P68B1DB1-Normal23"/>
              <w:spacing w:after="0"/>
              <w:jc w:val="center"/>
              <w:rPr>
                <w:rFonts w:eastAsia="Calibri" w:cs="Calibri"/>
                <w:noProof/>
              </w:rPr>
            </w:pPr>
            <w:r>
              <w:rPr>
                <w:noProof/>
              </w:rPr>
              <w:t>16.4</w:t>
            </w:r>
          </w:p>
        </w:tc>
        <w:tc>
          <w:tcPr>
            <w:tcW w:w="1760" w:type="dxa"/>
            <w:tcBorders>
              <w:top w:val="nil"/>
              <w:left w:val="nil"/>
              <w:bottom w:val="single" w:sz="4" w:space="0" w:color="auto"/>
              <w:right w:val="single" w:sz="4" w:space="0" w:color="auto"/>
            </w:tcBorders>
            <w:shd w:val="clear" w:color="auto" w:fill="C4EFCE"/>
            <w:vAlign w:val="center"/>
            <w:hideMark/>
          </w:tcPr>
          <w:p w14:paraId="4421E373" w14:textId="77777777" w:rsidR="00DC5EC6" w:rsidRDefault="003245A4">
            <w:pPr>
              <w:pStyle w:val="P68B1DB1-Normal23"/>
              <w:spacing w:after="0"/>
              <w:jc w:val="center"/>
              <w:rPr>
                <w:rFonts w:eastAsia="Calibri" w:cs="Calibri"/>
                <w:noProof/>
              </w:rPr>
            </w:pPr>
            <w:r>
              <w:rPr>
                <w:noProof/>
              </w:rPr>
              <w:t>TD-C16-i01</w:t>
            </w:r>
          </w:p>
        </w:tc>
        <w:tc>
          <w:tcPr>
            <w:tcW w:w="1520" w:type="dxa"/>
            <w:tcBorders>
              <w:top w:val="nil"/>
              <w:left w:val="nil"/>
              <w:bottom w:val="single" w:sz="4" w:space="0" w:color="auto"/>
              <w:right w:val="single" w:sz="4" w:space="0" w:color="auto"/>
            </w:tcBorders>
            <w:shd w:val="clear" w:color="auto" w:fill="C4EFCE"/>
            <w:vAlign w:val="center"/>
            <w:hideMark/>
          </w:tcPr>
          <w:p w14:paraId="631F7E6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4033A4" w14:textId="77777777" w:rsidR="00DC5EC6" w:rsidRDefault="003245A4">
            <w:pPr>
              <w:pStyle w:val="P68B1DB1-Normal23"/>
              <w:spacing w:after="0"/>
              <w:jc w:val="both"/>
              <w:rPr>
                <w:rFonts w:eastAsia="Calibri" w:cs="Calibri"/>
                <w:noProof/>
              </w:rPr>
            </w:pPr>
            <w:r>
              <w:rPr>
                <w:noProof/>
              </w:rPr>
              <w:t>Portugália Digitális Akadémia képzésének résztvevői</w:t>
            </w:r>
          </w:p>
        </w:tc>
      </w:tr>
      <w:tr w:rsidR="00DC5EC6" w14:paraId="1F4920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73CE429" w14:textId="77777777" w:rsidR="00DC5EC6" w:rsidRDefault="003245A4">
            <w:pPr>
              <w:pStyle w:val="P68B1DB1-Normal23"/>
              <w:spacing w:after="0"/>
              <w:jc w:val="center"/>
              <w:rPr>
                <w:rFonts w:eastAsia="Calibri" w:cs="Calibri"/>
                <w:noProof/>
              </w:rPr>
            </w:pPr>
            <w:r>
              <w:rPr>
                <w:noProof/>
              </w:rPr>
              <w:t>16.8</w:t>
            </w:r>
          </w:p>
        </w:tc>
        <w:tc>
          <w:tcPr>
            <w:tcW w:w="1760" w:type="dxa"/>
            <w:tcBorders>
              <w:top w:val="nil"/>
              <w:left w:val="nil"/>
              <w:bottom w:val="single" w:sz="4" w:space="0" w:color="auto"/>
              <w:right w:val="single" w:sz="4" w:space="0" w:color="auto"/>
            </w:tcBorders>
            <w:shd w:val="clear" w:color="auto" w:fill="C4EFCE"/>
            <w:vAlign w:val="center"/>
            <w:hideMark/>
          </w:tcPr>
          <w:p w14:paraId="0609D596"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253830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8D78655" w14:textId="77777777" w:rsidR="00DC5EC6" w:rsidRDefault="003245A4">
            <w:pPr>
              <w:pStyle w:val="P68B1DB1-Normal23"/>
              <w:spacing w:after="0"/>
              <w:jc w:val="both"/>
              <w:rPr>
                <w:rFonts w:eastAsia="Calibri" w:cs="Calibri"/>
                <w:noProof/>
              </w:rPr>
            </w:pPr>
            <w:r>
              <w:rPr>
                <w:noProof/>
              </w:rPr>
              <w:t xml:space="preserve">A nemzeti tesztágy-hálózat kísérleti termékei és szolgáltatásai </w:t>
            </w:r>
          </w:p>
        </w:tc>
      </w:tr>
      <w:tr w:rsidR="00DC5EC6" w14:paraId="292D08F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82F634" w14:textId="77777777" w:rsidR="00DC5EC6" w:rsidRDefault="003245A4">
            <w:pPr>
              <w:pStyle w:val="P68B1DB1-Normal23"/>
              <w:spacing w:after="0"/>
              <w:jc w:val="center"/>
              <w:rPr>
                <w:rFonts w:eastAsia="Calibri" w:cs="Calibri"/>
                <w:noProof/>
              </w:rPr>
            </w:pPr>
            <w:r>
              <w:rPr>
                <w:noProof/>
              </w:rPr>
              <w:t>16.9</w:t>
            </w:r>
          </w:p>
        </w:tc>
        <w:tc>
          <w:tcPr>
            <w:tcW w:w="1760" w:type="dxa"/>
            <w:tcBorders>
              <w:top w:val="nil"/>
              <w:left w:val="nil"/>
              <w:bottom w:val="single" w:sz="4" w:space="0" w:color="auto"/>
              <w:right w:val="single" w:sz="4" w:space="0" w:color="auto"/>
            </w:tcBorders>
            <w:shd w:val="clear" w:color="auto" w:fill="C4EFCE"/>
            <w:vAlign w:val="center"/>
            <w:hideMark/>
          </w:tcPr>
          <w:p w14:paraId="622C0B7F"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4EC1E27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F1A25E7" w14:textId="77777777" w:rsidR="00DC5EC6" w:rsidRDefault="003245A4">
            <w:pPr>
              <w:pStyle w:val="P68B1DB1-Normal23"/>
              <w:spacing w:after="0"/>
              <w:jc w:val="both"/>
              <w:rPr>
                <w:rFonts w:eastAsia="Calibri" w:cs="Calibri"/>
                <w:noProof/>
              </w:rPr>
            </w:pPr>
            <w:r>
              <w:rPr>
                <w:noProof/>
              </w:rPr>
              <w:t>Digitális kereskedelmi szomszédság</w:t>
            </w:r>
          </w:p>
        </w:tc>
      </w:tr>
      <w:tr w:rsidR="00DC5EC6" w14:paraId="0F22019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BE349D" w14:textId="77777777" w:rsidR="00DC5EC6" w:rsidRDefault="003245A4">
            <w:pPr>
              <w:pStyle w:val="P68B1DB1-Normal23"/>
              <w:spacing w:after="0"/>
              <w:jc w:val="center"/>
              <w:rPr>
                <w:rFonts w:eastAsia="Calibri" w:cs="Calibri"/>
                <w:noProof/>
              </w:rPr>
            </w:pPr>
            <w:r>
              <w:rPr>
                <w:noProof/>
              </w:rPr>
              <w:t>16.10</w:t>
            </w:r>
          </w:p>
        </w:tc>
        <w:tc>
          <w:tcPr>
            <w:tcW w:w="1760" w:type="dxa"/>
            <w:tcBorders>
              <w:top w:val="nil"/>
              <w:left w:val="nil"/>
              <w:bottom w:val="single" w:sz="4" w:space="0" w:color="auto"/>
              <w:right w:val="single" w:sz="4" w:space="0" w:color="auto"/>
            </w:tcBorders>
            <w:shd w:val="clear" w:color="auto" w:fill="C4EFCE"/>
            <w:vAlign w:val="center"/>
            <w:hideMark/>
          </w:tcPr>
          <w:p w14:paraId="7EF5440C"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2240787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5A7407" w14:textId="77777777" w:rsidR="00DC5EC6" w:rsidRDefault="003245A4">
            <w:pPr>
              <w:pStyle w:val="P68B1DB1-Normal23"/>
              <w:spacing w:after="0"/>
              <w:jc w:val="both"/>
              <w:rPr>
                <w:rFonts w:eastAsia="Calibri" w:cs="Calibri"/>
                <w:noProof/>
              </w:rPr>
            </w:pPr>
            <w:r>
              <w:rPr>
                <w:noProof/>
              </w:rPr>
              <w:t>A digitális kereskedelem akcelerátorai által támogatott kkv-k</w:t>
            </w:r>
          </w:p>
        </w:tc>
      </w:tr>
      <w:tr w:rsidR="00DC5EC6" w14:paraId="395EF5A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6A4D268" w14:textId="77777777" w:rsidR="00DC5EC6" w:rsidRDefault="003245A4">
            <w:pPr>
              <w:pStyle w:val="P68B1DB1-Normal23"/>
              <w:spacing w:after="0"/>
              <w:jc w:val="center"/>
              <w:rPr>
                <w:rFonts w:eastAsia="Calibri" w:cs="Calibri"/>
                <w:noProof/>
              </w:rPr>
            </w:pPr>
            <w:r>
              <w:rPr>
                <w:noProof/>
              </w:rPr>
              <w:t>16.11</w:t>
            </w:r>
          </w:p>
        </w:tc>
        <w:tc>
          <w:tcPr>
            <w:tcW w:w="1760" w:type="dxa"/>
            <w:tcBorders>
              <w:top w:val="nil"/>
              <w:left w:val="nil"/>
              <w:bottom w:val="single" w:sz="4" w:space="0" w:color="auto"/>
              <w:right w:val="single" w:sz="4" w:space="0" w:color="auto"/>
            </w:tcBorders>
            <w:shd w:val="clear" w:color="auto" w:fill="C4EFCE"/>
            <w:vAlign w:val="center"/>
            <w:hideMark/>
          </w:tcPr>
          <w:p w14:paraId="1C28A89D"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5ED957C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09C888" w14:textId="77777777" w:rsidR="00DC5EC6" w:rsidRDefault="003245A4">
            <w:pPr>
              <w:pStyle w:val="P68B1DB1-Normal23"/>
              <w:spacing w:after="0"/>
              <w:jc w:val="both"/>
              <w:rPr>
                <w:rFonts w:eastAsia="Calibri" w:cs="Calibri"/>
                <w:noProof/>
              </w:rPr>
            </w:pPr>
            <w:r>
              <w:rPr>
                <w:noProof/>
              </w:rPr>
              <w:t>A digitalizációs programok által közvetlenül támogatott kkv-k és induló innovatív vállalkozások inkubátorházak</w:t>
            </w:r>
          </w:p>
        </w:tc>
      </w:tr>
      <w:tr w:rsidR="00DC5EC6" w14:paraId="2F2CE55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03D9BF" w14:textId="77777777" w:rsidR="00DC5EC6" w:rsidRDefault="003245A4">
            <w:pPr>
              <w:pStyle w:val="P68B1DB1-Normal23"/>
              <w:spacing w:after="0"/>
              <w:jc w:val="center"/>
              <w:rPr>
                <w:rFonts w:eastAsia="Calibri" w:cs="Calibri"/>
                <w:noProof/>
              </w:rPr>
            </w:pPr>
            <w:r>
              <w:rPr>
                <w:noProof/>
              </w:rPr>
              <w:t>16.12</w:t>
            </w:r>
          </w:p>
        </w:tc>
        <w:tc>
          <w:tcPr>
            <w:tcW w:w="1760" w:type="dxa"/>
            <w:tcBorders>
              <w:top w:val="nil"/>
              <w:left w:val="nil"/>
              <w:bottom w:val="single" w:sz="4" w:space="0" w:color="auto"/>
              <w:right w:val="single" w:sz="4" w:space="0" w:color="auto"/>
            </w:tcBorders>
            <w:shd w:val="clear" w:color="auto" w:fill="C4EFCE"/>
            <w:vAlign w:val="center"/>
            <w:hideMark/>
          </w:tcPr>
          <w:p w14:paraId="2DC53D71" w14:textId="77777777" w:rsidR="00DC5EC6" w:rsidRDefault="003245A4">
            <w:pPr>
              <w:pStyle w:val="P68B1DB1-Normal23"/>
              <w:spacing w:after="0"/>
              <w:jc w:val="center"/>
              <w:rPr>
                <w:rFonts w:eastAsia="Calibri" w:cs="Calibri"/>
                <w:noProof/>
              </w:rPr>
            </w:pPr>
            <w:r>
              <w:rPr>
                <w:noProof/>
              </w:rPr>
              <w:t>TD-C16-i02</w:t>
            </w:r>
          </w:p>
        </w:tc>
        <w:tc>
          <w:tcPr>
            <w:tcW w:w="1520" w:type="dxa"/>
            <w:tcBorders>
              <w:top w:val="nil"/>
              <w:left w:val="nil"/>
              <w:bottom w:val="single" w:sz="4" w:space="0" w:color="auto"/>
              <w:right w:val="single" w:sz="4" w:space="0" w:color="auto"/>
            </w:tcBorders>
            <w:shd w:val="clear" w:color="auto" w:fill="C4EFCE"/>
            <w:vAlign w:val="center"/>
            <w:hideMark/>
          </w:tcPr>
          <w:p w14:paraId="02D2F5B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2922E7" w14:textId="77777777" w:rsidR="00DC5EC6" w:rsidRDefault="003245A4">
            <w:pPr>
              <w:pStyle w:val="P68B1DB1-Normal23"/>
              <w:spacing w:after="0"/>
              <w:jc w:val="both"/>
              <w:rPr>
                <w:rFonts w:eastAsia="Calibri" w:cs="Calibri"/>
                <w:noProof/>
              </w:rPr>
            </w:pPr>
            <w:r>
              <w:rPr>
                <w:noProof/>
              </w:rPr>
              <w:t>Az induló innovatív vállalkozások feltérképezése a Startup Portugal platformján</w:t>
            </w:r>
          </w:p>
        </w:tc>
      </w:tr>
      <w:tr w:rsidR="00DC5EC6" w14:paraId="1185F1D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662678" w14:textId="77777777" w:rsidR="00DC5EC6" w:rsidRDefault="003245A4">
            <w:pPr>
              <w:pStyle w:val="P68B1DB1-Normal23"/>
              <w:spacing w:after="0"/>
              <w:jc w:val="center"/>
              <w:rPr>
                <w:rFonts w:eastAsia="Calibri" w:cs="Calibri"/>
                <w:noProof/>
              </w:rPr>
            </w:pPr>
            <w:r>
              <w:rPr>
                <w:noProof/>
              </w:rPr>
              <w:t>16.15</w:t>
            </w:r>
          </w:p>
        </w:tc>
        <w:tc>
          <w:tcPr>
            <w:tcW w:w="1760" w:type="dxa"/>
            <w:tcBorders>
              <w:top w:val="nil"/>
              <w:left w:val="nil"/>
              <w:bottom w:val="single" w:sz="4" w:space="0" w:color="auto"/>
              <w:right w:val="single" w:sz="4" w:space="0" w:color="auto"/>
            </w:tcBorders>
            <w:shd w:val="clear" w:color="auto" w:fill="C4EFCE"/>
            <w:vAlign w:val="center"/>
            <w:hideMark/>
          </w:tcPr>
          <w:p w14:paraId="31DEC5D3" w14:textId="77777777" w:rsidR="00DC5EC6" w:rsidRDefault="003245A4">
            <w:pPr>
              <w:pStyle w:val="P68B1DB1-Normal23"/>
              <w:spacing w:after="0"/>
              <w:jc w:val="center"/>
              <w:rPr>
                <w:rFonts w:eastAsia="Calibri" w:cs="Calibri"/>
                <w:noProof/>
              </w:rPr>
            </w:pPr>
            <w:r>
              <w:rPr>
                <w:noProof/>
              </w:rPr>
              <w:t>TD-C16-i03</w:t>
            </w:r>
          </w:p>
        </w:tc>
        <w:tc>
          <w:tcPr>
            <w:tcW w:w="1520" w:type="dxa"/>
            <w:tcBorders>
              <w:top w:val="nil"/>
              <w:left w:val="nil"/>
              <w:bottom w:val="single" w:sz="4" w:space="0" w:color="auto"/>
              <w:right w:val="single" w:sz="4" w:space="0" w:color="auto"/>
            </w:tcBorders>
            <w:shd w:val="clear" w:color="auto" w:fill="C4EFCE"/>
            <w:vAlign w:val="center"/>
            <w:hideMark/>
          </w:tcPr>
          <w:p w14:paraId="4A580FA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5CADD8" w14:textId="77777777" w:rsidR="00DC5EC6" w:rsidRDefault="003245A4">
            <w:pPr>
              <w:pStyle w:val="P68B1DB1-Normal23"/>
              <w:spacing w:after="0"/>
              <w:jc w:val="both"/>
              <w:rPr>
                <w:rFonts w:eastAsia="Calibri" w:cs="Calibri"/>
                <w:noProof/>
              </w:rPr>
            </w:pPr>
            <w:r>
              <w:rPr>
                <w:noProof/>
              </w:rPr>
              <w:t>A digitális innovációs központok tanácsadási szolgáltatásainak kedvezményezettjei</w:t>
            </w:r>
          </w:p>
        </w:tc>
      </w:tr>
      <w:tr w:rsidR="00DC5EC6" w14:paraId="161C3A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A9B8BB0" w14:textId="77777777" w:rsidR="00DC5EC6" w:rsidRDefault="003245A4">
            <w:pPr>
              <w:pStyle w:val="P68B1DB1-Normal23"/>
              <w:spacing w:after="0"/>
              <w:jc w:val="center"/>
              <w:rPr>
                <w:rFonts w:eastAsia="Calibri" w:cs="Calibri"/>
                <w:noProof/>
              </w:rPr>
            </w:pPr>
            <w:r>
              <w:rPr>
                <w:noProof/>
              </w:rPr>
              <w:t>16.17</w:t>
            </w:r>
          </w:p>
        </w:tc>
        <w:tc>
          <w:tcPr>
            <w:tcW w:w="1760" w:type="dxa"/>
            <w:tcBorders>
              <w:top w:val="nil"/>
              <w:left w:val="nil"/>
              <w:bottom w:val="single" w:sz="4" w:space="0" w:color="auto"/>
              <w:right w:val="single" w:sz="4" w:space="0" w:color="auto"/>
            </w:tcBorders>
            <w:shd w:val="clear" w:color="auto" w:fill="C4EFCE"/>
            <w:vAlign w:val="center"/>
            <w:hideMark/>
          </w:tcPr>
          <w:p w14:paraId="1C4ABCD3" w14:textId="77777777" w:rsidR="00DC5EC6" w:rsidRDefault="003245A4">
            <w:pPr>
              <w:pStyle w:val="P68B1DB1-Normal23"/>
              <w:spacing w:after="0"/>
              <w:jc w:val="center"/>
              <w:rPr>
                <w:rFonts w:eastAsia="Calibri" w:cs="Calibri"/>
                <w:noProof/>
              </w:rPr>
            </w:pPr>
            <w:r>
              <w:rPr>
                <w:noProof/>
              </w:rPr>
              <w:t>TD-C16-i04</w:t>
            </w:r>
          </w:p>
        </w:tc>
        <w:tc>
          <w:tcPr>
            <w:tcW w:w="1520" w:type="dxa"/>
            <w:tcBorders>
              <w:top w:val="nil"/>
              <w:left w:val="nil"/>
              <w:bottom w:val="single" w:sz="4" w:space="0" w:color="auto"/>
              <w:right w:val="single" w:sz="4" w:space="0" w:color="auto"/>
            </w:tcBorders>
            <w:shd w:val="clear" w:color="auto" w:fill="C4EFCE"/>
            <w:vAlign w:val="center"/>
            <w:hideMark/>
          </w:tcPr>
          <w:p w14:paraId="7A3AB4F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93DE237" w14:textId="77777777" w:rsidR="00DC5EC6" w:rsidRDefault="003245A4">
            <w:pPr>
              <w:pStyle w:val="P68B1DB1-Normal23"/>
              <w:spacing w:after="0"/>
              <w:jc w:val="both"/>
              <w:rPr>
                <w:rFonts w:eastAsia="Calibri" w:cs="Calibri"/>
                <w:noProof/>
              </w:rPr>
            </w:pPr>
            <w:r>
              <w:rPr>
                <w:noProof/>
              </w:rPr>
              <w:t>Az „Ipar 4.0” projektek lezárása</w:t>
            </w:r>
          </w:p>
        </w:tc>
      </w:tr>
      <w:tr w:rsidR="00DC5EC6" w14:paraId="2775448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C8F97AC" w14:textId="77777777" w:rsidR="00DC5EC6" w:rsidRDefault="003245A4">
            <w:pPr>
              <w:pStyle w:val="P68B1DB1-Normal23"/>
              <w:spacing w:after="0"/>
              <w:jc w:val="center"/>
              <w:rPr>
                <w:rFonts w:eastAsia="Calibri" w:cs="Calibri"/>
                <w:noProof/>
              </w:rPr>
            </w:pPr>
            <w:r>
              <w:rPr>
                <w:noProof/>
              </w:rPr>
              <w:t>16.20</w:t>
            </w:r>
          </w:p>
        </w:tc>
        <w:tc>
          <w:tcPr>
            <w:tcW w:w="1760" w:type="dxa"/>
            <w:tcBorders>
              <w:top w:val="nil"/>
              <w:left w:val="nil"/>
              <w:bottom w:val="single" w:sz="4" w:space="0" w:color="auto"/>
              <w:right w:val="single" w:sz="4" w:space="0" w:color="auto"/>
            </w:tcBorders>
            <w:shd w:val="clear" w:color="auto" w:fill="C4EFCE"/>
            <w:vAlign w:val="center"/>
            <w:hideMark/>
          </w:tcPr>
          <w:p w14:paraId="6BBA6CB6" w14:textId="42406519" w:rsidR="00DC5EC6" w:rsidRDefault="003245A4">
            <w:pPr>
              <w:pStyle w:val="P68B1DB1-Normal23"/>
              <w:spacing w:after="0"/>
              <w:jc w:val="center"/>
              <w:rPr>
                <w:rFonts w:eastAsia="Calibri" w:cs="Calibri"/>
                <w:noProof/>
              </w:rPr>
            </w:pPr>
            <w:r>
              <w:rPr>
                <w:noProof/>
              </w:rPr>
              <w:t>TD-C16-i06-RAM</w:t>
            </w:r>
          </w:p>
        </w:tc>
        <w:tc>
          <w:tcPr>
            <w:tcW w:w="1520" w:type="dxa"/>
            <w:tcBorders>
              <w:top w:val="nil"/>
              <w:left w:val="nil"/>
              <w:bottom w:val="single" w:sz="4" w:space="0" w:color="auto"/>
              <w:right w:val="single" w:sz="4" w:space="0" w:color="auto"/>
            </w:tcBorders>
            <w:shd w:val="clear" w:color="auto" w:fill="C4EFCE"/>
            <w:vAlign w:val="center"/>
            <w:hideMark/>
          </w:tcPr>
          <w:p w14:paraId="69E96A0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A95FF70" w14:textId="3BE1C11E" w:rsidR="00DC5EC6" w:rsidRDefault="003245A4">
            <w:pPr>
              <w:pStyle w:val="P68B1DB1-Normal23"/>
              <w:spacing w:after="0"/>
              <w:jc w:val="both"/>
              <w:rPr>
                <w:rFonts w:eastAsia="Calibri" w:cs="Calibri"/>
                <w:noProof/>
              </w:rPr>
            </w:pPr>
            <w:r>
              <w:rPr>
                <w:noProof/>
              </w:rPr>
              <w:t>Vállalkozás 4.0</w:t>
            </w:r>
          </w:p>
        </w:tc>
      </w:tr>
      <w:tr w:rsidR="00DC5EC6" w14:paraId="5F8D113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8D3BF65" w14:textId="77777777" w:rsidR="00DC5EC6" w:rsidRDefault="003245A4">
            <w:pPr>
              <w:pStyle w:val="P68B1DB1-Normal23"/>
              <w:spacing w:after="0"/>
              <w:jc w:val="center"/>
              <w:rPr>
                <w:rFonts w:eastAsia="Calibri" w:cs="Calibri"/>
                <w:noProof/>
              </w:rPr>
            </w:pPr>
            <w:r>
              <w:rPr>
                <w:noProof/>
              </w:rPr>
              <w:t>17.4</w:t>
            </w:r>
          </w:p>
        </w:tc>
        <w:tc>
          <w:tcPr>
            <w:tcW w:w="1760" w:type="dxa"/>
            <w:tcBorders>
              <w:top w:val="nil"/>
              <w:left w:val="nil"/>
              <w:bottom w:val="single" w:sz="4" w:space="0" w:color="auto"/>
              <w:right w:val="single" w:sz="4" w:space="0" w:color="auto"/>
            </w:tcBorders>
            <w:shd w:val="clear" w:color="auto" w:fill="C4EFCE"/>
            <w:vAlign w:val="center"/>
            <w:hideMark/>
          </w:tcPr>
          <w:p w14:paraId="4E626E4A" w14:textId="77777777" w:rsidR="00DC5EC6" w:rsidRDefault="003245A4">
            <w:pPr>
              <w:pStyle w:val="P68B1DB1-Normal23"/>
              <w:spacing w:after="0"/>
              <w:jc w:val="center"/>
              <w:rPr>
                <w:rFonts w:eastAsia="Calibri" w:cs="Calibri"/>
                <w:noProof/>
              </w:rPr>
            </w:pPr>
            <w:r>
              <w:rPr>
                <w:noProof/>
              </w:rPr>
              <w:t>TD-C17-r32</w:t>
            </w:r>
          </w:p>
        </w:tc>
        <w:tc>
          <w:tcPr>
            <w:tcW w:w="1520" w:type="dxa"/>
            <w:tcBorders>
              <w:top w:val="nil"/>
              <w:left w:val="nil"/>
              <w:bottom w:val="single" w:sz="4" w:space="0" w:color="auto"/>
              <w:right w:val="single" w:sz="4" w:space="0" w:color="auto"/>
            </w:tcBorders>
            <w:shd w:val="clear" w:color="auto" w:fill="C4EFCE"/>
            <w:vAlign w:val="center"/>
            <w:hideMark/>
          </w:tcPr>
          <w:p w14:paraId="312DFC9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40731E" w14:textId="77777777" w:rsidR="00DC5EC6" w:rsidRDefault="003245A4">
            <w:pPr>
              <w:pStyle w:val="P68B1DB1-Normal23"/>
              <w:spacing w:after="0"/>
              <w:jc w:val="both"/>
              <w:rPr>
                <w:rFonts w:eastAsia="Calibri" w:cs="Calibri"/>
                <w:noProof/>
              </w:rPr>
            </w:pPr>
            <w:r>
              <w:rPr>
                <w:noProof/>
              </w:rPr>
              <w:t>A programköltségvetés költségszámítási modelljének elfogadása</w:t>
            </w:r>
          </w:p>
        </w:tc>
      </w:tr>
      <w:tr w:rsidR="00DC5EC6" w14:paraId="28486F34"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41D9C06C" w14:textId="77777777" w:rsidR="00DC5EC6" w:rsidRDefault="003245A4">
            <w:pPr>
              <w:pStyle w:val="P68B1DB1-Normal23"/>
              <w:spacing w:after="0"/>
              <w:jc w:val="center"/>
              <w:rPr>
                <w:rFonts w:eastAsia="Calibri" w:cs="Calibri"/>
                <w:noProof/>
              </w:rPr>
            </w:pPr>
            <w:r>
              <w:rPr>
                <w:noProof/>
              </w:rPr>
              <w:t>17.8</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59B7C27A" w14:textId="77777777" w:rsidR="00DC5EC6" w:rsidRDefault="003245A4">
            <w:pPr>
              <w:pStyle w:val="P68B1DB1-Normal23"/>
              <w:spacing w:after="0"/>
              <w:jc w:val="center"/>
              <w:rPr>
                <w:rFonts w:eastAsia="Calibri" w:cs="Calibri"/>
                <w:noProof/>
              </w:rPr>
            </w:pPr>
            <w:r>
              <w:rPr>
                <w:noProof/>
              </w:rPr>
              <w:t>TD-C17-r32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79ACBAF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28D0D69" w14:textId="77777777" w:rsidR="00DC5EC6" w:rsidRDefault="003245A4">
            <w:pPr>
              <w:pStyle w:val="P68B1DB1-Normal23"/>
              <w:spacing w:after="0"/>
              <w:jc w:val="both"/>
              <w:rPr>
                <w:rFonts w:eastAsia="Calibri" w:cs="Calibri"/>
                <w:noProof/>
              </w:rPr>
            </w:pPr>
            <w:r>
              <w:rPr>
                <w:noProof/>
              </w:rPr>
              <w:t>A pénzügyminiszter és az illetékes miniszter(ek) által következetesen jóváhagyott állami tulajdonú vállalatok költségvetési és tevékenységi terveinek száma</w:t>
            </w:r>
          </w:p>
        </w:tc>
      </w:tr>
      <w:tr w:rsidR="00DC5EC6" w14:paraId="0FFE3D6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DEF3AE" w14:textId="77777777" w:rsidR="00DC5EC6" w:rsidRDefault="003245A4">
            <w:pPr>
              <w:pStyle w:val="P68B1DB1-Normal23"/>
              <w:spacing w:after="0"/>
              <w:jc w:val="center"/>
              <w:rPr>
                <w:rFonts w:eastAsia="Calibri" w:cs="Calibri"/>
                <w:noProof/>
              </w:rPr>
            </w:pPr>
            <w:r>
              <w:rPr>
                <w:noProof/>
              </w:rPr>
              <w:t>17.11</w:t>
            </w:r>
          </w:p>
        </w:tc>
        <w:tc>
          <w:tcPr>
            <w:tcW w:w="1760" w:type="dxa"/>
            <w:tcBorders>
              <w:top w:val="nil"/>
              <w:left w:val="nil"/>
              <w:bottom w:val="single" w:sz="4" w:space="0" w:color="auto"/>
              <w:right w:val="single" w:sz="4" w:space="0" w:color="auto"/>
            </w:tcBorders>
            <w:shd w:val="clear" w:color="auto" w:fill="C4EFCE"/>
            <w:vAlign w:val="center"/>
            <w:hideMark/>
          </w:tcPr>
          <w:p w14:paraId="6D375996" w14:textId="77777777" w:rsidR="00DC5EC6" w:rsidRDefault="003245A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7F74C79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E1A3F61" w14:textId="77777777" w:rsidR="00DC5EC6" w:rsidRDefault="003245A4">
            <w:pPr>
              <w:pStyle w:val="P68B1DB1-Normal23"/>
              <w:spacing w:after="0"/>
              <w:jc w:val="both"/>
              <w:rPr>
                <w:rFonts w:eastAsia="Calibri" w:cs="Calibri"/>
                <w:noProof/>
              </w:rPr>
            </w:pPr>
            <w:r>
              <w:rPr>
                <w:noProof/>
              </w:rPr>
              <w:t>A költségvetési és pénzügyi ellenőrzés új modelljét támogató információs rendszer működésbe lépése</w:t>
            </w:r>
          </w:p>
        </w:tc>
      </w:tr>
      <w:tr w:rsidR="00DC5EC6" w14:paraId="4E7B346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785CDF1" w14:textId="77777777" w:rsidR="00DC5EC6" w:rsidRDefault="003245A4">
            <w:pPr>
              <w:pStyle w:val="P68B1DB1-Normal23"/>
              <w:spacing w:after="0"/>
              <w:jc w:val="center"/>
              <w:rPr>
                <w:rFonts w:eastAsia="Calibri" w:cs="Calibri"/>
                <w:noProof/>
              </w:rPr>
            </w:pPr>
            <w:r>
              <w:rPr>
                <w:noProof/>
              </w:rPr>
              <w:t>17.14</w:t>
            </w:r>
          </w:p>
        </w:tc>
        <w:tc>
          <w:tcPr>
            <w:tcW w:w="1760" w:type="dxa"/>
            <w:tcBorders>
              <w:top w:val="nil"/>
              <w:left w:val="nil"/>
              <w:bottom w:val="single" w:sz="4" w:space="0" w:color="auto"/>
              <w:right w:val="single" w:sz="4" w:space="0" w:color="auto"/>
            </w:tcBorders>
            <w:shd w:val="clear" w:color="auto" w:fill="C4EFCE"/>
            <w:vAlign w:val="center"/>
            <w:hideMark/>
          </w:tcPr>
          <w:p w14:paraId="533A5B42" w14:textId="77777777" w:rsidR="00DC5EC6" w:rsidRDefault="003245A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00CBE27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BFA39" w14:textId="77777777" w:rsidR="00DC5EC6" w:rsidRDefault="003245A4">
            <w:pPr>
              <w:pStyle w:val="P68B1DB1-Normal23"/>
              <w:spacing w:after="0"/>
              <w:jc w:val="both"/>
              <w:rPr>
                <w:rFonts w:eastAsia="Calibri" w:cs="Calibri"/>
                <w:noProof/>
              </w:rPr>
            </w:pPr>
            <w:r>
              <w:rPr>
                <w:noProof/>
              </w:rPr>
              <w:t>A biztonsági műveleti központ megvalósításának befejezése</w:t>
            </w:r>
          </w:p>
        </w:tc>
      </w:tr>
      <w:tr w:rsidR="00DC5EC6" w14:paraId="2825FB9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79519C8" w14:textId="77777777" w:rsidR="00DC5EC6" w:rsidRDefault="003245A4">
            <w:pPr>
              <w:pStyle w:val="P68B1DB1-Normal23"/>
              <w:spacing w:after="0"/>
              <w:jc w:val="center"/>
              <w:rPr>
                <w:rFonts w:eastAsia="Calibri" w:cs="Calibri"/>
                <w:noProof/>
              </w:rPr>
            </w:pPr>
            <w:r>
              <w:rPr>
                <w:noProof/>
              </w:rPr>
              <w:t>17.16</w:t>
            </w:r>
          </w:p>
        </w:tc>
        <w:tc>
          <w:tcPr>
            <w:tcW w:w="1760" w:type="dxa"/>
            <w:tcBorders>
              <w:top w:val="nil"/>
              <w:left w:val="nil"/>
              <w:bottom w:val="single" w:sz="4" w:space="0" w:color="auto"/>
              <w:right w:val="single" w:sz="4" w:space="0" w:color="auto"/>
            </w:tcBorders>
            <w:shd w:val="clear" w:color="auto" w:fill="C4EFCE"/>
            <w:vAlign w:val="center"/>
            <w:hideMark/>
          </w:tcPr>
          <w:p w14:paraId="5E0AFA27" w14:textId="77777777" w:rsidR="00DC5EC6" w:rsidRDefault="003245A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62B849B"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E8B115D" w14:textId="77777777" w:rsidR="00DC5EC6" w:rsidRDefault="003245A4">
            <w:pPr>
              <w:pStyle w:val="P68B1DB1-Normal23"/>
              <w:spacing w:after="0"/>
              <w:jc w:val="both"/>
              <w:rPr>
                <w:rFonts w:eastAsia="Calibri" w:cs="Calibri"/>
                <w:noProof/>
              </w:rPr>
            </w:pPr>
            <w:r>
              <w:rPr>
                <w:noProof/>
              </w:rPr>
              <w:t>A vidéki ingatlanok egyszerűsített értékelését támogató információs rendszer végleges változatának biztosítása és működőképessé tétele</w:t>
            </w:r>
          </w:p>
        </w:tc>
      </w:tr>
      <w:tr w:rsidR="00DC5EC6" w14:paraId="54C1C6B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30E143" w14:textId="77777777" w:rsidR="00DC5EC6" w:rsidRDefault="003245A4">
            <w:pPr>
              <w:pStyle w:val="P68B1DB1-Normal23"/>
              <w:spacing w:after="0"/>
              <w:jc w:val="center"/>
              <w:rPr>
                <w:rFonts w:eastAsia="Calibri" w:cs="Calibri"/>
                <w:noProof/>
              </w:rPr>
            </w:pPr>
            <w:r>
              <w:rPr>
                <w:noProof/>
              </w:rPr>
              <w:t>17.17</w:t>
            </w:r>
          </w:p>
        </w:tc>
        <w:tc>
          <w:tcPr>
            <w:tcW w:w="1760" w:type="dxa"/>
            <w:tcBorders>
              <w:top w:val="nil"/>
              <w:left w:val="nil"/>
              <w:bottom w:val="single" w:sz="4" w:space="0" w:color="auto"/>
              <w:right w:val="single" w:sz="4" w:space="0" w:color="auto"/>
            </w:tcBorders>
            <w:shd w:val="clear" w:color="auto" w:fill="C4EFCE"/>
            <w:vAlign w:val="center"/>
            <w:hideMark/>
          </w:tcPr>
          <w:p w14:paraId="723E9D48" w14:textId="77777777" w:rsidR="00DC5EC6" w:rsidRDefault="003245A4">
            <w:pPr>
              <w:pStyle w:val="P68B1DB1-Normal23"/>
              <w:spacing w:after="0"/>
              <w:jc w:val="center"/>
              <w:rPr>
                <w:rFonts w:eastAsia="Calibri" w:cs="Calibri"/>
                <w:noProof/>
              </w:rPr>
            </w:pPr>
            <w:r>
              <w:rPr>
                <w:noProof/>
              </w:rPr>
              <w:t>TD-C17-i02</w:t>
            </w:r>
          </w:p>
        </w:tc>
        <w:tc>
          <w:tcPr>
            <w:tcW w:w="1520" w:type="dxa"/>
            <w:tcBorders>
              <w:top w:val="nil"/>
              <w:left w:val="nil"/>
              <w:bottom w:val="single" w:sz="4" w:space="0" w:color="auto"/>
              <w:right w:val="single" w:sz="4" w:space="0" w:color="auto"/>
            </w:tcBorders>
            <w:shd w:val="clear" w:color="auto" w:fill="C4EFCE"/>
            <w:vAlign w:val="center"/>
            <w:hideMark/>
          </w:tcPr>
          <w:p w14:paraId="6724BA1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048DD5" w14:textId="77777777" w:rsidR="00DC5EC6" w:rsidRDefault="003245A4">
            <w:pPr>
              <w:pStyle w:val="P68B1DB1-Normal23"/>
              <w:spacing w:after="0"/>
              <w:jc w:val="both"/>
              <w:rPr>
                <w:rFonts w:eastAsia="Calibri" w:cs="Calibri"/>
                <w:noProof/>
              </w:rPr>
            </w:pPr>
            <w:r>
              <w:rPr>
                <w:noProof/>
              </w:rPr>
              <w:t>A vidéki ingatlanok gazdasági potenciáljának edafo-klimato-morfológiai (talaj- és éghajlat-) jellemzésének és értékelésének befejezése</w:t>
            </w:r>
          </w:p>
        </w:tc>
      </w:tr>
      <w:tr w:rsidR="00DC5EC6" w14:paraId="3DB5C5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F07BD9" w14:textId="77777777" w:rsidR="00DC5EC6" w:rsidRDefault="003245A4">
            <w:pPr>
              <w:pStyle w:val="P68B1DB1-Normal23"/>
              <w:spacing w:after="0"/>
              <w:jc w:val="center"/>
              <w:rPr>
                <w:rFonts w:eastAsia="Calibri" w:cs="Calibri"/>
                <w:noProof/>
              </w:rPr>
            </w:pPr>
            <w:r>
              <w:rPr>
                <w:noProof/>
              </w:rPr>
              <w:t>17.18</w:t>
            </w:r>
          </w:p>
        </w:tc>
        <w:tc>
          <w:tcPr>
            <w:tcW w:w="1760" w:type="dxa"/>
            <w:tcBorders>
              <w:top w:val="nil"/>
              <w:left w:val="nil"/>
              <w:bottom w:val="single" w:sz="4" w:space="0" w:color="auto"/>
              <w:right w:val="single" w:sz="4" w:space="0" w:color="auto"/>
            </w:tcBorders>
            <w:shd w:val="clear" w:color="auto" w:fill="C4EFCE"/>
            <w:vAlign w:val="center"/>
            <w:hideMark/>
          </w:tcPr>
          <w:p w14:paraId="2CCBFDDD" w14:textId="77777777" w:rsidR="00DC5EC6" w:rsidRDefault="003245A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28D6CC7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36DFDFD" w14:textId="77777777" w:rsidR="00DC5EC6" w:rsidRDefault="003245A4">
            <w:pPr>
              <w:pStyle w:val="P68B1DB1-Normal23"/>
              <w:spacing w:after="0"/>
              <w:jc w:val="both"/>
              <w:rPr>
                <w:rFonts w:eastAsia="Calibri" w:cs="Calibri"/>
                <w:noProof/>
              </w:rPr>
            </w:pPr>
            <w:r>
              <w:rPr>
                <w:noProof/>
              </w:rPr>
              <w:t>A Segurança Social Direta weboldal funkcióinak bővítése öt új online szolgáltatás hozzáadásával</w:t>
            </w:r>
          </w:p>
        </w:tc>
      </w:tr>
      <w:tr w:rsidR="00DC5EC6" w14:paraId="47DDC2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5A2944" w14:textId="77777777" w:rsidR="00DC5EC6" w:rsidRDefault="003245A4">
            <w:pPr>
              <w:pStyle w:val="P68B1DB1-Normal23"/>
              <w:spacing w:after="0"/>
              <w:jc w:val="center"/>
              <w:rPr>
                <w:rFonts w:eastAsia="Calibri" w:cs="Calibri"/>
                <w:noProof/>
              </w:rPr>
            </w:pPr>
            <w:r>
              <w:rPr>
                <w:noProof/>
              </w:rPr>
              <w:t>17.19</w:t>
            </w:r>
          </w:p>
        </w:tc>
        <w:tc>
          <w:tcPr>
            <w:tcW w:w="1760" w:type="dxa"/>
            <w:tcBorders>
              <w:top w:val="nil"/>
              <w:left w:val="nil"/>
              <w:bottom w:val="single" w:sz="4" w:space="0" w:color="auto"/>
              <w:right w:val="single" w:sz="4" w:space="0" w:color="auto"/>
            </w:tcBorders>
            <w:shd w:val="clear" w:color="auto" w:fill="C4EFCE"/>
            <w:vAlign w:val="center"/>
            <w:hideMark/>
          </w:tcPr>
          <w:p w14:paraId="7AEDC7FA" w14:textId="77777777" w:rsidR="00DC5EC6" w:rsidRDefault="003245A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0F1DBD7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F9E549" w14:textId="77777777" w:rsidR="00DC5EC6" w:rsidRDefault="003245A4">
            <w:pPr>
              <w:pStyle w:val="P68B1DB1-Normal23"/>
              <w:spacing w:after="0"/>
              <w:jc w:val="both"/>
              <w:rPr>
                <w:rFonts w:eastAsia="Calibri" w:cs="Calibri"/>
                <w:noProof/>
              </w:rPr>
            </w:pPr>
            <w:r>
              <w:rPr>
                <w:noProof/>
              </w:rPr>
              <w:t>A járulékalapú szociális ellátások nyújtásához szükséges napok átlagos számának 80%-os csökkentése azok esetében, akiknek átlagos folyósítási ideje meghaladja a 10 napot</w:t>
            </w:r>
          </w:p>
        </w:tc>
      </w:tr>
      <w:tr w:rsidR="00DC5EC6" w14:paraId="5B84839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754C84" w14:textId="77777777" w:rsidR="00DC5EC6" w:rsidRDefault="003245A4">
            <w:pPr>
              <w:pStyle w:val="P68B1DB1-Normal23"/>
              <w:spacing w:after="0"/>
              <w:jc w:val="center"/>
              <w:rPr>
                <w:rFonts w:eastAsia="Calibri" w:cs="Calibri"/>
                <w:noProof/>
              </w:rPr>
            </w:pPr>
            <w:r>
              <w:rPr>
                <w:noProof/>
              </w:rPr>
              <w:t>17.20</w:t>
            </w:r>
          </w:p>
        </w:tc>
        <w:tc>
          <w:tcPr>
            <w:tcW w:w="1760" w:type="dxa"/>
            <w:tcBorders>
              <w:top w:val="nil"/>
              <w:left w:val="nil"/>
              <w:bottom w:val="single" w:sz="4" w:space="0" w:color="auto"/>
              <w:right w:val="single" w:sz="4" w:space="0" w:color="auto"/>
            </w:tcBorders>
            <w:shd w:val="clear" w:color="auto" w:fill="C4EFCE"/>
            <w:vAlign w:val="center"/>
            <w:hideMark/>
          </w:tcPr>
          <w:p w14:paraId="2C052451" w14:textId="77777777" w:rsidR="00DC5EC6" w:rsidRDefault="003245A4">
            <w:pPr>
              <w:pStyle w:val="P68B1DB1-Normal23"/>
              <w:spacing w:after="0"/>
              <w:jc w:val="center"/>
              <w:rPr>
                <w:rFonts w:eastAsia="Calibri" w:cs="Calibri"/>
                <w:noProof/>
              </w:rPr>
            </w:pPr>
            <w:r>
              <w:rPr>
                <w:noProof/>
              </w:rPr>
              <w:t>TD-C17-i03</w:t>
            </w:r>
          </w:p>
        </w:tc>
        <w:tc>
          <w:tcPr>
            <w:tcW w:w="1520" w:type="dxa"/>
            <w:tcBorders>
              <w:top w:val="nil"/>
              <w:left w:val="nil"/>
              <w:bottom w:val="single" w:sz="4" w:space="0" w:color="auto"/>
              <w:right w:val="single" w:sz="4" w:space="0" w:color="auto"/>
            </w:tcBorders>
            <w:shd w:val="clear" w:color="auto" w:fill="C4EFCE"/>
            <w:vAlign w:val="center"/>
            <w:hideMark/>
          </w:tcPr>
          <w:p w14:paraId="5C4F126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0814D6F" w14:textId="77777777" w:rsidR="00DC5EC6" w:rsidRDefault="003245A4">
            <w:pPr>
              <w:pStyle w:val="P68B1DB1-Normal23"/>
              <w:spacing w:after="0"/>
              <w:jc w:val="both"/>
              <w:rPr>
                <w:rFonts w:eastAsia="Calibri" w:cs="Calibri"/>
                <w:noProof/>
              </w:rPr>
            </w:pPr>
            <w:r>
              <w:rPr>
                <w:noProof/>
              </w:rPr>
              <w:t>Gépi tanulási folyamatokon alapuló intelligens felügyeleti modellek bevezetése a csalásmegelőzés támogatása érdekében</w:t>
            </w:r>
          </w:p>
        </w:tc>
      </w:tr>
      <w:tr w:rsidR="00DC5EC6" w14:paraId="3EABB5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5BA64F9" w14:textId="77777777" w:rsidR="00DC5EC6" w:rsidRDefault="003245A4">
            <w:pPr>
              <w:pStyle w:val="P68B1DB1-Normal23"/>
              <w:spacing w:after="0"/>
              <w:jc w:val="center"/>
              <w:rPr>
                <w:rFonts w:eastAsia="Calibri" w:cs="Calibri"/>
                <w:noProof/>
              </w:rPr>
            </w:pPr>
            <w:r>
              <w:rPr>
                <w:noProof/>
              </w:rPr>
              <w:t>18.4</w:t>
            </w:r>
          </w:p>
        </w:tc>
        <w:tc>
          <w:tcPr>
            <w:tcW w:w="1760" w:type="dxa"/>
            <w:tcBorders>
              <w:top w:val="nil"/>
              <w:left w:val="nil"/>
              <w:bottom w:val="single" w:sz="4" w:space="0" w:color="auto"/>
              <w:right w:val="single" w:sz="4" w:space="0" w:color="auto"/>
            </w:tcBorders>
            <w:shd w:val="clear" w:color="auto" w:fill="C4EFCE"/>
            <w:vAlign w:val="center"/>
            <w:hideMark/>
          </w:tcPr>
          <w:p w14:paraId="5AC061BF" w14:textId="77777777" w:rsidR="00DC5EC6" w:rsidRDefault="003245A4">
            <w:pPr>
              <w:pStyle w:val="P68B1DB1-Normal23"/>
              <w:spacing w:after="0"/>
              <w:jc w:val="center"/>
              <w:rPr>
                <w:rFonts w:eastAsia="Calibri" w:cs="Calibri"/>
                <w:noProof/>
              </w:rPr>
            </w:pPr>
            <w:r>
              <w:rPr>
                <w:noProof/>
              </w:rPr>
              <w:t>TD-C18-r33</w:t>
            </w:r>
          </w:p>
        </w:tc>
        <w:tc>
          <w:tcPr>
            <w:tcW w:w="1520" w:type="dxa"/>
            <w:tcBorders>
              <w:top w:val="nil"/>
              <w:left w:val="nil"/>
              <w:bottom w:val="single" w:sz="4" w:space="0" w:color="auto"/>
              <w:right w:val="single" w:sz="4" w:space="0" w:color="auto"/>
            </w:tcBorders>
            <w:shd w:val="clear" w:color="auto" w:fill="C4EFCE"/>
            <w:vAlign w:val="center"/>
            <w:hideMark/>
          </w:tcPr>
          <w:p w14:paraId="2172CC8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1E3A34" w14:textId="77777777" w:rsidR="00DC5EC6" w:rsidRDefault="003245A4">
            <w:pPr>
              <w:pStyle w:val="P68B1DB1-Normal23"/>
              <w:spacing w:after="0"/>
              <w:jc w:val="both"/>
              <w:rPr>
                <w:rFonts w:eastAsia="Calibri" w:cs="Calibri"/>
                <w:noProof/>
              </w:rPr>
            </w:pPr>
            <w:r>
              <w:rPr>
                <w:noProof/>
              </w:rPr>
              <w:t>Az engedélyezés akadályainak felszámolásáról szóló jogalkotási csomag és az önkéntes közigazgatási arbitrázs új jogi keretének hatálybalépése</w:t>
            </w:r>
          </w:p>
        </w:tc>
      </w:tr>
      <w:tr w:rsidR="00DC5EC6" w14:paraId="45D451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C6B7728" w14:textId="77777777" w:rsidR="00DC5EC6" w:rsidRDefault="003245A4">
            <w:pPr>
              <w:pStyle w:val="P68B1DB1-Normal23"/>
              <w:spacing w:after="0"/>
              <w:jc w:val="center"/>
              <w:rPr>
                <w:rFonts w:eastAsia="Calibri" w:cs="Calibri"/>
                <w:noProof/>
              </w:rPr>
            </w:pPr>
            <w:r>
              <w:rPr>
                <w:noProof/>
              </w:rPr>
              <w:t>18.7</w:t>
            </w:r>
          </w:p>
        </w:tc>
        <w:tc>
          <w:tcPr>
            <w:tcW w:w="1760" w:type="dxa"/>
            <w:tcBorders>
              <w:top w:val="nil"/>
              <w:left w:val="nil"/>
              <w:bottom w:val="single" w:sz="4" w:space="0" w:color="auto"/>
              <w:right w:val="single" w:sz="4" w:space="0" w:color="auto"/>
            </w:tcBorders>
            <w:shd w:val="clear" w:color="auto" w:fill="C4EFCE"/>
            <w:vAlign w:val="center"/>
            <w:hideMark/>
          </w:tcPr>
          <w:p w14:paraId="21C71E03"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ED722D1"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E5FA1F0" w14:textId="77777777" w:rsidR="00DC5EC6" w:rsidRDefault="003245A4">
            <w:pPr>
              <w:pStyle w:val="P68B1DB1-Normal23"/>
              <w:spacing w:after="0"/>
              <w:jc w:val="both"/>
              <w:rPr>
                <w:rFonts w:eastAsia="Calibri" w:cs="Calibri"/>
                <w:noProof/>
              </w:rPr>
            </w:pPr>
            <w:r>
              <w:rPr>
                <w:noProof/>
              </w:rPr>
              <w:t>Új információs rendszer a bíróságok és az ügyészség digitális átalakulásához</w:t>
            </w:r>
          </w:p>
        </w:tc>
      </w:tr>
      <w:tr w:rsidR="00DC5EC6" w14:paraId="1BD13F4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D40AE85" w14:textId="77777777" w:rsidR="00DC5EC6" w:rsidRDefault="003245A4">
            <w:pPr>
              <w:pStyle w:val="P68B1DB1-Normal23"/>
              <w:spacing w:after="0"/>
              <w:jc w:val="center"/>
              <w:rPr>
                <w:rFonts w:eastAsia="Calibri" w:cs="Calibri"/>
                <w:noProof/>
              </w:rPr>
            </w:pPr>
            <w:r>
              <w:rPr>
                <w:noProof/>
              </w:rPr>
              <w:t>18.8</w:t>
            </w:r>
          </w:p>
        </w:tc>
        <w:tc>
          <w:tcPr>
            <w:tcW w:w="1760" w:type="dxa"/>
            <w:tcBorders>
              <w:top w:val="nil"/>
              <w:left w:val="nil"/>
              <w:bottom w:val="single" w:sz="4" w:space="0" w:color="auto"/>
              <w:right w:val="single" w:sz="4" w:space="0" w:color="auto"/>
            </w:tcBorders>
            <w:shd w:val="clear" w:color="auto" w:fill="C4EFCE"/>
            <w:vAlign w:val="center"/>
            <w:hideMark/>
          </w:tcPr>
          <w:p w14:paraId="35742E8F"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452B02B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E14B786" w14:textId="77777777" w:rsidR="00DC5EC6" w:rsidRDefault="003245A4">
            <w:pPr>
              <w:pStyle w:val="P68B1DB1-Normal23"/>
              <w:spacing w:after="0"/>
              <w:jc w:val="both"/>
              <w:rPr>
                <w:rFonts w:eastAsia="Calibri" w:cs="Calibri"/>
                <w:noProof/>
              </w:rPr>
            </w:pPr>
            <w:r>
              <w:rPr>
                <w:noProof/>
              </w:rPr>
              <w:t>Az új technológiai terv végrehajtása</w:t>
            </w:r>
          </w:p>
        </w:tc>
      </w:tr>
      <w:tr w:rsidR="00DC5EC6" w14:paraId="63D2E9F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74ADEE" w14:textId="77777777" w:rsidR="00DC5EC6" w:rsidRDefault="003245A4">
            <w:pPr>
              <w:pStyle w:val="P68B1DB1-Normal23"/>
              <w:spacing w:after="0"/>
              <w:jc w:val="center"/>
              <w:rPr>
                <w:rFonts w:eastAsia="Calibri" w:cs="Calibri"/>
                <w:noProof/>
              </w:rPr>
            </w:pPr>
            <w:r>
              <w:rPr>
                <w:noProof/>
              </w:rPr>
              <w:t>18.9</w:t>
            </w:r>
          </w:p>
        </w:tc>
        <w:tc>
          <w:tcPr>
            <w:tcW w:w="1760" w:type="dxa"/>
            <w:tcBorders>
              <w:top w:val="nil"/>
              <w:left w:val="nil"/>
              <w:bottom w:val="single" w:sz="4" w:space="0" w:color="auto"/>
              <w:right w:val="single" w:sz="4" w:space="0" w:color="auto"/>
            </w:tcBorders>
            <w:shd w:val="clear" w:color="auto" w:fill="C4EFCE"/>
            <w:vAlign w:val="center"/>
            <w:hideMark/>
          </w:tcPr>
          <w:p w14:paraId="28414CF8" w14:textId="77777777" w:rsidR="00DC5EC6" w:rsidRDefault="003245A4">
            <w:pPr>
              <w:pStyle w:val="P68B1DB1-Normal23"/>
              <w:spacing w:after="0"/>
              <w:jc w:val="center"/>
              <w:rPr>
                <w:rFonts w:eastAsia="Calibri" w:cs="Calibri"/>
                <w:noProof/>
              </w:rPr>
            </w:pPr>
            <w:r>
              <w:rPr>
                <w:noProof/>
              </w:rPr>
              <w:t>TD-C18-i01</w:t>
            </w:r>
          </w:p>
        </w:tc>
        <w:tc>
          <w:tcPr>
            <w:tcW w:w="1520" w:type="dxa"/>
            <w:tcBorders>
              <w:top w:val="nil"/>
              <w:left w:val="nil"/>
              <w:bottom w:val="single" w:sz="4" w:space="0" w:color="auto"/>
              <w:right w:val="single" w:sz="4" w:space="0" w:color="auto"/>
            </w:tcBorders>
            <w:shd w:val="clear" w:color="auto" w:fill="C4EFCE"/>
            <w:vAlign w:val="center"/>
            <w:hideMark/>
          </w:tcPr>
          <w:p w14:paraId="6C3280D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8857B2A" w14:textId="77777777" w:rsidR="00DC5EC6" w:rsidRDefault="003245A4">
            <w:pPr>
              <w:pStyle w:val="P68B1DB1-Normal23"/>
              <w:spacing w:after="0"/>
              <w:jc w:val="both"/>
              <w:rPr>
                <w:rFonts w:eastAsia="Calibri" w:cs="Calibri"/>
                <w:noProof/>
              </w:rPr>
            </w:pPr>
            <w:r>
              <w:rPr>
                <w:noProof/>
              </w:rPr>
              <w:t>Tudásmenedzsment-platformok az igazságszolgáltatásban</w:t>
            </w:r>
          </w:p>
        </w:tc>
      </w:tr>
      <w:tr w:rsidR="00DC5EC6" w14:paraId="31EEFCD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6EEFE" w14:textId="77777777" w:rsidR="00DC5EC6" w:rsidRDefault="003245A4">
            <w:pPr>
              <w:pStyle w:val="P68B1DB1-Normal23"/>
              <w:spacing w:after="0"/>
              <w:jc w:val="center"/>
              <w:rPr>
                <w:rFonts w:eastAsia="Calibri" w:cs="Calibri"/>
                <w:noProof/>
              </w:rPr>
            </w:pPr>
            <w:r>
              <w:rPr>
                <w:noProof/>
              </w:rPr>
              <w:t>19.13</w:t>
            </w:r>
          </w:p>
        </w:tc>
        <w:tc>
          <w:tcPr>
            <w:tcW w:w="1760" w:type="dxa"/>
            <w:tcBorders>
              <w:top w:val="nil"/>
              <w:left w:val="nil"/>
              <w:bottom w:val="single" w:sz="4" w:space="0" w:color="auto"/>
              <w:right w:val="single" w:sz="4" w:space="0" w:color="auto"/>
            </w:tcBorders>
            <w:shd w:val="clear" w:color="auto" w:fill="C4EFCE"/>
            <w:vAlign w:val="center"/>
            <w:hideMark/>
          </w:tcPr>
          <w:p w14:paraId="60EB5193" w14:textId="77777777" w:rsidR="00DC5EC6" w:rsidRDefault="003245A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3EA5634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9DF2DDA" w14:textId="77777777" w:rsidR="00DC5EC6" w:rsidRDefault="003245A4">
            <w:pPr>
              <w:pStyle w:val="P68B1DB1-Normal23"/>
              <w:spacing w:after="0"/>
              <w:jc w:val="both"/>
              <w:rPr>
                <w:rFonts w:eastAsia="Calibri" w:cs="Calibri"/>
                <w:noProof/>
              </w:rPr>
            </w:pPr>
            <w:r>
              <w:rPr>
                <w:noProof/>
              </w:rPr>
              <w:t>A kritikus digitális infrastruktúrák korszerűsítésének befejezése</w:t>
            </w:r>
          </w:p>
        </w:tc>
      </w:tr>
      <w:tr w:rsidR="00DC5EC6" w14:paraId="71D989E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663BCA" w14:textId="77777777" w:rsidR="00DC5EC6" w:rsidRDefault="003245A4">
            <w:pPr>
              <w:pStyle w:val="P68B1DB1-Normal23"/>
              <w:spacing w:after="0"/>
              <w:jc w:val="center"/>
              <w:rPr>
                <w:rFonts w:eastAsia="Calibri" w:cs="Calibri"/>
                <w:noProof/>
              </w:rPr>
            </w:pPr>
            <w:r>
              <w:rPr>
                <w:noProof/>
              </w:rPr>
              <w:t>19.18</w:t>
            </w:r>
          </w:p>
        </w:tc>
        <w:tc>
          <w:tcPr>
            <w:tcW w:w="1760" w:type="dxa"/>
            <w:tcBorders>
              <w:top w:val="nil"/>
              <w:left w:val="nil"/>
              <w:bottom w:val="single" w:sz="4" w:space="0" w:color="auto"/>
              <w:right w:val="single" w:sz="4" w:space="0" w:color="auto"/>
            </w:tcBorders>
            <w:shd w:val="clear" w:color="auto" w:fill="C4EFCE"/>
            <w:vAlign w:val="center"/>
            <w:hideMark/>
          </w:tcPr>
          <w:p w14:paraId="45108801" w14:textId="77777777" w:rsidR="00DC5EC6" w:rsidRDefault="003245A4">
            <w:pPr>
              <w:pStyle w:val="P68B1DB1-Normal23"/>
              <w:spacing w:after="0"/>
              <w:jc w:val="center"/>
              <w:rPr>
                <w:rFonts w:eastAsia="Calibri" w:cs="Calibri"/>
                <w:noProof/>
              </w:rPr>
            </w:pPr>
            <w:r>
              <w:rPr>
                <w:noProof/>
              </w:rPr>
              <w:t>TD-C19-i06-RAA</w:t>
            </w:r>
          </w:p>
        </w:tc>
        <w:tc>
          <w:tcPr>
            <w:tcW w:w="1520" w:type="dxa"/>
            <w:tcBorders>
              <w:top w:val="nil"/>
              <w:left w:val="nil"/>
              <w:bottom w:val="single" w:sz="4" w:space="0" w:color="auto"/>
              <w:right w:val="single" w:sz="4" w:space="0" w:color="auto"/>
            </w:tcBorders>
            <w:shd w:val="clear" w:color="auto" w:fill="C4EFCE"/>
            <w:vAlign w:val="center"/>
            <w:hideMark/>
          </w:tcPr>
          <w:p w14:paraId="263E5D1D"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186F7B4" w14:textId="77777777" w:rsidR="00DC5EC6" w:rsidRDefault="003245A4">
            <w:pPr>
              <w:pStyle w:val="P68B1DB1-Normal23"/>
              <w:spacing w:after="0"/>
              <w:jc w:val="both"/>
              <w:rPr>
                <w:rFonts w:eastAsia="Calibri" w:cs="Calibri"/>
                <w:noProof/>
              </w:rPr>
            </w:pPr>
            <w:r>
              <w:rPr>
                <w:noProof/>
              </w:rPr>
              <w:t>Az ARA regionális közigazgatásának digitalizációja</w:t>
            </w:r>
          </w:p>
        </w:tc>
      </w:tr>
      <w:tr w:rsidR="00DC5EC6" w14:paraId="4826CD0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B869B" w14:textId="77777777" w:rsidR="00DC5EC6" w:rsidRDefault="003245A4">
            <w:pPr>
              <w:pStyle w:val="P68B1DB1-Normal23"/>
              <w:spacing w:after="0"/>
              <w:jc w:val="center"/>
              <w:rPr>
                <w:rFonts w:eastAsia="Calibri" w:cs="Calibri"/>
                <w:noProof/>
              </w:rPr>
            </w:pPr>
            <w:r>
              <w:rPr>
                <w:noProof/>
              </w:rPr>
              <w:t>19.29</w:t>
            </w:r>
          </w:p>
        </w:tc>
        <w:tc>
          <w:tcPr>
            <w:tcW w:w="1760" w:type="dxa"/>
            <w:tcBorders>
              <w:top w:val="nil"/>
              <w:left w:val="nil"/>
              <w:bottom w:val="single" w:sz="4" w:space="0" w:color="auto"/>
              <w:right w:val="single" w:sz="4" w:space="0" w:color="auto"/>
            </w:tcBorders>
            <w:shd w:val="clear" w:color="auto" w:fill="C4EFCE"/>
            <w:vAlign w:val="center"/>
            <w:hideMark/>
          </w:tcPr>
          <w:p w14:paraId="20B7CA8B" w14:textId="5ECEEBAE" w:rsidR="00DC5EC6" w:rsidRDefault="003245A4">
            <w:pPr>
              <w:pStyle w:val="P68B1DB1-Normal23"/>
              <w:spacing w:after="0"/>
              <w:jc w:val="center"/>
              <w:rPr>
                <w:rFonts w:eastAsia="Calibri" w:cs="Calibri"/>
                <w:noProof/>
              </w:rPr>
            </w:pPr>
            <w:r>
              <w:rPr>
                <w:noProof/>
              </w:rPr>
              <w:t>TD-C19i05-RAM</w:t>
            </w:r>
          </w:p>
        </w:tc>
        <w:tc>
          <w:tcPr>
            <w:tcW w:w="1520" w:type="dxa"/>
            <w:tcBorders>
              <w:top w:val="nil"/>
              <w:left w:val="nil"/>
              <w:bottom w:val="single" w:sz="4" w:space="0" w:color="auto"/>
              <w:right w:val="single" w:sz="4" w:space="0" w:color="auto"/>
            </w:tcBorders>
            <w:shd w:val="clear" w:color="auto" w:fill="C4EFCE"/>
            <w:vAlign w:val="center"/>
            <w:hideMark/>
          </w:tcPr>
          <w:p w14:paraId="45E1EEF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9A5E78" w14:textId="77777777" w:rsidR="00DC5EC6" w:rsidRDefault="003245A4">
            <w:pPr>
              <w:pStyle w:val="P68B1DB1-Normal23"/>
              <w:spacing w:after="0"/>
              <w:jc w:val="both"/>
              <w:rPr>
                <w:rFonts w:eastAsia="Calibri" w:cs="Calibri"/>
                <w:noProof/>
              </w:rPr>
            </w:pPr>
            <w:r>
              <w:rPr>
                <w:noProof/>
              </w:rPr>
              <w:t>Központosított adatkezelési megoldás</w:t>
            </w:r>
          </w:p>
        </w:tc>
      </w:tr>
      <w:tr w:rsidR="00DC5EC6" w14:paraId="4F0A919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6A267A" w14:textId="77777777" w:rsidR="00DC5EC6" w:rsidRDefault="003245A4">
            <w:pPr>
              <w:pStyle w:val="P68B1DB1-Normal23"/>
              <w:spacing w:after="0"/>
              <w:jc w:val="center"/>
              <w:rPr>
                <w:rFonts w:eastAsia="Calibri" w:cs="Calibri"/>
                <w:noProof/>
              </w:rPr>
            </w:pPr>
            <w:r>
              <w:rPr>
                <w:noProof/>
              </w:rPr>
              <w:t>19.36</w:t>
            </w:r>
          </w:p>
        </w:tc>
        <w:tc>
          <w:tcPr>
            <w:tcW w:w="1760" w:type="dxa"/>
            <w:tcBorders>
              <w:top w:val="nil"/>
              <w:left w:val="nil"/>
              <w:bottom w:val="single" w:sz="4" w:space="0" w:color="auto"/>
              <w:right w:val="single" w:sz="4" w:space="0" w:color="auto"/>
            </w:tcBorders>
            <w:shd w:val="clear" w:color="auto" w:fill="C4EFCE"/>
            <w:vAlign w:val="center"/>
            <w:hideMark/>
          </w:tcPr>
          <w:p w14:paraId="4C52EF1C" w14:textId="77777777" w:rsidR="00DC5EC6" w:rsidRDefault="003245A4">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24ABE861"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1FE9798" w14:textId="77777777" w:rsidR="00DC5EC6" w:rsidRDefault="003245A4">
            <w:pPr>
              <w:pStyle w:val="P68B1DB1-Normal23"/>
              <w:spacing w:after="0"/>
              <w:jc w:val="both"/>
              <w:rPr>
                <w:rFonts w:eastAsia="Calibri" w:cs="Calibri"/>
                <w:noProof/>
              </w:rPr>
            </w:pPr>
            <w:r>
              <w:rPr>
                <w:noProof/>
              </w:rPr>
              <w:t>Intelligens területekkel kapcsolatos képzés</w:t>
            </w:r>
          </w:p>
        </w:tc>
      </w:tr>
      <w:tr w:rsidR="00DC5EC6" w14:paraId="164483C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37F1827" w14:textId="77777777" w:rsidR="00DC5EC6" w:rsidRDefault="003245A4">
            <w:pPr>
              <w:pStyle w:val="P68B1DB1-Normal23"/>
              <w:spacing w:after="0"/>
              <w:jc w:val="center"/>
              <w:rPr>
                <w:rFonts w:eastAsia="Calibri" w:cs="Calibri"/>
                <w:noProof/>
              </w:rPr>
            </w:pPr>
            <w:r>
              <w:rPr>
                <w:noProof/>
              </w:rPr>
              <w:t>20.1</w:t>
            </w:r>
          </w:p>
        </w:tc>
        <w:tc>
          <w:tcPr>
            <w:tcW w:w="1760" w:type="dxa"/>
            <w:tcBorders>
              <w:top w:val="nil"/>
              <w:left w:val="nil"/>
              <w:bottom w:val="single" w:sz="4" w:space="0" w:color="auto"/>
              <w:right w:val="single" w:sz="4" w:space="0" w:color="auto"/>
            </w:tcBorders>
            <w:shd w:val="clear" w:color="auto" w:fill="C4EFCE"/>
            <w:vAlign w:val="center"/>
            <w:hideMark/>
          </w:tcPr>
          <w:p w14:paraId="1DCE7E04" w14:textId="77777777" w:rsidR="00DC5EC6" w:rsidRDefault="003245A4">
            <w:pPr>
              <w:pStyle w:val="P68B1DB1-Normal23"/>
              <w:spacing w:after="0"/>
              <w:jc w:val="center"/>
              <w:rPr>
                <w:rFonts w:eastAsia="Calibri" w:cs="Calibri"/>
                <w:noProof/>
              </w:rPr>
            </w:pPr>
            <w:r>
              <w:rPr>
                <w:noProof/>
              </w:rPr>
              <w:t>TD-C20-r37</w:t>
            </w:r>
          </w:p>
        </w:tc>
        <w:tc>
          <w:tcPr>
            <w:tcW w:w="1520" w:type="dxa"/>
            <w:tcBorders>
              <w:top w:val="nil"/>
              <w:left w:val="nil"/>
              <w:bottom w:val="single" w:sz="4" w:space="0" w:color="auto"/>
              <w:right w:val="single" w:sz="4" w:space="0" w:color="auto"/>
            </w:tcBorders>
            <w:shd w:val="clear" w:color="auto" w:fill="C4EFCE"/>
            <w:vAlign w:val="center"/>
            <w:hideMark/>
          </w:tcPr>
          <w:p w14:paraId="15C51DD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617B340" w14:textId="77777777" w:rsidR="00DC5EC6" w:rsidRDefault="003245A4">
            <w:pPr>
              <w:pStyle w:val="P68B1DB1-Normal23"/>
              <w:spacing w:after="0"/>
              <w:jc w:val="both"/>
              <w:rPr>
                <w:rFonts w:eastAsia="Calibri" w:cs="Calibri"/>
                <w:noProof/>
              </w:rPr>
            </w:pPr>
            <w:r>
              <w:rPr>
                <w:noProof/>
              </w:rPr>
              <w:t>Digitális készségekkel kapcsolatos képzés a közoktatási hálózat tanárai és nem oktatói személyzete számára</w:t>
            </w:r>
          </w:p>
        </w:tc>
      </w:tr>
      <w:tr w:rsidR="00DC5EC6" w14:paraId="57E2CB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D8047DA" w14:textId="77777777" w:rsidR="00DC5EC6" w:rsidRDefault="003245A4">
            <w:pPr>
              <w:pStyle w:val="P68B1DB1-Normal23"/>
              <w:spacing w:after="0"/>
              <w:jc w:val="center"/>
              <w:rPr>
                <w:rFonts w:eastAsia="Calibri" w:cs="Calibri"/>
                <w:noProof/>
              </w:rPr>
            </w:pPr>
            <w:r>
              <w:rPr>
                <w:noProof/>
              </w:rPr>
              <w:t>20.8</w:t>
            </w:r>
          </w:p>
        </w:tc>
        <w:tc>
          <w:tcPr>
            <w:tcW w:w="1760" w:type="dxa"/>
            <w:tcBorders>
              <w:top w:val="nil"/>
              <w:left w:val="nil"/>
              <w:bottom w:val="single" w:sz="4" w:space="0" w:color="auto"/>
              <w:right w:val="single" w:sz="4" w:space="0" w:color="auto"/>
            </w:tcBorders>
            <w:shd w:val="clear" w:color="auto" w:fill="C4EFCE"/>
            <w:vAlign w:val="center"/>
            <w:hideMark/>
          </w:tcPr>
          <w:p w14:paraId="1D5158E1" w14:textId="77777777" w:rsidR="00DC5EC6" w:rsidRDefault="003245A4">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54CB6BA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AEED80B" w14:textId="77777777" w:rsidR="00DC5EC6" w:rsidRDefault="003245A4">
            <w:pPr>
              <w:pStyle w:val="P68B1DB1-Normal23"/>
              <w:spacing w:after="0"/>
              <w:jc w:val="both"/>
              <w:rPr>
                <w:rFonts w:eastAsia="Calibri" w:cs="Calibri"/>
                <w:noProof/>
              </w:rPr>
            </w:pPr>
            <w:r>
              <w:rPr>
                <w:noProof/>
              </w:rPr>
              <w:t>Digitális oktatási segédanyagok</w:t>
            </w:r>
          </w:p>
        </w:tc>
      </w:tr>
      <w:tr w:rsidR="00DC5EC6" w14:paraId="1EA89E3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2AD8A97" w14:textId="77777777" w:rsidR="00DC5EC6" w:rsidRDefault="003245A4">
            <w:pPr>
              <w:pStyle w:val="P68B1DB1-Normal23"/>
              <w:spacing w:after="0"/>
              <w:jc w:val="center"/>
              <w:rPr>
                <w:rFonts w:eastAsia="Calibri" w:cs="Calibri"/>
                <w:noProof/>
              </w:rPr>
            </w:pPr>
            <w:r>
              <w:rPr>
                <w:noProof/>
              </w:rPr>
              <w:t>20.9</w:t>
            </w:r>
          </w:p>
        </w:tc>
        <w:tc>
          <w:tcPr>
            <w:tcW w:w="1760" w:type="dxa"/>
            <w:tcBorders>
              <w:top w:val="nil"/>
              <w:left w:val="nil"/>
              <w:bottom w:val="single" w:sz="4" w:space="0" w:color="auto"/>
              <w:right w:val="single" w:sz="4" w:space="0" w:color="auto"/>
            </w:tcBorders>
            <w:shd w:val="clear" w:color="auto" w:fill="C4EFCE"/>
            <w:vAlign w:val="center"/>
            <w:hideMark/>
          </w:tcPr>
          <w:p w14:paraId="46AA804C" w14:textId="77777777" w:rsidR="00DC5EC6" w:rsidRDefault="003245A4">
            <w:pPr>
              <w:pStyle w:val="P68B1DB1-Normal23"/>
              <w:spacing w:after="0"/>
              <w:jc w:val="center"/>
              <w:rPr>
                <w:rFonts w:eastAsia="Calibri" w:cs="Calibri"/>
                <w:noProof/>
              </w:rPr>
            </w:pPr>
            <w:r>
              <w:rPr>
                <w:noProof/>
              </w:rPr>
              <w:t>TD-C20-i01</w:t>
            </w:r>
          </w:p>
        </w:tc>
        <w:tc>
          <w:tcPr>
            <w:tcW w:w="1520" w:type="dxa"/>
            <w:tcBorders>
              <w:top w:val="nil"/>
              <w:left w:val="nil"/>
              <w:bottom w:val="single" w:sz="4" w:space="0" w:color="auto"/>
              <w:right w:val="single" w:sz="4" w:space="0" w:color="auto"/>
            </w:tcBorders>
            <w:shd w:val="clear" w:color="auto" w:fill="C4EFCE"/>
            <w:vAlign w:val="center"/>
            <w:hideMark/>
          </w:tcPr>
          <w:p w14:paraId="1608BB5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083A11" w14:textId="77777777" w:rsidR="00DC5EC6" w:rsidRDefault="003245A4">
            <w:pPr>
              <w:pStyle w:val="P68B1DB1-Normal23"/>
              <w:spacing w:after="0"/>
              <w:jc w:val="both"/>
              <w:rPr>
                <w:rFonts w:eastAsia="Calibri" w:cs="Calibri"/>
                <w:noProof/>
              </w:rPr>
            </w:pPr>
            <w:r>
              <w:rPr>
                <w:noProof/>
              </w:rPr>
              <w:t>Digitális tesztek és vizsgák az iskolákban</w:t>
            </w:r>
          </w:p>
        </w:tc>
      </w:tr>
      <w:tr w:rsidR="00DC5EC6" w14:paraId="49E74A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CB012B" w14:textId="77777777" w:rsidR="00DC5EC6" w:rsidRDefault="003245A4">
            <w:pPr>
              <w:pStyle w:val="P68B1DB1-Normal23"/>
              <w:spacing w:after="0"/>
              <w:jc w:val="center"/>
              <w:rPr>
                <w:rFonts w:eastAsia="Calibri" w:cs="Calibri"/>
                <w:noProof/>
              </w:rPr>
            </w:pPr>
            <w:r>
              <w:rPr>
                <w:noProof/>
              </w:rPr>
              <w:t>20.11</w:t>
            </w:r>
          </w:p>
        </w:tc>
        <w:tc>
          <w:tcPr>
            <w:tcW w:w="1760" w:type="dxa"/>
            <w:tcBorders>
              <w:top w:val="nil"/>
              <w:left w:val="nil"/>
              <w:bottom w:val="single" w:sz="4" w:space="0" w:color="auto"/>
              <w:right w:val="single" w:sz="4" w:space="0" w:color="auto"/>
            </w:tcBorders>
            <w:shd w:val="clear" w:color="auto" w:fill="C4EFCE"/>
            <w:vAlign w:val="center"/>
            <w:hideMark/>
          </w:tcPr>
          <w:p w14:paraId="17F8B041" w14:textId="77777777" w:rsidR="00DC5EC6" w:rsidRDefault="003245A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3A8E7B1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714F428" w14:textId="77777777" w:rsidR="00DC5EC6" w:rsidRDefault="003245A4">
            <w:pPr>
              <w:pStyle w:val="P68B1DB1-Normal23"/>
              <w:spacing w:after="0"/>
              <w:jc w:val="both"/>
              <w:rPr>
                <w:rFonts w:eastAsia="Calibri" w:cs="Calibri"/>
                <w:noProof/>
              </w:rPr>
            </w:pPr>
            <w:r>
              <w:rPr>
                <w:noProof/>
              </w:rPr>
              <w:t>Új laptopok és táblagépek az ARA iskolái számára</w:t>
            </w:r>
          </w:p>
        </w:tc>
      </w:tr>
      <w:tr w:rsidR="00DC5EC6" w14:paraId="1053A19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934CF69" w14:textId="77777777" w:rsidR="00DC5EC6" w:rsidRDefault="003245A4">
            <w:pPr>
              <w:pStyle w:val="P68B1DB1-Normal23"/>
              <w:spacing w:after="0"/>
              <w:jc w:val="center"/>
              <w:rPr>
                <w:rFonts w:eastAsia="Calibri" w:cs="Calibri"/>
                <w:noProof/>
              </w:rPr>
            </w:pPr>
            <w:r>
              <w:rPr>
                <w:noProof/>
              </w:rPr>
              <w:t>20.12</w:t>
            </w:r>
          </w:p>
        </w:tc>
        <w:tc>
          <w:tcPr>
            <w:tcW w:w="1760" w:type="dxa"/>
            <w:tcBorders>
              <w:top w:val="nil"/>
              <w:left w:val="nil"/>
              <w:bottom w:val="single" w:sz="4" w:space="0" w:color="auto"/>
              <w:right w:val="single" w:sz="4" w:space="0" w:color="auto"/>
            </w:tcBorders>
            <w:shd w:val="clear" w:color="auto" w:fill="C4EFCE"/>
            <w:vAlign w:val="center"/>
            <w:hideMark/>
          </w:tcPr>
          <w:p w14:paraId="0A05C085" w14:textId="77777777" w:rsidR="00DC5EC6" w:rsidRDefault="003245A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19B76BD6"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CB0A917" w14:textId="77777777" w:rsidR="00DC5EC6" w:rsidRDefault="003245A4">
            <w:pPr>
              <w:pStyle w:val="P68B1DB1-Normal23"/>
              <w:spacing w:after="0"/>
              <w:jc w:val="both"/>
              <w:rPr>
                <w:rFonts w:eastAsia="Calibri" w:cs="Calibri"/>
                <w:noProof/>
              </w:rPr>
            </w:pPr>
            <w:r>
              <w:rPr>
                <w:noProof/>
              </w:rPr>
              <w:t>Az ARA-ban részt vevő iskolák digitális berendezései és digitális oktatási erőforrásai</w:t>
            </w:r>
          </w:p>
        </w:tc>
      </w:tr>
      <w:tr w:rsidR="00DC5EC6" w14:paraId="2E23C5A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6BB7BC" w14:textId="77777777" w:rsidR="00DC5EC6" w:rsidRDefault="003245A4">
            <w:pPr>
              <w:pStyle w:val="P68B1DB1-Normal23"/>
              <w:spacing w:after="0"/>
              <w:jc w:val="center"/>
              <w:rPr>
                <w:rFonts w:eastAsia="Calibri" w:cs="Calibri"/>
                <w:noProof/>
              </w:rPr>
            </w:pPr>
            <w:r>
              <w:rPr>
                <w:noProof/>
              </w:rPr>
              <w:t>20.13</w:t>
            </w:r>
          </w:p>
        </w:tc>
        <w:tc>
          <w:tcPr>
            <w:tcW w:w="1760" w:type="dxa"/>
            <w:tcBorders>
              <w:top w:val="nil"/>
              <w:left w:val="nil"/>
              <w:bottom w:val="single" w:sz="4" w:space="0" w:color="auto"/>
              <w:right w:val="single" w:sz="4" w:space="0" w:color="auto"/>
            </w:tcBorders>
            <w:shd w:val="clear" w:color="auto" w:fill="C4EFCE"/>
            <w:vAlign w:val="center"/>
            <w:hideMark/>
          </w:tcPr>
          <w:p w14:paraId="06748DE1" w14:textId="77777777" w:rsidR="00DC5EC6" w:rsidRDefault="003245A4">
            <w:pPr>
              <w:pStyle w:val="P68B1DB1-Normal23"/>
              <w:spacing w:after="0"/>
              <w:jc w:val="center"/>
              <w:rPr>
                <w:rFonts w:eastAsia="Calibri" w:cs="Calibri"/>
                <w:noProof/>
              </w:rPr>
            </w:pPr>
            <w:r>
              <w:rPr>
                <w:noProof/>
              </w:rPr>
              <w:t>TD-C20i02-RAA</w:t>
            </w:r>
          </w:p>
        </w:tc>
        <w:tc>
          <w:tcPr>
            <w:tcW w:w="1520" w:type="dxa"/>
            <w:tcBorders>
              <w:top w:val="nil"/>
              <w:left w:val="nil"/>
              <w:bottom w:val="single" w:sz="4" w:space="0" w:color="auto"/>
              <w:right w:val="single" w:sz="4" w:space="0" w:color="auto"/>
            </w:tcBorders>
            <w:shd w:val="clear" w:color="auto" w:fill="C4EFCE"/>
            <w:vAlign w:val="center"/>
            <w:hideMark/>
          </w:tcPr>
          <w:p w14:paraId="4073977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86F9A4" w14:textId="77777777" w:rsidR="00DC5EC6" w:rsidRDefault="003245A4">
            <w:pPr>
              <w:pStyle w:val="P68B1DB1-Normal23"/>
              <w:spacing w:after="0"/>
              <w:jc w:val="both"/>
              <w:rPr>
                <w:rFonts w:eastAsia="Calibri" w:cs="Calibri"/>
                <w:noProof/>
              </w:rPr>
            </w:pPr>
            <w:r>
              <w:rPr>
                <w:noProof/>
              </w:rPr>
              <w:t>Tömeges nyílt online tanfolyamok tanárok és szülők számára az ARA-ban</w:t>
            </w:r>
          </w:p>
        </w:tc>
      </w:tr>
      <w:tr w:rsidR="00DC5EC6" w14:paraId="6530CA1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D622635" w14:textId="77777777" w:rsidR="00DC5EC6" w:rsidRDefault="003245A4">
            <w:pPr>
              <w:pStyle w:val="P68B1DB1-Normal23"/>
              <w:spacing w:after="0"/>
              <w:jc w:val="center"/>
              <w:rPr>
                <w:rFonts w:eastAsia="Calibri" w:cs="Calibri"/>
                <w:noProof/>
              </w:rPr>
            </w:pPr>
            <w:r>
              <w:rPr>
                <w:noProof/>
              </w:rPr>
              <w:t>20.16</w:t>
            </w:r>
          </w:p>
        </w:tc>
        <w:tc>
          <w:tcPr>
            <w:tcW w:w="1760" w:type="dxa"/>
            <w:tcBorders>
              <w:top w:val="nil"/>
              <w:left w:val="nil"/>
              <w:bottom w:val="single" w:sz="4" w:space="0" w:color="auto"/>
              <w:right w:val="single" w:sz="4" w:space="0" w:color="auto"/>
            </w:tcBorders>
            <w:shd w:val="clear" w:color="auto" w:fill="C4EFCE"/>
            <w:vAlign w:val="center"/>
            <w:hideMark/>
          </w:tcPr>
          <w:p w14:paraId="29607BDF" w14:textId="77777777" w:rsidR="00DC5EC6" w:rsidRDefault="003245A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757CF1D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556275C" w14:textId="77777777" w:rsidR="00DC5EC6" w:rsidRDefault="003245A4">
            <w:pPr>
              <w:pStyle w:val="P68B1DB1-Normal23"/>
              <w:spacing w:after="0"/>
              <w:jc w:val="both"/>
              <w:rPr>
                <w:rFonts w:eastAsia="Calibri" w:cs="Calibri"/>
                <w:noProof/>
              </w:rPr>
            </w:pPr>
            <w:r>
              <w:rPr>
                <w:noProof/>
              </w:rPr>
              <w:t>Digitális kézikönyvek diákok számára a 2. és 3. ciklusban, középiskolás diákok számára az ARM-ben</w:t>
            </w:r>
          </w:p>
        </w:tc>
      </w:tr>
      <w:tr w:rsidR="00DC5EC6" w14:paraId="412F7A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C4B942" w14:textId="77777777" w:rsidR="00DC5EC6" w:rsidRDefault="003245A4">
            <w:pPr>
              <w:pStyle w:val="P68B1DB1-Normal23"/>
              <w:spacing w:after="0"/>
              <w:jc w:val="center"/>
              <w:rPr>
                <w:rFonts w:eastAsia="Calibri" w:cs="Calibri"/>
                <w:noProof/>
              </w:rPr>
            </w:pPr>
            <w:r>
              <w:rPr>
                <w:noProof/>
              </w:rPr>
              <w:t>20.17</w:t>
            </w:r>
          </w:p>
        </w:tc>
        <w:tc>
          <w:tcPr>
            <w:tcW w:w="1760" w:type="dxa"/>
            <w:tcBorders>
              <w:top w:val="nil"/>
              <w:left w:val="nil"/>
              <w:bottom w:val="single" w:sz="4" w:space="0" w:color="auto"/>
              <w:right w:val="single" w:sz="4" w:space="0" w:color="auto"/>
            </w:tcBorders>
            <w:shd w:val="clear" w:color="auto" w:fill="C4EFCE"/>
            <w:vAlign w:val="center"/>
            <w:hideMark/>
          </w:tcPr>
          <w:p w14:paraId="6503CC9A" w14:textId="77777777" w:rsidR="00DC5EC6" w:rsidRDefault="003245A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5DCD0F8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EDA8BBC" w14:textId="5BA216F8" w:rsidR="00DC5EC6" w:rsidRDefault="003245A4">
            <w:pPr>
              <w:pStyle w:val="P68B1DB1-Normal23"/>
              <w:spacing w:after="0"/>
              <w:jc w:val="both"/>
              <w:rPr>
                <w:rFonts w:eastAsia="Calibri" w:cs="Calibri"/>
                <w:noProof/>
              </w:rPr>
            </w:pPr>
            <w:r>
              <w:rPr>
                <w:noProof/>
              </w:rPr>
              <w:t>Tanárok és nem oktató személyzet képzése az ARM digitális kompetenciáiról</w:t>
            </w:r>
          </w:p>
        </w:tc>
      </w:tr>
      <w:tr w:rsidR="00DC5EC6" w14:paraId="7AFE04F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729423" w14:textId="77777777" w:rsidR="00DC5EC6" w:rsidRDefault="003245A4">
            <w:pPr>
              <w:pStyle w:val="P68B1DB1-Normal23"/>
              <w:spacing w:after="0"/>
              <w:jc w:val="center"/>
              <w:rPr>
                <w:rFonts w:eastAsia="Calibri" w:cs="Calibri"/>
                <w:noProof/>
              </w:rPr>
            </w:pPr>
            <w:r>
              <w:rPr>
                <w:noProof/>
              </w:rPr>
              <w:t>20.18</w:t>
            </w:r>
          </w:p>
        </w:tc>
        <w:tc>
          <w:tcPr>
            <w:tcW w:w="1760" w:type="dxa"/>
            <w:tcBorders>
              <w:top w:val="nil"/>
              <w:left w:val="nil"/>
              <w:bottom w:val="single" w:sz="4" w:space="0" w:color="auto"/>
              <w:right w:val="single" w:sz="4" w:space="0" w:color="auto"/>
            </w:tcBorders>
            <w:shd w:val="clear" w:color="auto" w:fill="C4EFCE"/>
            <w:vAlign w:val="center"/>
            <w:hideMark/>
          </w:tcPr>
          <w:p w14:paraId="27A9F236" w14:textId="77777777" w:rsidR="00DC5EC6" w:rsidRDefault="003245A4">
            <w:pPr>
              <w:pStyle w:val="P68B1DB1-Normal23"/>
              <w:spacing w:after="0"/>
              <w:jc w:val="center"/>
              <w:rPr>
                <w:rFonts w:eastAsia="Calibri" w:cs="Calibri"/>
                <w:noProof/>
              </w:rPr>
            </w:pPr>
            <w:r>
              <w:rPr>
                <w:noProof/>
              </w:rPr>
              <w:t>TD-C20i03-RAM</w:t>
            </w:r>
          </w:p>
        </w:tc>
        <w:tc>
          <w:tcPr>
            <w:tcW w:w="1520" w:type="dxa"/>
            <w:tcBorders>
              <w:top w:val="nil"/>
              <w:left w:val="nil"/>
              <w:bottom w:val="single" w:sz="4" w:space="0" w:color="auto"/>
              <w:right w:val="single" w:sz="4" w:space="0" w:color="auto"/>
            </w:tcBorders>
            <w:shd w:val="clear" w:color="auto" w:fill="C4EFCE"/>
            <w:vAlign w:val="center"/>
            <w:hideMark/>
          </w:tcPr>
          <w:p w14:paraId="3DBDBFE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37718C5" w14:textId="77777777" w:rsidR="00DC5EC6" w:rsidRDefault="003245A4">
            <w:pPr>
              <w:pStyle w:val="P68B1DB1-Normal23"/>
              <w:spacing w:after="0"/>
              <w:jc w:val="both"/>
              <w:rPr>
                <w:rFonts w:eastAsia="Calibri" w:cs="Calibri"/>
                <w:noProof/>
              </w:rPr>
            </w:pPr>
            <w:r>
              <w:rPr>
                <w:noProof/>
              </w:rPr>
              <w:t>Tudományos és technológiai berendezések szállítása az ARM iskolái számára</w:t>
            </w:r>
          </w:p>
        </w:tc>
      </w:tr>
      <w:tr w:rsidR="00DC5EC6" w14:paraId="007A1F3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11A244" w14:textId="77777777" w:rsidR="00DC5EC6" w:rsidRDefault="003245A4">
            <w:pPr>
              <w:pStyle w:val="P68B1DB1-Normal23"/>
              <w:spacing w:after="0"/>
              <w:jc w:val="center"/>
              <w:rPr>
                <w:rFonts w:eastAsia="Calibri" w:cs="Calibri"/>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058AF46E" w14:textId="77777777" w:rsidR="00DC5EC6" w:rsidRDefault="003245A4">
            <w:pPr>
              <w:pStyle w:val="P68B1DB1-Normal23"/>
              <w:spacing w:after="0"/>
              <w:jc w:val="center"/>
              <w:rPr>
                <w:rFonts w:eastAsia="Calibri" w:cs="Calibri"/>
                <w:noProof/>
              </w:rPr>
            </w:pPr>
            <w:r>
              <w:rPr>
                <w:noProof/>
              </w:rPr>
              <w:t>RP-C21-i02</w:t>
            </w:r>
          </w:p>
        </w:tc>
        <w:tc>
          <w:tcPr>
            <w:tcW w:w="1520" w:type="dxa"/>
            <w:tcBorders>
              <w:top w:val="nil"/>
              <w:left w:val="nil"/>
              <w:bottom w:val="single" w:sz="4" w:space="0" w:color="auto"/>
              <w:right w:val="single" w:sz="4" w:space="0" w:color="auto"/>
            </w:tcBorders>
            <w:shd w:val="clear" w:color="auto" w:fill="C4EFCE"/>
            <w:vAlign w:val="center"/>
            <w:hideMark/>
          </w:tcPr>
          <w:p w14:paraId="3ECFDED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7A42DB4" w14:textId="77777777" w:rsidR="00DC5EC6" w:rsidRDefault="003245A4">
            <w:pPr>
              <w:pStyle w:val="P68B1DB1-Normal23"/>
              <w:spacing w:after="0"/>
              <w:jc w:val="both"/>
              <w:rPr>
                <w:rFonts w:eastAsia="Calibri" w:cs="Calibri"/>
                <w:noProof/>
              </w:rPr>
            </w:pPr>
            <w:r>
              <w:rPr>
                <w:noProof/>
              </w:rPr>
              <w:t>A magánlakóépületek energiahatékonysági felújítása</w:t>
            </w:r>
          </w:p>
        </w:tc>
      </w:tr>
      <w:tr w:rsidR="00DC5EC6" w14:paraId="44A00B2D" w14:textId="77777777">
        <w:trPr>
          <w:trHeight w:val="440"/>
        </w:trPr>
        <w:tc>
          <w:tcPr>
            <w:tcW w:w="1200" w:type="dxa"/>
            <w:tcBorders>
              <w:top w:val="single" w:sz="4" w:space="0" w:color="auto"/>
              <w:left w:val="single" w:sz="4" w:space="0" w:color="auto"/>
              <w:bottom w:val="single" w:sz="4" w:space="0" w:color="auto"/>
              <w:right w:val="single" w:sz="4" w:space="0" w:color="auto"/>
            </w:tcBorders>
            <w:shd w:val="clear" w:color="auto" w:fill="C4EFCE"/>
            <w:vAlign w:val="center"/>
            <w:hideMark/>
          </w:tcPr>
          <w:p w14:paraId="680B7B9B" w14:textId="77777777" w:rsidR="00DC5EC6" w:rsidRDefault="003245A4">
            <w:pPr>
              <w:pStyle w:val="P68B1DB1-Normal23"/>
              <w:spacing w:after="0"/>
              <w:jc w:val="center"/>
              <w:rPr>
                <w:rFonts w:eastAsia="Calibri" w:cs="Calibri"/>
                <w:noProof/>
              </w:rPr>
            </w:pPr>
            <w:r>
              <w:rPr>
                <w:noProof/>
              </w:rPr>
              <w:t>21.3</w:t>
            </w:r>
          </w:p>
        </w:tc>
        <w:tc>
          <w:tcPr>
            <w:tcW w:w="1760" w:type="dxa"/>
            <w:tcBorders>
              <w:top w:val="single" w:sz="4" w:space="0" w:color="auto"/>
              <w:left w:val="nil"/>
              <w:bottom w:val="single" w:sz="4" w:space="0" w:color="auto"/>
              <w:right w:val="single" w:sz="4" w:space="0" w:color="auto"/>
            </w:tcBorders>
            <w:shd w:val="clear" w:color="auto" w:fill="C4EFCE"/>
            <w:vAlign w:val="center"/>
            <w:hideMark/>
          </w:tcPr>
          <w:p w14:paraId="1B91DD3A" w14:textId="77777777" w:rsidR="00DC5EC6" w:rsidRDefault="003245A4">
            <w:pPr>
              <w:pStyle w:val="P68B1DB1-Normal23"/>
              <w:spacing w:after="0"/>
              <w:jc w:val="center"/>
              <w:rPr>
                <w:rFonts w:eastAsia="Calibri" w:cs="Calibri"/>
                <w:noProof/>
              </w:rPr>
            </w:pPr>
            <w:r>
              <w:rPr>
                <w:noProof/>
              </w:rPr>
              <w:t>RP-C21-i02</w:t>
            </w:r>
          </w:p>
        </w:tc>
        <w:tc>
          <w:tcPr>
            <w:tcW w:w="1520" w:type="dxa"/>
            <w:tcBorders>
              <w:top w:val="single" w:sz="4" w:space="0" w:color="auto"/>
              <w:left w:val="nil"/>
              <w:bottom w:val="single" w:sz="4" w:space="0" w:color="auto"/>
              <w:right w:val="single" w:sz="4" w:space="0" w:color="auto"/>
            </w:tcBorders>
            <w:shd w:val="clear" w:color="auto" w:fill="C4EFCE"/>
            <w:vAlign w:val="center"/>
            <w:hideMark/>
          </w:tcPr>
          <w:p w14:paraId="45E0B8E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2391DF" w14:textId="52537185" w:rsidR="00DC5EC6" w:rsidRDefault="003245A4">
            <w:pPr>
              <w:pStyle w:val="P68B1DB1-Normal23"/>
              <w:spacing w:after="0"/>
              <w:jc w:val="both"/>
              <w:rPr>
                <w:rFonts w:eastAsia="Calibri" w:cs="Calibri"/>
                <w:noProof/>
              </w:rPr>
            </w:pPr>
            <w:r>
              <w:rPr>
                <w:noProof/>
              </w:rPr>
              <w:t>További megújulóenergia-termelési kapacitás saját fogyasztásra és megújulóenergia-közösségekben történő felhasználásra a magánlakásos ágazatban</w:t>
            </w:r>
          </w:p>
        </w:tc>
      </w:tr>
      <w:tr w:rsidR="00DC5EC6" w14:paraId="2E3B4A3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D99E28" w14:textId="77777777" w:rsidR="00DC5EC6" w:rsidRDefault="003245A4">
            <w:pPr>
              <w:pStyle w:val="P68B1DB1-Normal23"/>
              <w:spacing w:after="0"/>
              <w:jc w:val="center"/>
              <w:rPr>
                <w:rFonts w:eastAsia="Calibri" w:cs="Calibri"/>
                <w:noProof/>
              </w:rPr>
            </w:pPr>
            <w:r>
              <w:rPr>
                <w:noProof/>
              </w:rPr>
              <w:t>21.5</w:t>
            </w:r>
          </w:p>
        </w:tc>
        <w:tc>
          <w:tcPr>
            <w:tcW w:w="1760" w:type="dxa"/>
            <w:tcBorders>
              <w:top w:val="nil"/>
              <w:left w:val="nil"/>
              <w:bottom w:val="single" w:sz="4" w:space="0" w:color="auto"/>
              <w:right w:val="single" w:sz="4" w:space="0" w:color="auto"/>
            </w:tcBorders>
            <w:shd w:val="clear" w:color="auto" w:fill="C4EFCE"/>
            <w:vAlign w:val="center"/>
            <w:hideMark/>
          </w:tcPr>
          <w:p w14:paraId="19953216" w14:textId="77777777" w:rsidR="00DC5EC6" w:rsidRDefault="003245A4">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0BAF296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D3D265" w14:textId="3EA05A82" w:rsidR="00DC5EC6" w:rsidRDefault="003245A4">
            <w:pPr>
              <w:pStyle w:val="P68B1DB1-Normal23"/>
              <w:spacing w:after="0"/>
              <w:jc w:val="both"/>
              <w:rPr>
                <w:rFonts w:eastAsia="Calibri" w:cs="Calibri"/>
                <w:noProof/>
              </w:rPr>
            </w:pPr>
            <w:r>
              <w:rPr>
                <w:noProof/>
              </w:rPr>
              <w:t>További megújulóenergia-termelési kapacitás saját fogyasztásra és közösségi megújulóenergia-felhasználásra a közüzemi ágazat által használt felújított épületekben</w:t>
            </w:r>
          </w:p>
        </w:tc>
      </w:tr>
      <w:tr w:rsidR="00DC5EC6" w14:paraId="060AEF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9A7ABE" w14:textId="77777777" w:rsidR="00DC5EC6" w:rsidRDefault="003245A4">
            <w:pPr>
              <w:pStyle w:val="P68B1DB1-Normal23"/>
              <w:spacing w:after="0"/>
              <w:jc w:val="center"/>
              <w:rPr>
                <w:rFonts w:eastAsia="Calibri" w:cs="Calibri"/>
                <w:noProof/>
              </w:rPr>
            </w:pPr>
            <w:r>
              <w:rPr>
                <w:noProof/>
              </w:rPr>
              <w:t>21.6</w:t>
            </w:r>
          </w:p>
        </w:tc>
        <w:tc>
          <w:tcPr>
            <w:tcW w:w="1760" w:type="dxa"/>
            <w:tcBorders>
              <w:top w:val="nil"/>
              <w:left w:val="nil"/>
              <w:bottom w:val="single" w:sz="4" w:space="0" w:color="auto"/>
              <w:right w:val="single" w:sz="4" w:space="0" w:color="auto"/>
            </w:tcBorders>
            <w:shd w:val="clear" w:color="auto" w:fill="C4EFCE"/>
            <w:vAlign w:val="center"/>
            <w:hideMark/>
          </w:tcPr>
          <w:p w14:paraId="48639A4C" w14:textId="77777777" w:rsidR="00DC5EC6" w:rsidRDefault="003245A4">
            <w:pPr>
              <w:pStyle w:val="P68B1DB1-Normal23"/>
              <w:spacing w:after="0"/>
              <w:jc w:val="center"/>
              <w:rPr>
                <w:rFonts w:eastAsia="Calibri" w:cs="Calibri"/>
                <w:noProof/>
              </w:rPr>
            </w:pPr>
            <w:r>
              <w:rPr>
                <w:noProof/>
              </w:rPr>
              <w:t>RP-C21-i04-RAM</w:t>
            </w:r>
          </w:p>
        </w:tc>
        <w:tc>
          <w:tcPr>
            <w:tcW w:w="1520" w:type="dxa"/>
            <w:tcBorders>
              <w:top w:val="nil"/>
              <w:left w:val="nil"/>
              <w:bottom w:val="single" w:sz="4" w:space="0" w:color="auto"/>
              <w:right w:val="single" w:sz="4" w:space="0" w:color="auto"/>
            </w:tcBorders>
            <w:shd w:val="clear" w:color="auto" w:fill="C4EFCE"/>
            <w:vAlign w:val="center"/>
            <w:hideMark/>
          </w:tcPr>
          <w:p w14:paraId="3023363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1E2D4CF" w14:textId="77777777" w:rsidR="00DC5EC6" w:rsidRDefault="003245A4">
            <w:pPr>
              <w:pStyle w:val="P68B1DB1-Normal23"/>
              <w:spacing w:after="0"/>
              <w:jc w:val="both"/>
              <w:rPr>
                <w:rFonts w:eastAsia="Calibri" w:cs="Calibri"/>
                <w:noProof/>
              </w:rPr>
            </w:pPr>
            <w:r>
              <w:rPr>
                <w:noProof/>
              </w:rPr>
              <w:t>A középületek energiahatékonysági felújítása</w:t>
            </w:r>
          </w:p>
        </w:tc>
      </w:tr>
      <w:tr w:rsidR="00DC5EC6" w14:paraId="1EC0C3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C8C3318" w14:textId="77777777" w:rsidR="00DC5EC6" w:rsidRDefault="003245A4">
            <w:pPr>
              <w:pStyle w:val="P68B1DB1-Normal23"/>
              <w:spacing w:after="0"/>
              <w:jc w:val="center"/>
              <w:rPr>
                <w:rFonts w:eastAsia="Calibri" w:cs="Calibri"/>
                <w:noProof/>
              </w:rPr>
            </w:pPr>
            <w:r>
              <w:rPr>
                <w:noProof/>
              </w:rPr>
              <w:t>21.15</w:t>
            </w:r>
          </w:p>
        </w:tc>
        <w:tc>
          <w:tcPr>
            <w:tcW w:w="1760" w:type="dxa"/>
            <w:tcBorders>
              <w:top w:val="nil"/>
              <w:left w:val="nil"/>
              <w:bottom w:val="single" w:sz="4" w:space="0" w:color="auto"/>
              <w:right w:val="single" w:sz="4" w:space="0" w:color="auto"/>
            </w:tcBorders>
            <w:shd w:val="clear" w:color="auto" w:fill="C4EFCE"/>
            <w:vAlign w:val="center"/>
            <w:hideMark/>
          </w:tcPr>
          <w:p w14:paraId="599107CB" w14:textId="3DFFAC63" w:rsidR="00DC5EC6" w:rsidRDefault="003245A4">
            <w:pPr>
              <w:pStyle w:val="P68B1DB1-Normal23"/>
              <w:spacing w:after="0"/>
              <w:jc w:val="center"/>
              <w:rPr>
                <w:rFonts w:eastAsia="Calibri" w:cs="Calibri"/>
                <w:noProof/>
              </w:rPr>
            </w:pPr>
            <w:r>
              <w:rPr>
                <w:noProof/>
              </w:rPr>
              <w:t>RP-C21-r45</w:t>
            </w:r>
          </w:p>
        </w:tc>
        <w:tc>
          <w:tcPr>
            <w:tcW w:w="1520" w:type="dxa"/>
            <w:tcBorders>
              <w:top w:val="nil"/>
              <w:left w:val="nil"/>
              <w:bottom w:val="single" w:sz="4" w:space="0" w:color="auto"/>
              <w:right w:val="single" w:sz="4" w:space="0" w:color="auto"/>
            </w:tcBorders>
            <w:shd w:val="clear" w:color="auto" w:fill="C4EFCE"/>
            <w:vAlign w:val="center"/>
            <w:hideMark/>
          </w:tcPr>
          <w:p w14:paraId="2BE4DC2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5DD8840" w14:textId="77777777" w:rsidR="00DC5EC6" w:rsidRDefault="003245A4">
            <w:pPr>
              <w:pStyle w:val="P68B1DB1-Normal23"/>
              <w:spacing w:after="0"/>
              <w:jc w:val="both"/>
              <w:rPr>
                <w:rFonts w:eastAsia="Calibri" w:cs="Calibri"/>
                <w:noProof/>
              </w:rPr>
            </w:pPr>
            <w:r>
              <w:rPr>
                <w:noProof/>
              </w:rPr>
              <w:t>A zöld készségekkel kapcsolatos képzési tevékenységek</w:t>
            </w:r>
          </w:p>
        </w:tc>
      </w:tr>
      <w:tr w:rsidR="00DC5EC6" w14:paraId="088199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424BDC1" w14:textId="77777777" w:rsidR="00DC5EC6" w:rsidRDefault="003245A4">
            <w:pPr>
              <w:pStyle w:val="P68B1DB1-Normal23"/>
              <w:spacing w:after="0"/>
              <w:jc w:val="center"/>
              <w:rPr>
                <w:rFonts w:eastAsia="Calibri" w:cs="Calibri"/>
                <w:noProof/>
              </w:rPr>
            </w:pPr>
            <w:r>
              <w:rPr>
                <w:noProof/>
              </w:rPr>
              <w:t>21.29</w:t>
            </w:r>
          </w:p>
        </w:tc>
        <w:tc>
          <w:tcPr>
            <w:tcW w:w="1760" w:type="dxa"/>
            <w:tcBorders>
              <w:top w:val="nil"/>
              <w:left w:val="nil"/>
              <w:bottom w:val="single" w:sz="4" w:space="0" w:color="auto"/>
              <w:right w:val="single" w:sz="4" w:space="0" w:color="auto"/>
            </w:tcBorders>
            <w:shd w:val="clear" w:color="auto" w:fill="C4EFCE"/>
            <w:vAlign w:val="center"/>
            <w:hideMark/>
          </w:tcPr>
          <w:p w14:paraId="709081FB" w14:textId="160BC41F" w:rsidR="00DC5EC6" w:rsidRDefault="003245A4">
            <w:pPr>
              <w:pStyle w:val="P68B1DB1-Normal23"/>
              <w:spacing w:after="0"/>
              <w:jc w:val="center"/>
              <w:rPr>
                <w:rFonts w:eastAsia="Calibri" w:cs="Calibri"/>
                <w:noProof/>
              </w:rPr>
            </w:pPr>
            <w:r>
              <w:rPr>
                <w:noProof/>
              </w:rPr>
              <w:t>RP-C21-i08</w:t>
            </w:r>
          </w:p>
        </w:tc>
        <w:tc>
          <w:tcPr>
            <w:tcW w:w="1520" w:type="dxa"/>
            <w:tcBorders>
              <w:top w:val="nil"/>
              <w:left w:val="nil"/>
              <w:bottom w:val="single" w:sz="4" w:space="0" w:color="auto"/>
              <w:right w:val="single" w:sz="4" w:space="0" w:color="auto"/>
            </w:tcBorders>
            <w:shd w:val="clear" w:color="auto" w:fill="C4EFCE"/>
            <w:vAlign w:val="center"/>
            <w:hideMark/>
          </w:tcPr>
          <w:p w14:paraId="72D7777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F0EDEAE" w14:textId="77777777" w:rsidR="00DC5EC6" w:rsidRDefault="003245A4">
            <w:pPr>
              <w:pStyle w:val="P68B1DB1-Normal23"/>
              <w:spacing w:after="0"/>
              <w:jc w:val="both"/>
              <w:rPr>
                <w:rFonts w:eastAsia="Calibri" w:cs="Calibri"/>
                <w:noProof/>
              </w:rPr>
            </w:pPr>
            <w:r>
              <w:rPr>
                <w:noProof/>
              </w:rPr>
              <w:t>Villamosenergia-tároló kapacitás létesítése</w:t>
            </w:r>
          </w:p>
        </w:tc>
      </w:tr>
      <w:tr w:rsidR="00DC5EC6" w14:paraId="182B195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FB9F7E" w14:textId="77777777" w:rsidR="00DC5EC6" w:rsidRDefault="003245A4">
            <w:pPr>
              <w:pStyle w:val="P68B1DB1-Normal23"/>
              <w:spacing w:after="0"/>
              <w:jc w:val="center"/>
              <w:rPr>
                <w:rFonts w:eastAsia="Calibri" w:cs="Calibri"/>
                <w:noProof/>
              </w:rPr>
            </w:pPr>
            <w:r>
              <w:rPr>
                <w:noProof/>
              </w:rPr>
              <w:t>21.32</w:t>
            </w:r>
          </w:p>
        </w:tc>
        <w:tc>
          <w:tcPr>
            <w:tcW w:w="1760" w:type="dxa"/>
            <w:tcBorders>
              <w:top w:val="nil"/>
              <w:left w:val="nil"/>
              <w:bottom w:val="single" w:sz="4" w:space="0" w:color="auto"/>
              <w:right w:val="single" w:sz="4" w:space="0" w:color="auto"/>
            </w:tcBorders>
            <w:shd w:val="clear" w:color="auto" w:fill="C4EFCE"/>
            <w:vAlign w:val="center"/>
            <w:hideMark/>
          </w:tcPr>
          <w:p w14:paraId="4622A906" w14:textId="5BFBA1D2" w:rsidR="00DC5EC6" w:rsidRDefault="003245A4">
            <w:pPr>
              <w:pStyle w:val="P68B1DB1-Normal23"/>
              <w:spacing w:after="0"/>
              <w:jc w:val="center"/>
              <w:rPr>
                <w:rFonts w:eastAsia="Calibri" w:cs="Calibri"/>
                <w:noProof/>
              </w:rPr>
            </w:pPr>
            <w:r>
              <w:rPr>
                <w:noProof/>
              </w:rPr>
              <w:t>RP-C21-i10-RAA</w:t>
            </w:r>
          </w:p>
        </w:tc>
        <w:tc>
          <w:tcPr>
            <w:tcW w:w="1520" w:type="dxa"/>
            <w:tcBorders>
              <w:top w:val="nil"/>
              <w:left w:val="nil"/>
              <w:bottom w:val="single" w:sz="4" w:space="0" w:color="auto"/>
              <w:right w:val="single" w:sz="4" w:space="0" w:color="auto"/>
            </w:tcBorders>
            <w:shd w:val="clear" w:color="auto" w:fill="C4EFCE"/>
            <w:vAlign w:val="center"/>
            <w:hideMark/>
          </w:tcPr>
          <w:p w14:paraId="3ABB159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637DD21" w14:textId="77777777" w:rsidR="00DC5EC6" w:rsidRDefault="003245A4">
            <w:pPr>
              <w:pStyle w:val="P68B1DB1-Normal23"/>
              <w:spacing w:after="0"/>
              <w:jc w:val="both"/>
              <w:rPr>
                <w:rFonts w:eastAsia="Calibri" w:cs="Calibri"/>
                <w:noProof/>
              </w:rPr>
            </w:pPr>
            <w:r>
              <w:rPr>
                <w:noProof/>
              </w:rPr>
              <w:t>Villamosenergia-tároló kapacitás létesítése</w:t>
            </w:r>
          </w:p>
        </w:tc>
      </w:tr>
      <w:tr w:rsidR="00DC5EC6" w14:paraId="54999B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7752ED" w14:textId="77777777" w:rsidR="00DC5EC6" w:rsidRDefault="003245A4">
            <w:pPr>
              <w:pStyle w:val="P68B1DB1-Normal23"/>
              <w:spacing w:after="0"/>
              <w:jc w:val="center"/>
              <w:rPr>
                <w:rFonts w:eastAsia="Calibri" w:cs="Calibri"/>
                <w:noProof/>
              </w:rPr>
            </w:pPr>
            <w:r>
              <w:rPr>
                <w:noProof/>
              </w:rPr>
              <w:t>21.34</w:t>
            </w:r>
          </w:p>
        </w:tc>
        <w:tc>
          <w:tcPr>
            <w:tcW w:w="1760" w:type="dxa"/>
            <w:tcBorders>
              <w:top w:val="nil"/>
              <w:left w:val="nil"/>
              <w:bottom w:val="single" w:sz="4" w:space="0" w:color="auto"/>
              <w:right w:val="single" w:sz="4" w:space="0" w:color="auto"/>
            </w:tcBorders>
            <w:shd w:val="clear" w:color="auto" w:fill="C4EFCE"/>
            <w:vAlign w:val="center"/>
            <w:hideMark/>
          </w:tcPr>
          <w:p w14:paraId="24B53CC5" w14:textId="65310D0F" w:rsidR="00DC5EC6" w:rsidRDefault="003245A4">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E90FE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31415EB" w14:textId="77777777" w:rsidR="00DC5EC6" w:rsidRDefault="003245A4">
            <w:pPr>
              <w:pStyle w:val="P68B1DB1-Normal23"/>
              <w:spacing w:after="0"/>
              <w:jc w:val="both"/>
              <w:rPr>
                <w:rFonts w:eastAsia="Calibri" w:cs="Calibri"/>
                <w:noProof/>
              </w:rPr>
            </w:pPr>
            <w:r>
              <w:rPr>
                <w:noProof/>
              </w:rPr>
              <w:t>A telepített szélenergia-kapacitás megerősítése</w:t>
            </w:r>
          </w:p>
        </w:tc>
      </w:tr>
      <w:tr w:rsidR="00DC5EC6" w14:paraId="44FCEE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F55A38" w14:textId="77777777" w:rsidR="00DC5EC6" w:rsidRDefault="003245A4">
            <w:pPr>
              <w:pStyle w:val="P68B1DB1-Normal23"/>
              <w:spacing w:after="0"/>
              <w:jc w:val="center"/>
              <w:rPr>
                <w:rFonts w:eastAsia="Calibri" w:cs="Calibri"/>
                <w:noProof/>
              </w:rPr>
            </w:pPr>
            <w:r>
              <w:rPr>
                <w:noProof/>
              </w:rPr>
              <w:t>21.41</w:t>
            </w:r>
          </w:p>
        </w:tc>
        <w:tc>
          <w:tcPr>
            <w:tcW w:w="1760" w:type="dxa"/>
            <w:tcBorders>
              <w:top w:val="nil"/>
              <w:left w:val="nil"/>
              <w:bottom w:val="single" w:sz="4" w:space="0" w:color="auto"/>
              <w:right w:val="single" w:sz="4" w:space="0" w:color="auto"/>
            </w:tcBorders>
            <w:shd w:val="clear" w:color="auto" w:fill="C4EFCE"/>
            <w:vAlign w:val="center"/>
            <w:hideMark/>
          </w:tcPr>
          <w:p w14:paraId="1692D62F" w14:textId="64537686" w:rsidR="00DC5EC6" w:rsidRDefault="003245A4">
            <w:pPr>
              <w:pStyle w:val="P68B1DB1-Normal23"/>
              <w:spacing w:after="0"/>
              <w:jc w:val="center"/>
              <w:rPr>
                <w:rFonts w:eastAsia="Calibri" w:cs="Calibri"/>
                <w:noProof/>
              </w:rPr>
            </w:pPr>
            <w:r>
              <w:rPr>
                <w:noProof/>
              </w:rPr>
              <w:t>RP-C21-i15-RAA</w:t>
            </w:r>
          </w:p>
        </w:tc>
        <w:tc>
          <w:tcPr>
            <w:tcW w:w="1520" w:type="dxa"/>
            <w:tcBorders>
              <w:top w:val="nil"/>
              <w:left w:val="nil"/>
              <w:bottom w:val="single" w:sz="4" w:space="0" w:color="auto"/>
              <w:right w:val="single" w:sz="4" w:space="0" w:color="auto"/>
            </w:tcBorders>
            <w:shd w:val="clear" w:color="auto" w:fill="C4EFCE"/>
            <w:vAlign w:val="center"/>
            <w:hideMark/>
          </w:tcPr>
          <w:p w14:paraId="1A2F99A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F254CB8" w14:textId="77777777" w:rsidR="00DC5EC6" w:rsidRDefault="003245A4">
            <w:pPr>
              <w:pStyle w:val="P68B1DB1-Normal23"/>
              <w:spacing w:after="0"/>
              <w:jc w:val="both"/>
              <w:rPr>
                <w:rFonts w:eastAsia="Calibri" w:cs="Calibri"/>
                <w:noProof/>
              </w:rPr>
            </w:pPr>
            <w:r>
              <w:rPr>
                <w:noProof/>
              </w:rPr>
              <w:t>Két új elektromos komphajó üzembe helyezése</w:t>
            </w:r>
          </w:p>
        </w:tc>
      </w:tr>
      <w:tr w:rsidR="00DC5EC6" w14:paraId="4686FE2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496107"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hideMark/>
          </w:tcPr>
          <w:p w14:paraId="381C23FB" w14:textId="77777777" w:rsidR="00DC5EC6" w:rsidRDefault="003245A4">
            <w:pPr>
              <w:pStyle w:val="P68B1DB1-Normal8"/>
              <w:spacing w:after="0" w:line="240" w:lineRule="auto"/>
              <w:jc w:val="center"/>
              <w:rPr>
                <w:rFonts w:eastAsia="Times New Roman" w:cs="Calibri"/>
                <w:noProof/>
              </w:rPr>
            </w:pPr>
            <w:r>
              <w:rPr>
                <w:noProof/>
              </w:rPr>
              <w:t> </w:t>
            </w:r>
          </w:p>
        </w:tc>
        <w:tc>
          <w:tcPr>
            <w:tcW w:w="1520" w:type="dxa"/>
            <w:tcBorders>
              <w:top w:val="nil"/>
              <w:left w:val="nil"/>
              <w:bottom w:val="single" w:sz="4" w:space="0" w:color="auto"/>
              <w:right w:val="single" w:sz="4" w:space="0" w:color="auto"/>
            </w:tcBorders>
            <w:shd w:val="clear" w:color="auto" w:fill="C4EFCE"/>
            <w:vAlign w:val="center"/>
            <w:hideMark/>
          </w:tcPr>
          <w:p w14:paraId="2A9D373E"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nil"/>
              <w:left w:val="nil"/>
              <w:bottom w:val="single" w:sz="4" w:space="0" w:color="auto"/>
              <w:right w:val="single" w:sz="4" w:space="0" w:color="auto"/>
            </w:tcBorders>
            <w:shd w:val="clear" w:color="auto" w:fill="C4EFCE"/>
            <w:vAlign w:val="center"/>
            <w:hideMark/>
          </w:tcPr>
          <w:p w14:paraId="6C5CFDF1" w14:textId="3C8B9DE9" w:rsidR="00DC5EC6" w:rsidRDefault="003245A4">
            <w:pPr>
              <w:pStyle w:val="P68B1DB1-Normal25"/>
              <w:spacing w:after="0" w:line="240" w:lineRule="auto"/>
              <w:jc w:val="center"/>
              <w:rPr>
                <w:rFonts w:cs="Calibri"/>
                <w:noProof/>
              </w:rPr>
            </w:pPr>
            <w:r>
              <w:rPr>
                <w:noProof/>
              </w:rPr>
              <w:t xml:space="preserve"> ·EURÓPAI BIZOTTSÁG 2 284 617 001 EUR </w:t>
            </w:r>
          </w:p>
        </w:tc>
      </w:tr>
    </w:tbl>
    <w:p w14:paraId="43D05AA8"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607CA0DB"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p w14:paraId="2B32C5FC"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Tizedik kifizetési kérelem (vissza nem térítendő támogatás): </w:t>
      </w:r>
    </w:p>
    <w:p w14:paraId="55E21E0D"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13" w:type="dxa"/>
        <w:tblLook w:val="04A0" w:firstRow="1" w:lastRow="0" w:firstColumn="1" w:lastColumn="0" w:noHBand="0" w:noVBand="1"/>
      </w:tblPr>
      <w:tblGrid>
        <w:gridCol w:w="1200"/>
        <w:gridCol w:w="1760"/>
        <w:gridCol w:w="1520"/>
        <w:gridCol w:w="5060"/>
      </w:tblGrid>
      <w:tr w:rsidR="00DC5EC6" w14:paraId="7D06A10D"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EA7B9D4"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6390E37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48722F55"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5F8E9C14"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3D3D479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5D5E3F" w14:textId="77777777" w:rsidR="00DC5EC6" w:rsidRDefault="003245A4">
            <w:pPr>
              <w:pStyle w:val="P68B1DB1-Normal23"/>
              <w:spacing w:after="0"/>
              <w:jc w:val="center"/>
              <w:rPr>
                <w:noProof/>
              </w:rPr>
            </w:pPr>
            <w:r>
              <w:rPr>
                <w:noProof/>
              </w:rPr>
              <w:t>1.15</w:t>
            </w:r>
          </w:p>
        </w:tc>
        <w:tc>
          <w:tcPr>
            <w:tcW w:w="1760" w:type="dxa"/>
            <w:tcBorders>
              <w:top w:val="nil"/>
              <w:left w:val="nil"/>
              <w:bottom w:val="single" w:sz="4" w:space="0" w:color="auto"/>
              <w:right w:val="single" w:sz="4" w:space="0" w:color="auto"/>
            </w:tcBorders>
            <w:shd w:val="clear" w:color="auto" w:fill="C4EFCE"/>
            <w:vAlign w:val="center"/>
            <w:hideMark/>
          </w:tcPr>
          <w:p w14:paraId="52F5475D"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26BFA8A2"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1B52446" w14:textId="77777777" w:rsidR="00DC5EC6" w:rsidRDefault="003245A4">
            <w:pPr>
              <w:pStyle w:val="P68B1DB1-Normal23"/>
              <w:spacing w:after="0"/>
              <w:jc w:val="both"/>
              <w:rPr>
                <w:rFonts w:eastAsia="Calibri" w:cs="Calibri"/>
                <w:noProof/>
              </w:rPr>
            </w:pPr>
            <w:r>
              <w:rPr>
                <w:noProof/>
              </w:rPr>
              <w:t>Új egészségügyi egységek építése</w:t>
            </w:r>
          </w:p>
        </w:tc>
      </w:tr>
      <w:tr w:rsidR="00DC5EC6" w14:paraId="6806F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2F0C54B" w14:textId="77777777" w:rsidR="00DC5EC6" w:rsidRDefault="003245A4">
            <w:pPr>
              <w:pStyle w:val="P68B1DB1-Normal23"/>
              <w:spacing w:after="0"/>
              <w:jc w:val="center"/>
              <w:rPr>
                <w:noProof/>
              </w:rPr>
            </w:pPr>
            <w:r>
              <w:rPr>
                <w:noProof/>
              </w:rPr>
              <w:t>1.16</w:t>
            </w:r>
          </w:p>
        </w:tc>
        <w:tc>
          <w:tcPr>
            <w:tcW w:w="1760" w:type="dxa"/>
            <w:tcBorders>
              <w:top w:val="nil"/>
              <w:left w:val="nil"/>
              <w:bottom w:val="single" w:sz="4" w:space="0" w:color="auto"/>
              <w:right w:val="single" w:sz="4" w:space="0" w:color="auto"/>
            </w:tcBorders>
            <w:shd w:val="clear" w:color="auto" w:fill="C4EFCE"/>
            <w:vAlign w:val="center"/>
            <w:hideMark/>
          </w:tcPr>
          <w:p w14:paraId="19CDD319"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08281B82"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5B41143" w14:textId="77777777" w:rsidR="00DC5EC6" w:rsidRDefault="003245A4">
            <w:pPr>
              <w:pStyle w:val="P68B1DB1-Normal23"/>
              <w:spacing w:after="0"/>
              <w:jc w:val="both"/>
              <w:rPr>
                <w:rFonts w:eastAsia="Calibri" w:cs="Calibri"/>
                <w:noProof/>
              </w:rPr>
            </w:pPr>
            <w:r>
              <w:rPr>
                <w:noProof/>
              </w:rPr>
              <w:t>A szűrési és korai diagnosztikai programok nemzeti lefedettségének befejezése az egészségügyi alapellátásban</w:t>
            </w:r>
          </w:p>
        </w:tc>
      </w:tr>
      <w:tr w:rsidR="00DC5EC6" w14:paraId="217E40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8A98AA" w14:textId="77777777" w:rsidR="00DC5EC6" w:rsidRDefault="003245A4">
            <w:pPr>
              <w:pStyle w:val="P68B1DB1-Normal23"/>
              <w:spacing w:after="0"/>
              <w:jc w:val="center"/>
              <w:rPr>
                <w:noProof/>
              </w:rPr>
            </w:pPr>
            <w:r>
              <w:rPr>
                <w:noProof/>
              </w:rPr>
              <w:t>1.17</w:t>
            </w:r>
          </w:p>
        </w:tc>
        <w:tc>
          <w:tcPr>
            <w:tcW w:w="1760" w:type="dxa"/>
            <w:tcBorders>
              <w:top w:val="nil"/>
              <w:left w:val="nil"/>
              <w:bottom w:val="single" w:sz="4" w:space="0" w:color="auto"/>
              <w:right w:val="single" w:sz="4" w:space="0" w:color="auto"/>
            </w:tcBorders>
            <w:shd w:val="clear" w:color="auto" w:fill="C4EFCE"/>
            <w:vAlign w:val="center"/>
            <w:hideMark/>
          </w:tcPr>
          <w:p w14:paraId="790F9509"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65D56E08"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7EB1B2C" w14:textId="77777777" w:rsidR="00DC5EC6" w:rsidRDefault="003245A4">
            <w:pPr>
              <w:pStyle w:val="P68B1DB1-Normal23"/>
              <w:spacing w:after="0"/>
              <w:jc w:val="both"/>
              <w:rPr>
                <w:rFonts w:eastAsia="Calibri" w:cs="Calibri"/>
                <w:noProof/>
              </w:rPr>
            </w:pPr>
            <w:r>
              <w:rPr>
                <w:noProof/>
              </w:rPr>
              <w:t>Az elsődleges egészségügyi központok reagálási képességének növelése és beavatkozási területeik bővítése</w:t>
            </w:r>
          </w:p>
        </w:tc>
      </w:tr>
      <w:tr w:rsidR="00DC5EC6" w14:paraId="01A92F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38C9033" w14:textId="77777777" w:rsidR="00DC5EC6" w:rsidRDefault="003245A4">
            <w:pPr>
              <w:pStyle w:val="P68B1DB1-Normal23"/>
              <w:spacing w:after="0"/>
              <w:jc w:val="center"/>
              <w:rPr>
                <w:noProof/>
              </w:rPr>
            </w:pPr>
            <w:r>
              <w:rPr>
                <w:noProof/>
              </w:rPr>
              <w:t>1.18</w:t>
            </w:r>
          </w:p>
        </w:tc>
        <w:tc>
          <w:tcPr>
            <w:tcW w:w="1760" w:type="dxa"/>
            <w:tcBorders>
              <w:top w:val="nil"/>
              <w:left w:val="nil"/>
              <w:bottom w:val="single" w:sz="4" w:space="0" w:color="auto"/>
              <w:right w:val="single" w:sz="4" w:space="0" w:color="auto"/>
            </w:tcBorders>
            <w:shd w:val="clear" w:color="auto" w:fill="C4EFCE"/>
            <w:vAlign w:val="center"/>
            <w:hideMark/>
          </w:tcPr>
          <w:p w14:paraId="4284A36F"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757EA7EC"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16FCF755" w14:textId="77777777" w:rsidR="00DC5EC6" w:rsidRDefault="003245A4">
            <w:pPr>
              <w:pStyle w:val="P68B1DB1-Normal23"/>
              <w:spacing w:after="0"/>
              <w:jc w:val="both"/>
              <w:rPr>
                <w:rFonts w:eastAsia="Calibri" w:cs="Calibri"/>
                <w:noProof/>
              </w:rPr>
            </w:pPr>
            <w:r>
              <w:rPr>
                <w:noProof/>
              </w:rPr>
              <w:t>Az egészségügyi létesítmények és berendezések felújítása az elsődleges egészségügyi központok hozzáférhetőségének, minőségének és biztonságának biztosítása érdekében</w:t>
            </w:r>
          </w:p>
        </w:tc>
      </w:tr>
      <w:tr w:rsidR="00DC5EC6" w14:paraId="5284CCA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868D01" w14:textId="77777777" w:rsidR="00DC5EC6" w:rsidRDefault="003245A4">
            <w:pPr>
              <w:pStyle w:val="P68B1DB1-Normal23"/>
              <w:spacing w:after="0"/>
              <w:jc w:val="center"/>
              <w:rPr>
                <w:noProof/>
              </w:rPr>
            </w:pPr>
            <w:r>
              <w:rPr>
                <w:noProof/>
              </w:rPr>
              <w:t>1.19</w:t>
            </w:r>
          </w:p>
        </w:tc>
        <w:tc>
          <w:tcPr>
            <w:tcW w:w="1760" w:type="dxa"/>
            <w:tcBorders>
              <w:top w:val="nil"/>
              <w:left w:val="nil"/>
              <w:bottom w:val="single" w:sz="4" w:space="0" w:color="auto"/>
              <w:right w:val="single" w:sz="4" w:space="0" w:color="auto"/>
            </w:tcBorders>
            <w:shd w:val="clear" w:color="auto" w:fill="C4EFCE"/>
            <w:vAlign w:val="center"/>
            <w:hideMark/>
          </w:tcPr>
          <w:p w14:paraId="0EDC48A4" w14:textId="77777777" w:rsidR="00DC5EC6" w:rsidRDefault="003245A4">
            <w:pPr>
              <w:pStyle w:val="P68B1DB1-Normal23"/>
              <w:spacing w:after="0"/>
              <w:jc w:val="center"/>
              <w:rPr>
                <w:noProof/>
              </w:rPr>
            </w:pPr>
            <w:r>
              <w:rPr>
                <w:noProof/>
              </w:rPr>
              <w:t>Re-C01-i01</w:t>
            </w:r>
          </w:p>
        </w:tc>
        <w:tc>
          <w:tcPr>
            <w:tcW w:w="1520" w:type="dxa"/>
            <w:tcBorders>
              <w:top w:val="nil"/>
              <w:left w:val="nil"/>
              <w:bottom w:val="single" w:sz="4" w:space="0" w:color="auto"/>
              <w:right w:val="single" w:sz="4" w:space="0" w:color="auto"/>
            </w:tcBorders>
            <w:shd w:val="clear" w:color="auto" w:fill="C4EFCE"/>
            <w:vAlign w:val="center"/>
            <w:hideMark/>
          </w:tcPr>
          <w:p w14:paraId="33DB8263"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725DC65" w14:textId="77777777" w:rsidR="00DC5EC6" w:rsidRDefault="003245A4">
            <w:pPr>
              <w:pStyle w:val="P68B1DB1-Normal23"/>
              <w:spacing w:after="0"/>
              <w:jc w:val="both"/>
              <w:rPr>
                <w:rFonts w:eastAsia="Calibri" w:cs="Calibri"/>
                <w:noProof/>
              </w:rPr>
            </w:pPr>
            <w:r>
              <w:rPr>
                <w:noProof/>
              </w:rPr>
              <w:t>A közösségi alapú gondozás, otthoni és közösségi beavatkozások megerősítése</w:t>
            </w:r>
          </w:p>
        </w:tc>
      </w:tr>
      <w:tr w:rsidR="00DC5EC6" w14:paraId="3D01E1B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AC2B30" w14:textId="77777777" w:rsidR="00DC5EC6" w:rsidRDefault="003245A4">
            <w:pPr>
              <w:pStyle w:val="P68B1DB1-Normal23"/>
              <w:spacing w:after="0"/>
              <w:jc w:val="center"/>
              <w:rPr>
                <w:noProof/>
              </w:rPr>
            </w:pPr>
            <w:r>
              <w:rPr>
                <w:noProof/>
              </w:rPr>
              <w:t>1.26</w:t>
            </w:r>
          </w:p>
        </w:tc>
        <w:tc>
          <w:tcPr>
            <w:tcW w:w="1760" w:type="dxa"/>
            <w:tcBorders>
              <w:top w:val="nil"/>
              <w:left w:val="nil"/>
              <w:bottom w:val="single" w:sz="4" w:space="0" w:color="auto"/>
              <w:right w:val="single" w:sz="4" w:space="0" w:color="auto"/>
            </w:tcBorders>
            <w:shd w:val="clear" w:color="auto" w:fill="C4EFCE"/>
            <w:vAlign w:val="center"/>
            <w:hideMark/>
          </w:tcPr>
          <w:p w14:paraId="2701A855" w14:textId="77777777" w:rsidR="00DC5EC6" w:rsidRDefault="003245A4">
            <w:pPr>
              <w:pStyle w:val="P68B1DB1-Normal23"/>
              <w:spacing w:after="0"/>
              <w:jc w:val="center"/>
              <w:rPr>
                <w:noProof/>
              </w:rPr>
            </w:pPr>
            <w:r>
              <w:rPr>
                <w:noProof/>
              </w:rPr>
              <w:t>Újra-C01–i04</w:t>
            </w:r>
          </w:p>
        </w:tc>
        <w:tc>
          <w:tcPr>
            <w:tcW w:w="1520" w:type="dxa"/>
            <w:tcBorders>
              <w:top w:val="nil"/>
              <w:left w:val="nil"/>
              <w:bottom w:val="single" w:sz="4" w:space="0" w:color="auto"/>
              <w:right w:val="single" w:sz="4" w:space="0" w:color="auto"/>
            </w:tcBorders>
            <w:shd w:val="clear" w:color="auto" w:fill="C4EFCE"/>
            <w:vAlign w:val="center"/>
            <w:hideMark/>
          </w:tcPr>
          <w:p w14:paraId="05A37AD5"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BABE876" w14:textId="77777777" w:rsidR="00DC5EC6" w:rsidRDefault="003245A4">
            <w:pPr>
              <w:pStyle w:val="P68B1DB1-Normal23"/>
              <w:spacing w:after="0"/>
              <w:jc w:val="both"/>
              <w:rPr>
                <w:rFonts w:eastAsia="Calibri" w:cs="Calibri"/>
                <w:noProof/>
              </w:rPr>
            </w:pPr>
            <w:r>
              <w:rPr>
                <w:noProof/>
              </w:rPr>
              <w:t>A Kelet-Lisszaboni Kórház építése és berendezések beszerzése Lisszabonban és Vale do Tejo-ban</w:t>
            </w:r>
          </w:p>
        </w:tc>
      </w:tr>
      <w:tr w:rsidR="00DC5EC6" w14:paraId="3D441B1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C3D0439" w14:textId="77777777" w:rsidR="00DC5EC6" w:rsidRDefault="003245A4">
            <w:pPr>
              <w:pStyle w:val="P68B1DB1-Normal23"/>
              <w:spacing w:after="0"/>
              <w:jc w:val="center"/>
              <w:rPr>
                <w:noProof/>
              </w:rPr>
            </w:pPr>
            <w:r>
              <w:rPr>
                <w:noProof/>
              </w:rPr>
              <w:t>1.27</w:t>
            </w:r>
          </w:p>
        </w:tc>
        <w:tc>
          <w:tcPr>
            <w:tcW w:w="1760" w:type="dxa"/>
            <w:tcBorders>
              <w:top w:val="nil"/>
              <w:left w:val="nil"/>
              <w:bottom w:val="single" w:sz="4" w:space="0" w:color="auto"/>
              <w:right w:val="single" w:sz="4" w:space="0" w:color="auto"/>
            </w:tcBorders>
            <w:shd w:val="clear" w:color="auto" w:fill="C4EFCE"/>
            <w:vAlign w:val="center"/>
            <w:hideMark/>
          </w:tcPr>
          <w:p w14:paraId="1BD7B0E9" w14:textId="77777777" w:rsidR="00DC5EC6" w:rsidRDefault="003245A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3CAAA8F2"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A201EA2" w14:textId="77777777" w:rsidR="00DC5EC6" w:rsidRDefault="003245A4">
            <w:pPr>
              <w:pStyle w:val="P68B1DB1-Normal23"/>
              <w:spacing w:after="0"/>
              <w:jc w:val="both"/>
              <w:rPr>
                <w:rFonts w:eastAsia="Calibri" w:cs="Calibri"/>
                <w:noProof/>
              </w:rPr>
            </w:pPr>
            <w:r>
              <w:rPr>
                <w:noProof/>
              </w:rPr>
              <w:t>Madeira regionális egészségügyi szolgálatának otthoni kórházi ellátási rendszerében rendelkezésre álló helyek számának növelése</w:t>
            </w:r>
          </w:p>
        </w:tc>
      </w:tr>
      <w:tr w:rsidR="00DC5EC6" w14:paraId="5762E4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CF62DE" w14:textId="77777777" w:rsidR="00DC5EC6" w:rsidRDefault="003245A4">
            <w:pPr>
              <w:pStyle w:val="P68B1DB1-Normal23"/>
              <w:spacing w:after="0"/>
              <w:jc w:val="center"/>
              <w:rPr>
                <w:noProof/>
              </w:rPr>
            </w:pPr>
            <w:r>
              <w:rPr>
                <w:noProof/>
              </w:rPr>
              <w:t>1.28</w:t>
            </w:r>
          </w:p>
        </w:tc>
        <w:tc>
          <w:tcPr>
            <w:tcW w:w="1760" w:type="dxa"/>
            <w:tcBorders>
              <w:top w:val="nil"/>
              <w:left w:val="nil"/>
              <w:bottom w:val="single" w:sz="4" w:space="0" w:color="auto"/>
              <w:right w:val="single" w:sz="4" w:space="0" w:color="auto"/>
            </w:tcBorders>
            <w:shd w:val="clear" w:color="auto" w:fill="C4EFCE"/>
            <w:vAlign w:val="center"/>
            <w:hideMark/>
          </w:tcPr>
          <w:p w14:paraId="4710DCFA" w14:textId="77777777" w:rsidR="00DC5EC6" w:rsidRDefault="003245A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CFA463F"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865E083" w14:textId="77777777" w:rsidR="00DC5EC6" w:rsidRDefault="003245A4">
            <w:pPr>
              <w:pStyle w:val="P68B1DB1-Normal23"/>
              <w:spacing w:after="0"/>
              <w:jc w:val="both"/>
              <w:rPr>
                <w:rFonts w:eastAsia="Calibri" w:cs="Calibri"/>
                <w:noProof/>
              </w:rPr>
            </w:pPr>
            <w:r>
              <w:rPr>
                <w:noProof/>
              </w:rPr>
              <w:t>Közösségi mentális egészségügyi csoportok létrehozása Madeira regionális egészségügyi szolgálatában</w:t>
            </w:r>
          </w:p>
        </w:tc>
      </w:tr>
      <w:tr w:rsidR="00DC5EC6" w14:paraId="01524A3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7ED4C9A" w14:textId="77777777" w:rsidR="00DC5EC6" w:rsidRDefault="003245A4">
            <w:pPr>
              <w:pStyle w:val="P68B1DB1-Normal23"/>
              <w:spacing w:after="0"/>
              <w:jc w:val="center"/>
              <w:rPr>
                <w:noProof/>
              </w:rPr>
            </w:pPr>
            <w:r>
              <w:rPr>
                <w:noProof/>
              </w:rPr>
              <w:t>1.31</w:t>
            </w:r>
          </w:p>
        </w:tc>
        <w:tc>
          <w:tcPr>
            <w:tcW w:w="1760" w:type="dxa"/>
            <w:tcBorders>
              <w:top w:val="nil"/>
              <w:left w:val="nil"/>
              <w:bottom w:val="single" w:sz="4" w:space="0" w:color="auto"/>
              <w:right w:val="single" w:sz="4" w:space="0" w:color="auto"/>
            </w:tcBorders>
            <w:shd w:val="clear" w:color="auto" w:fill="C4EFCE"/>
            <w:vAlign w:val="center"/>
            <w:hideMark/>
          </w:tcPr>
          <w:p w14:paraId="35A056AF" w14:textId="77777777" w:rsidR="00DC5EC6" w:rsidRDefault="003245A4">
            <w:pPr>
              <w:pStyle w:val="P68B1DB1-Normal23"/>
              <w:spacing w:after="0"/>
              <w:jc w:val="center"/>
              <w:rPr>
                <w:noProof/>
              </w:rPr>
            </w:pPr>
            <w:r>
              <w:rPr>
                <w:noProof/>
              </w:rPr>
              <w:t>Re-C01-i05-RAM</w:t>
            </w:r>
          </w:p>
        </w:tc>
        <w:tc>
          <w:tcPr>
            <w:tcW w:w="1520" w:type="dxa"/>
            <w:tcBorders>
              <w:top w:val="nil"/>
              <w:left w:val="nil"/>
              <w:bottom w:val="single" w:sz="4" w:space="0" w:color="auto"/>
              <w:right w:val="single" w:sz="4" w:space="0" w:color="auto"/>
            </w:tcBorders>
            <w:shd w:val="clear" w:color="auto" w:fill="C4EFCE"/>
            <w:vAlign w:val="center"/>
            <w:hideMark/>
          </w:tcPr>
          <w:p w14:paraId="632A4DE4"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FB0741" w14:textId="77777777" w:rsidR="00DC5EC6" w:rsidRDefault="003245A4">
            <w:pPr>
              <w:pStyle w:val="P68B1DB1-Normal23"/>
              <w:spacing w:after="0"/>
              <w:jc w:val="both"/>
              <w:rPr>
                <w:rFonts w:eastAsia="Calibri" w:cs="Calibri"/>
                <w:noProof/>
              </w:rPr>
            </w:pPr>
            <w:r>
              <w:rPr>
                <w:noProof/>
              </w:rPr>
              <w:t>Az egészségügyi alapellátás felújítása Madeira regionális egészségügyi szolgálatában</w:t>
            </w:r>
          </w:p>
        </w:tc>
      </w:tr>
      <w:tr w:rsidR="00DC5EC6" w14:paraId="5ABD1A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CF6E924" w14:textId="77777777" w:rsidR="00DC5EC6" w:rsidRDefault="003245A4">
            <w:pPr>
              <w:pStyle w:val="P68B1DB1-Normal23"/>
              <w:spacing w:after="0"/>
              <w:jc w:val="center"/>
              <w:rPr>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375AE1E5" w14:textId="77777777" w:rsidR="00DC5EC6" w:rsidRDefault="003245A4">
            <w:pPr>
              <w:pStyle w:val="P68B1DB1-Normal23"/>
              <w:spacing w:after="0"/>
              <w:jc w:val="center"/>
              <w:rPr>
                <w:noProof/>
              </w:rPr>
            </w:pPr>
            <w:r>
              <w:rPr>
                <w:noProof/>
              </w:rPr>
              <w:t>Újra-C01-i10</w:t>
            </w:r>
          </w:p>
        </w:tc>
        <w:tc>
          <w:tcPr>
            <w:tcW w:w="1520" w:type="dxa"/>
            <w:tcBorders>
              <w:top w:val="nil"/>
              <w:left w:val="nil"/>
              <w:bottom w:val="single" w:sz="4" w:space="0" w:color="auto"/>
              <w:right w:val="single" w:sz="4" w:space="0" w:color="auto"/>
            </w:tcBorders>
            <w:shd w:val="clear" w:color="auto" w:fill="C4EFCE"/>
            <w:vAlign w:val="center"/>
            <w:hideMark/>
          </w:tcPr>
          <w:p w14:paraId="3498EF00"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A15A08C" w14:textId="77777777" w:rsidR="00DC5EC6" w:rsidRDefault="003245A4">
            <w:pPr>
              <w:pStyle w:val="P68B1DB1-Normal23"/>
              <w:spacing w:after="0"/>
              <w:jc w:val="both"/>
              <w:rPr>
                <w:rFonts w:eastAsia="Calibri" w:cs="Calibri"/>
                <w:noProof/>
              </w:rPr>
            </w:pPr>
            <w:r>
              <w:rPr>
                <w:noProof/>
              </w:rPr>
              <w:t>Nehéz orvosi berendezések beszerzése</w:t>
            </w:r>
          </w:p>
        </w:tc>
      </w:tr>
      <w:tr w:rsidR="00DC5EC6" w14:paraId="6AC77FE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C1269E" w14:textId="77777777" w:rsidR="00DC5EC6" w:rsidRDefault="003245A4">
            <w:pPr>
              <w:pStyle w:val="P68B1DB1-Normal23"/>
              <w:spacing w:after="0"/>
              <w:jc w:val="center"/>
              <w:rPr>
                <w:noProof/>
              </w:rPr>
            </w:pPr>
            <w:r>
              <w:rPr>
                <w:noProof/>
              </w:rPr>
              <w:t>2.3</w:t>
            </w:r>
          </w:p>
        </w:tc>
        <w:tc>
          <w:tcPr>
            <w:tcW w:w="1760" w:type="dxa"/>
            <w:tcBorders>
              <w:top w:val="nil"/>
              <w:left w:val="nil"/>
              <w:bottom w:val="single" w:sz="4" w:space="0" w:color="auto"/>
              <w:right w:val="single" w:sz="4" w:space="0" w:color="auto"/>
            </w:tcBorders>
            <w:shd w:val="clear" w:color="auto" w:fill="C4EFCE"/>
            <w:vAlign w:val="center"/>
            <w:hideMark/>
          </w:tcPr>
          <w:p w14:paraId="43F3328C" w14:textId="77777777" w:rsidR="00DC5EC6" w:rsidRDefault="003245A4">
            <w:pPr>
              <w:pStyle w:val="P68B1DB1-Normal23"/>
              <w:spacing w:after="0"/>
              <w:jc w:val="center"/>
              <w:rPr>
                <w:noProof/>
              </w:rPr>
            </w:pPr>
            <w:r>
              <w:rPr>
                <w:noProof/>
              </w:rPr>
              <w:t>Re-C02-i01</w:t>
            </w:r>
          </w:p>
        </w:tc>
        <w:tc>
          <w:tcPr>
            <w:tcW w:w="1520" w:type="dxa"/>
            <w:tcBorders>
              <w:top w:val="nil"/>
              <w:left w:val="nil"/>
              <w:bottom w:val="single" w:sz="4" w:space="0" w:color="auto"/>
              <w:right w:val="single" w:sz="4" w:space="0" w:color="auto"/>
            </w:tcBorders>
            <w:shd w:val="clear" w:color="auto" w:fill="C4EFCE"/>
            <w:vAlign w:val="center"/>
            <w:hideMark/>
          </w:tcPr>
          <w:p w14:paraId="63E6F2B5"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F9FF65" w14:textId="77777777" w:rsidR="00DC5EC6" w:rsidRDefault="003245A4">
            <w:pPr>
              <w:pStyle w:val="P68B1DB1-Normal23"/>
              <w:spacing w:after="0"/>
              <w:jc w:val="both"/>
              <w:rPr>
                <w:rFonts w:eastAsia="Calibri" w:cs="Calibri"/>
                <w:noProof/>
              </w:rPr>
            </w:pPr>
            <w:r>
              <w:rPr>
                <w:noProof/>
              </w:rPr>
              <w:t>Lakhatáshoz való hozzáférést támogató program – háztartásoknak nyújtott vásárolt, épített (nagy energiahatékonyságú) vagy rehabilitált (jobb energiahatékonyságú) lakások</w:t>
            </w:r>
          </w:p>
        </w:tc>
      </w:tr>
      <w:tr w:rsidR="00DC5EC6" w14:paraId="72A5938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282ECA8" w14:textId="77777777" w:rsidR="00DC5EC6" w:rsidRDefault="003245A4">
            <w:pPr>
              <w:pStyle w:val="P68B1DB1-Normal23"/>
              <w:spacing w:after="0"/>
              <w:jc w:val="center"/>
              <w:rPr>
                <w:noProof/>
              </w:rPr>
            </w:pPr>
            <w:r>
              <w:rPr>
                <w:noProof/>
              </w:rPr>
              <w:t>2.7</w:t>
            </w:r>
          </w:p>
        </w:tc>
        <w:tc>
          <w:tcPr>
            <w:tcW w:w="1760" w:type="dxa"/>
            <w:tcBorders>
              <w:top w:val="nil"/>
              <w:left w:val="nil"/>
              <w:bottom w:val="single" w:sz="4" w:space="0" w:color="auto"/>
              <w:right w:val="single" w:sz="4" w:space="0" w:color="auto"/>
            </w:tcBorders>
            <w:shd w:val="clear" w:color="auto" w:fill="C4EFCE"/>
            <w:vAlign w:val="center"/>
            <w:hideMark/>
          </w:tcPr>
          <w:p w14:paraId="73BDA8CB" w14:textId="77777777" w:rsidR="00DC5EC6" w:rsidRDefault="003245A4">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E0163B1"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65A5618" w14:textId="77777777" w:rsidR="00DC5EC6" w:rsidRDefault="003245A4">
            <w:pPr>
              <w:pStyle w:val="P68B1DB1-Normal23"/>
              <w:spacing w:after="0"/>
              <w:jc w:val="both"/>
              <w:rPr>
                <w:rFonts w:eastAsia="Calibri" w:cs="Calibri"/>
                <w:noProof/>
              </w:rPr>
            </w:pPr>
            <w:r>
              <w:rPr>
                <w:noProof/>
              </w:rPr>
              <w:t>Nemzeti szükséghelyzeti és ideiglenes lakhatási támogatás – Veszélyhelyzeti és átmeneti szálláshelyek, amelyeket (energiahatékonysági szabvány szerint építettek vagy vásároltak, vagy rehabilitáltak, többek között vásároltak, jobb energiahatékonysággal) és a fejlesztőknek szállítottak</w:t>
            </w:r>
          </w:p>
        </w:tc>
      </w:tr>
      <w:tr w:rsidR="00DC5EC6" w14:paraId="0F56588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51AC1AB" w14:textId="77777777" w:rsidR="00DC5EC6" w:rsidRDefault="003245A4">
            <w:pPr>
              <w:pStyle w:val="P68B1DB1-Normal23"/>
              <w:spacing w:after="0"/>
              <w:jc w:val="center"/>
              <w:rPr>
                <w:noProof/>
              </w:rPr>
            </w:pPr>
            <w:r>
              <w:rPr>
                <w:noProof/>
              </w:rPr>
              <w:t>2.8</w:t>
            </w:r>
          </w:p>
        </w:tc>
        <w:tc>
          <w:tcPr>
            <w:tcW w:w="1760" w:type="dxa"/>
            <w:tcBorders>
              <w:top w:val="nil"/>
              <w:left w:val="nil"/>
              <w:bottom w:val="single" w:sz="4" w:space="0" w:color="auto"/>
              <w:right w:val="single" w:sz="4" w:space="0" w:color="auto"/>
            </w:tcBorders>
            <w:shd w:val="clear" w:color="auto" w:fill="C4EFCE"/>
            <w:vAlign w:val="center"/>
            <w:hideMark/>
          </w:tcPr>
          <w:p w14:paraId="7E84AC89" w14:textId="77777777" w:rsidR="00DC5EC6" w:rsidRDefault="003245A4">
            <w:pPr>
              <w:pStyle w:val="P68B1DB1-Normal23"/>
              <w:spacing w:after="0"/>
              <w:jc w:val="center"/>
              <w:rPr>
                <w:noProof/>
              </w:rPr>
            </w:pPr>
            <w:r>
              <w:rPr>
                <w:noProof/>
              </w:rPr>
              <w:t>Re-C02-i02</w:t>
            </w:r>
          </w:p>
        </w:tc>
        <w:tc>
          <w:tcPr>
            <w:tcW w:w="1520" w:type="dxa"/>
            <w:tcBorders>
              <w:top w:val="nil"/>
              <w:left w:val="nil"/>
              <w:bottom w:val="single" w:sz="4" w:space="0" w:color="auto"/>
              <w:right w:val="single" w:sz="4" w:space="0" w:color="auto"/>
            </w:tcBorders>
            <w:shd w:val="clear" w:color="auto" w:fill="C4EFCE"/>
            <w:vAlign w:val="center"/>
            <w:hideMark/>
          </w:tcPr>
          <w:p w14:paraId="42DC07CB"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23D2B0" w14:textId="77777777" w:rsidR="00DC5EC6" w:rsidRDefault="003245A4">
            <w:pPr>
              <w:pStyle w:val="P68B1DB1-Normal23"/>
              <w:spacing w:after="0"/>
              <w:jc w:val="both"/>
              <w:rPr>
                <w:rFonts w:eastAsia="Calibri" w:cs="Calibri"/>
                <w:noProof/>
              </w:rPr>
            </w:pPr>
            <w:r>
              <w:rPr>
                <w:noProof/>
              </w:rPr>
              <w:t>Biztonsági erőknek átadott szállás és humanitárius vagy biztonsági okokból kiszállított ideiglenes szállás</w:t>
            </w:r>
          </w:p>
        </w:tc>
      </w:tr>
      <w:tr w:rsidR="00DC5EC6" w14:paraId="02FF4B3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E8FA595" w14:textId="77777777" w:rsidR="00DC5EC6" w:rsidRDefault="003245A4">
            <w:pPr>
              <w:pStyle w:val="P68B1DB1-Normal23"/>
              <w:spacing w:after="0"/>
              <w:jc w:val="center"/>
              <w:rPr>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7D04435" w14:textId="77777777" w:rsidR="00DC5EC6" w:rsidRDefault="003245A4">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3BD5817E"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D58941" w14:textId="77777777" w:rsidR="00DC5EC6" w:rsidRDefault="003245A4">
            <w:pPr>
              <w:pStyle w:val="P68B1DB1-Normal23"/>
              <w:spacing w:after="0"/>
              <w:jc w:val="both"/>
              <w:rPr>
                <w:rFonts w:eastAsia="Calibri" w:cs="Calibri"/>
                <w:noProof/>
              </w:rPr>
            </w:pPr>
            <w:r>
              <w:rPr>
                <w:noProof/>
              </w:rPr>
              <w:t>Támogatott lakhatás Madeira autonóm régióban</w:t>
            </w:r>
          </w:p>
        </w:tc>
      </w:tr>
      <w:tr w:rsidR="00DC5EC6" w14:paraId="29129C5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6F57D8F" w14:textId="77777777" w:rsidR="00DC5EC6" w:rsidRDefault="003245A4">
            <w:pPr>
              <w:pStyle w:val="P68B1DB1-Normal23"/>
              <w:spacing w:after="0"/>
              <w:jc w:val="center"/>
              <w:rPr>
                <w:noProof/>
              </w:rPr>
            </w:pPr>
            <w:r>
              <w:rPr>
                <w:noProof/>
              </w:rPr>
              <w:t>2.12</w:t>
            </w:r>
          </w:p>
        </w:tc>
        <w:tc>
          <w:tcPr>
            <w:tcW w:w="1760" w:type="dxa"/>
            <w:tcBorders>
              <w:top w:val="nil"/>
              <w:left w:val="nil"/>
              <w:bottom w:val="single" w:sz="4" w:space="0" w:color="auto"/>
              <w:right w:val="single" w:sz="4" w:space="0" w:color="auto"/>
            </w:tcBorders>
            <w:shd w:val="clear" w:color="auto" w:fill="C4EFCE"/>
            <w:vAlign w:val="center"/>
            <w:hideMark/>
          </w:tcPr>
          <w:p w14:paraId="62DEA51A" w14:textId="77777777" w:rsidR="00DC5EC6" w:rsidRDefault="003245A4">
            <w:pPr>
              <w:pStyle w:val="P68B1DB1-Normal23"/>
              <w:spacing w:after="0"/>
              <w:jc w:val="center"/>
              <w:rPr>
                <w:noProof/>
              </w:rPr>
            </w:pPr>
            <w:r>
              <w:rPr>
                <w:noProof/>
              </w:rPr>
              <w:t>Re-C02-i03-RAM</w:t>
            </w:r>
          </w:p>
        </w:tc>
        <w:tc>
          <w:tcPr>
            <w:tcW w:w="1520" w:type="dxa"/>
            <w:tcBorders>
              <w:top w:val="nil"/>
              <w:left w:val="nil"/>
              <w:bottom w:val="single" w:sz="4" w:space="0" w:color="auto"/>
              <w:right w:val="single" w:sz="4" w:space="0" w:color="auto"/>
            </w:tcBorders>
            <w:shd w:val="clear" w:color="auto" w:fill="C4EFCE"/>
            <w:vAlign w:val="center"/>
            <w:hideMark/>
          </w:tcPr>
          <w:p w14:paraId="1270B23C"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726ED5" w14:textId="77777777" w:rsidR="00DC5EC6" w:rsidRDefault="003245A4">
            <w:pPr>
              <w:pStyle w:val="P68B1DB1-Normal23"/>
              <w:spacing w:after="0"/>
              <w:jc w:val="both"/>
              <w:rPr>
                <w:rFonts w:eastAsia="Calibri" w:cs="Calibri"/>
                <w:noProof/>
              </w:rPr>
            </w:pPr>
            <w:r>
              <w:rPr>
                <w:noProof/>
              </w:rPr>
              <w:t>A magántulajdonos által lakott, többek között energiahatékonyság szempontjából felújított lakások száma</w:t>
            </w:r>
          </w:p>
        </w:tc>
      </w:tr>
      <w:tr w:rsidR="00DC5EC6" w14:paraId="18ACBA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A04DA4C" w14:textId="77777777" w:rsidR="00DC5EC6" w:rsidRDefault="003245A4">
            <w:pPr>
              <w:pStyle w:val="P68B1DB1-Normal23"/>
              <w:spacing w:after="0"/>
              <w:jc w:val="center"/>
              <w:rPr>
                <w:noProof/>
              </w:rPr>
            </w:pPr>
            <w:r>
              <w:rPr>
                <w:noProof/>
              </w:rPr>
              <w:t>2.30</w:t>
            </w:r>
          </w:p>
        </w:tc>
        <w:tc>
          <w:tcPr>
            <w:tcW w:w="1760" w:type="dxa"/>
            <w:tcBorders>
              <w:top w:val="nil"/>
              <w:left w:val="nil"/>
              <w:bottom w:val="single" w:sz="4" w:space="0" w:color="auto"/>
              <w:right w:val="single" w:sz="4" w:space="0" w:color="auto"/>
            </w:tcBorders>
            <w:shd w:val="clear" w:color="auto" w:fill="C4EFCE"/>
            <w:vAlign w:val="center"/>
            <w:hideMark/>
          </w:tcPr>
          <w:p w14:paraId="373778E4" w14:textId="77777777" w:rsidR="00DC5EC6" w:rsidRDefault="003245A4">
            <w:pPr>
              <w:pStyle w:val="P68B1DB1-Normal23"/>
              <w:spacing w:after="0"/>
              <w:jc w:val="center"/>
              <w:rPr>
                <w:noProof/>
              </w:rPr>
            </w:pPr>
            <w:r>
              <w:rPr>
                <w:noProof/>
              </w:rPr>
              <w:t>Re-C02-i07-RAA</w:t>
            </w:r>
          </w:p>
        </w:tc>
        <w:tc>
          <w:tcPr>
            <w:tcW w:w="1520" w:type="dxa"/>
            <w:tcBorders>
              <w:top w:val="nil"/>
              <w:left w:val="nil"/>
              <w:bottom w:val="single" w:sz="4" w:space="0" w:color="auto"/>
              <w:right w:val="single" w:sz="4" w:space="0" w:color="auto"/>
            </w:tcBorders>
            <w:shd w:val="clear" w:color="auto" w:fill="C4EFCE"/>
            <w:vAlign w:val="center"/>
            <w:hideMark/>
          </w:tcPr>
          <w:p w14:paraId="66259027"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A181364" w14:textId="77777777" w:rsidR="00DC5EC6" w:rsidRDefault="003245A4">
            <w:pPr>
              <w:pStyle w:val="P68B1DB1-Normal23"/>
              <w:spacing w:after="0"/>
              <w:jc w:val="both"/>
              <w:rPr>
                <w:rFonts w:eastAsia="Calibri" w:cs="Calibri"/>
                <w:noProof/>
              </w:rPr>
            </w:pPr>
            <w:r>
              <w:rPr>
                <w:noProof/>
              </w:rPr>
              <w:t>Földparcellák infrastruktúrája</w:t>
            </w:r>
          </w:p>
        </w:tc>
      </w:tr>
      <w:tr w:rsidR="00DC5EC6" w14:paraId="17A4FE4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5779114" w14:textId="77777777" w:rsidR="00DC5EC6" w:rsidRDefault="003245A4">
            <w:pPr>
              <w:pStyle w:val="P68B1DB1-Normal23"/>
              <w:spacing w:after="0"/>
              <w:jc w:val="center"/>
              <w:rPr>
                <w:noProof/>
              </w:rPr>
            </w:pPr>
            <w:r>
              <w:rPr>
                <w:noProof/>
              </w:rPr>
              <w:t>3.1</w:t>
            </w:r>
          </w:p>
        </w:tc>
        <w:tc>
          <w:tcPr>
            <w:tcW w:w="1760" w:type="dxa"/>
            <w:tcBorders>
              <w:top w:val="nil"/>
              <w:left w:val="nil"/>
              <w:bottom w:val="single" w:sz="4" w:space="0" w:color="auto"/>
              <w:right w:val="single" w:sz="4" w:space="0" w:color="auto"/>
            </w:tcBorders>
            <w:shd w:val="clear" w:color="auto" w:fill="C4EFCE"/>
            <w:vAlign w:val="center"/>
            <w:hideMark/>
          </w:tcPr>
          <w:p w14:paraId="470584AE" w14:textId="77777777" w:rsidR="00DC5EC6" w:rsidRDefault="003245A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39BFEDF0"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17EB27" w14:textId="77777777" w:rsidR="00DC5EC6" w:rsidRDefault="003245A4">
            <w:pPr>
              <w:pStyle w:val="P68B1DB1-Normal23"/>
              <w:spacing w:after="0"/>
              <w:jc w:val="both"/>
              <w:rPr>
                <w:rFonts w:eastAsia="Calibri" w:cs="Calibri"/>
                <w:noProof/>
              </w:rPr>
            </w:pPr>
            <w:r>
              <w:rPr>
                <w:noProof/>
              </w:rPr>
              <w:t>Elektromos járművek szállítása</w:t>
            </w:r>
          </w:p>
        </w:tc>
      </w:tr>
      <w:tr w:rsidR="00DC5EC6" w14:paraId="5728D53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FBBABBB" w14:textId="77777777" w:rsidR="00DC5EC6" w:rsidRDefault="003245A4">
            <w:pPr>
              <w:pStyle w:val="P68B1DB1-Normal23"/>
              <w:spacing w:after="0"/>
              <w:jc w:val="center"/>
              <w:rPr>
                <w:noProof/>
              </w:rPr>
            </w:pPr>
            <w:r>
              <w:rPr>
                <w:noProof/>
              </w:rPr>
              <w:t>3.4</w:t>
            </w:r>
          </w:p>
        </w:tc>
        <w:tc>
          <w:tcPr>
            <w:tcW w:w="1760" w:type="dxa"/>
            <w:tcBorders>
              <w:top w:val="nil"/>
              <w:left w:val="nil"/>
              <w:bottom w:val="single" w:sz="4" w:space="0" w:color="auto"/>
              <w:right w:val="single" w:sz="4" w:space="0" w:color="auto"/>
            </w:tcBorders>
            <w:shd w:val="clear" w:color="auto" w:fill="C4EFCE"/>
            <w:vAlign w:val="center"/>
            <w:hideMark/>
          </w:tcPr>
          <w:p w14:paraId="4DB7F8C7" w14:textId="77777777" w:rsidR="00DC5EC6" w:rsidRDefault="003245A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25CFCDF3"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1CAD15" w14:textId="77777777" w:rsidR="00DC5EC6" w:rsidRDefault="003245A4">
            <w:pPr>
              <w:pStyle w:val="P68B1DB1-Normal23"/>
              <w:spacing w:after="0"/>
              <w:jc w:val="both"/>
              <w:rPr>
                <w:rFonts w:eastAsia="Calibri" w:cs="Calibri"/>
                <w:noProof/>
              </w:rPr>
            </w:pPr>
            <w:r>
              <w:rPr>
                <w:noProof/>
              </w:rPr>
              <w:t>Új helyek létrehozása és a szociális létesítményekben meglévő helyek felújítása</w:t>
            </w:r>
          </w:p>
        </w:tc>
      </w:tr>
      <w:tr w:rsidR="00DC5EC6" w14:paraId="7D873F1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489AAD3" w14:textId="77777777" w:rsidR="00DC5EC6" w:rsidRDefault="003245A4">
            <w:pPr>
              <w:pStyle w:val="P68B1DB1-Normal23"/>
              <w:spacing w:after="0"/>
              <w:jc w:val="center"/>
              <w:rPr>
                <w:noProof/>
              </w:rPr>
            </w:pPr>
            <w:r>
              <w:rPr>
                <w:noProof/>
              </w:rPr>
              <w:t>3.5</w:t>
            </w:r>
          </w:p>
        </w:tc>
        <w:tc>
          <w:tcPr>
            <w:tcW w:w="1760" w:type="dxa"/>
            <w:tcBorders>
              <w:top w:val="nil"/>
              <w:left w:val="nil"/>
              <w:bottom w:val="single" w:sz="4" w:space="0" w:color="auto"/>
              <w:right w:val="single" w:sz="4" w:space="0" w:color="auto"/>
            </w:tcBorders>
            <w:shd w:val="clear" w:color="auto" w:fill="C4EFCE"/>
            <w:vAlign w:val="center"/>
            <w:hideMark/>
          </w:tcPr>
          <w:p w14:paraId="406B51CB" w14:textId="77777777" w:rsidR="00DC5EC6" w:rsidRDefault="003245A4">
            <w:pPr>
              <w:pStyle w:val="P68B1DB1-Normal23"/>
              <w:spacing w:after="0"/>
              <w:jc w:val="center"/>
              <w:rPr>
                <w:noProof/>
              </w:rPr>
            </w:pPr>
            <w:r>
              <w:rPr>
                <w:noProof/>
              </w:rPr>
              <w:t>Re-C03-i01</w:t>
            </w:r>
          </w:p>
        </w:tc>
        <w:tc>
          <w:tcPr>
            <w:tcW w:w="1520" w:type="dxa"/>
            <w:tcBorders>
              <w:top w:val="nil"/>
              <w:left w:val="nil"/>
              <w:bottom w:val="single" w:sz="4" w:space="0" w:color="auto"/>
              <w:right w:val="single" w:sz="4" w:space="0" w:color="auto"/>
            </w:tcBorders>
            <w:shd w:val="clear" w:color="auto" w:fill="C4EFCE"/>
            <w:vAlign w:val="center"/>
            <w:hideMark/>
          </w:tcPr>
          <w:p w14:paraId="702DBD39"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5C123CD" w14:textId="77777777" w:rsidR="00DC5EC6" w:rsidRDefault="003245A4">
            <w:pPr>
              <w:pStyle w:val="P68B1DB1-Normal23"/>
              <w:spacing w:after="0"/>
              <w:jc w:val="both"/>
              <w:rPr>
                <w:rFonts w:eastAsia="Calibri" w:cs="Calibri"/>
                <w:noProof/>
              </w:rPr>
            </w:pPr>
            <w:r>
              <w:rPr>
                <w:noProof/>
              </w:rPr>
              <w:t>A táblagépekhez és egyéb informatikai és kommunikációs eszközökhöz, technikai segítségnyújtási eszközökhöz vagy képzésekhez való hozzáférést biztosító otthoni támogatási szolgáltatások felhasználói és személyzete.</w:t>
            </w:r>
          </w:p>
        </w:tc>
      </w:tr>
      <w:tr w:rsidR="00DC5EC6" w14:paraId="221C68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88D6553" w14:textId="77777777" w:rsidR="00DC5EC6" w:rsidRDefault="003245A4">
            <w:pPr>
              <w:pStyle w:val="P68B1DB1-Normal23"/>
              <w:spacing w:after="0"/>
              <w:jc w:val="center"/>
              <w:rPr>
                <w:noProof/>
              </w:rPr>
            </w:pPr>
            <w:r>
              <w:rPr>
                <w:noProof/>
              </w:rPr>
              <w:t>3.13</w:t>
            </w:r>
          </w:p>
        </w:tc>
        <w:tc>
          <w:tcPr>
            <w:tcW w:w="1760" w:type="dxa"/>
            <w:tcBorders>
              <w:top w:val="nil"/>
              <w:left w:val="nil"/>
              <w:bottom w:val="single" w:sz="4" w:space="0" w:color="auto"/>
              <w:right w:val="single" w:sz="4" w:space="0" w:color="auto"/>
            </w:tcBorders>
            <w:shd w:val="clear" w:color="auto" w:fill="C4EFCE"/>
            <w:vAlign w:val="center"/>
            <w:hideMark/>
          </w:tcPr>
          <w:p w14:paraId="7374EBB4" w14:textId="77777777" w:rsidR="00DC5EC6" w:rsidRDefault="003245A4">
            <w:pPr>
              <w:pStyle w:val="P68B1DB1-Normal23"/>
              <w:spacing w:after="0"/>
              <w:jc w:val="center"/>
              <w:rPr>
                <w:noProof/>
              </w:rPr>
            </w:pPr>
            <w:r>
              <w:rPr>
                <w:noProof/>
              </w:rPr>
              <w:t>Re-C03-i04-RAA</w:t>
            </w:r>
          </w:p>
        </w:tc>
        <w:tc>
          <w:tcPr>
            <w:tcW w:w="1520" w:type="dxa"/>
            <w:tcBorders>
              <w:top w:val="nil"/>
              <w:left w:val="nil"/>
              <w:bottom w:val="single" w:sz="4" w:space="0" w:color="auto"/>
              <w:right w:val="single" w:sz="4" w:space="0" w:color="auto"/>
            </w:tcBorders>
            <w:shd w:val="clear" w:color="auto" w:fill="C4EFCE"/>
            <w:vAlign w:val="center"/>
            <w:hideMark/>
          </w:tcPr>
          <w:p w14:paraId="67834E53"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60C2C2" w14:textId="77777777" w:rsidR="00DC5EC6" w:rsidRDefault="003245A4">
            <w:pPr>
              <w:pStyle w:val="P68B1DB1-Normal23"/>
              <w:spacing w:after="0"/>
              <w:jc w:val="both"/>
              <w:rPr>
                <w:rFonts w:eastAsia="Calibri" w:cs="Calibri"/>
                <w:noProof/>
              </w:rPr>
            </w:pPr>
            <w:r>
              <w:rPr>
                <w:noProof/>
              </w:rPr>
              <w:t>Új helyek a fogyatékossággal élő személyek számára a fogyatékossággal élő személyeket támogató gondozási központokban</w:t>
            </w:r>
          </w:p>
        </w:tc>
      </w:tr>
      <w:tr w:rsidR="00DC5EC6" w14:paraId="4ED34F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F29E92" w14:textId="77777777" w:rsidR="00DC5EC6" w:rsidRDefault="003245A4">
            <w:pPr>
              <w:pStyle w:val="P68B1DB1-Normal23"/>
              <w:spacing w:after="0"/>
              <w:jc w:val="center"/>
              <w:rPr>
                <w:noProof/>
              </w:rPr>
            </w:pPr>
            <w:r>
              <w:rPr>
                <w:noProof/>
              </w:rPr>
              <w:t>3.28</w:t>
            </w:r>
          </w:p>
        </w:tc>
        <w:tc>
          <w:tcPr>
            <w:tcW w:w="1760" w:type="dxa"/>
            <w:tcBorders>
              <w:top w:val="nil"/>
              <w:left w:val="nil"/>
              <w:bottom w:val="single" w:sz="4" w:space="0" w:color="auto"/>
              <w:right w:val="single" w:sz="4" w:space="0" w:color="auto"/>
            </w:tcBorders>
            <w:shd w:val="clear" w:color="auto" w:fill="C4EFCE"/>
            <w:vAlign w:val="center"/>
            <w:hideMark/>
          </w:tcPr>
          <w:p w14:paraId="14BA29A6" w14:textId="77777777" w:rsidR="00DC5EC6" w:rsidRDefault="003245A4">
            <w:pPr>
              <w:pStyle w:val="P68B1DB1-Normal23"/>
              <w:spacing w:after="0"/>
              <w:jc w:val="center"/>
              <w:rPr>
                <w:noProof/>
              </w:rPr>
            </w:pPr>
            <w:r>
              <w:rPr>
                <w:noProof/>
              </w:rPr>
              <w:t>Re-C03-i07-RAA</w:t>
            </w:r>
          </w:p>
        </w:tc>
        <w:tc>
          <w:tcPr>
            <w:tcW w:w="1520" w:type="dxa"/>
            <w:tcBorders>
              <w:top w:val="nil"/>
              <w:left w:val="nil"/>
              <w:bottom w:val="single" w:sz="4" w:space="0" w:color="auto"/>
              <w:right w:val="single" w:sz="4" w:space="0" w:color="auto"/>
            </w:tcBorders>
            <w:shd w:val="clear" w:color="auto" w:fill="C4EFCE"/>
            <w:vAlign w:val="center"/>
            <w:hideMark/>
          </w:tcPr>
          <w:p w14:paraId="44DC7A47" w14:textId="77777777" w:rsidR="00DC5EC6" w:rsidRDefault="003245A4">
            <w:pPr>
              <w:pStyle w:val="P68B1DB1-Normal23"/>
              <w:spacing w:after="0"/>
              <w:jc w:val="center"/>
              <w:rPr>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94BDFBE" w14:textId="77777777" w:rsidR="00DC5EC6" w:rsidRDefault="003245A4">
            <w:pPr>
              <w:pStyle w:val="P68B1DB1-Normal23"/>
              <w:spacing w:after="0"/>
              <w:jc w:val="both"/>
              <w:rPr>
                <w:rFonts w:eastAsia="Calibri" w:cs="Calibri"/>
                <w:noProof/>
              </w:rPr>
            </w:pPr>
            <w:r>
              <w:rPr>
                <w:noProof/>
              </w:rPr>
              <w:t>Kibővített vagy felújított férőhelyek a bentlakásos gondozóotthonokban</w:t>
            </w:r>
          </w:p>
        </w:tc>
      </w:tr>
      <w:tr w:rsidR="00DC5EC6" w14:paraId="528550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A61B90" w14:textId="77777777" w:rsidR="00DC5EC6" w:rsidRDefault="003245A4">
            <w:pPr>
              <w:pStyle w:val="P68B1DB1-Normal23"/>
              <w:spacing w:after="0"/>
              <w:jc w:val="center"/>
              <w:rPr>
                <w:noProof/>
              </w:rPr>
            </w:pPr>
            <w:r>
              <w:rPr>
                <w:noProof/>
              </w:rPr>
              <w:t>3.30</w:t>
            </w:r>
          </w:p>
        </w:tc>
        <w:tc>
          <w:tcPr>
            <w:tcW w:w="1760" w:type="dxa"/>
            <w:tcBorders>
              <w:top w:val="nil"/>
              <w:left w:val="nil"/>
              <w:bottom w:val="single" w:sz="4" w:space="0" w:color="auto"/>
              <w:right w:val="single" w:sz="4" w:space="0" w:color="auto"/>
            </w:tcBorders>
            <w:shd w:val="clear" w:color="auto" w:fill="C4EFCE"/>
            <w:vAlign w:val="center"/>
            <w:hideMark/>
          </w:tcPr>
          <w:p w14:paraId="4E7C355C" w14:textId="77777777" w:rsidR="00DC5EC6" w:rsidRDefault="003245A4">
            <w:pPr>
              <w:pStyle w:val="P68B1DB1-Normal23"/>
              <w:spacing w:after="0"/>
              <w:jc w:val="center"/>
              <w:rPr>
                <w:noProof/>
              </w:rPr>
            </w:pPr>
            <w:r>
              <w:rPr>
                <w:noProof/>
              </w:rPr>
              <w:t>Re-C03-r38</w:t>
            </w:r>
          </w:p>
        </w:tc>
        <w:tc>
          <w:tcPr>
            <w:tcW w:w="1520" w:type="dxa"/>
            <w:tcBorders>
              <w:top w:val="nil"/>
              <w:left w:val="nil"/>
              <w:bottom w:val="single" w:sz="4" w:space="0" w:color="auto"/>
              <w:right w:val="single" w:sz="4" w:space="0" w:color="auto"/>
            </w:tcBorders>
            <w:shd w:val="clear" w:color="auto" w:fill="C4EFCE"/>
            <w:vAlign w:val="center"/>
            <w:hideMark/>
          </w:tcPr>
          <w:p w14:paraId="0E17E04B" w14:textId="77777777" w:rsidR="00DC5EC6" w:rsidRDefault="003245A4">
            <w:pPr>
              <w:pStyle w:val="P68B1DB1-Normal23"/>
              <w:spacing w:after="0"/>
              <w:jc w:val="center"/>
              <w:rPr>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50456DE" w14:textId="77777777" w:rsidR="00DC5EC6" w:rsidRDefault="003245A4">
            <w:pPr>
              <w:pStyle w:val="P68B1DB1-Normal23"/>
              <w:spacing w:after="0"/>
              <w:jc w:val="both"/>
              <w:rPr>
                <w:rFonts w:eastAsia="Calibri" w:cs="Calibri"/>
                <w:noProof/>
              </w:rPr>
            </w:pPr>
            <w:r>
              <w:rPr>
                <w:noProof/>
              </w:rPr>
              <w:t>Az egységes szociális ellátás (az állampolgársági szociális védelmi rendszer keretében) és a szociális ellátásokról szóló törvénykönyv hatálybalépése</w:t>
            </w:r>
          </w:p>
        </w:tc>
      </w:tr>
      <w:tr w:rsidR="00DC5EC6" w14:paraId="3397C6F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656E29" w14:textId="77777777" w:rsidR="00DC5EC6" w:rsidRDefault="003245A4">
            <w:pPr>
              <w:pStyle w:val="P68B1DB1-Normal23"/>
              <w:spacing w:after="0"/>
              <w:jc w:val="center"/>
              <w:rPr>
                <w:rFonts w:eastAsia="Calibri" w:cs="Calibri"/>
                <w:noProof/>
              </w:rPr>
            </w:pPr>
            <w:r>
              <w:rPr>
                <w:noProof/>
              </w:rPr>
              <w:t>4.4</w:t>
            </w:r>
          </w:p>
        </w:tc>
        <w:tc>
          <w:tcPr>
            <w:tcW w:w="1760" w:type="dxa"/>
            <w:tcBorders>
              <w:top w:val="nil"/>
              <w:left w:val="nil"/>
              <w:bottom w:val="single" w:sz="4" w:space="0" w:color="auto"/>
              <w:right w:val="single" w:sz="4" w:space="0" w:color="auto"/>
            </w:tcBorders>
            <w:shd w:val="clear" w:color="auto" w:fill="C4EFCE"/>
            <w:vAlign w:val="center"/>
            <w:hideMark/>
          </w:tcPr>
          <w:p w14:paraId="514007D7"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2079A0F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521FA99" w14:textId="77777777" w:rsidR="00DC5EC6" w:rsidRDefault="003245A4">
            <w:pPr>
              <w:pStyle w:val="P68B1DB1-Normal23"/>
              <w:spacing w:after="0"/>
              <w:jc w:val="both"/>
              <w:rPr>
                <w:rFonts w:eastAsia="Calibri" w:cs="Calibri"/>
                <w:noProof/>
              </w:rPr>
            </w:pPr>
            <w:r>
              <w:rPr>
                <w:noProof/>
              </w:rPr>
              <w:t>Korszerűsített technológiai infrastruktúra biztosítása a kulturális létesítmények hálózata számára</w:t>
            </w:r>
          </w:p>
        </w:tc>
      </w:tr>
      <w:tr w:rsidR="00DC5EC6" w14:paraId="22480C7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0B94759" w14:textId="77777777" w:rsidR="00DC5EC6" w:rsidRDefault="003245A4">
            <w:pPr>
              <w:pStyle w:val="P68B1DB1-Normal23"/>
              <w:spacing w:after="0"/>
              <w:jc w:val="center"/>
              <w:rPr>
                <w:rFonts w:eastAsia="Calibri" w:cs="Calibri"/>
                <w:noProof/>
              </w:rPr>
            </w:pPr>
            <w:r>
              <w:rPr>
                <w:noProof/>
              </w:rPr>
              <w:t>4.8</w:t>
            </w:r>
          </w:p>
        </w:tc>
        <w:tc>
          <w:tcPr>
            <w:tcW w:w="1760" w:type="dxa"/>
            <w:tcBorders>
              <w:top w:val="nil"/>
              <w:left w:val="nil"/>
              <w:bottom w:val="single" w:sz="4" w:space="0" w:color="auto"/>
              <w:right w:val="single" w:sz="4" w:space="0" w:color="auto"/>
            </w:tcBorders>
            <w:shd w:val="clear" w:color="auto" w:fill="C4EFCE"/>
            <w:vAlign w:val="center"/>
            <w:hideMark/>
          </w:tcPr>
          <w:p w14:paraId="3EF31C11"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0F887FE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29ED46D" w14:textId="77777777" w:rsidR="00DC5EC6" w:rsidRDefault="003245A4">
            <w:pPr>
              <w:pStyle w:val="P68B1DB1-Normal23"/>
              <w:spacing w:after="0"/>
              <w:jc w:val="both"/>
              <w:rPr>
                <w:rFonts w:eastAsia="Calibri" w:cs="Calibri"/>
                <w:noProof/>
              </w:rPr>
            </w:pPr>
            <w:r>
              <w:rPr>
                <w:noProof/>
              </w:rPr>
              <w:t>A kulturális örökség részét képező épületek és nemzeti színházak rehabilitációjára és megőrzésére irányuló munkálatok</w:t>
            </w:r>
          </w:p>
        </w:tc>
      </w:tr>
      <w:tr w:rsidR="00DC5EC6" w14:paraId="6AE61A9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13649D" w14:textId="77777777" w:rsidR="00DC5EC6" w:rsidRDefault="003245A4">
            <w:pPr>
              <w:pStyle w:val="P68B1DB1-Normal23"/>
              <w:spacing w:after="0"/>
              <w:jc w:val="center"/>
              <w:rPr>
                <w:rFonts w:eastAsia="Calibri" w:cs="Calibri"/>
                <w:noProof/>
              </w:rPr>
            </w:pPr>
            <w:r>
              <w:rPr>
                <w:noProof/>
              </w:rPr>
              <w:t>4.10</w:t>
            </w:r>
          </w:p>
        </w:tc>
        <w:tc>
          <w:tcPr>
            <w:tcW w:w="1760" w:type="dxa"/>
            <w:tcBorders>
              <w:top w:val="nil"/>
              <w:left w:val="nil"/>
              <w:bottom w:val="single" w:sz="4" w:space="0" w:color="auto"/>
              <w:right w:val="single" w:sz="4" w:space="0" w:color="auto"/>
            </w:tcBorders>
            <w:shd w:val="clear" w:color="auto" w:fill="C4EFCE"/>
            <w:vAlign w:val="center"/>
            <w:hideMark/>
          </w:tcPr>
          <w:p w14:paraId="20079FAC" w14:textId="77777777" w:rsidR="00DC5EC6" w:rsidRDefault="003245A4">
            <w:pPr>
              <w:pStyle w:val="P68B1DB1-Normal23"/>
              <w:spacing w:after="0"/>
              <w:jc w:val="center"/>
              <w:rPr>
                <w:rFonts w:eastAsia="Calibri" w:cs="Calibri"/>
                <w:noProof/>
              </w:rPr>
            </w:pPr>
            <w:r>
              <w:rPr>
                <w:noProof/>
              </w:rPr>
              <w:t>Re-C04-i01</w:t>
            </w:r>
          </w:p>
        </w:tc>
        <w:tc>
          <w:tcPr>
            <w:tcW w:w="1520" w:type="dxa"/>
            <w:tcBorders>
              <w:top w:val="nil"/>
              <w:left w:val="nil"/>
              <w:bottom w:val="single" w:sz="4" w:space="0" w:color="auto"/>
              <w:right w:val="single" w:sz="4" w:space="0" w:color="auto"/>
            </w:tcBorders>
            <w:shd w:val="clear" w:color="auto" w:fill="C4EFCE"/>
            <w:vAlign w:val="center"/>
            <w:hideMark/>
          </w:tcPr>
          <w:p w14:paraId="5F854BA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B3E1B2" w14:textId="77777777" w:rsidR="00DC5EC6" w:rsidRDefault="003245A4">
            <w:pPr>
              <w:pStyle w:val="P68B1DB1-Normal23"/>
              <w:spacing w:after="0"/>
              <w:jc w:val="both"/>
              <w:rPr>
                <w:rFonts w:eastAsia="Calibri" w:cs="Calibri"/>
                <w:noProof/>
              </w:rPr>
            </w:pPr>
            <w:r>
              <w:rPr>
                <w:noProof/>
              </w:rPr>
              <w:t>Berendezések szállítása a Nemzeti Archívum telepítéséhez és az állami laboratóriumok technológiai korszerűsítéséhez</w:t>
            </w:r>
          </w:p>
        </w:tc>
      </w:tr>
      <w:tr w:rsidR="00DC5EC6" w14:paraId="26B43C5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8970426" w14:textId="77777777" w:rsidR="00DC5EC6" w:rsidRDefault="003245A4">
            <w:pPr>
              <w:pStyle w:val="P68B1DB1-Normal23"/>
              <w:spacing w:after="0"/>
              <w:jc w:val="center"/>
              <w:rPr>
                <w:rFonts w:eastAsia="Calibri" w:cs="Calibri"/>
                <w:noProof/>
              </w:rPr>
            </w:pPr>
            <w:r>
              <w:rPr>
                <w:noProof/>
              </w:rPr>
              <w:t>4.12</w:t>
            </w:r>
          </w:p>
        </w:tc>
        <w:tc>
          <w:tcPr>
            <w:tcW w:w="1760" w:type="dxa"/>
            <w:tcBorders>
              <w:top w:val="nil"/>
              <w:left w:val="nil"/>
              <w:bottom w:val="single" w:sz="4" w:space="0" w:color="auto"/>
              <w:right w:val="single" w:sz="4" w:space="0" w:color="auto"/>
            </w:tcBorders>
            <w:shd w:val="clear" w:color="auto" w:fill="C4EFCE"/>
            <w:vAlign w:val="center"/>
            <w:hideMark/>
          </w:tcPr>
          <w:p w14:paraId="7486F1DB" w14:textId="77777777" w:rsidR="00DC5EC6" w:rsidRDefault="003245A4">
            <w:pPr>
              <w:pStyle w:val="P68B1DB1-Normal23"/>
              <w:spacing w:after="0"/>
              <w:jc w:val="center"/>
              <w:rPr>
                <w:rFonts w:eastAsia="Calibri" w:cs="Calibri"/>
                <w:noProof/>
              </w:rPr>
            </w:pPr>
            <w:r>
              <w:rPr>
                <w:noProof/>
              </w:rPr>
              <w:t>Re-C04-i02</w:t>
            </w:r>
          </w:p>
        </w:tc>
        <w:tc>
          <w:tcPr>
            <w:tcW w:w="1520" w:type="dxa"/>
            <w:tcBorders>
              <w:top w:val="nil"/>
              <w:left w:val="nil"/>
              <w:bottom w:val="single" w:sz="4" w:space="0" w:color="auto"/>
              <w:right w:val="single" w:sz="4" w:space="0" w:color="auto"/>
            </w:tcBorders>
            <w:shd w:val="clear" w:color="auto" w:fill="C4EFCE"/>
            <w:vAlign w:val="center"/>
            <w:hideMark/>
          </w:tcPr>
          <w:p w14:paraId="77F9466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10EFAB2" w14:textId="77777777" w:rsidR="00DC5EC6" w:rsidRDefault="003245A4">
            <w:pPr>
              <w:pStyle w:val="P68B1DB1-Normal23"/>
              <w:spacing w:after="0"/>
              <w:jc w:val="both"/>
              <w:rPr>
                <w:rFonts w:eastAsia="Calibri" w:cs="Calibri"/>
                <w:noProof/>
              </w:rPr>
            </w:pPr>
            <w:r>
              <w:rPr>
                <w:noProof/>
              </w:rPr>
              <w:t>A Nemzeti Irattár építésének befejezése</w:t>
            </w:r>
          </w:p>
        </w:tc>
      </w:tr>
      <w:tr w:rsidR="00DC5EC6" w14:paraId="2415A55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B7B4F29" w14:textId="77777777" w:rsidR="00DC5EC6" w:rsidRDefault="003245A4">
            <w:pPr>
              <w:pStyle w:val="P68B1DB1-Normal23"/>
              <w:spacing w:after="0"/>
              <w:jc w:val="center"/>
              <w:rPr>
                <w:rFonts w:eastAsia="Calibri" w:cs="Calibri"/>
                <w:noProof/>
              </w:rPr>
            </w:pPr>
            <w:r>
              <w:rPr>
                <w:noProof/>
              </w:rPr>
              <w:t>5.36</w:t>
            </w:r>
          </w:p>
        </w:tc>
        <w:tc>
          <w:tcPr>
            <w:tcW w:w="1760" w:type="dxa"/>
            <w:tcBorders>
              <w:top w:val="nil"/>
              <w:left w:val="nil"/>
              <w:bottom w:val="single" w:sz="4" w:space="0" w:color="auto"/>
              <w:right w:val="single" w:sz="4" w:space="0" w:color="auto"/>
            </w:tcBorders>
            <w:shd w:val="clear" w:color="auto" w:fill="C4EFCE"/>
            <w:vAlign w:val="center"/>
            <w:hideMark/>
          </w:tcPr>
          <w:p w14:paraId="7498C044" w14:textId="77777777" w:rsidR="00DC5EC6" w:rsidRDefault="003245A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2314F1F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5930437" w14:textId="77777777" w:rsidR="00DC5EC6" w:rsidRDefault="003245A4">
            <w:pPr>
              <w:pStyle w:val="P68B1DB1-Normal23"/>
              <w:spacing w:after="0"/>
              <w:jc w:val="both"/>
              <w:rPr>
                <w:rFonts w:eastAsia="Calibri" w:cs="Calibri"/>
                <w:noProof/>
              </w:rPr>
            </w:pPr>
            <w:r>
              <w:rPr>
                <w:noProof/>
              </w:rPr>
              <w:t>A közigazgatási K+F program projektjeinek lezárása, valamint a tömeges online kurzusok nemzeti platformjának (NAU) új kurzusai</w:t>
            </w:r>
          </w:p>
        </w:tc>
      </w:tr>
      <w:tr w:rsidR="00DC5EC6" w14:paraId="3F7C914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D75FCDC" w14:textId="77777777" w:rsidR="00DC5EC6" w:rsidRDefault="003245A4">
            <w:pPr>
              <w:pStyle w:val="P68B1DB1-Normal23"/>
              <w:spacing w:after="0"/>
              <w:jc w:val="center"/>
              <w:rPr>
                <w:rFonts w:eastAsia="Calibri" w:cs="Calibri"/>
                <w:noProof/>
              </w:rPr>
            </w:pPr>
            <w:r>
              <w:rPr>
                <w:noProof/>
              </w:rPr>
              <w:t>5.38</w:t>
            </w:r>
          </w:p>
        </w:tc>
        <w:tc>
          <w:tcPr>
            <w:tcW w:w="1760" w:type="dxa"/>
            <w:tcBorders>
              <w:top w:val="nil"/>
              <w:left w:val="nil"/>
              <w:bottom w:val="single" w:sz="4" w:space="0" w:color="auto"/>
              <w:right w:val="single" w:sz="4" w:space="0" w:color="auto"/>
            </w:tcBorders>
            <w:shd w:val="clear" w:color="auto" w:fill="C4EFCE"/>
            <w:vAlign w:val="center"/>
            <w:hideMark/>
          </w:tcPr>
          <w:p w14:paraId="62726B79" w14:textId="77777777" w:rsidR="00DC5EC6" w:rsidRDefault="003245A4">
            <w:pPr>
              <w:pStyle w:val="P68B1DB1-Normal23"/>
              <w:spacing w:after="0"/>
              <w:jc w:val="center"/>
              <w:rPr>
                <w:rFonts w:eastAsia="Calibri" w:cs="Calibri"/>
                <w:noProof/>
              </w:rPr>
            </w:pPr>
            <w:r>
              <w:rPr>
                <w:noProof/>
              </w:rPr>
              <w:t>Re-C05-i08</w:t>
            </w:r>
          </w:p>
        </w:tc>
        <w:tc>
          <w:tcPr>
            <w:tcW w:w="1520" w:type="dxa"/>
            <w:tcBorders>
              <w:top w:val="nil"/>
              <w:left w:val="nil"/>
              <w:bottom w:val="single" w:sz="4" w:space="0" w:color="auto"/>
              <w:right w:val="single" w:sz="4" w:space="0" w:color="auto"/>
            </w:tcBorders>
            <w:shd w:val="clear" w:color="auto" w:fill="C4EFCE"/>
            <w:vAlign w:val="center"/>
            <w:hideMark/>
          </w:tcPr>
          <w:p w14:paraId="5A91DBF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8B193B7" w14:textId="18BBE676" w:rsidR="00DC5EC6" w:rsidRDefault="003245A4">
            <w:pPr>
              <w:pStyle w:val="P68B1DB1-Normal23"/>
              <w:spacing w:after="0"/>
              <w:jc w:val="both"/>
              <w:rPr>
                <w:rFonts w:eastAsia="Calibri" w:cs="Calibri"/>
                <w:noProof/>
              </w:rPr>
            </w:pPr>
            <w:r>
              <w:rPr>
                <w:noProof/>
              </w:rPr>
              <w:t>A nemzeti fejlett számítástechnikai központ támogató infrastruktúrájának és adatközpontjának befejezése</w:t>
            </w:r>
          </w:p>
        </w:tc>
      </w:tr>
      <w:tr w:rsidR="00DC5EC6" w14:paraId="0D66E2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8DEE4D5" w14:textId="77777777" w:rsidR="00DC5EC6" w:rsidRDefault="003245A4">
            <w:pPr>
              <w:pStyle w:val="P68B1DB1-Normal23"/>
              <w:spacing w:after="0"/>
              <w:jc w:val="center"/>
              <w:rPr>
                <w:rFonts w:eastAsia="Calibri" w:cs="Calibri"/>
                <w:noProof/>
              </w:rPr>
            </w:pPr>
            <w:r>
              <w:rPr>
                <w:noProof/>
              </w:rPr>
              <w:t>6.19</w:t>
            </w:r>
          </w:p>
        </w:tc>
        <w:tc>
          <w:tcPr>
            <w:tcW w:w="1760" w:type="dxa"/>
            <w:tcBorders>
              <w:top w:val="nil"/>
              <w:left w:val="nil"/>
              <w:bottom w:val="single" w:sz="4" w:space="0" w:color="auto"/>
              <w:right w:val="single" w:sz="4" w:space="0" w:color="auto"/>
            </w:tcBorders>
            <w:shd w:val="clear" w:color="auto" w:fill="C4EFCE"/>
            <w:vAlign w:val="center"/>
            <w:hideMark/>
          </w:tcPr>
          <w:p w14:paraId="09FD7927" w14:textId="77777777" w:rsidR="00DC5EC6" w:rsidRDefault="003245A4">
            <w:pPr>
              <w:pStyle w:val="P68B1DB1-Normal23"/>
              <w:spacing w:after="0"/>
              <w:jc w:val="center"/>
              <w:rPr>
                <w:rFonts w:eastAsia="Calibri" w:cs="Calibri"/>
                <w:noProof/>
              </w:rPr>
            </w:pPr>
            <w:r>
              <w:rPr>
                <w:noProof/>
              </w:rPr>
              <w:t>Újra-C06–i06</w:t>
            </w:r>
          </w:p>
        </w:tc>
        <w:tc>
          <w:tcPr>
            <w:tcW w:w="1520" w:type="dxa"/>
            <w:tcBorders>
              <w:top w:val="nil"/>
              <w:left w:val="nil"/>
              <w:bottom w:val="single" w:sz="4" w:space="0" w:color="auto"/>
              <w:right w:val="single" w:sz="4" w:space="0" w:color="auto"/>
            </w:tcBorders>
            <w:shd w:val="clear" w:color="auto" w:fill="C4EFCE"/>
            <w:vAlign w:val="center"/>
            <w:hideMark/>
          </w:tcPr>
          <w:p w14:paraId="5C1D825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31F28A3" w14:textId="77777777" w:rsidR="00DC5EC6" w:rsidRDefault="003245A4">
            <w:pPr>
              <w:pStyle w:val="P68B1DB1-Normal23"/>
              <w:spacing w:after="0"/>
              <w:jc w:val="both"/>
              <w:rPr>
                <w:rFonts w:eastAsia="Calibri" w:cs="Calibri"/>
                <w:noProof/>
              </w:rPr>
            </w:pPr>
            <w:r>
              <w:rPr>
                <w:noProof/>
              </w:rPr>
              <w:t>A PhD-kutatókkal kötött határozatlan idejű szerződések támogatása az FCT-Tenure keretében és a kutatók támogatása az EKT Portugália keretében</w:t>
            </w:r>
          </w:p>
        </w:tc>
      </w:tr>
      <w:tr w:rsidR="00DC5EC6" w14:paraId="00F72F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F1BDB7D" w14:textId="77777777" w:rsidR="00DC5EC6" w:rsidRDefault="003245A4">
            <w:pPr>
              <w:pStyle w:val="P68B1DB1-Normal23"/>
              <w:spacing w:after="0"/>
              <w:jc w:val="center"/>
              <w:rPr>
                <w:rFonts w:eastAsia="Calibri" w:cs="Calibri"/>
                <w:noProof/>
              </w:rPr>
            </w:pPr>
            <w:r>
              <w:rPr>
                <w:noProof/>
              </w:rPr>
              <w:t>6.20</w:t>
            </w:r>
          </w:p>
        </w:tc>
        <w:tc>
          <w:tcPr>
            <w:tcW w:w="1760" w:type="dxa"/>
            <w:tcBorders>
              <w:top w:val="nil"/>
              <w:left w:val="nil"/>
              <w:bottom w:val="single" w:sz="4" w:space="0" w:color="auto"/>
              <w:right w:val="single" w:sz="4" w:space="0" w:color="auto"/>
            </w:tcBorders>
            <w:shd w:val="clear" w:color="auto" w:fill="C4EFCE"/>
            <w:vAlign w:val="center"/>
            <w:hideMark/>
          </w:tcPr>
          <w:p w14:paraId="2AC011E5" w14:textId="77777777" w:rsidR="00DC5EC6" w:rsidRDefault="003245A4">
            <w:pPr>
              <w:pStyle w:val="P68B1DB1-Normal23"/>
              <w:spacing w:after="0"/>
              <w:jc w:val="center"/>
              <w:rPr>
                <w:rFonts w:eastAsia="Calibri" w:cs="Calibri"/>
                <w:noProof/>
              </w:rPr>
            </w:pPr>
            <w:r>
              <w:rPr>
                <w:noProof/>
              </w:rPr>
              <w:t>Újra-C06–i06</w:t>
            </w:r>
          </w:p>
        </w:tc>
        <w:tc>
          <w:tcPr>
            <w:tcW w:w="1520" w:type="dxa"/>
            <w:tcBorders>
              <w:top w:val="nil"/>
              <w:left w:val="nil"/>
              <w:bottom w:val="single" w:sz="4" w:space="0" w:color="auto"/>
              <w:right w:val="single" w:sz="4" w:space="0" w:color="auto"/>
            </w:tcBorders>
            <w:shd w:val="clear" w:color="auto" w:fill="C4EFCE"/>
            <w:vAlign w:val="center"/>
            <w:hideMark/>
          </w:tcPr>
          <w:p w14:paraId="257B3C9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3D0EBEA" w14:textId="77777777" w:rsidR="00DC5EC6" w:rsidRDefault="003245A4">
            <w:pPr>
              <w:pStyle w:val="P68B1DB1-Normal23"/>
              <w:spacing w:after="0"/>
              <w:jc w:val="both"/>
              <w:rPr>
                <w:rFonts w:eastAsia="Calibri" w:cs="Calibri"/>
                <w:noProof/>
              </w:rPr>
            </w:pPr>
            <w:r>
              <w:rPr>
                <w:noProof/>
              </w:rPr>
              <w:t>Nemzetközi tudományos, technológiai és innovációs partnerségek: Támogatott nemzetközi partnerségek; Támogatott K+I projektek; Támogatott nemzetközi mobilitás</w:t>
            </w:r>
          </w:p>
        </w:tc>
      </w:tr>
      <w:tr w:rsidR="00DC5EC6" w14:paraId="1808226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5D9898C" w14:textId="77777777" w:rsidR="00DC5EC6" w:rsidRDefault="003245A4">
            <w:pPr>
              <w:pStyle w:val="P68B1DB1-Normal23"/>
              <w:spacing w:after="0"/>
              <w:jc w:val="center"/>
              <w:rPr>
                <w:rFonts w:eastAsia="Calibri" w:cs="Calibri"/>
                <w:noProof/>
              </w:rPr>
            </w:pPr>
            <w:r>
              <w:rPr>
                <w:noProof/>
              </w:rPr>
              <w:t>6.21</w:t>
            </w:r>
          </w:p>
        </w:tc>
        <w:tc>
          <w:tcPr>
            <w:tcW w:w="1760" w:type="dxa"/>
            <w:tcBorders>
              <w:top w:val="nil"/>
              <w:left w:val="nil"/>
              <w:bottom w:val="single" w:sz="4" w:space="0" w:color="auto"/>
              <w:right w:val="single" w:sz="4" w:space="0" w:color="auto"/>
            </w:tcBorders>
            <w:shd w:val="clear" w:color="auto" w:fill="C4EFCE"/>
            <w:vAlign w:val="center"/>
            <w:hideMark/>
          </w:tcPr>
          <w:p w14:paraId="257E7C2E"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006EB82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29BA4A5" w14:textId="2E25EB52" w:rsidR="00DC5EC6" w:rsidRDefault="003245A4">
            <w:pPr>
              <w:pStyle w:val="P68B1DB1-Normal23"/>
              <w:spacing w:after="0"/>
              <w:jc w:val="both"/>
              <w:rPr>
                <w:rFonts w:eastAsia="Calibri" w:cs="Calibri"/>
                <w:noProof/>
              </w:rPr>
            </w:pPr>
            <w:r>
              <w:rPr>
                <w:noProof/>
              </w:rPr>
              <w:t>Az agrártudományok technológiai és digitális korszerűsítése: Az agrártudományok tantervi reformja, a mezőgazdasági iskolák megnyitása a középiskolás diákok előtt és a szakemberek átképzése</w:t>
            </w:r>
          </w:p>
        </w:tc>
      </w:tr>
      <w:tr w:rsidR="00DC5EC6" w14:paraId="2CF11C7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B1D7A14" w14:textId="77777777" w:rsidR="00DC5EC6" w:rsidRDefault="003245A4">
            <w:pPr>
              <w:pStyle w:val="P68B1DB1-Normal23"/>
              <w:spacing w:after="0"/>
              <w:jc w:val="center"/>
              <w:rPr>
                <w:rFonts w:eastAsia="Calibri" w:cs="Calibri"/>
                <w:noProof/>
              </w:rPr>
            </w:pPr>
            <w:r>
              <w:rPr>
                <w:noProof/>
              </w:rPr>
              <w:t>6.22</w:t>
            </w:r>
          </w:p>
        </w:tc>
        <w:tc>
          <w:tcPr>
            <w:tcW w:w="1760" w:type="dxa"/>
            <w:tcBorders>
              <w:top w:val="nil"/>
              <w:left w:val="nil"/>
              <w:bottom w:val="single" w:sz="4" w:space="0" w:color="auto"/>
              <w:right w:val="single" w:sz="4" w:space="0" w:color="auto"/>
            </w:tcBorders>
            <w:shd w:val="clear" w:color="auto" w:fill="C4EFCE"/>
            <w:vAlign w:val="center"/>
            <w:hideMark/>
          </w:tcPr>
          <w:p w14:paraId="04E119E0"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4AAA5A3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4543139" w14:textId="77777777" w:rsidR="00DC5EC6" w:rsidRDefault="003245A4">
            <w:pPr>
              <w:pStyle w:val="P68B1DB1-Normal23"/>
              <w:spacing w:after="0"/>
              <w:jc w:val="both"/>
              <w:rPr>
                <w:rFonts w:eastAsia="Calibri" w:cs="Calibri"/>
                <w:noProof/>
              </w:rPr>
            </w:pPr>
            <w:r>
              <w:rPr>
                <w:noProof/>
              </w:rPr>
              <w:t>Az orvostudomány korszerűsítése</w:t>
            </w:r>
          </w:p>
        </w:tc>
      </w:tr>
      <w:tr w:rsidR="00DC5EC6" w14:paraId="59F233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DEDDDF" w14:textId="77777777" w:rsidR="00DC5EC6" w:rsidRDefault="003245A4">
            <w:pPr>
              <w:pStyle w:val="P68B1DB1-Normal23"/>
              <w:spacing w:after="0"/>
              <w:jc w:val="center"/>
              <w:rPr>
                <w:rFonts w:eastAsia="Calibri" w:cs="Calibri"/>
                <w:noProof/>
              </w:rPr>
            </w:pPr>
            <w:r>
              <w:rPr>
                <w:noProof/>
              </w:rPr>
              <w:t>6.23</w:t>
            </w:r>
          </w:p>
        </w:tc>
        <w:tc>
          <w:tcPr>
            <w:tcW w:w="1760" w:type="dxa"/>
            <w:tcBorders>
              <w:top w:val="nil"/>
              <w:left w:val="nil"/>
              <w:bottom w:val="single" w:sz="4" w:space="0" w:color="auto"/>
              <w:right w:val="single" w:sz="4" w:space="0" w:color="auto"/>
            </w:tcBorders>
            <w:shd w:val="clear" w:color="auto" w:fill="C4EFCE"/>
            <w:vAlign w:val="center"/>
            <w:hideMark/>
          </w:tcPr>
          <w:p w14:paraId="58F29485"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6D388A5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D20AF4F" w14:textId="77777777" w:rsidR="00DC5EC6" w:rsidRDefault="003245A4">
            <w:pPr>
              <w:pStyle w:val="P68B1DB1-Normal23"/>
              <w:spacing w:after="0"/>
              <w:jc w:val="both"/>
              <w:rPr>
                <w:rFonts w:eastAsia="Calibri" w:cs="Calibri"/>
                <w:noProof/>
              </w:rPr>
            </w:pPr>
            <w:r>
              <w:rPr>
                <w:noProof/>
              </w:rPr>
              <w:t>A digitális készségek megerősítése</w:t>
            </w:r>
          </w:p>
        </w:tc>
      </w:tr>
      <w:tr w:rsidR="00DC5EC6" w14:paraId="4628545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B9D7342" w14:textId="77777777" w:rsidR="00DC5EC6" w:rsidRDefault="003245A4">
            <w:pPr>
              <w:pStyle w:val="P68B1DB1-Normal23"/>
              <w:spacing w:after="0"/>
              <w:jc w:val="center"/>
              <w:rPr>
                <w:rFonts w:eastAsia="Calibri" w:cs="Calibri"/>
                <w:noProof/>
              </w:rPr>
            </w:pPr>
            <w:r>
              <w:rPr>
                <w:noProof/>
              </w:rPr>
              <w:t>6.25</w:t>
            </w:r>
          </w:p>
        </w:tc>
        <w:tc>
          <w:tcPr>
            <w:tcW w:w="1760" w:type="dxa"/>
            <w:tcBorders>
              <w:top w:val="nil"/>
              <w:left w:val="nil"/>
              <w:bottom w:val="single" w:sz="4" w:space="0" w:color="auto"/>
              <w:right w:val="single" w:sz="4" w:space="0" w:color="auto"/>
            </w:tcBorders>
            <w:shd w:val="clear" w:color="auto" w:fill="C4EFCE"/>
            <w:vAlign w:val="center"/>
            <w:hideMark/>
          </w:tcPr>
          <w:p w14:paraId="225B7648" w14:textId="77777777" w:rsidR="00DC5EC6" w:rsidRDefault="003245A4">
            <w:pPr>
              <w:pStyle w:val="P68B1DB1-Normal23"/>
              <w:spacing w:after="0"/>
              <w:jc w:val="center"/>
              <w:rPr>
                <w:rFonts w:eastAsia="Calibri" w:cs="Calibri"/>
                <w:noProof/>
              </w:rPr>
            </w:pPr>
            <w:r>
              <w:rPr>
                <w:noProof/>
              </w:rPr>
              <w:t>Re-C06-i07</w:t>
            </w:r>
          </w:p>
        </w:tc>
        <w:tc>
          <w:tcPr>
            <w:tcW w:w="1520" w:type="dxa"/>
            <w:tcBorders>
              <w:top w:val="nil"/>
              <w:left w:val="nil"/>
              <w:bottom w:val="single" w:sz="4" w:space="0" w:color="auto"/>
              <w:right w:val="single" w:sz="4" w:space="0" w:color="auto"/>
            </w:tcBorders>
            <w:shd w:val="clear" w:color="auto" w:fill="C4EFCE"/>
            <w:vAlign w:val="center"/>
            <w:hideMark/>
          </w:tcPr>
          <w:p w14:paraId="29D570B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50E32E" w14:textId="77777777" w:rsidR="00DC5EC6" w:rsidRDefault="003245A4">
            <w:pPr>
              <w:pStyle w:val="P68B1DB1-Normal23"/>
              <w:spacing w:after="0"/>
              <w:jc w:val="both"/>
              <w:rPr>
                <w:rFonts w:eastAsia="Calibri" w:cs="Calibri"/>
                <w:noProof/>
              </w:rPr>
            </w:pPr>
            <w:r>
              <w:rPr>
                <w:noProof/>
              </w:rPr>
              <w:t>Innováció és pedagógiai modernizáció a felsőoktatásban</w:t>
            </w:r>
          </w:p>
        </w:tc>
      </w:tr>
      <w:tr w:rsidR="00DC5EC6" w14:paraId="542E2DD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4389EE5" w14:textId="77777777" w:rsidR="00DC5EC6" w:rsidRDefault="003245A4">
            <w:pPr>
              <w:pStyle w:val="P68B1DB1-Normal23"/>
              <w:spacing w:after="0"/>
              <w:jc w:val="center"/>
              <w:rPr>
                <w:rFonts w:eastAsia="Calibri" w:cs="Calibri"/>
                <w:noProof/>
              </w:rPr>
            </w:pPr>
            <w:r>
              <w:rPr>
                <w:noProof/>
              </w:rPr>
              <w:t>6.27</w:t>
            </w:r>
          </w:p>
        </w:tc>
        <w:tc>
          <w:tcPr>
            <w:tcW w:w="1760" w:type="dxa"/>
            <w:tcBorders>
              <w:top w:val="nil"/>
              <w:left w:val="nil"/>
              <w:bottom w:val="single" w:sz="4" w:space="0" w:color="auto"/>
              <w:right w:val="single" w:sz="4" w:space="0" w:color="auto"/>
            </w:tcBorders>
            <w:shd w:val="clear" w:color="auto" w:fill="C4EFCE"/>
            <w:vAlign w:val="center"/>
            <w:hideMark/>
          </w:tcPr>
          <w:p w14:paraId="5B347262" w14:textId="167A3DA3" w:rsidR="00DC5EC6" w:rsidRDefault="003245A4">
            <w:pPr>
              <w:pStyle w:val="P68B1DB1-Normal23"/>
              <w:spacing w:after="0"/>
              <w:jc w:val="center"/>
              <w:rPr>
                <w:rFonts w:eastAsia="Calibri" w:cs="Calibri"/>
                <w:noProof/>
              </w:rPr>
            </w:pPr>
            <w:r>
              <w:rPr>
                <w:noProof/>
              </w:rPr>
              <w:t>Re-C06-i08-RAM</w:t>
            </w:r>
          </w:p>
        </w:tc>
        <w:tc>
          <w:tcPr>
            <w:tcW w:w="1520" w:type="dxa"/>
            <w:tcBorders>
              <w:top w:val="nil"/>
              <w:left w:val="nil"/>
              <w:bottom w:val="single" w:sz="4" w:space="0" w:color="auto"/>
              <w:right w:val="single" w:sz="4" w:space="0" w:color="auto"/>
            </w:tcBorders>
            <w:shd w:val="clear" w:color="auto" w:fill="C4EFCE"/>
            <w:vAlign w:val="center"/>
            <w:hideMark/>
          </w:tcPr>
          <w:p w14:paraId="0615067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FA626DF" w14:textId="77777777" w:rsidR="00DC5EC6" w:rsidRDefault="003245A4">
            <w:pPr>
              <w:pStyle w:val="P68B1DB1-Normal23"/>
              <w:spacing w:after="0"/>
              <w:jc w:val="both"/>
              <w:rPr>
                <w:rFonts w:eastAsia="Calibri" w:cs="Calibri"/>
                <w:noProof/>
              </w:rPr>
            </w:pPr>
            <w:r>
              <w:rPr>
                <w:noProof/>
              </w:rPr>
              <w:t>A CITMA épület bővítési munkálatai befejeződtek</w:t>
            </w:r>
          </w:p>
        </w:tc>
      </w:tr>
      <w:tr w:rsidR="00DC5EC6" w14:paraId="22766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AA0D863" w14:textId="77777777" w:rsidR="00DC5EC6" w:rsidRDefault="003245A4">
            <w:pPr>
              <w:pStyle w:val="P68B1DB1-Normal23"/>
              <w:spacing w:after="0"/>
              <w:jc w:val="center"/>
              <w:rPr>
                <w:rFonts w:eastAsia="Calibri" w:cs="Calibri"/>
                <w:noProof/>
              </w:rPr>
            </w:pPr>
            <w:r>
              <w:rPr>
                <w:noProof/>
              </w:rPr>
              <w:t>7.15</w:t>
            </w:r>
          </w:p>
        </w:tc>
        <w:tc>
          <w:tcPr>
            <w:tcW w:w="1760" w:type="dxa"/>
            <w:tcBorders>
              <w:top w:val="nil"/>
              <w:left w:val="nil"/>
              <w:bottom w:val="single" w:sz="4" w:space="0" w:color="auto"/>
              <w:right w:val="single" w:sz="4" w:space="0" w:color="auto"/>
            </w:tcBorders>
            <w:shd w:val="clear" w:color="auto" w:fill="C4EFCE"/>
            <w:vAlign w:val="center"/>
            <w:hideMark/>
          </w:tcPr>
          <w:p w14:paraId="579A148C" w14:textId="77777777" w:rsidR="00DC5EC6" w:rsidRDefault="003245A4">
            <w:pPr>
              <w:pStyle w:val="P68B1DB1-Normal23"/>
              <w:spacing w:after="0"/>
              <w:jc w:val="center"/>
              <w:rPr>
                <w:rFonts w:eastAsia="Calibri" w:cs="Calibri"/>
                <w:noProof/>
              </w:rPr>
            </w:pPr>
            <w:r>
              <w:rPr>
                <w:noProof/>
              </w:rPr>
              <w:t>Re-C07-i05-RAA</w:t>
            </w:r>
          </w:p>
        </w:tc>
        <w:tc>
          <w:tcPr>
            <w:tcW w:w="1520" w:type="dxa"/>
            <w:tcBorders>
              <w:top w:val="nil"/>
              <w:left w:val="nil"/>
              <w:bottom w:val="single" w:sz="4" w:space="0" w:color="auto"/>
              <w:right w:val="single" w:sz="4" w:space="0" w:color="auto"/>
            </w:tcBorders>
            <w:shd w:val="clear" w:color="auto" w:fill="C4EFCE"/>
            <w:vAlign w:val="center"/>
            <w:hideMark/>
          </w:tcPr>
          <w:p w14:paraId="4D131CB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14295B7"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718FC24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47A7A1F" w14:textId="77777777" w:rsidR="00DC5EC6" w:rsidRDefault="003245A4">
            <w:pPr>
              <w:pStyle w:val="P68B1DB1-Normal23"/>
              <w:spacing w:after="0"/>
              <w:jc w:val="center"/>
              <w:rPr>
                <w:rFonts w:eastAsia="Calibri" w:cs="Calibri"/>
                <w:noProof/>
              </w:rPr>
            </w:pPr>
            <w:r>
              <w:rPr>
                <w:noProof/>
              </w:rPr>
              <w:t>9.2</w:t>
            </w:r>
          </w:p>
        </w:tc>
        <w:tc>
          <w:tcPr>
            <w:tcW w:w="1760" w:type="dxa"/>
            <w:tcBorders>
              <w:top w:val="nil"/>
              <w:left w:val="nil"/>
              <w:bottom w:val="single" w:sz="4" w:space="0" w:color="auto"/>
              <w:right w:val="single" w:sz="4" w:space="0" w:color="auto"/>
            </w:tcBorders>
            <w:shd w:val="clear" w:color="auto" w:fill="C4EFCE"/>
            <w:vAlign w:val="center"/>
            <w:hideMark/>
          </w:tcPr>
          <w:p w14:paraId="59ABCBA1"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2EAFCD8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96DBA45" w14:textId="77777777" w:rsidR="00DC5EC6" w:rsidRDefault="003245A4">
            <w:pPr>
              <w:pStyle w:val="P68B1DB1-Normal23"/>
              <w:spacing w:after="0"/>
              <w:jc w:val="both"/>
              <w:rPr>
                <w:rFonts w:eastAsia="Calibri" w:cs="Calibri"/>
                <w:noProof/>
              </w:rPr>
            </w:pPr>
            <w:r>
              <w:rPr>
                <w:noProof/>
              </w:rPr>
              <w:t>A vízveszteség csökkentését célzó hálózati beavatkozások befejezése (SM1)</w:t>
            </w:r>
          </w:p>
        </w:tc>
      </w:tr>
      <w:tr w:rsidR="00DC5EC6" w14:paraId="37AC4EF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E10FD" w14:textId="77777777" w:rsidR="00DC5EC6" w:rsidRDefault="003245A4">
            <w:pPr>
              <w:pStyle w:val="P68B1DB1-Normal23"/>
              <w:spacing w:after="0"/>
              <w:jc w:val="center"/>
              <w:rPr>
                <w:rFonts w:eastAsia="Calibri" w:cs="Calibri"/>
                <w:noProof/>
              </w:rPr>
            </w:pPr>
            <w:r>
              <w:rPr>
                <w:noProof/>
              </w:rPr>
              <w:t>9.3</w:t>
            </w:r>
          </w:p>
        </w:tc>
        <w:tc>
          <w:tcPr>
            <w:tcW w:w="1760" w:type="dxa"/>
            <w:tcBorders>
              <w:top w:val="nil"/>
              <w:left w:val="nil"/>
              <w:bottom w:val="single" w:sz="4" w:space="0" w:color="auto"/>
              <w:right w:val="single" w:sz="4" w:space="0" w:color="auto"/>
            </w:tcBorders>
            <w:shd w:val="clear" w:color="auto" w:fill="C4EFCE"/>
            <w:vAlign w:val="center"/>
            <w:hideMark/>
          </w:tcPr>
          <w:p w14:paraId="237E8E0F"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91C884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6A3DEEE" w14:textId="77777777" w:rsidR="00DC5EC6" w:rsidRDefault="003245A4">
            <w:pPr>
              <w:pStyle w:val="P68B1DB1-Normal23"/>
              <w:spacing w:after="0"/>
              <w:jc w:val="both"/>
              <w:rPr>
                <w:rFonts w:eastAsia="Calibri" w:cs="Calibri"/>
                <w:noProof/>
              </w:rPr>
            </w:pPr>
            <w:r>
              <w:rPr>
                <w:noProof/>
              </w:rPr>
              <w:t>A közös hidromezőgazdasági hasznosítású és egyéni öntözésű földterületek korszerűsítése (SM2)</w:t>
            </w:r>
          </w:p>
        </w:tc>
      </w:tr>
      <w:tr w:rsidR="00DC5EC6" w14:paraId="6F7B77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85D3E67" w14:textId="77777777" w:rsidR="00DC5EC6" w:rsidRDefault="003245A4">
            <w:pPr>
              <w:pStyle w:val="P68B1DB1-Normal23"/>
              <w:spacing w:after="0"/>
              <w:jc w:val="center"/>
              <w:rPr>
                <w:rFonts w:eastAsia="Calibri" w:cs="Calibri"/>
                <w:noProof/>
              </w:rPr>
            </w:pPr>
            <w:r>
              <w:rPr>
                <w:noProof/>
              </w:rPr>
              <w:t>9.4</w:t>
            </w:r>
          </w:p>
        </w:tc>
        <w:tc>
          <w:tcPr>
            <w:tcW w:w="1760" w:type="dxa"/>
            <w:tcBorders>
              <w:top w:val="nil"/>
              <w:left w:val="nil"/>
              <w:bottom w:val="single" w:sz="4" w:space="0" w:color="auto"/>
              <w:right w:val="single" w:sz="4" w:space="0" w:color="auto"/>
            </w:tcBorders>
            <w:shd w:val="clear" w:color="auto" w:fill="C4EFCE"/>
            <w:vAlign w:val="center"/>
            <w:hideMark/>
          </w:tcPr>
          <w:p w14:paraId="5C2FE0DD"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33D26A42"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A433600" w14:textId="77777777" w:rsidR="00DC5EC6" w:rsidRDefault="003245A4">
            <w:pPr>
              <w:pStyle w:val="P68B1DB1-Normal23"/>
              <w:spacing w:after="0"/>
              <w:jc w:val="both"/>
              <w:rPr>
                <w:rFonts w:eastAsia="Calibri" w:cs="Calibri"/>
                <w:noProof/>
              </w:rPr>
            </w:pPr>
            <w:r>
              <w:rPr>
                <w:noProof/>
              </w:rPr>
              <w:t>A kezelt szennyvíz előállítását és finomítását biztosító szennyvíztisztító telepek száma (SM4)</w:t>
            </w:r>
          </w:p>
        </w:tc>
      </w:tr>
      <w:tr w:rsidR="00DC5EC6" w14:paraId="1D13C9B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EA5C54B" w14:textId="77777777" w:rsidR="00DC5EC6" w:rsidRDefault="003245A4">
            <w:pPr>
              <w:pStyle w:val="P68B1DB1-Normal23"/>
              <w:spacing w:after="0"/>
              <w:jc w:val="center"/>
              <w:rPr>
                <w:rFonts w:eastAsia="Calibri" w:cs="Calibri"/>
                <w:noProof/>
              </w:rPr>
            </w:pPr>
            <w:r>
              <w:rPr>
                <w:noProof/>
              </w:rPr>
              <w:t>9.6</w:t>
            </w:r>
          </w:p>
        </w:tc>
        <w:tc>
          <w:tcPr>
            <w:tcW w:w="1760" w:type="dxa"/>
            <w:tcBorders>
              <w:top w:val="nil"/>
              <w:left w:val="nil"/>
              <w:bottom w:val="single" w:sz="4" w:space="0" w:color="auto"/>
              <w:right w:val="single" w:sz="4" w:space="0" w:color="auto"/>
            </w:tcBorders>
            <w:shd w:val="clear" w:color="auto" w:fill="C4EFCE"/>
            <w:vAlign w:val="center"/>
            <w:hideMark/>
          </w:tcPr>
          <w:p w14:paraId="688EB844"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64009CE"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1C4FC67" w14:textId="77777777" w:rsidR="00DC5EC6" w:rsidRDefault="003245A4">
            <w:pPr>
              <w:pStyle w:val="P68B1DB1-Normal23"/>
              <w:spacing w:after="0"/>
              <w:jc w:val="both"/>
              <w:rPr>
                <w:rFonts w:eastAsia="Calibri" w:cs="Calibri"/>
                <w:noProof/>
              </w:rPr>
            </w:pPr>
            <w:r>
              <w:rPr>
                <w:noProof/>
              </w:rPr>
              <w:t>Guadianában a vízkivétel üzembe helyezése, teljes mértékben tiszteletben tartva a környezeti hatásvizsgálat eredményeit és feltételeit (SM5)</w:t>
            </w:r>
          </w:p>
        </w:tc>
      </w:tr>
      <w:tr w:rsidR="00DC5EC6" w14:paraId="00AC9B8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B2E6A91" w14:textId="77777777" w:rsidR="00DC5EC6" w:rsidRDefault="003245A4">
            <w:pPr>
              <w:pStyle w:val="P68B1DB1-Normal23"/>
              <w:spacing w:after="0"/>
              <w:jc w:val="center"/>
              <w:rPr>
                <w:rFonts w:eastAsia="Calibri" w:cs="Calibri"/>
                <w:noProof/>
              </w:rPr>
            </w:pPr>
            <w:r>
              <w:rPr>
                <w:noProof/>
              </w:rPr>
              <w:t>9.8</w:t>
            </w:r>
          </w:p>
        </w:tc>
        <w:tc>
          <w:tcPr>
            <w:tcW w:w="1760" w:type="dxa"/>
            <w:tcBorders>
              <w:top w:val="nil"/>
              <w:left w:val="nil"/>
              <w:bottom w:val="single" w:sz="4" w:space="0" w:color="auto"/>
              <w:right w:val="single" w:sz="4" w:space="0" w:color="auto"/>
            </w:tcBorders>
            <w:shd w:val="clear" w:color="auto" w:fill="C4EFCE"/>
            <w:vAlign w:val="center"/>
            <w:hideMark/>
          </w:tcPr>
          <w:p w14:paraId="5EBB0488" w14:textId="77777777" w:rsidR="00DC5EC6" w:rsidRDefault="003245A4">
            <w:pPr>
              <w:pStyle w:val="P68B1DB1-Normal23"/>
              <w:spacing w:after="0"/>
              <w:jc w:val="center"/>
              <w:rPr>
                <w:rFonts w:eastAsia="Calibri" w:cs="Calibri"/>
                <w:noProof/>
              </w:rPr>
            </w:pPr>
            <w:r>
              <w:rPr>
                <w:noProof/>
              </w:rPr>
              <w:t>Re-C09-i01</w:t>
            </w:r>
          </w:p>
        </w:tc>
        <w:tc>
          <w:tcPr>
            <w:tcW w:w="1520" w:type="dxa"/>
            <w:tcBorders>
              <w:top w:val="nil"/>
              <w:left w:val="nil"/>
              <w:bottom w:val="single" w:sz="4" w:space="0" w:color="auto"/>
              <w:right w:val="single" w:sz="4" w:space="0" w:color="auto"/>
            </w:tcBorders>
            <w:shd w:val="clear" w:color="auto" w:fill="C4EFCE"/>
            <w:vAlign w:val="center"/>
            <w:hideMark/>
          </w:tcPr>
          <w:p w14:paraId="47A9B6A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4D168C1" w14:textId="0C32D8AF" w:rsidR="00DC5EC6" w:rsidRDefault="003245A4">
            <w:pPr>
              <w:pStyle w:val="P68B1DB1-Normal23"/>
              <w:spacing w:after="0"/>
              <w:jc w:val="both"/>
              <w:rPr>
                <w:rFonts w:eastAsia="Calibri" w:cs="Calibri"/>
                <w:noProof/>
              </w:rPr>
            </w:pPr>
            <w:r>
              <w:rPr>
                <w:noProof/>
              </w:rPr>
              <w:t>A sótalanítási intézkedés működésbe lépése, teljes mértékben tiszteletben tartva a környezeti hatásvizsgálat eredményeit és feltételeit (SM6)</w:t>
            </w:r>
          </w:p>
        </w:tc>
      </w:tr>
      <w:tr w:rsidR="00DC5EC6" w14:paraId="2BDB914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8D6E3E7" w14:textId="77777777" w:rsidR="00DC5EC6" w:rsidRDefault="003245A4">
            <w:pPr>
              <w:pStyle w:val="P68B1DB1-Normal23"/>
              <w:spacing w:after="0"/>
              <w:jc w:val="center"/>
              <w:rPr>
                <w:rFonts w:eastAsia="Calibri" w:cs="Calibri"/>
                <w:noProof/>
              </w:rPr>
            </w:pPr>
            <w:r>
              <w:rPr>
                <w:noProof/>
              </w:rPr>
              <w:t>10.10</w:t>
            </w:r>
          </w:p>
        </w:tc>
        <w:tc>
          <w:tcPr>
            <w:tcW w:w="1760" w:type="dxa"/>
            <w:tcBorders>
              <w:top w:val="nil"/>
              <w:left w:val="nil"/>
              <w:bottom w:val="single" w:sz="4" w:space="0" w:color="auto"/>
              <w:right w:val="single" w:sz="4" w:space="0" w:color="auto"/>
            </w:tcBorders>
            <w:shd w:val="clear" w:color="auto" w:fill="C4EFCE"/>
            <w:vAlign w:val="center"/>
            <w:hideMark/>
          </w:tcPr>
          <w:p w14:paraId="66F203A9"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6D83619A"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644450C5" w14:textId="77777777" w:rsidR="00DC5EC6" w:rsidRDefault="003245A4">
            <w:pPr>
              <w:pStyle w:val="P68B1DB1-Normal23"/>
              <w:spacing w:after="0"/>
              <w:jc w:val="both"/>
              <w:rPr>
                <w:rFonts w:eastAsia="Calibri" w:cs="Calibri"/>
                <w:noProof/>
              </w:rPr>
            </w:pPr>
            <w:r>
              <w:rPr>
                <w:noProof/>
              </w:rPr>
              <w:t xml:space="preserve">Az Azori-szigeteken a tengerhez kapcsolódó kísérleti kutatási és fejlesztési központ működőképessé tétele (MARTEC központ) </w:t>
            </w:r>
          </w:p>
        </w:tc>
      </w:tr>
      <w:tr w:rsidR="00DC5EC6" w14:paraId="12909A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1610000" w14:textId="77777777" w:rsidR="00DC5EC6" w:rsidRDefault="003245A4">
            <w:pPr>
              <w:pStyle w:val="P68B1DB1-Normal23"/>
              <w:spacing w:after="0"/>
              <w:jc w:val="center"/>
              <w:rPr>
                <w:rFonts w:eastAsia="Calibri" w:cs="Calibri"/>
                <w:noProof/>
              </w:rPr>
            </w:pPr>
            <w:r>
              <w:rPr>
                <w:noProof/>
              </w:rPr>
              <w:t>10.11</w:t>
            </w:r>
          </w:p>
        </w:tc>
        <w:tc>
          <w:tcPr>
            <w:tcW w:w="1760" w:type="dxa"/>
            <w:tcBorders>
              <w:top w:val="nil"/>
              <w:left w:val="nil"/>
              <w:bottom w:val="single" w:sz="4" w:space="0" w:color="auto"/>
              <w:right w:val="single" w:sz="4" w:space="0" w:color="auto"/>
            </w:tcBorders>
            <w:shd w:val="clear" w:color="auto" w:fill="C4EFCE"/>
            <w:vAlign w:val="center"/>
            <w:hideMark/>
          </w:tcPr>
          <w:p w14:paraId="2149C41D" w14:textId="77777777" w:rsidR="00DC5EC6" w:rsidRDefault="003245A4">
            <w:pPr>
              <w:pStyle w:val="P68B1DB1-Normal23"/>
              <w:spacing w:after="0"/>
              <w:jc w:val="center"/>
              <w:rPr>
                <w:rFonts w:eastAsia="Calibri" w:cs="Calibri"/>
                <w:noProof/>
              </w:rPr>
            </w:pPr>
            <w:r>
              <w:rPr>
                <w:noProof/>
              </w:rPr>
              <w:t>TC-C10–i04-RAA</w:t>
            </w:r>
          </w:p>
        </w:tc>
        <w:tc>
          <w:tcPr>
            <w:tcW w:w="1520" w:type="dxa"/>
            <w:tcBorders>
              <w:top w:val="nil"/>
              <w:left w:val="nil"/>
              <w:bottom w:val="single" w:sz="4" w:space="0" w:color="auto"/>
              <w:right w:val="single" w:sz="4" w:space="0" w:color="auto"/>
            </w:tcBorders>
            <w:shd w:val="clear" w:color="auto" w:fill="C4EFCE"/>
            <w:vAlign w:val="center"/>
            <w:hideMark/>
          </w:tcPr>
          <w:p w14:paraId="25F54449"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D495D64" w14:textId="77777777" w:rsidR="00DC5EC6" w:rsidRDefault="003245A4">
            <w:pPr>
              <w:pStyle w:val="P68B1DB1-Normal23"/>
              <w:spacing w:after="0"/>
              <w:jc w:val="both"/>
              <w:rPr>
                <w:rFonts w:eastAsia="Calibri" w:cs="Calibri"/>
                <w:noProof/>
              </w:rPr>
            </w:pPr>
            <w:r>
              <w:rPr>
                <w:noProof/>
              </w:rPr>
              <w:t>2 modul leszállítása az új kutatóhajóhoz</w:t>
            </w:r>
          </w:p>
        </w:tc>
      </w:tr>
      <w:tr w:rsidR="00DC5EC6" w14:paraId="58CCDB4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070AF37" w14:textId="77777777" w:rsidR="00DC5EC6" w:rsidRDefault="003245A4">
            <w:pPr>
              <w:pStyle w:val="P68B1DB1-Normal23"/>
              <w:spacing w:after="0"/>
              <w:jc w:val="center"/>
              <w:rPr>
                <w:rFonts w:eastAsia="Calibri" w:cs="Calibri"/>
                <w:noProof/>
              </w:rPr>
            </w:pPr>
            <w:r>
              <w:rPr>
                <w:noProof/>
              </w:rPr>
              <w:t>10.12</w:t>
            </w:r>
          </w:p>
        </w:tc>
        <w:tc>
          <w:tcPr>
            <w:tcW w:w="1760" w:type="dxa"/>
            <w:tcBorders>
              <w:top w:val="nil"/>
              <w:left w:val="nil"/>
              <w:bottom w:val="single" w:sz="4" w:space="0" w:color="auto"/>
              <w:right w:val="single" w:sz="4" w:space="0" w:color="auto"/>
            </w:tcBorders>
            <w:shd w:val="clear" w:color="auto" w:fill="C4EFCE"/>
            <w:vAlign w:val="center"/>
            <w:hideMark/>
          </w:tcPr>
          <w:p w14:paraId="0DFEBA2F" w14:textId="77777777" w:rsidR="00DC5EC6" w:rsidRDefault="003245A4">
            <w:pPr>
              <w:pStyle w:val="P68B1DB1-Normal23"/>
              <w:spacing w:after="0"/>
              <w:jc w:val="center"/>
              <w:rPr>
                <w:rFonts w:eastAsia="Calibri" w:cs="Calibri"/>
                <w:noProof/>
              </w:rPr>
            </w:pPr>
            <w:r>
              <w:rPr>
                <w:noProof/>
              </w:rPr>
              <w:t>TC-C10-i05-RAA</w:t>
            </w:r>
          </w:p>
        </w:tc>
        <w:tc>
          <w:tcPr>
            <w:tcW w:w="1520" w:type="dxa"/>
            <w:tcBorders>
              <w:top w:val="nil"/>
              <w:left w:val="nil"/>
              <w:bottom w:val="single" w:sz="4" w:space="0" w:color="auto"/>
              <w:right w:val="single" w:sz="4" w:space="0" w:color="auto"/>
            </w:tcBorders>
            <w:shd w:val="clear" w:color="auto" w:fill="C4EFCE"/>
            <w:vAlign w:val="center"/>
            <w:hideMark/>
          </w:tcPr>
          <w:p w14:paraId="0039517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F68158" w14:textId="77777777" w:rsidR="00DC5EC6" w:rsidRDefault="003245A4">
            <w:pPr>
              <w:pStyle w:val="P68B1DB1-Normal23"/>
              <w:spacing w:after="0"/>
              <w:jc w:val="both"/>
              <w:rPr>
                <w:rFonts w:eastAsia="Calibri" w:cs="Calibri"/>
                <w:noProof/>
              </w:rPr>
            </w:pPr>
            <w:r>
              <w:rPr>
                <w:noProof/>
              </w:rPr>
              <w:t xml:space="preserve">A halászati és akvakultúra-ágazati projektek lezárása </w:t>
            </w:r>
          </w:p>
        </w:tc>
      </w:tr>
      <w:tr w:rsidR="00DC5EC6" w14:paraId="675CEDE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604C72C" w14:textId="77777777" w:rsidR="00DC5EC6" w:rsidRDefault="003245A4">
            <w:pPr>
              <w:pStyle w:val="P68B1DB1-Normal23"/>
              <w:spacing w:after="0"/>
              <w:jc w:val="center"/>
              <w:rPr>
                <w:rFonts w:eastAsia="Calibri" w:cs="Calibri"/>
                <w:noProof/>
              </w:rPr>
            </w:pPr>
            <w:r>
              <w:rPr>
                <w:noProof/>
              </w:rPr>
              <w:t>10.14</w:t>
            </w:r>
          </w:p>
        </w:tc>
        <w:tc>
          <w:tcPr>
            <w:tcW w:w="1760" w:type="dxa"/>
            <w:tcBorders>
              <w:top w:val="nil"/>
              <w:left w:val="nil"/>
              <w:bottom w:val="single" w:sz="4" w:space="0" w:color="auto"/>
              <w:right w:val="single" w:sz="4" w:space="0" w:color="auto"/>
            </w:tcBorders>
            <w:shd w:val="clear" w:color="auto" w:fill="C4EFCE"/>
            <w:vAlign w:val="center"/>
            <w:hideMark/>
          </w:tcPr>
          <w:p w14:paraId="4059CC69" w14:textId="77777777" w:rsidR="00DC5EC6" w:rsidRDefault="003245A4">
            <w:pPr>
              <w:pStyle w:val="P68B1DB1-Normal23"/>
              <w:spacing w:after="0"/>
              <w:jc w:val="center"/>
              <w:rPr>
                <w:rFonts w:eastAsia="Calibri" w:cs="Calibri"/>
                <w:noProof/>
              </w:rPr>
            </w:pPr>
            <w:r>
              <w:rPr>
                <w:noProof/>
              </w:rPr>
              <w:t>TC-C10-i06-RAM</w:t>
            </w:r>
          </w:p>
        </w:tc>
        <w:tc>
          <w:tcPr>
            <w:tcW w:w="1520" w:type="dxa"/>
            <w:tcBorders>
              <w:top w:val="nil"/>
              <w:left w:val="nil"/>
              <w:bottom w:val="single" w:sz="4" w:space="0" w:color="auto"/>
              <w:right w:val="single" w:sz="4" w:space="0" w:color="auto"/>
            </w:tcBorders>
            <w:shd w:val="clear" w:color="auto" w:fill="C4EFCE"/>
            <w:vAlign w:val="center"/>
            <w:hideMark/>
          </w:tcPr>
          <w:p w14:paraId="5003A16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36549ECD" w14:textId="77777777" w:rsidR="00DC5EC6" w:rsidRDefault="003245A4">
            <w:pPr>
              <w:pStyle w:val="P68B1DB1-Normal23"/>
              <w:spacing w:after="0"/>
              <w:jc w:val="both"/>
              <w:rPr>
                <w:rFonts w:eastAsia="Calibri" w:cs="Calibri"/>
                <w:noProof/>
              </w:rPr>
            </w:pPr>
            <w:r>
              <w:rPr>
                <w:noProof/>
              </w:rPr>
              <w:t>Az energiahatékony többcélú kutatóhajó szállítása</w:t>
            </w:r>
          </w:p>
        </w:tc>
      </w:tr>
      <w:tr w:rsidR="00DC5EC6" w14:paraId="782F16D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731F58B5" w14:textId="77777777" w:rsidR="00DC5EC6" w:rsidRDefault="003245A4">
            <w:pPr>
              <w:pStyle w:val="P68B1DB1-Normal23"/>
              <w:spacing w:after="0"/>
              <w:jc w:val="center"/>
              <w:rPr>
                <w:rFonts w:eastAsia="Calibri" w:cs="Calibri"/>
                <w:noProof/>
              </w:rPr>
            </w:pPr>
            <w:r>
              <w:rPr>
                <w:noProof/>
              </w:rPr>
              <w:t>14.3</w:t>
            </w:r>
          </w:p>
        </w:tc>
        <w:tc>
          <w:tcPr>
            <w:tcW w:w="1760" w:type="dxa"/>
            <w:tcBorders>
              <w:top w:val="nil"/>
              <w:left w:val="nil"/>
              <w:bottom w:val="single" w:sz="4" w:space="0" w:color="auto"/>
              <w:right w:val="single" w:sz="4" w:space="0" w:color="auto"/>
            </w:tcBorders>
            <w:shd w:val="clear" w:color="auto" w:fill="C4EFCE"/>
            <w:vAlign w:val="center"/>
            <w:hideMark/>
          </w:tcPr>
          <w:p w14:paraId="149B14E3" w14:textId="77777777" w:rsidR="00DC5EC6" w:rsidRDefault="003245A4">
            <w:pPr>
              <w:pStyle w:val="P68B1DB1-Normal23"/>
              <w:spacing w:after="0"/>
              <w:jc w:val="center"/>
              <w:rPr>
                <w:rFonts w:eastAsia="Calibri" w:cs="Calibri"/>
                <w:noProof/>
              </w:rPr>
            </w:pPr>
            <w:r>
              <w:rPr>
                <w:noProof/>
              </w:rPr>
              <w:t>TC-C14-i01</w:t>
            </w:r>
          </w:p>
        </w:tc>
        <w:tc>
          <w:tcPr>
            <w:tcW w:w="1520" w:type="dxa"/>
            <w:tcBorders>
              <w:top w:val="nil"/>
              <w:left w:val="nil"/>
              <w:bottom w:val="single" w:sz="4" w:space="0" w:color="auto"/>
              <w:right w:val="single" w:sz="4" w:space="0" w:color="auto"/>
            </w:tcBorders>
            <w:shd w:val="clear" w:color="auto" w:fill="C4EFCE"/>
            <w:vAlign w:val="center"/>
            <w:hideMark/>
          </w:tcPr>
          <w:p w14:paraId="1C7D092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3D40777" w14:textId="77777777" w:rsidR="00DC5EC6" w:rsidRDefault="003245A4">
            <w:pPr>
              <w:pStyle w:val="P68B1DB1-Normal23"/>
              <w:spacing w:after="0"/>
              <w:jc w:val="both"/>
              <w:rPr>
                <w:rFonts w:eastAsia="Calibri" w:cs="Calibri"/>
                <w:noProof/>
              </w:rPr>
            </w:pPr>
            <w:r>
              <w:rPr>
                <w:noProof/>
              </w:rPr>
              <w:t>További megújuló hidrogén- és megújulógáz-termelési kapacitás</w:t>
            </w:r>
          </w:p>
        </w:tc>
      </w:tr>
      <w:tr w:rsidR="00DC5EC6" w14:paraId="6E3719A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18C92FF" w14:textId="77777777" w:rsidR="00DC5EC6" w:rsidRDefault="003245A4">
            <w:pPr>
              <w:pStyle w:val="P68B1DB1-Normal23"/>
              <w:spacing w:after="0"/>
              <w:jc w:val="center"/>
              <w:rPr>
                <w:rFonts w:eastAsia="Calibri" w:cs="Calibri"/>
                <w:noProof/>
              </w:rPr>
            </w:pPr>
            <w:r>
              <w:rPr>
                <w:noProof/>
              </w:rPr>
              <w:t>14.11</w:t>
            </w:r>
          </w:p>
        </w:tc>
        <w:tc>
          <w:tcPr>
            <w:tcW w:w="1760" w:type="dxa"/>
            <w:tcBorders>
              <w:top w:val="nil"/>
              <w:left w:val="nil"/>
              <w:bottom w:val="single" w:sz="4" w:space="0" w:color="auto"/>
              <w:right w:val="single" w:sz="4" w:space="0" w:color="auto"/>
            </w:tcBorders>
            <w:shd w:val="clear" w:color="auto" w:fill="C4EFCE"/>
            <w:vAlign w:val="center"/>
            <w:hideMark/>
          </w:tcPr>
          <w:p w14:paraId="48F00665" w14:textId="77777777" w:rsidR="00DC5EC6" w:rsidRDefault="003245A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3B322EA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F348DF8" w14:textId="77777777" w:rsidR="00DC5EC6" w:rsidRDefault="003245A4">
            <w:pPr>
              <w:pStyle w:val="P68B1DB1-Normal23"/>
              <w:spacing w:after="0"/>
              <w:jc w:val="both"/>
              <w:rPr>
                <w:rFonts w:eastAsia="Calibri" w:cs="Calibri"/>
                <w:noProof/>
              </w:rPr>
            </w:pPr>
            <w:r>
              <w:rPr>
                <w:noProof/>
              </w:rPr>
              <w:t>Kiegészítő és felújított beépített geotermikus termelési kapacitás</w:t>
            </w:r>
          </w:p>
        </w:tc>
      </w:tr>
      <w:tr w:rsidR="00DC5EC6" w14:paraId="5FD8198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2DF8B68" w14:textId="77777777" w:rsidR="00DC5EC6" w:rsidRDefault="003245A4">
            <w:pPr>
              <w:pStyle w:val="P68B1DB1-Normal23"/>
              <w:spacing w:after="0"/>
              <w:jc w:val="center"/>
              <w:rPr>
                <w:rFonts w:eastAsia="Calibri" w:cs="Calibri"/>
                <w:noProof/>
              </w:rPr>
            </w:pPr>
            <w:r>
              <w:rPr>
                <w:noProof/>
              </w:rPr>
              <w:t>14.13</w:t>
            </w:r>
          </w:p>
        </w:tc>
        <w:tc>
          <w:tcPr>
            <w:tcW w:w="1760" w:type="dxa"/>
            <w:tcBorders>
              <w:top w:val="nil"/>
              <w:left w:val="nil"/>
              <w:bottom w:val="single" w:sz="4" w:space="0" w:color="auto"/>
              <w:right w:val="single" w:sz="4" w:space="0" w:color="auto"/>
            </w:tcBorders>
            <w:shd w:val="clear" w:color="auto" w:fill="C4EFCE"/>
            <w:vAlign w:val="center"/>
            <w:hideMark/>
          </w:tcPr>
          <w:p w14:paraId="64F40519" w14:textId="77777777" w:rsidR="00DC5EC6" w:rsidRDefault="003245A4">
            <w:pPr>
              <w:pStyle w:val="P68B1DB1-Normal23"/>
              <w:spacing w:after="0"/>
              <w:jc w:val="center"/>
              <w:rPr>
                <w:rFonts w:eastAsia="Calibri" w:cs="Calibri"/>
                <w:noProof/>
              </w:rPr>
            </w:pPr>
            <w:r>
              <w:rPr>
                <w:noProof/>
              </w:rPr>
              <w:t>TC-C14-i03-RAA</w:t>
            </w:r>
          </w:p>
        </w:tc>
        <w:tc>
          <w:tcPr>
            <w:tcW w:w="1520" w:type="dxa"/>
            <w:tcBorders>
              <w:top w:val="nil"/>
              <w:left w:val="nil"/>
              <w:bottom w:val="single" w:sz="4" w:space="0" w:color="auto"/>
              <w:right w:val="single" w:sz="4" w:space="0" w:color="auto"/>
            </w:tcBorders>
            <w:shd w:val="clear" w:color="auto" w:fill="C4EFCE"/>
            <w:vAlign w:val="center"/>
            <w:hideMark/>
          </w:tcPr>
          <w:p w14:paraId="007474A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EAB61EA" w14:textId="77777777" w:rsidR="00DC5EC6" w:rsidRDefault="003245A4">
            <w:pPr>
              <w:pStyle w:val="P68B1DB1-Normal23"/>
              <w:spacing w:after="0"/>
              <w:jc w:val="both"/>
              <w:rPr>
                <w:rFonts w:eastAsia="Calibri" w:cs="Calibri"/>
                <w:noProof/>
              </w:rPr>
            </w:pPr>
            <w:r>
              <w:rPr>
                <w:noProof/>
              </w:rPr>
              <w:t>Új akkumulátor-energiatároló rendszerek és energiagazdálkodási rendszerek az ARA-ban</w:t>
            </w:r>
          </w:p>
        </w:tc>
      </w:tr>
      <w:tr w:rsidR="00DC5EC6" w14:paraId="3D2D7C2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5885B6" w14:textId="77777777" w:rsidR="00DC5EC6" w:rsidRDefault="003245A4">
            <w:pPr>
              <w:pStyle w:val="P68B1DB1-Normal23"/>
              <w:spacing w:after="0"/>
              <w:jc w:val="center"/>
              <w:rPr>
                <w:rFonts w:eastAsia="Calibri" w:cs="Calibri"/>
                <w:noProof/>
              </w:rPr>
            </w:pPr>
            <w:r>
              <w:rPr>
                <w:noProof/>
              </w:rPr>
              <w:t>15.3</w:t>
            </w:r>
          </w:p>
        </w:tc>
        <w:tc>
          <w:tcPr>
            <w:tcW w:w="1760" w:type="dxa"/>
            <w:tcBorders>
              <w:top w:val="nil"/>
              <w:left w:val="nil"/>
              <w:bottom w:val="single" w:sz="4" w:space="0" w:color="auto"/>
              <w:right w:val="single" w:sz="4" w:space="0" w:color="auto"/>
            </w:tcBorders>
            <w:shd w:val="clear" w:color="auto" w:fill="C4EFCE"/>
            <w:vAlign w:val="center"/>
            <w:hideMark/>
          </w:tcPr>
          <w:p w14:paraId="5F0E4652" w14:textId="77777777" w:rsidR="00DC5EC6" w:rsidRDefault="003245A4">
            <w:pPr>
              <w:pStyle w:val="P68B1DB1-Normal23"/>
              <w:spacing w:after="0"/>
              <w:jc w:val="center"/>
              <w:rPr>
                <w:rFonts w:eastAsia="Calibri" w:cs="Calibri"/>
                <w:noProof/>
              </w:rPr>
            </w:pPr>
            <w:r>
              <w:rPr>
                <w:noProof/>
              </w:rPr>
              <w:t>TC-C15-i01</w:t>
            </w:r>
          </w:p>
        </w:tc>
        <w:tc>
          <w:tcPr>
            <w:tcW w:w="1520" w:type="dxa"/>
            <w:tcBorders>
              <w:top w:val="nil"/>
              <w:left w:val="nil"/>
              <w:bottom w:val="single" w:sz="4" w:space="0" w:color="auto"/>
              <w:right w:val="single" w:sz="4" w:space="0" w:color="auto"/>
            </w:tcBorders>
            <w:shd w:val="clear" w:color="auto" w:fill="C4EFCE"/>
            <w:vAlign w:val="center"/>
            <w:hideMark/>
          </w:tcPr>
          <w:p w14:paraId="41ACA24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D9D0D7" w14:textId="77777777" w:rsidR="00DC5EC6" w:rsidRDefault="003245A4">
            <w:pPr>
              <w:pStyle w:val="P68B1DB1-Normal23"/>
              <w:spacing w:after="0"/>
              <w:jc w:val="both"/>
              <w:rPr>
                <w:rFonts w:eastAsia="Calibri" w:cs="Calibri"/>
                <w:noProof/>
              </w:rPr>
            </w:pPr>
            <w:r>
              <w:rPr>
                <w:noProof/>
              </w:rPr>
              <w:t>A lisszaboni metróhálózat bővítése befejeződött</w:t>
            </w:r>
          </w:p>
        </w:tc>
      </w:tr>
      <w:tr w:rsidR="00DC5EC6" w14:paraId="7EB0F83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501D3C5" w14:textId="77777777" w:rsidR="00DC5EC6" w:rsidRDefault="003245A4">
            <w:pPr>
              <w:pStyle w:val="P68B1DB1-Normal23"/>
              <w:spacing w:after="0"/>
              <w:jc w:val="center"/>
              <w:rPr>
                <w:rFonts w:eastAsia="Calibri" w:cs="Calibri"/>
                <w:noProof/>
              </w:rPr>
            </w:pPr>
            <w:r>
              <w:rPr>
                <w:noProof/>
              </w:rPr>
              <w:t>15.6</w:t>
            </w:r>
          </w:p>
        </w:tc>
        <w:tc>
          <w:tcPr>
            <w:tcW w:w="1760" w:type="dxa"/>
            <w:tcBorders>
              <w:top w:val="nil"/>
              <w:left w:val="nil"/>
              <w:bottom w:val="single" w:sz="4" w:space="0" w:color="auto"/>
              <w:right w:val="single" w:sz="4" w:space="0" w:color="auto"/>
            </w:tcBorders>
            <w:shd w:val="clear" w:color="auto" w:fill="C4EFCE"/>
            <w:vAlign w:val="center"/>
            <w:hideMark/>
          </w:tcPr>
          <w:p w14:paraId="0225E4FE" w14:textId="77777777" w:rsidR="00DC5EC6" w:rsidRDefault="003245A4">
            <w:pPr>
              <w:pStyle w:val="P68B1DB1-Normal23"/>
              <w:spacing w:after="0"/>
              <w:jc w:val="center"/>
              <w:rPr>
                <w:rFonts w:eastAsia="Calibri" w:cs="Calibri"/>
                <w:noProof/>
              </w:rPr>
            </w:pPr>
            <w:r>
              <w:rPr>
                <w:noProof/>
              </w:rPr>
              <w:t>TC-C15-i02</w:t>
            </w:r>
          </w:p>
        </w:tc>
        <w:tc>
          <w:tcPr>
            <w:tcW w:w="1520" w:type="dxa"/>
            <w:tcBorders>
              <w:top w:val="nil"/>
              <w:left w:val="nil"/>
              <w:bottom w:val="single" w:sz="4" w:space="0" w:color="auto"/>
              <w:right w:val="single" w:sz="4" w:space="0" w:color="auto"/>
            </w:tcBorders>
            <w:shd w:val="clear" w:color="auto" w:fill="C4EFCE"/>
            <w:vAlign w:val="center"/>
            <w:hideMark/>
          </w:tcPr>
          <w:p w14:paraId="02CE8F2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955E14C" w14:textId="77777777" w:rsidR="00DC5EC6" w:rsidRDefault="003245A4">
            <w:pPr>
              <w:pStyle w:val="P68B1DB1-Normal23"/>
              <w:spacing w:after="0"/>
              <w:jc w:val="both"/>
              <w:rPr>
                <w:rFonts w:eastAsia="Calibri" w:cs="Calibri"/>
                <w:noProof/>
              </w:rPr>
            </w:pPr>
            <w:r>
              <w:rPr>
                <w:noProof/>
              </w:rPr>
              <w:t>A portói metróhálózat bővítése befejeződött</w:t>
            </w:r>
          </w:p>
        </w:tc>
      </w:tr>
      <w:tr w:rsidR="00DC5EC6" w14:paraId="3122821F"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62E7552" w14:textId="77777777" w:rsidR="00DC5EC6" w:rsidRDefault="003245A4">
            <w:pPr>
              <w:pStyle w:val="P68B1DB1-Normal23"/>
              <w:spacing w:after="0"/>
              <w:jc w:val="center"/>
              <w:rPr>
                <w:rFonts w:eastAsia="Calibri" w:cs="Calibri"/>
                <w:noProof/>
              </w:rPr>
            </w:pPr>
            <w:r>
              <w:rPr>
                <w:noProof/>
              </w:rPr>
              <w:t>15.16</w:t>
            </w:r>
          </w:p>
        </w:tc>
        <w:tc>
          <w:tcPr>
            <w:tcW w:w="1760" w:type="dxa"/>
            <w:tcBorders>
              <w:top w:val="nil"/>
              <w:left w:val="nil"/>
              <w:bottom w:val="single" w:sz="4" w:space="0" w:color="auto"/>
              <w:right w:val="single" w:sz="4" w:space="0" w:color="auto"/>
            </w:tcBorders>
            <w:shd w:val="clear" w:color="auto" w:fill="C4EFCE"/>
            <w:vAlign w:val="center"/>
            <w:hideMark/>
          </w:tcPr>
          <w:p w14:paraId="1F57BF01" w14:textId="77777777" w:rsidR="00DC5EC6" w:rsidRDefault="003245A4">
            <w:pPr>
              <w:pStyle w:val="P68B1DB1-Normal23"/>
              <w:spacing w:after="0"/>
              <w:jc w:val="center"/>
              <w:rPr>
                <w:rFonts w:eastAsia="Calibri" w:cs="Calibri"/>
                <w:noProof/>
              </w:rPr>
            </w:pPr>
            <w:r>
              <w:rPr>
                <w:noProof/>
              </w:rPr>
              <w:t>TC-C15-i06</w:t>
            </w:r>
          </w:p>
        </w:tc>
        <w:tc>
          <w:tcPr>
            <w:tcW w:w="1520" w:type="dxa"/>
            <w:tcBorders>
              <w:top w:val="nil"/>
              <w:left w:val="nil"/>
              <w:bottom w:val="single" w:sz="4" w:space="0" w:color="auto"/>
              <w:right w:val="single" w:sz="4" w:space="0" w:color="auto"/>
            </w:tcBorders>
            <w:shd w:val="clear" w:color="auto" w:fill="C4EFCE"/>
            <w:vAlign w:val="center"/>
            <w:hideMark/>
          </w:tcPr>
          <w:p w14:paraId="044758A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2045CC" w14:textId="77777777" w:rsidR="00DC5EC6" w:rsidRDefault="003245A4">
            <w:pPr>
              <w:pStyle w:val="P68B1DB1-Normal23"/>
              <w:spacing w:after="0"/>
              <w:jc w:val="both"/>
              <w:rPr>
                <w:rFonts w:eastAsia="Calibri" w:cs="Calibri"/>
                <w:noProof/>
              </w:rPr>
            </w:pPr>
            <w:r>
              <w:rPr>
                <w:noProof/>
              </w:rPr>
              <w:t>Elektronikus jelzőrendszerrel rendelkező vasútvonalak lecserélve</w:t>
            </w:r>
          </w:p>
        </w:tc>
      </w:tr>
      <w:tr w:rsidR="00DC5EC6" w14:paraId="702497F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52F7C6" w14:textId="525B27D9" w:rsidR="00DC5EC6" w:rsidRDefault="003245A4">
            <w:pPr>
              <w:pStyle w:val="P68B1DB1-Normal23"/>
              <w:spacing w:after="0"/>
              <w:jc w:val="center"/>
              <w:rPr>
                <w:rFonts w:eastAsia="Calibri" w:cs="Calibri"/>
                <w:noProof/>
              </w:rPr>
            </w:pPr>
            <w:r>
              <w:rPr>
                <w:noProof/>
              </w:rPr>
              <w:t>16.18</w:t>
            </w:r>
          </w:p>
        </w:tc>
        <w:tc>
          <w:tcPr>
            <w:tcW w:w="1760" w:type="dxa"/>
            <w:tcBorders>
              <w:top w:val="nil"/>
              <w:left w:val="nil"/>
              <w:bottom w:val="single" w:sz="4" w:space="0" w:color="auto"/>
              <w:right w:val="single" w:sz="4" w:space="0" w:color="auto"/>
            </w:tcBorders>
            <w:shd w:val="clear" w:color="auto" w:fill="C4EFCE"/>
            <w:vAlign w:val="center"/>
          </w:tcPr>
          <w:p w14:paraId="1DF82366" w14:textId="0E1489C0" w:rsidR="00DC5EC6" w:rsidRDefault="003245A4">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tcPr>
          <w:p w14:paraId="5372C9EF" w14:textId="44F53D0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5B9B368" w14:textId="0F330AD1" w:rsidR="00DC5EC6" w:rsidRDefault="003245A4">
            <w:pPr>
              <w:pStyle w:val="P68B1DB1-Normal23"/>
              <w:spacing w:after="0"/>
              <w:jc w:val="both"/>
              <w:rPr>
                <w:rFonts w:eastAsia="Calibri" w:cs="Calibri"/>
                <w:noProof/>
              </w:rPr>
            </w:pPr>
            <w:r>
              <w:rPr>
                <w:noProof/>
              </w:rPr>
              <w:t>A vállalkozások digitális átállását ösztönző rendszer keretében támogatott projektek száma</w:t>
            </w:r>
          </w:p>
        </w:tc>
      </w:tr>
      <w:tr w:rsidR="00DC5EC6" w14:paraId="51C61E8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E69F07" w14:textId="77777777" w:rsidR="00DC5EC6" w:rsidRDefault="003245A4">
            <w:pPr>
              <w:pStyle w:val="P68B1DB1-Normal23"/>
              <w:spacing w:after="0"/>
              <w:jc w:val="center"/>
              <w:rPr>
                <w:rFonts w:eastAsia="Calibri" w:cs="Calibri"/>
                <w:noProof/>
              </w:rPr>
            </w:pPr>
            <w:r>
              <w:rPr>
                <w:noProof/>
              </w:rPr>
              <w:t>16.19</w:t>
            </w:r>
          </w:p>
        </w:tc>
        <w:tc>
          <w:tcPr>
            <w:tcW w:w="1760" w:type="dxa"/>
            <w:tcBorders>
              <w:top w:val="nil"/>
              <w:left w:val="nil"/>
              <w:bottom w:val="single" w:sz="4" w:space="0" w:color="auto"/>
              <w:right w:val="single" w:sz="4" w:space="0" w:color="auto"/>
            </w:tcBorders>
            <w:shd w:val="clear" w:color="auto" w:fill="C4EFCE"/>
            <w:vAlign w:val="center"/>
            <w:hideMark/>
          </w:tcPr>
          <w:p w14:paraId="116F9920" w14:textId="147B6CDA" w:rsidR="00DC5EC6" w:rsidRDefault="003245A4">
            <w:pPr>
              <w:pStyle w:val="P68B1DB1-Normal23"/>
              <w:spacing w:after="0"/>
              <w:jc w:val="center"/>
              <w:rPr>
                <w:rFonts w:eastAsia="Calibri" w:cs="Calibri"/>
                <w:noProof/>
              </w:rPr>
            </w:pPr>
            <w:r>
              <w:rPr>
                <w:noProof/>
              </w:rPr>
              <w:t>TD-C16-i05-RAA</w:t>
            </w:r>
          </w:p>
        </w:tc>
        <w:tc>
          <w:tcPr>
            <w:tcW w:w="1520" w:type="dxa"/>
            <w:tcBorders>
              <w:top w:val="nil"/>
              <w:left w:val="nil"/>
              <w:bottom w:val="single" w:sz="4" w:space="0" w:color="auto"/>
              <w:right w:val="single" w:sz="4" w:space="0" w:color="auto"/>
            </w:tcBorders>
            <w:shd w:val="clear" w:color="auto" w:fill="C4EFCE"/>
            <w:vAlign w:val="center"/>
            <w:hideMark/>
          </w:tcPr>
          <w:p w14:paraId="01522257"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6FC228C" w14:textId="77777777" w:rsidR="00DC5EC6" w:rsidRDefault="003245A4">
            <w:pPr>
              <w:pStyle w:val="P68B1DB1-Normal23"/>
              <w:spacing w:after="0"/>
              <w:jc w:val="both"/>
              <w:rPr>
                <w:rFonts w:eastAsia="Calibri" w:cs="Calibri"/>
                <w:noProof/>
              </w:rPr>
            </w:pPr>
            <w:r>
              <w:rPr>
                <w:noProof/>
              </w:rPr>
              <w:t>Kiterjesztett vagy felszerelt tudományos és technológiai parkok</w:t>
            </w:r>
          </w:p>
        </w:tc>
      </w:tr>
      <w:tr w:rsidR="00DC5EC6" w14:paraId="2CA2E863"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88D8219" w14:textId="77777777" w:rsidR="00DC5EC6" w:rsidRDefault="003245A4">
            <w:pPr>
              <w:pStyle w:val="P68B1DB1-Normal23"/>
              <w:spacing w:after="0"/>
              <w:jc w:val="center"/>
              <w:rPr>
                <w:rFonts w:eastAsia="Calibri" w:cs="Calibri"/>
                <w:noProof/>
              </w:rPr>
            </w:pPr>
            <w:r>
              <w:rPr>
                <w:noProof/>
              </w:rPr>
              <w:t>17.13</w:t>
            </w:r>
          </w:p>
        </w:tc>
        <w:tc>
          <w:tcPr>
            <w:tcW w:w="1760" w:type="dxa"/>
            <w:tcBorders>
              <w:top w:val="nil"/>
              <w:left w:val="nil"/>
              <w:bottom w:val="single" w:sz="4" w:space="0" w:color="auto"/>
              <w:right w:val="single" w:sz="4" w:space="0" w:color="auto"/>
            </w:tcBorders>
            <w:shd w:val="clear" w:color="auto" w:fill="C4EFCE"/>
            <w:vAlign w:val="center"/>
            <w:hideMark/>
          </w:tcPr>
          <w:p w14:paraId="27C4D240" w14:textId="77777777" w:rsidR="00DC5EC6" w:rsidRDefault="003245A4">
            <w:pPr>
              <w:pStyle w:val="P68B1DB1-Normal23"/>
              <w:spacing w:after="0"/>
              <w:jc w:val="center"/>
              <w:rPr>
                <w:rFonts w:eastAsia="Calibri" w:cs="Calibri"/>
                <w:noProof/>
              </w:rPr>
            </w:pPr>
            <w:r>
              <w:rPr>
                <w:noProof/>
              </w:rPr>
              <w:t>TD-C17-i01</w:t>
            </w:r>
          </w:p>
        </w:tc>
        <w:tc>
          <w:tcPr>
            <w:tcW w:w="1520" w:type="dxa"/>
            <w:tcBorders>
              <w:top w:val="nil"/>
              <w:left w:val="nil"/>
              <w:bottom w:val="single" w:sz="4" w:space="0" w:color="auto"/>
              <w:right w:val="single" w:sz="4" w:space="0" w:color="auto"/>
            </w:tcBorders>
            <w:shd w:val="clear" w:color="auto" w:fill="C4EFCE"/>
            <w:vAlign w:val="center"/>
            <w:hideMark/>
          </w:tcPr>
          <w:p w14:paraId="44C29A9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8B0AB27" w14:textId="77777777" w:rsidR="00DC5EC6" w:rsidRDefault="003245A4">
            <w:pPr>
              <w:pStyle w:val="P68B1DB1-Normal23"/>
              <w:spacing w:after="0"/>
              <w:jc w:val="both"/>
              <w:rPr>
                <w:rFonts w:eastAsia="Calibri" w:cs="Calibri"/>
                <w:noProof/>
              </w:rPr>
            </w:pPr>
            <w:r>
              <w:rPr>
                <w:noProof/>
              </w:rPr>
              <w:t>A Sistema de Gestão de Património Imobiliário Público (SIGPIP) megvalósításának és az állami tulajdonú járművek információs rendszerei korszerűsítésének befejezése</w:t>
            </w:r>
          </w:p>
        </w:tc>
      </w:tr>
      <w:tr w:rsidR="00DC5EC6" w14:paraId="17F0D9F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0B9E321" w14:textId="77777777" w:rsidR="00DC5EC6" w:rsidRDefault="003245A4">
            <w:pPr>
              <w:pStyle w:val="P68B1DB1-Normal23"/>
              <w:spacing w:after="0"/>
              <w:jc w:val="center"/>
              <w:rPr>
                <w:rFonts w:eastAsia="Calibri" w:cs="Calibri"/>
                <w:noProof/>
              </w:rPr>
            </w:pPr>
            <w:r>
              <w:rPr>
                <w:noProof/>
              </w:rPr>
              <w:t>17.25</w:t>
            </w:r>
          </w:p>
        </w:tc>
        <w:tc>
          <w:tcPr>
            <w:tcW w:w="1760" w:type="dxa"/>
            <w:tcBorders>
              <w:top w:val="nil"/>
              <w:left w:val="nil"/>
              <w:bottom w:val="single" w:sz="4" w:space="0" w:color="auto"/>
              <w:right w:val="single" w:sz="4" w:space="0" w:color="auto"/>
            </w:tcBorders>
            <w:shd w:val="clear" w:color="auto" w:fill="C4EFCE"/>
            <w:vAlign w:val="center"/>
            <w:hideMark/>
          </w:tcPr>
          <w:p w14:paraId="764B0F33" w14:textId="482904A7" w:rsidR="00DC5EC6" w:rsidRDefault="003245A4">
            <w:pPr>
              <w:pStyle w:val="P68B1DB1-Normal23"/>
              <w:spacing w:after="0"/>
              <w:jc w:val="center"/>
              <w:rPr>
                <w:rFonts w:eastAsia="Calibri" w:cs="Calibri"/>
                <w:noProof/>
              </w:rPr>
            </w:pPr>
            <w:r>
              <w:rPr>
                <w:noProof/>
              </w:rPr>
              <w:t>TD-C17-r40</w:t>
            </w:r>
          </w:p>
        </w:tc>
        <w:tc>
          <w:tcPr>
            <w:tcW w:w="1520" w:type="dxa"/>
            <w:tcBorders>
              <w:top w:val="nil"/>
              <w:left w:val="nil"/>
              <w:bottom w:val="single" w:sz="4" w:space="0" w:color="auto"/>
              <w:right w:val="single" w:sz="4" w:space="0" w:color="auto"/>
            </w:tcBorders>
            <w:shd w:val="clear" w:color="auto" w:fill="C4EFCE"/>
            <w:vAlign w:val="center"/>
            <w:hideMark/>
          </w:tcPr>
          <w:p w14:paraId="389309C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7BEB9645" w14:textId="77777777" w:rsidR="00DC5EC6" w:rsidRDefault="003245A4">
            <w:pPr>
              <w:pStyle w:val="P68B1DB1-Normal23"/>
              <w:spacing w:after="0"/>
              <w:jc w:val="both"/>
              <w:rPr>
                <w:rFonts w:eastAsia="Calibri" w:cs="Calibri"/>
                <w:noProof/>
              </w:rPr>
            </w:pPr>
            <w:r>
              <w:rPr>
                <w:noProof/>
              </w:rPr>
              <w:t>Az adókról szóló jogi aktus hatálybalépése – kedvezmények</w:t>
            </w:r>
          </w:p>
        </w:tc>
      </w:tr>
      <w:tr w:rsidR="00DC5EC6" w14:paraId="3C4237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E7A1BE" w14:textId="77777777" w:rsidR="00DC5EC6" w:rsidRDefault="003245A4">
            <w:pPr>
              <w:pStyle w:val="P68B1DB1-Normal23"/>
              <w:spacing w:after="0"/>
              <w:jc w:val="center"/>
              <w:rPr>
                <w:rFonts w:eastAsia="Calibri" w:cs="Calibri"/>
                <w:noProof/>
              </w:rPr>
            </w:pPr>
            <w:r>
              <w:rPr>
                <w:noProof/>
              </w:rPr>
              <w:t>19.2</w:t>
            </w:r>
          </w:p>
        </w:tc>
        <w:tc>
          <w:tcPr>
            <w:tcW w:w="1760" w:type="dxa"/>
            <w:tcBorders>
              <w:top w:val="nil"/>
              <w:left w:val="nil"/>
              <w:bottom w:val="single" w:sz="4" w:space="0" w:color="auto"/>
              <w:right w:val="single" w:sz="4" w:space="0" w:color="auto"/>
            </w:tcBorders>
            <w:shd w:val="clear" w:color="auto" w:fill="C4EFCE"/>
            <w:vAlign w:val="center"/>
            <w:hideMark/>
          </w:tcPr>
          <w:p w14:paraId="0A34BFE8" w14:textId="77777777" w:rsidR="00DC5EC6" w:rsidRDefault="003245A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24B2DE8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D0ECFAE" w14:textId="77777777" w:rsidR="00DC5EC6" w:rsidRDefault="003245A4">
            <w:pPr>
              <w:pStyle w:val="P68B1DB1-Normal23"/>
              <w:spacing w:after="0"/>
              <w:jc w:val="both"/>
              <w:rPr>
                <w:rFonts w:eastAsia="Calibri" w:cs="Calibri"/>
                <w:noProof/>
              </w:rPr>
            </w:pPr>
            <w:r>
              <w:rPr>
                <w:noProof/>
              </w:rPr>
              <w:t>A közszolgáltatások egyszerűsített és koherens módon, különböző csatornákon keresztül érhetők el</w:t>
            </w:r>
          </w:p>
        </w:tc>
      </w:tr>
      <w:tr w:rsidR="00DC5EC6" w14:paraId="30CE9AD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360BB9A" w14:textId="77777777" w:rsidR="00DC5EC6" w:rsidRDefault="003245A4">
            <w:pPr>
              <w:pStyle w:val="P68B1DB1-Normal23"/>
              <w:spacing w:after="0"/>
              <w:jc w:val="center"/>
              <w:rPr>
                <w:rFonts w:eastAsia="Calibri" w:cs="Calibri"/>
                <w:noProof/>
              </w:rPr>
            </w:pPr>
            <w:r>
              <w:rPr>
                <w:noProof/>
              </w:rPr>
              <w:t>19.3</w:t>
            </w:r>
          </w:p>
        </w:tc>
        <w:tc>
          <w:tcPr>
            <w:tcW w:w="1760" w:type="dxa"/>
            <w:tcBorders>
              <w:top w:val="nil"/>
              <w:left w:val="nil"/>
              <w:bottom w:val="single" w:sz="4" w:space="0" w:color="auto"/>
              <w:right w:val="single" w:sz="4" w:space="0" w:color="auto"/>
            </w:tcBorders>
            <w:shd w:val="clear" w:color="auto" w:fill="C4EFCE"/>
            <w:vAlign w:val="center"/>
            <w:hideMark/>
          </w:tcPr>
          <w:p w14:paraId="4109E567" w14:textId="77777777" w:rsidR="00DC5EC6" w:rsidRDefault="003245A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33B26DD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5F2BDD1D" w14:textId="77777777" w:rsidR="00DC5EC6" w:rsidRDefault="003245A4">
            <w:pPr>
              <w:pStyle w:val="P68B1DB1-Normal23"/>
              <w:spacing w:after="0"/>
              <w:jc w:val="both"/>
              <w:rPr>
                <w:rFonts w:eastAsia="Calibri" w:cs="Calibri"/>
                <w:noProof/>
              </w:rPr>
            </w:pPr>
            <w:r>
              <w:rPr>
                <w:noProof/>
              </w:rPr>
              <w:t>Új konzuli irányítási modell van érvényben</w:t>
            </w:r>
          </w:p>
        </w:tc>
      </w:tr>
      <w:tr w:rsidR="00DC5EC6" w14:paraId="33DF1DAB"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1172D3C" w14:textId="77777777" w:rsidR="00DC5EC6" w:rsidRDefault="003245A4">
            <w:pPr>
              <w:pStyle w:val="P68B1DB1-Normal23"/>
              <w:spacing w:after="0"/>
              <w:jc w:val="center"/>
              <w:rPr>
                <w:rFonts w:eastAsia="Calibri" w:cs="Calibri"/>
                <w:noProof/>
              </w:rPr>
            </w:pPr>
            <w:r>
              <w:rPr>
                <w:noProof/>
              </w:rPr>
              <w:t>19.5</w:t>
            </w:r>
          </w:p>
        </w:tc>
        <w:tc>
          <w:tcPr>
            <w:tcW w:w="1760" w:type="dxa"/>
            <w:tcBorders>
              <w:top w:val="nil"/>
              <w:left w:val="nil"/>
              <w:bottom w:val="single" w:sz="4" w:space="0" w:color="auto"/>
              <w:right w:val="single" w:sz="4" w:space="0" w:color="auto"/>
            </w:tcBorders>
            <w:shd w:val="clear" w:color="auto" w:fill="C4EFCE"/>
            <w:vAlign w:val="center"/>
            <w:hideMark/>
          </w:tcPr>
          <w:p w14:paraId="712F0553" w14:textId="77777777" w:rsidR="00DC5EC6" w:rsidRDefault="003245A4">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33EC39A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086C0A98" w14:textId="77777777" w:rsidR="00DC5EC6" w:rsidRDefault="003245A4">
            <w:pPr>
              <w:pStyle w:val="P68B1DB1-Normal23"/>
              <w:spacing w:after="0"/>
              <w:jc w:val="both"/>
              <w:rPr>
                <w:rFonts w:eastAsia="Calibri" w:cs="Calibri"/>
                <w:noProof/>
              </w:rPr>
            </w:pPr>
            <w:r>
              <w:rPr>
                <w:noProof/>
              </w:rPr>
              <w:t>Az elektronikus személyazonosság révén biztonságosan hozzáférhető közszolgáltatások, tiszteletben tartva az egyszeri adatszolgáltatás elvét</w:t>
            </w:r>
          </w:p>
        </w:tc>
      </w:tr>
      <w:tr w:rsidR="00DC5EC6" w14:paraId="1C29A39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18208A8" w14:textId="77777777" w:rsidR="00DC5EC6" w:rsidRDefault="003245A4">
            <w:pPr>
              <w:pStyle w:val="P68B1DB1-Normal23"/>
              <w:spacing w:after="0"/>
              <w:jc w:val="center"/>
              <w:rPr>
                <w:rFonts w:eastAsia="Calibri" w:cs="Calibri"/>
                <w:noProof/>
              </w:rPr>
            </w:pPr>
            <w:r>
              <w:rPr>
                <w:noProof/>
              </w:rPr>
              <w:t>19.6</w:t>
            </w:r>
          </w:p>
        </w:tc>
        <w:tc>
          <w:tcPr>
            <w:tcW w:w="1760" w:type="dxa"/>
            <w:tcBorders>
              <w:top w:val="nil"/>
              <w:left w:val="nil"/>
              <w:bottom w:val="single" w:sz="4" w:space="0" w:color="auto"/>
              <w:right w:val="single" w:sz="4" w:space="0" w:color="auto"/>
            </w:tcBorders>
            <w:shd w:val="clear" w:color="auto" w:fill="C4EFCE"/>
            <w:vAlign w:val="center"/>
            <w:hideMark/>
          </w:tcPr>
          <w:p w14:paraId="4492DF36" w14:textId="77777777" w:rsidR="00DC5EC6" w:rsidRDefault="003245A4">
            <w:pPr>
              <w:pStyle w:val="P68B1DB1-Normal23"/>
              <w:spacing w:after="0"/>
              <w:jc w:val="center"/>
              <w:rPr>
                <w:rFonts w:eastAsia="Calibri" w:cs="Calibri"/>
                <w:noProof/>
              </w:rPr>
            </w:pPr>
            <w:r>
              <w:rPr>
                <w:noProof/>
              </w:rPr>
              <w:t>TD-C19-i02</w:t>
            </w:r>
          </w:p>
        </w:tc>
        <w:tc>
          <w:tcPr>
            <w:tcW w:w="1520" w:type="dxa"/>
            <w:tcBorders>
              <w:top w:val="nil"/>
              <w:left w:val="nil"/>
              <w:bottom w:val="single" w:sz="4" w:space="0" w:color="auto"/>
              <w:right w:val="single" w:sz="4" w:space="0" w:color="auto"/>
            </w:tcBorders>
            <w:shd w:val="clear" w:color="auto" w:fill="C4EFCE"/>
            <w:vAlign w:val="center"/>
            <w:hideMark/>
          </w:tcPr>
          <w:p w14:paraId="5189EDB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37149D1" w14:textId="77777777" w:rsidR="00DC5EC6" w:rsidRDefault="003245A4">
            <w:pPr>
              <w:pStyle w:val="P68B1DB1-Normal23"/>
              <w:spacing w:after="0"/>
              <w:jc w:val="both"/>
              <w:rPr>
                <w:rFonts w:eastAsia="Calibri" w:cs="Calibri"/>
                <w:noProof/>
              </w:rPr>
            </w:pPr>
            <w:r>
              <w:rPr>
                <w:noProof/>
              </w:rPr>
              <w:t>Területi információs infrastruktúra</w:t>
            </w:r>
          </w:p>
        </w:tc>
      </w:tr>
      <w:tr w:rsidR="00DC5EC6" w14:paraId="30AE8AE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7537A4" w14:textId="77777777" w:rsidR="00DC5EC6" w:rsidRDefault="003245A4">
            <w:pPr>
              <w:pStyle w:val="P68B1DB1-Normal23"/>
              <w:spacing w:after="0"/>
              <w:jc w:val="center"/>
              <w:rPr>
                <w:rFonts w:eastAsia="Calibri" w:cs="Calibri"/>
                <w:noProof/>
              </w:rPr>
            </w:pPr>
            <w:r>
              <w:rPr>
                <w:noProof/>
              </w:rPr>
              <w:t>19.7</w:t>
            </w:r>
          </w:p>
        </w:tc>
        <w:tc>
          <w:tcPr>
            <w:tcW w:w="1760" w:type="dxa"/>
            <w:tcBorders>
              <w:top w:val="nil"/>
              <w:left w:val="nil"/>
              <w:bottom w:val="single" w:sz="4" w:space="0" w:color="auto"/>
              <w:right w:val="single" w:sz="4" w:space="0" w:color="auto"/>
            </w:tcBorders>
            <w:shd w:val="clear" w:color="auto" w:fill="C4EFCE"/>
            <w:vAlign w:val="center"/>
            <w:hideMark/>
          </w:tcPr>
          <w:p w14:paraId="1FE43E03"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122BABBF"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06869C5" w14:textId="77777777" w:rsidR="00DC5EC6" w:rsidRDefault="003245A4">
            <w:pPr>
              <w:pStyle w:val="P68B1DB1-Normal23"/>
              <w:spacing w:after="0"/>
              <w:jc w:val="both"/>
              <w:rPr>
                <w:rFonts w:eastAsia="Calibri" w:cs="Calibri"/>
                <w:noProof/>
              </w:rPr>
            </w:pPr>
            <w:r>
              <w:rPr>
                <w:noProof/>
              </w:rPr>
              <w:t>Informatikai szakemberek képzése a kiberbiztonsági és információbiztonsági képességek megerősítése érdekében</w:t>
            </w:r>
          </w:p>
        </w:tc>
      </w:tr>
      <w:tr w:rsidR="00DC5EC6" w14:paraId="1999A62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3147034" w14:textId="77777777" w:rsidR="00DC5EC6" w:rsidRDefault="003245A4">
            <w:pPr>
              <w:pStyle w:val="P68B1DB1-Normal23"/>
              <w:spacing w:after="0"/>
              <w:jc w:val="center"/>
              <w:rPr>
                <w:rFonts w:eastAsia="Calibri" w:cs="Calibri"/>
                <w:noProof/>
              </w:rPr>
            </w:pPr>
            <w:r>
              <w:rPr>
                <w:noProof/>
              </w:rPr>
              <w:t>19.8</w:t>
            </w:r>
          </w:p>
        </w:tc>
        <w:tc>
          <w:tcPr>
            <w:tcW w:w="1760" w:type="dxa"/>
            <w:tcBorders>
              <w:top w:val="nil"/>
              <w:left w:val="nil"/>
              <w:bottom w:val="single" w:sz="4" w:space="0" w:color="auto"/>
              <w:right w:val="single" w:sz="4" w:space="0" w:color="auto"/>
            </w:tcBorders>
            <w:shd w:val="clear" w:color="auto" w:fill="C4EFCE"/>
            <w:vAlign w:val="center"/>
            <w:hideMark/>
          </w:tcPr>
          <w:p w14:paraId="32214705"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41AE534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57BD70B5" w14:textId="77777777" w:rsidR="00DC5EC6" w:rsidRDefault="003245A4">
            <w:pPr>
              <w:pStyle w:val="P68B1DB1-Normal23"/>
              <w:spacing w:after="0"/>
              <w:jc w:val="both"/>
              <w:rPr>
                <w:rFonts w:eastAsia="Calibri" w:cs="Calibri"/>
                <w:noProof/>
              </w:rPr>
            </w:pPr>
            <w:r>
              <w:rPr>
                <w:noProof/>
              </w:rPr>
              <w:t>A portugál kriptográfiai megoldás hatóságok általi elfogadása</w:t>
            </w:r>
          </w:p>
        </w:tc>
      </w:tr>
      <w:tr w:rsidR="00DC5EC6" w14:paraId="4419910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687C3D7" w14:textId="77777777" w:rsidR="00DC5EC6" w:rsidRDefault="003245A4">
            <w:pPr>
              <w:pStyle w:val="P68B1DB1-Normal23"/>
              <w:spacing w:after="0"/>
              <w:jc w:val="center"/>
              <w:rPr>
                <w:rFonts w:eastAsia="Calibri" w:cs="Calibri"/>
                <w:noProof/>
              </w:rPr>
            </w:pPr>
            <w:r>
              <w:rPr>
                <w:noProof/>
              </w:rPr>
              <w:t>19.9</w:t>
            </w:r>
          </w:p>
        </w:tc>
        <w:tc>
          <w:tcPr>
            <w:tcW w:w="1760" w:type="dxa"/>
            <w:tcBorders>
              <w:top w:val="nil"/>
              <w:left w:val="nil"/>
              <w:bottom w:val="single" w:sz="4" w:space="0" w:color="auto"/>
              <w:right w:val="single" w:sz="4" w:space="0" w:color="auto"/>
            </w:tcBorders>
            <w:shd w:val="clear" w:color="auto" w:fill="C4EFCE"/>
            <w:vAlign w:val="center"/>
            <w:hideMark/>
          </w:tcPr>
          <w:p w14:paraId="1170E640"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333DE23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81D38D1" w14:textId="77777777" w:rsidR="00DC5EC6" w:rsidRDefault="003245A4">
            <w:pPr>
              <w:pStyle w:val="P68B1DB1-Normal23"/>
              <w:spacing w:after="0"/>
              <w:jc w:val="both"/>
              <w:rPr>
                <w:rFonts w:eastAsia="Calibri" w:cs="Calibri"/>
                <w:noProof/>
              </w:rPr>
            </w:pPr>
            <w:r>
              <w:rPr>
                <w:noProof/>
              </w:rPr>
              <w:t>A nemzeti kiberbiztonsági keret végrehajtása</w:t>
            </w:r>
          </w:p>
        </w:tc>
      </w:tr>
      <w:tr w:rsidR="00DC5EC6" w14:paraId="07AB23E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3DD90FD" w14:textId="77777777" w:rsidR="00DC5EC6" w:rsidRDefault="003245A4">
            <w:pPr>
              <w:pStyle w:val="P68B1DB1-Normal23"/>
              <w:spacing w:after="0"/>
              <w:jc w:val="center"/>
              <w:rPr>
                <w:rFonts w:eastAsia="Calibri" w:cs="Calibri"/>
                <w:noProof/>
              </w:rPr>
            </w:pPr>
            <w:r>
              <w:rPr>
                <w:noProof/>
              </w:rPr>
              <w:t>19.10</w:t>
            </w:r>
          </w:p>
        </w:tc>
        <w:tc>
          <w:tcPr>
            <w:tcW w:w="1760" w:type="dxa"/>
            <w:tcBorders>
              <w:top w:val="nil"/>
              <w:left w:val="nil"/>
              <w:bottom w:val="single" w:sz="4" w:space="0" w:color="auto"/>
              <w:right w:val="single" w:sz="4" w:space="0" w:color="auto"/>
            </w:tcBorders>
            <w:shd w:val="clear" w:color="auto" w:fill="C4EFCE"/>
            <w:vAlign w:val="center"/>
            <w:hideMark/>
          </w:tcPr>
          <w:p w14:paraId="060FEC6A" w14:textId="77777777" w:rsidR="00DC5EC6" w:rsidRDefault="003245A4">
            <w:pPr>
              <w:pStyle w:val="P68B1DB1-Normal23"/>
              <w:spacing w:after="0"/>
              <w:jc w:val="center"/>
              <w:rPr>
                <w:rFonts w:eastAsia="Calibri" w:cs="Calibri"/>
                <w:noProof/>
              </w:rPr>
            </w:pPr>
            <w:r>
              <w:rPr>
                <w:noProof/>
              </w:rPr>
              <w:t>TD-C19-i03</w:t>
            </w:r>
          </w:p>
        </w:tc>
        <w:tc>
          <w:tcPr>
            <w:tcW w:w="1520" w:type="dxa"/>
            <w:tcBorders>
              <w:top w:val="nil"/>
              <w:left w:val="nil"/>
              <w:bottom w:val="single" w:sz="4" w:space="0" w:color="auto"/>
              <w:right w:val="single" w:sz="4" w:space="0" w:color="auto"/>
            </w:tcBorders>
            <w:shd w:val="clear" w:color="auto" w:fill="C4EFCE"/>
            <w:vAlign w:val="center"/>
            <w:hideMark/>
          </w:tcPr>
          <w:p w14:paraId="2BED625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4CE1A606" w14:textId="77777777" w:rsidR="00DC5EC6" w:rsidRDefault="003245A4">
            <w:pPr>
              <w:pStyle w:val="P68B1DB1-Normal23"/>
              <w:spacing w:after="0"/>
              <w:jc w:val="both"/>
              <w:rPr>
                <w:rFonts w:eastAsia="Calibri" w:cs="Calibri"/>
                <w:noProof/>
              </w:rPr>
            </w:pPr>
            <w:r>
              <w:rPr>
                <w:noProof/>
              </w:rPr>
              <w:t>A kiberbiztonsági és információbiztonsági hatóságok építésének befejezése</w:t>
            </w:r>
          </w:p>
        </w:tc>
      </w:tr>
      <w:tr w:rsidR="00DC5EC6" w14:paraId="760DEC5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B8D01BA" w14:textId="77777777" w:rsidR="00DC5EC6" w:rsidRDefault="003245A4">
            <w:pPr>
              <w:pStyle w:val="P68B1DB1-Normal23"/>
              <w:spacing w:after="0"/>
              <w:jc w:val="center"/>
              <w:rPr>
                <w:rFonts w:eastAsia="Calibri" w:cs="Calibri"/>
                <w:noProof/>
              </w:rPr>
            </w:pPr>
            <w:r>
              <w:rPr>
                <w:noProof/>
              </w:rPr>
              <w:t>19.15</w:t>
            </w:r>
          </w:p>
        </w:tc>
        <w:tc>
          <w:tcPr>
            <w:tcW w:w="1760" w:type="dxa"/>
            <w:tcBorders>
              <w:top w:val="nil"/>
              <w:left w:val="nil"/>
              <w:bottom w:val="single" w:sz="4" w:space="0" w:color="auto"/>
              <w:right w:val="single" w:sz="4" w:space="0" w:color="auto"/>
            </w:tcBorders>
            <w:shd w:val="clear" w:color="auto" w:fill="C4EFCE"/>
            <w:vAlign w:val="center"/>
            <w:hideMark/>
          </w:tcPr>
          <w:p w14:paraId="7B8807DF" w14:textId="77777777" w:rsidR="00DC5EC6" w:rsidRDefault="003245A4">
            <w:pPr>
              <w:pStyle w:val="P68B1DB1-Normal23"/>
              <w:spacing w:after="0"/>
              <w:jc w:val="center"/>
              <w:rPr>
                <w:rFonts w:eastAsia="Calibri" w:cs="Calibri"/>
                <w:noProof/>
              </w:rPr>
            </w:pPr>
            <w:r>
              <w:rPr>
                <w:noProof/>
              </w:rPr>
              <w:t>TD-C19-i04</w:t>
            </w:r>
          </w:p>
        </w:tc>
        <w:tc>
          <w:tcPr>
            <w:tcW w:w="1520" w:type="dxa"/>
            <w:tcBorders>
              <w:top w:val="nil"/>
              <w:left w:val="nil"/>
              <w:bottom w:val="single" w:sz="4" w:space="0" w:color="auto"/>
              <w:right w:val="single" w:sz="4" w:space="0" w:color="auto"/>
            </w:tcBorders>
            <w:shd w:val="clear" w:color="auto" w:fill="C4EFCE"/>
            <w:vAlign w:val="center"/>
            <w:hideMark/>
          </w:tcPr>
          <w:p w14:paraId="2CA2E4E8"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00346B88" w14:textId="77777777" w:rsidR="00DC5EC6" w:rsidRDefault="003245A4">
            <w:pPr>
              <w:pStyle w:val="P68B1DB1-Normal23"/>
              <w:spacing w:after="0"/>
              <w:jc w:val="both"/>
              <w:rPr>
                <w:rFonts w:eastAsia="Calibri" w:cs="Calibri"/>
                <w:noProof/>
              </w:rPr>
            </w:pPr>
            <w:r>
              <w:rPr>
                <w:noProof/>
              </w:rPr>
              <w:t>A kormány informatikai hálózatkezelő központjának (RING) megerősítése</w:t>
            </w:r>
          </w:p>
        </w:tc>
      </w:tr>
      <w:tr w:rsidR="00DC5EC6" w14:paraId="792CC6D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F2FA3D7" w14:textId="77777777" w:rsidR="00DC5EC6" w:rsidRDefault="003245A4">
            <w:pPr>
              <w:pStyle w:val="P68B1DB1-Normal23"/>
              <w:spacing w:after="0"/>
              <w:jc w:val="center"/>
              <w:rPr>
                <w:rFonts w:eastAsia="Calibri" w:cs="Calibri"/>
                <w:noProof/>
              </w:rPr>
            </w:pPr>
            <w:r>
              <w:rPr>
                <w:noProof/>
              </w:rPr>
              <w:t>19.21</w:t>
            </w:r>
          </w:p>
        </w:tc>
        <w:tc>
          <w:tcPr>
            <w:tcW w:w="1760" w:type="dxa"/>
            <w:tcBorders>
              <w:top w:val="nil"/>
              <w:left w:val="nil"/>
              <w:bottom w:val="single" w:sz="4" w:space="0" w:color="auto"/>
              <w:right w:val="single" w:sz="4" w:space="0" w:color="auto"/>
            </w:tcBorders>
            <w:shd w:val="clear" w:color="auto" w:fill="C4EFCE"/>
            <w:vAlign w:val="center"/>
            <w:hideMark/>
          </w:tcPr>
          <w:p w14:paraId="31AD2AD3" w14:textId="77777777" w:rsidR="00DC5EC6" w:rsidRDefault="003245A4">
            <w:pPr>
              <w:pStyle w:val="P68B1DB1-Normal23"/>
              <w:spacing w:after="0"/>
              <w:jc w:val="center"/>
              <w:rPr>
                <w:rFonts w:eastAsia="Calibri" w:cs="Calibri"/>
                <w:noProof/>
              </w:rPr>
            </w:pPr>
            <w:r>
              <w:rPr>
                <w:noProof/>
              </w:rPr>
              <w:t>TD-C19-i07</w:t>
            </w:r>
          </w:p>
        </w:tc>
        <w:tc>
          <w:tcPr>
            <w:tcW w:w="1520" w:type="dxa"/>
            <w:tcBorders>
              <w:top w:val="nil"/>
              <w:left w:val="nil"/>
              <w:bottom w:val="single" w:sz="4" w:space="0" w:color="auto"/>
              <w:right w:val="single" w:sz="4" w:space="0" w:color="auto"/>
            </w:tcBorders>
            <w:shd w:val="clear" w:color="auto" w:fill="C4EFCE"/>
            <w:vAlign w:val="center"/>
            <w:hideMark/>
          </w:tcPr>
          <w:p w14:paraId="5B50B19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1B934D6" w14:textId="77777777" w:rsidR="00DC5EC6" w:rsidRDefault="003245A4">
            <w:pPr>
              <w:pStyle w:val="P68B1DB1-Normal23"/>
              <w:spacing w:after="0"/>
              <w:jc w:val="both"/>
              <w:rPr>
                <w:rFonts w:eastAsia="Calibri" w:cs="Calibri"/>
                <w:noProof/>
              </w:rPr>
            </w:pPr>
            <w:r>
              <w:rPr>
                <w:noProof/>
              </w:rPr>
              <w:t>A közigazgatásban dolgozók képzése</w:t>
            </w:r>
          </w:p>
        </w:tc>
      </w:tr>
      <w:tr w:rsidR="00DC5EC6" w14:paraId="4D1F4A1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5D407EF" w14:textId="77777777" w:rsidR="00DC5EC6" w:rsidRDefault="003245A4">
            <w:pPr>
              <w:pStyle w:val="P68B1DB1-Normal23"/>
              <w:spacing w:after="0"/>
              <w:jc w:val="center"/>
              <w:rPr>
                <w:rFonts w:eastAsia="Calibri" w:cs="Calibri"/>
                <w:noProof/>
              </w:rPr>
            </w:pPr>
            <w:r>
              <w:rPr>
                <w:noProof/>
              </w:rPr>
              <w:t>19.26</w:t>
            </w:r>
          </w:p>
        </w:tc>
        <w:tc>
          <w:tcPr>
            <w:tcW w:w="1760" w:type="dxa"/>
            <w:tcBorders>
              <w:top w:val="nil"/>
              <w:left w:val="nil"/>
              <w:bottom w:val="single" w:sz="4" w:space="0" w:color="auto"/>
              <w:right w:val="single" w:sz="4" w:space="0" w:color="auto"/>
            </w:tcBorders>
            <w:shd w:val="clear" w:color="auto" w:fill="C4EFCE"/>
            <w:vAlign w:val="center"/>
            <w:hideMark/>
          </w:tcPr>
          <w:p w14:paraId="724124BA" w14:textId="77777777" w:rsidR="00DC5EC6" w:rsidRDefault="003245A4">
            <w:pPr>
              <w:pStyle w:val="P68B1DB1-Normal23"/>
              <w:spacing w:after="0"/>
              <w:jc w:val="center"/>
              <w:rPr>
                <w:rFonts w:eastAsia="Calibri" w:cs="Calibri"/>
                <w:noProof/>
              </w:rPr>
            </w:pPr>
            <w:r>
              <w:rPr>
                <w:noProof/>
              </w:rPr>
              <w:t>TD-C19-i01</w:t>
            </w:r>
          </w:p>
        </w:tc>
        <w:tc>
          <w:tcPr>
            <w:tcW w:w="1520" w:type="dxa"/>
            <w:tcBorders>
              <w:top w:val="nil"/>
              <w:left w:val="nil"/>
              <w:bottom w:val="single" w:sz="4" w:space="0" w:color="auto"/>
              <w:right w:val="single" w:sz="4" w:space="0" w:color="auto"/>
            </w:tcBorders>
            <w:shd w:val="clear" w:color="auto" w:fill="C4EFCE"/>
            <w:vAlign w:val="center"/>
            <w:hideMark/>
          </w:tcPr>
          <w:p w14:paraId="482AE9A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3152B610" w14:textId="0A982997" w:rsidR="00DC5EC6" w:rsidRDefault="003245A4">
            <w:pPr>
              <w:pStyle w:val="P68B1DB1-Normal23"/>
              <w:spacing w:after="0"/>
              <w:jc w:val="both"/>
              <w:rPr>
                <w:rFonts w:eastAsia="Calibri" w:cs="Calibri"/>
                <w:noProof/>
              </w:rPr>
            </w:pPr>
            <w:r>
              <w:rPr>
                <w:noProof/>
              </w:rPr>
              <w:t>Lojas do Cidadão és Espaços cidadão</w:t>
            </w:r>
          </w:p>
        </w:tc>
      </w:tr>
      <w:tr w:rsidR="00DC5EC6" w14:paraId="0A6C1609"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446A6318" w14:textId="77777777" w:rsidR="00DC5EC6" w:rsidRDefault="003245A4">
            <w:pPr>
              <w:pStyle w:val="P68B1DB1-Normal23"/>
              <w:spacing w:after="0"/>
              <w:jc w:val="center"/>
              <w:rPr>
                <w:rFonts w:eastAsia="Calibri" w:cs="Calibri"/>
                <w:noProof/>
              </w:rPr>
            </w:pPr>
            <w:r>
              <w:rPr>
                <w:noProof/>
              </w:rPr>
              <w:t>19.35</w:t>
            </w:r>
          </w:p>
        </w:tc>
        <w:tc>
          <w:tcPr>
            <w:tcW w:w="1760" w:type="dxa"/>
            <w:tcBorders>
              <w:top w:val="nil"/>
              <w:left w:val="nil"/>
              <w:bottom w:val="single" w:sz="4" w:space="0" w:color="auto"/>
              <w:right w:val="single" w:sz="4" w:space="0" w:color="auto"/>
            </w:tcBorders>
            <w:shd w:val="clear" w:color="auto" w:fill="C4EFCE"/>
            <w:vAlign w:val="center"/>
            <w:hideMark/>
          </w:tcPr>
          <w:p w14:paraId="40686A88" w14:textId="77777777" w:rsidR="00DC5EC6" w:rsidRDefault="003245A4">
            <w:pPr>
              <w:pStyle w:val="P68B1DB1-Normal23"/>
              <w:spacing w:after="0"/>
              <w:jc w:val="center"/>
              <w:rPr>
                <w:rFonts w:eastAsia="Calibri" w:cs="Calibri"/>
                <w:noProof/>
              </w:rPr>
            </w:pPr>
            <w:r>
              <w:rPr>
                <w:noProof/>
              </w:rPr>
              <w:t>TD-C19-i08</w:t>
            </w:r>
          </w:p>
        </w:tc>
        <w:tc>
          <w:tcPr>
            <w:tcW w:w="1520" w:type="dxa"/>
            <w:tcBorders>
              <w:top w:val="nil"/>
              <w:left w:val="nil"/>
              <w:bottom w:val="single" w:sz="4" w:space="0" w:color="auto"/>
              <w:right w:val="single" w:sz="4" w:space="0" w:color="auto"/>
            </w:tcBorders>
            <w:shd w:val="clear" w:color="auto" w:fill="C4EFCE"/>
            <w:vAlign w:val="center"/>
            <w:hideMark/>
          </w:tcPr>
          <w:p w14:paraId="00CBC2F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0261BB" w14:textId="77777777" w:rsidR="00DC5EC6" w:rsidRDefault="003245A4">
            <w:pPr>
              <w:pStyle w:val="P68B1DB1-Normal23"/>
              <w:spacing w:after="0"/>
              <w:jc w:val="both"/>
              <w:rPr>
                <w:rFonts w:eastAsia="Calibri" w:cs="Calibri"/>
                <w:noProof/>
              </w:rPr>
            </w:pPr>
            <w:r>
              <w:rPr>
                <w:noProof/>
              </w:rPr>
              <w:t>Intelligens területek: Városgazdálkodási platformok, digitális ikermodellek és közpolitikai irányítópult</w:t>
            </w:r>
          </w:p>
        </w:tc>
      </w:tr>
      <w:tr w:rsidR="00DC5EC6" w14:paraId="680F3CB4"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F9600BD" w14:textId="77777777" w:rsidR="00DC5EC6" w:rsidRDefault="003245A4">
            <w:pPr>
              <w:pStyle w:val="P68B1DB1-Normal23"/>
              <w:spacing w:after="0"/>
              <w:jc w:val="center"/>
              <w:rPr>
                <w:rFonts w:eastAsia="Calibri" w:cs="Calibri"/>
                <w:noProof/>
              </w:rPr>
            </w:pPr>
            <w:r>
              <w:rPr>
                <w:noProof/>
              </w:rPr>
              <w:t>21.1</w:t>
            </w:r>
          </w:p>
        </w:tc>
        <w:tc>
          <w:tcPr>
            <w:tcW w:w="1760" w:type="dxa"/>
            <w:tcBorders>
              <w:top w:val="nil"/>
              <w:left w:val="nil"/>
              <w:bottom w:val="single" w:sz="4" w:space="0" w:color="auto"/>
              <w:right w:val="single" w:sz="4" w:space="0" w:color="auto"/>
            </w:tcBorders>
            <w:shd w:val="clear" w:color="auto" w:fill="C4EFCE"/>
            <w:vAlign w:val="center"/>
            <w:hideMark/>
          </w:tcPr>
          <w:p w14:paraId="68A75452" w14:textId="77777777" w:rsidR="00DC5EC6" w:rsidRDefault="003245A4">
            <w:pPr>
              <w:pStyle w:val="P68B1DB1-Normal23"/>
              <w:spacing w:after="0"/>
              <w:jc w:val="center"/>
              <w:rPr>
                <w:rFonts w:eastAsia="Calibri" w:cs="Calibri"/>
                <w:noProof/>
              </w:rPr>
            </w:pPr>
            <w:r>
              <w:rPr>
                <w:noProof/>
              </w:rPr>
              <w:t>RP-C21-i01</w:t>
            </w:r>
          </w:p>
        </w:tc>
        <w:tc>
          <w:tcPr>
            <w:tcW w:w="1520" w:type="dxa"/>
            <w:tcBorders>
              <w:top w:val="nil"/>
              <w:left w:val="nil"/>
              <w:bottom w:val="single" w:sz="4" w:space="0" w:color="auto"/>
              <w:right w:val="single" w:sz="4" w:space="0" w:color="auto"/>
            </w:tcBorders>
            <w:shd w:val="clear" w:color="auto" w:fill="C4EFCE"/>
            <w:vAlign w:val="center"/>
            <w:hideMark/>
          </w:tcPr>
          <w:p w14:paraId="765AC78B"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3A62612" w14:textId="77777777" w:rsidR="00DC5EC6" w:rsidRDefault="003245A4">
            <w:pPr>
              <w:pStyle w:val="P68B1DB1-Normal23"/>
              <w:spacing w:after="0"/>
              <w:jc w:val="both"/>
              <w:rPr>
                <w:rFonts w:eastAsia="Calibri" w:cs="Calibri"/>
                <w:noProof/>
              </w:rPr>
            </w:pPr>
            <w:r>
              <w:rPr>
                <w:noProof/>
              </w:rPr>
              <w:t>Pénzügyi támogatás az ipari dekarbonizációs egyszerűsített projektekhez</w:t>
            </w:r>
          </w:p>
        </w:tc>
      </w:tr>
      <w:tr w:rsidR="00DC5EC6" w14:paraId="0AB05DD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98C020" w14:textId="77777777" w:rsidR="00DC5EC6" w:rsidRDefault="003245A4">
            <w:pPr>
              <w:pStyle w:val="P68B1DB1-Normal23"/>
              <w:spacing w:after="0"/>
              <w:jc w:val="center"/>
              <w:rPr>
                <w:rFonts w:eastAsia="Calibri" w:cs="Calibri"/>
                <w:noProof/>
              </w:rPr>
            </w:pPr>
            <w:r>
              <w:rPr>
                <w:noProof/>
              </w:rPr>
              <w:t>21.4</w:t>
            </w:r>
          </w:p>
        </w:tc>
        <w:tc>
          <w:tcPr>
            <w:tcW w:w="1760" w:type="dxa"/>
            <w:tcBorders>
              <w:top w:val="nil"/>
              <w:left w:val="nil"/>
              <w:bottom w:val="single" w:sz="4" w:space="0" w:color="auto"/>
              <w:right w:val="single" w:sz="4" w:space="0" w:color="auto"/>
            </w:tcBorders>
            <w:shd w:val="clear" w:color="auto" w:fill="C4EFCE"/>
            <w:vAlign w:val="center"/>
            <w:hideMark/>
          </w:tcPr>
          <w:p w14:paraId="1E0F5355" w14:textId="77777777" w:rsidR="00DC5EC6" w:rsidRDefault="003245A4">
            <w:pPr>
              <w:pStyle w:val="P68B1DB1-Normal23"/>
              <w:spacing w:after="0"/>
              <w:jc w:val="center"/>
              <w:rPr>
                <w:rFonts w:eastAsia="Calibri" w:cs="Calibri"/>
                <w:noProof/>
              </w:rPr>
            </w:pPr>
            <w:r>
              <w:rPr>
                <w:noProof/>
              </w:rPr>
              <w:t>RP-C21-i03</w:t>
            </w:r>
          </w:p>
        </w:tc>
        <w:tc>
          <w:tcPr>
            <w:tcW w:w="1520" w:type="dxa"/>
            <w:tcBorders>
              <w:top w:val="nil"/>
              <w:left w:val="nil"/>
              <w:bottom w:val="single" w:sz="4" w:space="0" w:color="auto"/>
              <w:right w:val="single" w:sz="4" w:space="0" w:color="auto"/>
            </w:tcBorders>
            <w:shd w:val="clear" w:color="auto" w:fill="C4EFCE"/>
            <w:vAlign w:val="center"/>
            <w:hideMark/>
          </w:tcPr>
          <w:p w14:paraId="4CFCB73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60CF8C5" w14:textId="77777777" w:rsidR="00DC5EC6" w:rsidRDefault="003245A4">
            <w:pPr>
              <w:pStyle w:val="P68B1DB1-Normal23"/>
              <w:spacing w:after="0"/>
              <w:jc w:val="both"/>
              <w:rPr>
                <w:rFonts w:eastAsia="Calibri" w:cs="Calibri"/>
                <w:noProof/>
              </w:rPr>
            </w:pPr>
            <w:r>
              <w:rPr>
                <w:noProof/>
              </w:rPr>
              <w:t>A szolgáltató épületek energiahatékonysági felújítása</w:t>
            </w:r>
          </w:p>
        </w:tc>
      </w:tr>
      <w:tr w:rsidR="00DC5EC6" w14:paraId="7AE3C13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2B0D6E8E" w14:textId="77777777" w:rsidR="00DC5EC6" w:rsidRDefault="003245A4">
            <w:pPr>
              <w:pStyle w:val="P68B1DB1-Normal23"/>
              <w:spacing w:after="0"/>
              <w:jc w:val="center"/>
              <w:rPr>
                <w:rFonts w:eastAsia="Calibri" w:cs="Calibri"/>
                <w:noProof/>
              </w:rPr>
            </w:pPr>
            <w:r>
              <w:rPr>
                <w:noProof/>
              </w:rPr>
              <w:t>21.13</w:t>
            </w:r>
          </w:p>
        </w:tc>
        <w:tc>
          <w:tcPr>
            <w:tcW w:w="1760" w:type="dxa"/>
            <w:tcBorders>
              <w:top w:val="nil"/>
              <w:left w:val="nil"/>
              <w:bottom w:val="single" w:sz="4" w:space="0" w:color="auto"/>
              <w:right w:val="single" w:sz="4" w:space="0" w:color="auto"/>
            </w:tcBorders>
            <w:shd w:val="clear" w:color="auto" w:fill="C4EFCE"/>
            <w:vAlign w:val="center"/>
            <w:hideMark/>
          </w:tcPr>
          <w:p w14:paraId="3D5708D0" w14:textId="77777777" w:rsidR="00DC5EC6" w:rsidRDefault="003245A4">
            <w:pPr>
              <w:pStyle w:val="P68B1DB1-Normal23"/>
              <w:spacing w:after="0"/>
              <w:jc w:val="center"/>
              <w:rPr>
                <w:rFonts w:eastAsia="Calibri" w:cs="Calibri"/>
                <w:noProof/>
              </w:rPr>
            </w:pPr>
            <w:r>
              <w:rPr>
                <w:noProof/>
              </w:rPr>
              <w:t>RP-C21-i05</w:t>
            </w:r>
          </w:p>
        </w:tc>
        <w:tc>
          <w:tcPr>
            <w:tcW w:w="1520" w:type="dxa"/>
            <w:tcBorders>
              <w:top w:val="nil"/>
              <w:left w:val="nil"/>
              <w:bottom w:val="single" w:sz="4" w:space="0" w:color="auto"/>
              <w:right w:val="single" w:sz="4" w:space="0" w:color="auto"/>
            </w:tcBorders>
            <w:shd w:val="clear" w:color="auto" w:fill="C4EFCE"/>
            <w:vAlign w:val="center"/>
            <w:hideMark/>
          </w:tcPr>
          <w:p w14:paraId="4EF9FB7D"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6731C1C6" w14:textId="77777777" w:rsidR="00DC5EC6" w:rsidRDefault="003245A4">
            <w:pPr>
              <w:pStyle w:val="P68B1DB1-Normal23"/>
              <w:spacing w:after="0"/>
              <w:jc w:val="both"/>
              <w:rPr>
                <w:rFonts w:eastAsia="Calibri" w:cs="Calibri"/>
                <w:noProof/>
              </w:rPr>
            </w:pPr>
            <w:r>
              <w:rPr>
                <w:noProof/>
              </w:rPr>
              <w:t>5 ipari projekt lezárása az éghajlatvédelmi átállást szolgáló stratégiai technológiák területén</w:t>
            </w:r>
          </w:p>
        </w:tc>
      </w:tr>
      <w:tr w:rsidR="00DC5EC6" w14:paraId="46B66D66"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E773CBC" w14:textId="77777777" w:rsidR="00DC5EC6" w:rsidRDefault="003245A4">
            <w:pPr>
              <w:pStyle w:val="P68B1DB1-Normal23"/>
              <w:spacing w:after="0"/>
              <w:jc w:val="center"/>
              <w:rPr>
                <w:rFonts w:eastAsia="Calibri" w:cs="Calibri"/>
                <w:noProof/>
              </w:rPr>
            </w:pPr>
            <w:r>
              <w:rPr>
                <w:noProof/>
              </w:rPr>
              <w:t>21.25</w:t>
            </w:r>
          </w:p>
        </w:tc>
        <w:tc>
          <w:tcPr>
            <w:tcW w:w="1760" w:type="dxa"/>
            <w:tcBorders>
              <w:top w:val="nil"/>
              <w:left w:val="nil"/>
              <w:bottom w:val="single" w:sz="4" w:space="0" w:color="auto"/>
              <w:right w:val="single" w:sz="4" w:space="0" w:color="auto"/>
            </w:tcBorders>
            <w:shd w:val="clear" w:color="auto" w:fill="C4EFCE"/>
            <w:vAlign w:val="center"/>
            <w:hideMark/>
          </w:tcPr>
          <w:p w14:paraId="0F61BA2A" w14:textId="0F7A2382" w:rsidR="00DC5EC6" w:rsidRDefault="003245A4">
            <w:pPr>
              <w:pStyle w:val="P68B1DB1-Normal23"/>
              <w:spacing w:after="0"/>
              <w:jc w:val="center"/>
              <w:rPr>
                <w:rFonts w:eastAsia="Calibri" w:cs="Calibri"/>
                <w:noProof/>
              </w:rPr>
            </w:pPr>
            <w:r>
              <w:rPr>
                <w:noProof/>
              </w:rPr>
              <w:t>RP-C21-i06</w:t>
            </w:r>
          </w:p>
        </w:tc>
        <w:tc>
          <w:tcPr>
            <w:tcW w:w="1520" w:type="dxa"/>
            <w:tcBorders>
              <w:top w:val="nil"/>
              <w:left w:val="nil"/>
              <w:bottom w:val="single" w:sz="4" w:space="0" w:color="auto"/>
              <w:right w:val="single" w:sz="4" w:space="0" w:color="auto"/>
            </w:tcBorders>
            <w:shd w:val="clear" w:color="auto" w:fill="C4EFCE"/>
            <w:vAlign w:val="center"/>
            <w:hideMark/>
          </w:tcPr>
          <w:p w14:paraId="332F83C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40DF0458" w14:textId="77777777" w:rsidR="00DC5EC6" w:rsidRDefault="003245A4">
            <w:pPr>
              <w:pStyle w:val="P68B1DB1-Normal23"/>
              <w:spacing w:after="0"/>
              <w:jc w:val="both"/>
              <w:rPr>
                <w:rFonts w:eastAsia="Calibri" w:cs="Calibri"/>
                <w:noProof/>
              </w:rPr>
            </w:pPr>
            <w:r>
              <w:rPr>
                <w:noProof/>
              </w:rPr>
              <w:t>További megújuló hidrogén- és megújulógáz-termelési kapacitás</w:t>
            </w:r>
          </w:p>
        </w:tc>
      </w:tr>
      <w:tr w:rsidR="00DC5EC6" w14:paraId="7AE9352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8FBC31" w14:textId="77777777" w:rsidR="00DC5EC6" w:rsidRDefault="003245A4">
            <w:pPr>
              <w:pStyle w:val="P68B1DB1-Normal23"/>
              <w:spacing w:after="0"/>
              <w:jc w:val="center"/>
              <w:rPr>
                <w:rFonts w:eastAsia="Calibri" w:cs="Calibri"/>
                <w:noProof/>
              </w:rPr>
            </w:pPr>
            <w:r>
              <w:rPr>
                <w:noProof/>
              </w:rPr>
              <w:t>21.27</w:t>
            </w:r>
          </w:p>
        </w:tc>
        <w:tc>
          <w:tcPr>
            <w:tcW w:w="1760" w:type="dxa"/>
            <w:tcBorders>
              <w:top w:val="nil"/>
              <w:left w:val="nil"/>
              <w:bottom w:val="single" w:sz="4" w:space="0" w:color="auto"/>
              <w:right w:val="single" w:sz="4" w:space="0" w:color="auto"/>
            </w:tcBorders>
            <w:shd w:val="clear" w:color="auto" w:fill="C4EFCE"/>
            <w:vAlign w:val="center"/>
            <w:hideMark/>
          </w:tcPr>
          <w:p w14:paraId="28339159" w14:textId="7DD243E3" w:rsidR="00DC5EC6" w:rsidRDefault="003245A4">
            <w:pPr>
              <w:pStyle w:val="P68B1DB1-Normal23"/>
              <w:spacing w:after="0"/>
              <w:jc w:val="center"/>
              <w:rPr>
                <w:rFonts w:eastAsia="Calibri" w:cs="Calibri"/>
                <w:noProof/>
              </w:rPr>
            </w:pPr>
            <w:r>
              <w:rPr>
                <w:noProof/>
              </w:rPr>
              <w:t>RP-C21-i07</w:t>
            </w:r>
          </w:p>
        </w:tc>
        <w:tc>
          <w:tcPr>
            <w:tcW w:w="1520" w:type="dxa"/>
            <w:tcBorders>
              <w:top w:val="nil"/>
              <w:left w:val="nil"/>
              <w:bottom w:val="single" w:sz="4" w:space="0" w:color="auto"/>
              <w:right w:val="single" w:sz="4" w:space="0" w:color="auto"/>
            </w:tcBorders>
            <w:shd w:val="clear" w:color="auto" w:fill="C4EFCE"/>
            <w:vAlign w:val="center"/>
            <w:hideMark/>
          </w:tcPr>
          <w:p w14:paraId="5D5BCC3C"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5B70FE3" w14:textId="2301AE6C" w:rsidR="00DC5EC6" w:rsidRDefault="003245A4">
            <w:pPr>
              <w:pStyle w:val="P68B1DB1-Normal23"/>
              <w:spacing w:after="0"/>
              <w:jc w:val="both"/>
              <w:rPr>
                <w:rFonts w:eastAsia="Calibri" w:cs="Calibri"/>
                <w:noProof/>
              </w:rPr>
            </w:pPr>
            <w:r>
              <w:rPr>
                <w:noProof/>
              </w:rPr>
              <w:t>A tengeri szélenergiára vonatkozó műszaki tanulmányok befejezése</w:t>
            </w:r>
          </w:p>
        </w:tc>
      </w:tr>
      <w:tr w:rsidR="00DC5EC6" w14:paraId="407BDDC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5FA81FA2" w14:textId="77777777" w:rsidR="00DC5EC6" w:rsidRDefault="003245A4">
            <w:pPr>
              <w:pStyle w:val="P68B1DB1-Normal23"/>
              <w:spacing w:after="0"/>
              <w:jc w:val="center"/>
              <w:rPr>
                <w:rFonts w:eastAsia="Calibri" w:cs="Calibri"/>
                <w:noProof/>
              </w:rPr>
            </w:pPr>
            <w:r>
              <w:rPr>
                <w:noProof/>
              </w:rPr>
              <w:t>21.33</w:t>
            </w:r>
          </w:p>
        </w:tc>
        <w:tc>
          <w:tcPr>
            <w:tcW w:w="1760" w:type="dxa"/>
            <w:tcBorders>
              <w:top w:val="nil"/>
              <w:left w:val="nil"/>
              <w:bottom w:val="single" w:sz="4" w:space="0" w:color="auto"/>
              <w:right w:val="single" w:sz="4" w:space="0" w:color="auto"/>
            </w:tcBorders>
            <w:shd w:val="clear" w:color="auto" w:fill="C4EFCE"/>
            <w:vAlign w:val="center"/>
            <w:hideMark/>
          </w:tcPr>
          <w:p w14:paraId="4FD27260" w14:textId="4C1DF387" w:rsidR="00DC5EC6" w:rsidRDefault="003245A4">
            <w:pPr>
              <w:pStyle w:val="P68B1DB1-Normal23"/>
              <w:spacing w:after="0"/>
              <w:jc w:val="center"/>
              <w:rPr>
                <w:rFonts w:eastAsia="Calibri" w:cs="Calibri"/>
                <w:noProof/>
              </w:rPr>
            </w:pPr>
            <w:r>
              <w:rPr>
                <w:noProof/>
              </w:rPr>
              <w:t>RP-C21-i11-RAM</w:t>
            </w:r>
          </w:p>
        </w:tc>
        <w:tc>
          <w:tcPr>
            <w:tcW w:w="1520" w:type="dxa"/>
            <w:tcBorders>
              <w:top w:val="nil"/>
              <w:left w:val="nil"/>
              <w:bottom w:val="single" w:sz="4" w:space="0" w:color="auto"/>
              <w:right w:val="single" w:sz="4" w:space="0" w:color="auto"/>
            </w:tcBorders>
            <w:shd w:val="clear" w:color="auto" w:fill="C4EFCE"/>
            <w:vAlign w:val="center"/>
            <w:hideMark/>
          </w:tcPr>
          <w:p w14:paraId="577AB5A0"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996926B" w14:textId="77777777" w:rsidR="00DC5EC6" w:rsidRDefault="003245A4">
            <w:pPr>
              <w:pStyle w:val="P68B1DB1-Normal23"/>
              <w:spacing w:after="0"/>
              <w:jc w:val="both"/>
              <w:rPr>
                <w:rFonts w:eastAsia="Calibri" w:cs="Calibri"/>
                <w:noProof/>
              </w:rPr>
            </w:pPr>
            <w:r>
              <w:rPr>
                <w:noProof/>
              </w:rPr>
              <w:t>A saját fogyasztásra szánt megújulóenergia-termelő egységek beépített kapacitásának növelése és a saját fogyasztás céljára szolgáló beépített tárolókapacitás növelése</w:t>
            </w:r>
          </w:p>
        </w:tc>
      </w:tr>
      <w:tr w:rsidR="00DC5EC6" w14:paraId="40AE930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6AF8CD86" w14:textId="77777777" w:rsidR="00DC5EC6" w:rsidRDefault="003245A4">
            <w:pPr>
              <w:pStyle w:val="P68B1DB1-Normal23"/>
              <w:spacing w:after="0"/>
              <w:jc w:val="center"/>
              <w:rPr>
                <w:rFonts w:eastAsia="Calibri" w:cs="Calibri"/>
                <w:noProof/>
              </w:rPr>
            </w:pPr>
            <w:r>
              <w:rPr>
                <w:noProof/>
              </w:rPr>
              <w:t>21.36</w:t>
            </w:r>
          </w:p>
        </w:tc>
        <w:tc>
          <w:tcPr>
            <w:tcW w:w="1760" w:type="dxa"/>
            <w:tcBorders>
              <w:top w:val="nil"/>
              <w:left w:val="nil"/>
              <w:bottom w:val="single" w:sz="4" w:space="0" w:color="auto"/>
              <w:right w:val="single" w:sz="4" w:space="0" w:color="auto"/>
            </w:tcBorders>
            <w:shd w:val="clear" w:color="auto" w:fill="C4EFCE"/>
            <w:vAlign w:val="center"/>
            <w:hideMark/>
          </w:tcPr>
          <w:p w14:paraId="65F17587" w14:textId="24D99CE2" w:rsidR="00DC5EC6" w:rsidRDefault="003245A4">
            <w:pPr>
              <w:pStyle w:val="P68B1DB1-Normal23"/>
              <w:spacing w:after="0"/>
              <w:jc w:val="center"/>
              <w:rPr>
                <w:rFonts w:eastAsia="Calibri" w:cs="Calibri"/>
                <w:noProof/>
              </w:rPr>
            </w:pPr>
            <w:r>
              <w:rPr>
                <w:noProof/>
              </w:rPr>
              <w:t>RP-C21–i12</w:t>
            </w:r>
          </w:p>
        </w:tc>
        <w:tc>
          <w:tcPr>
            <w:tcW w:w="1520" w:type="dxa"/>
            <w:tcBorders>
              <w:top w:val="nil"/>
              <w:left w:val="nil"/>
              <w:bottom w:val="single" w:sz="4" w:space="0" w:color="auto"/>
              <w:right w:val="single" w:sz="4" w:space="0" w:color="auto"/>
            </w:tcBorders>
            <w:shd w:val="clear" w:color="auto" w:fill="C4EFCE"/>
            <w:vAlign w:val="center"/>
            <w:hideMark/>
          </w:tcPr>
          <w:p w14:paraId="7B36B2F3"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7C7C1E97" w14:textId="77777777" w:rsidR="00DC5EC6" w:rsidRDefault="003245A4">
            <w:pPr>
              <w:pStyle w:val="P68B1DB1-Normal23"/>
              <w:spacing w:after="0"/>
              <w:jc w:val="both"/>
              <w:rPr>
                <w:rFonts w:eastAsia="Calibri" w:cs="Calibri"/>
                <w:noProof/>
              </w:rPr>
            </w:pPr>
            <w:r>
              <w:rPr>
                <w:noProof/>
              </w:rPr>
              <w:t>A tömegközlekedésben használt új kibocsátásmentes (elektromos vagy hidrogénüzemű) buszok beszerzése</w:t>
            </w:r>
          </w:p>
        </w:tc>
      </w:tr>
      <w:tr w:rsidR="00DC5EC6" w14:paraId="4BDD8A3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44C0782" w14:textId="77777777" w:rsidR="00DC5EC6" w:rsidRDefault="003245A4">
            <w:pPr>
              <w:pStyle w:val="P68B1DB1-Normal23"/>
              <w:spacing w:after="0"/>
              <w:jc w:val="center"/>
              <w:rPr>
                <w:rFonts w:eastAsia="Calibri" w:cs="Calibri"/>
                <w:noProof/>
              </w:rPr>
            </w:pPr>
            <w:r>
              <w:rPr>
                <w:noProof/>
              </w:rPr>
              <w:t>21.37</w:t>
            </w:r>
          </w:p>
        </w:tc>
        <w:tc>
          <w:tcPr>
            <w:tcW w:w="1760" w:type="dxa"/>
            <w:tcBorders>
              <w:top w:val="nil"/>
              <w:left w:val="nil"/>
              <w:bottom w:val="single" w:sz="4" w:space="0" w:color="auto"/>
              <w:right w:val="single" w:sz="4" w:space="0" w:color="auto"/>
            </w:tcBorders>
            <w:shd w:val="clear" w:color="auto" w:fill="C4EFCE"/>
            <w:vAlign w:val="center"/>
            <w:hideMark/>
          </w:tcPr>
          <w:p w14:paraId="73C8B906" w14:textId="298D8B93" w:rsidR="00DC5EC6" w:rsidRDefault="003245A4">
            <w:pPr>
              <w:pStyle w:val="P68B1DB1-Normal23"/>
              <w:spacing w:after="0"/>
              <w:jc w:val="center"/>
              <w:rPr>
                <w:rFonts w:eastAsia="Calibri" w:cs="Calibri"/>
                <w:noProof/>
              </w:rPr>
            </w:pPr>
            <w:r>
              <w:rPr>
                <w:noProof/>
              </w:rPr>
              <w:t>RP-C21-i13-RAM</w:t>
            </w:r>
          </w:p>
        </w:tc>
        <w:tc>
          <w:tcPr>
            <w:tcW w:w="1520" w:type="dxa"/>
            <w:tcBorders>
              <w:top w:val="nil"/>
              <w:left w:val="nil"/>
              <w:bottom w:val="single" w:sz="4" w:space="0" w:color="auto"/>
              <w:right w:val="single" w:sz="4" w:space="0" w:color="auto"/>
            </w:tcBorders>
            <w:shd w:val="clear" w:color="auto" w:fill="C4EFCE"/>
            <w:vAlign w:val="center"/>
            <w:hideMark/>
          </w:tcPr>
          <w:p w14:paraId="766F213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205A8643" w14:textId="77777777" w:rsidR="00DC5EC6" w:rsidRDefault="003245A4">
            <w:pPr>
              <w:pStyle w:val="P68B1DB1-Normal23"/>
              <w:spacing w:after="0"/>
              <w:jc w:val="both"/>
              <w:rPr>
                <w:rFonts w:eastAsia="Calibri" w:cs="Calibri"/>
                <w:noProof/>
              </w:rPr>
            </w:pPr>
            <w:r>
              <w:rPr>
                <w:noProof/>
              </w:rPr>
              <w:t>Tömegközlekedéshez és turisztikai szolgáltatásokhoz használt új kibocsátásmentes (elektromos vagy hidrogénüzemű) buszok beszerzése, valamint a leselejtezett járműveket helyettesítő elektromos autók vásárlása</w:t>
            </w:r>
          </w:p>
        </w:tc>
      </w:tr>
      <w:tr w:rsidR="00DC5EC6" w14:paraId="5FC25D8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0D0D0E18" w14:textId="77777777" w:rsidR="00DC5EC6" w:rsidRDefault="003245A4">
            <w:pPr>
              <w:pStyle w:val="P68B1DB1-Normal23"/>
              <w:spacing w:after="0"/>
              <w:jc w:val="center"/>
              <w:rPr>
                <w:rFonts w:eastAsia="Calibri" w:cs="Calibri"/>
                <w:noProof/>
              </w:rPr>
            </w:pPr>
            <w:r>
              <w:rPr>
                <w:noProof/>
              </w:rPr>
              <w:t>21.39</w:t>
            </w:r>
          </w:p>
        </w:tc>
        <w:tc>
          <w:tcPr>
            <w:tcW w:w="1760" w:type="dxa"/>
            <w:tcBorders>
              <w:top w:val="nil"/>
              <w:left w:val="nil"/>
              <w:bottom w:val="single" w:sz="4" w:space="0" w:color="auto"/>
              <w:right w:val="single" w:sz="4" w:space="0" w:color="auto"/>
            </w:tcBorders>
            <w:shd w:val="clear" w:color="auto" w:fill="C4EFCE"/>
            <w:vAlign w:val="center"/>
            <w:hideMark/>
          </w:tcPr>
          <w:p w14:paraId="48E27095" w14:textId="5DA60FB6" w:rsidR="00DC5EC6" w:rsidRDefault="003245A4">
            <w:pPr>
              <w:pStyle w:val="P68B1DB1-Normal23"/>
              <w:spacing w:after="0"/>
              <w:jc w:val="center"/>
              <w:rPr>
                <w:rFonts w:eastAsia="Calibri" w:cs="Calibri"/>
                <w:noProof/>
              </w:rPr>
            </w:pPr>
            <w:r>
              <w:rPr>
                <w:noProof/>
              </w:rPr>
              <w:t>RP-C21-i14</w:t>
            </w:r>
          </w:p>
        </w:tc>
        <w:tc>
          <w:tcPr>
            <w:tcW w:w="1520" w:type="dxa"/>
            <w:tcBorders>
              <w:top w:val="nil"/>
              <w:left w:val="nil"/>
              <w:bottom w:val="single" w:sz="4" w:space="0" w:color="auto"/>
              <w:right w:val="single" w:sz="4" w:space="0" w:color="auto"/>
            </w:tcBorders>
            <w:shd w:val="clear" w:color="auto" w:fill="C4EFCE"/>
            <w:vAlign w:val="center"/>
            <w:hideMark/>
          </w:tcPr>
          <w:p w14:paraId="3205D102"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hideMark/>
          </w:tcPr>
          <w:p w14:paraId="242FFB24" w14:textId="77777777" w:rsidR="00DC5EC6" w:rsidRDefault="003245A4">
            <w:pPr>
              <w:pStyle w:val="P68B1DB1-Normal23"/>
              <w:spacing w:after="0"/>
              <w:jc w:val="both"/>
              <w:rPr>
                <w:rFonts w:eastAsia="Calibri" w:cs="Calibri"/>
                <w:noProof/>
              </w:rPr>
            </w:pPr>
            <w:r>
              <w:rPr>
                <w:noProof/>
              </w:rPr>
              <w:t>Két gyorsbuszjárat építése Bragában</w:t>
            </w:r>
          </w:p>
        </w:tc>
      </w:tr>
      <w:tr w:rsidR="00DC5EC6" w14:paraId="3E530F0E"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3E8A1E5E" w14:textId="77777777" w:rsidR="00DC5EC6" w:rsidRDefault="003245A4">
            <w:pPr>
              <w:pStyle w:val="P68B1DB1-Normal23"/>
              <w:spacing w:after="0"/>
              <w:jc w:val="center"/>
              <w:rPr>
                <w:rFonts w:eastAsia="Calibri" w:cs="Calibri"/>
                <w:noProof/>
              </w:rPr>
            </w:pPr>
            <w:r>
              <w:rPr>
                <w:noProof/>
              </w:rPr>
              <w:t>21.43</w:t>
            </w:r>
          </w:p>
        </w:tc>
        <w:tc>
          <w:tcPr>
            <w:tcW w:w="1760" w:type="dxa"/>
            <w:tcBorders>
              <w:top w:val="nil"/>
              <w:left w:val="nil"/>
              <w:bottom w:val="single" w:sz="4" w:space="0" w:color="auto"/>
              <w:right w:val="single" w:sz="4" w:space="0" w:color="auto"/>
            </w:tcBorders>
            <w:shd w:val="clear" w:color="auto" w:fill="C4EFCE"/>
            <w:vAlign w:val="center"/>
            <w:hideMark/>
          </w:tcPr>
          <w:p w14:paraId="53BBC354" w14:textId="6D59C203" w:rsidR="00DC5EC6" w:rsidRDefault="003245A4">
            <w:pPr>
              <w:pStyle w:val="P68B1DB1-Normal23"/>
              <w:spacing w:after="0"/>
              <w:jc w:val="center"/>
              <w:rPr>
                <w:rFonts w:eastAsia="Calibri" w:cs="Calibri"/>
                <w:noProof/>
              </w:rPr>
            </w:pPr>
            <w:r>
              <w:rPr>
                <w:noProof/>
              </w:rPr>
              <w:t>RP-C21–i16</w:t>
            </w:r>
          </w:p>
        </w:tc>
        <w:tc>
          <w:tcPr>
            <w:tcW w:w="1520" w:type="dxa"/>
            <w:tcBorders>
              <w:top w:val="nil"/>
              <w:left w:val="nil"/>
              <w:bottom w:val="single" w:sz="4" w:space="0" w:color="auto"/>
              <w:right w:val="single" w:sz="4" w:space="0" w:color="auto"/>
            </w:tcBorders>
            <w:shd w:val="clear" w:color="auto" w:fill="C4EFCE"/>
            <w:vAlign w:val="center"/>
            <w:hideMark/>
          </w:tcPr>
          <w:p w14:paraId="65415CC8"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hideMark/>
          </w:tcPr>
          <w:p w14:paraId="17915ABF" w14:textId="42D35AB7" w:rsidR="00DC5EC6" w:rsidRDefault="003245A4">
            <w:pPr>
              <w:pStyle w:val="P68B1DB1-Normal23"/>
              <w:spacing w:after="0"/>
              <w:jc w:val="both"/>
              <w:rPr>
                <w:rFonts w:eastAsia="Calibri" w:cs="Calibri"/>
                <w:noProof/>
              </w:rPr>
            </w:pPr>
            <w:r>
              <w:rPr>
                <w:noProof/>
              </w:rPr>
              <w:t>Szórakoztató építése</w:t>
            </w:r>
          </w:p>
        </w:tc>
      </w:tr>
      <w:tr w:rsidR="00DC5EC6" w14:paraId="69534CE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hideMark/>
          </w:tcPr>
          <w:p w14:paraId="1375525F" w14:textId="77777777" w:rsidR="00DC5EC6" w:rsidRDefault="00DC5EC6">
            <w:pPr>
              <w:spacing w:after="0"/>
              <w:jc w:val="center"/>
              <w:rPr>
                <w:rFonts w:ascii="Calibri" w:eastAsia="Calibri"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hideMark/>
          </w:tcPr>
          <w:p w14:paraId="16E5C887" w14:textId="77777777" w:rsidR="00DC5EC6" w:rsidRDefault="00DC5EC6">
            <w:pPr>
              <w:spacing w:after="0"/>
              <w:jc w:val="center"/>
              <w:rPr>
                <w:rFonts w:ascii="Calibri" w:eastAsia="Calibri" w:hAnsi="Calibri" w:cs="Calibri"/>
                <w:noProof/>
                <w:sz w:val="16"/>
              </w:rPr>
            </w:pPr>
          </w:p>
        </w:tc>
        <w:tc>
          <w:tcPr>
            <w:tcW w:w="1520" w:type="dxa"/>
            <w:tcBorders>
              <w:top w:val="nil"/>
              <w:left w:val="nil"/>
              <w:bottom w:val="single" w:sz="4" w:space="0" w:color="auto"/>
              <w:right w:val="single" w:sz="4" w:space="0" w:color="auto"/>
            </w:tcBorders>
            <w:shd w:val="clear" w:color="auto" w:fill="C4EFCE"/>
            <w:vAlign w:val="center"/>
            <w:hideMark/>
          </w:tcPr>
          <w:p w14:paraId="084A977F"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nil"/>
              <w:left w:val="nil"/>
              <w:bottom w:val="single" w:sz="4" w:space="0" w:color="auto"/>
              <w:right w:val="single" w:sz="4" w:space="0" w:color="auto"/>
            </w:tcBorders>
            <w:shd w:val="clear" w:color="auto" w:fill="C4EFCE"/>
            <w:vAlign w:val="center"/>
            <w:hideMark/>
          </w:tcPr>
          <w:p w14:paraId="30A29C4F" w14:textId="5D4F15E5" w:rsidR="00DC5EC6" w:rsidRDefault="003245A4">
            <w:pPr>
              <w:pStyle w:val="P68B1DB1-Normal25"/>
              <w:spacing w:after="0" w:line="240" w:lineRule="auto"/>
              <w:jc w:val="center"/>
              <w:rPr>
                <w:rFonts w:cs="Calibri"/>
                <w:noProof/>
              </w:rPr>
            </w:pPr>
            <w:r>
              <w:rPr>
                <w:noProof/>
              </w:rPr>
              <w:t xml:space="preserve"> ·EURÓPAI BIZOTTSÁG 2 030 690 350 EUR </w:t>
            </w:r>
          </w:p>
        </w:tc>
      </w:tr>
    </w:tbl>
    <w:p w14:paraId="4422C564" w14:textId="77777777" w:rsidR="00DC5EC6" w:rsidRDefault="00DC5EC6">
      <w:pPr>
        <w:keepNext/>
        <w:spacing w:before="40" w:after="0" w:line="259" w:lineRule="auto"/>
        <w:ind w:left="360"/>
        <w:jc w:val="both"/>
        <w:outlineLvl w:val="1"/>
        <w:rPr>
          <w:rFonts w:ascii="Times New Roman" w:eastAsiaTheme="majorEastAsia" w:hAnsi="Times New Roman" w:cs="Times New Roman"/>
          <w:b/>
          <w:noProof/>
          <w:sz w:val="24"/>
          <w:u w:val="single"/>
        </w:rPr>
      </w:pPr>
    </w:p>
    <w:p w14:paraId="118A5FEC" w14:textId="77777777" w:rsidR="00DC5EC6" w:rsidRDefault="003245A4">
      <w:pPr>
        <w:pStyle w:val="P68B1DB1-Normal3"/>
        <w:keepNext/>
        <w:numPr>
          <w:ilvl w:val="0"/>
          <w:numId w:val="19"/>
        </w:numPr>
        <w:spacing w:before="40" w:after="0" w:line="259" w:lineRule="auto"/>
        <w:jc w:val="both"/>
        <w:outlineLvl w:val="1"/>
        <w:rPr>
          <w:rFonts w:eastAsiaTheme="majorEastAsia" w:cs="Times New Roman"/>
          <w:noProof/>
        </w:rPr>
      </w:pPr>
      <w:r>
        <w:rPr>
          <w:noProof/>
        </w:rPr>
        <w:t xml:space="preserve">Kölcsön </w:t>
      </w:r>
    </w:p>
    <w:p w14:paraId="6BCD5950" w14:textId="77777777" w:rsidR="00DC5EC6" w:rsidRDefault="003245A4">
      <w:pPr>
        <w:pStyle w:val="P68B1DB1-Normal4"/>
        <w:keepNext/>
        <w:spacing w:before="40" w:after="0" w:line="259" w:lineRule="auto"/>
        <w:jc w:val="both"/>
        <w:rPr>
          <w:rFonts w:eastAsiaTheme="minorEastAsia" w:cs="Times New Roman"/>
          <w:noProof/>
        </w:rPr>
      </w:pPr>
      <w:r>
        <w:rPr>
          <w:noProof/>
        </w:rPr>
        <w:t>A 3. cikk (2) bekezdésében említett részleteket a következőképpen kell megszervezni:</w:t>
      </w:r>
    </w:p>
    <w:p w14:paraId="3FE85171" w14:textId="77777777" w:rsidR="00DC5EC6" w:rsidRDefault="00DC5EC6">
      <w:pPr>
        <w:keepNext/>
        <w:spacing w:after="160" w:line="259" w:lineRule="auto"/>
        <w:ind w:left="360"/>
        <w:contextualSpacing/>
        <w:jc w:val="both"/>
        <w:rPr>
          <w:rFonts w:ascii="Times New Roman" w:eastAsiaTheme="minorEastAsia" w:hAnsi="Times New Roman" w:cs="Times New Roman"/>
          <w:noProof/>
          <w:sz w:val="24"/>
        </w:rPr>
      </w:pPr>
    </w:p>
    <w:p w14:paraId="4E892DCC"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Első kifizetési kérelem (hiteltámogatás):</w:t>
      </w:r>
    </w:p>
    <w:p w14:paraId="7FAECB77"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074834ED" w14:textId="77777777">
        <w:trPr>
          <w:trHeight w:val="509"/>
          <w:tblHeader/>
        </w:trPr>
        <w:tc>
          <w:tcPr>
            <w:tcW w:w="1200" w:type="dxa"/>
            <w:vMerge w:val="restart"/>
            <w:shd w:val="clear" w:color="auto" w:fill="BDD7EE"/>
            <w:vAlign w:val="center"/>
            <w:hideMark/>
          </w:tcPr>
          <w:p w14:paraId="6FC084B2"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47AF933B"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5B00DEF"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3E1358F3"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69B5D785" w14:textId="77777777">
        <w:trPr>
          <w:trHeight w:val="509"/>
        </w:trPr>
        <w:tc>
          <w:tcPr>
            <w:tcW w:w="1200" w:type="dxa"/>
            <w:vMerge/>
            <w:vAlign w:val="center"/>
            <w:hideMark/>
          </w:tcPr>
          <w:p w14:paraId="782328FC"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77E830EC"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21A9C4CC"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08EF91B7" w14:textId="77777777" w:rsidR="00DC5EC6" w:rsidRDefault="00DC5EC6">
            <w:pPr>
              <w:spacing w:after="0" w:line="240" w:lineRule="auto"/>
              <w:rPr>
                <w:rFonts w:ascii="Times New Roman" w:eastAsia="Times New Roman" w:hAnsi="Times New Roman" w:cs="Times New Roman"/>
                <w:noProof/>
                <w:sz w:val="20"/>
              </w:rPr>
            </w:pPr>
          </w:p>
        </w:tc>
      </w:tr>
      <w:tr w:rsidR="00DC5EC6" w14:paraId="231581F7" w14:textId="77777777">
        <w:trPr>
          <w:trHeight w:val="440"/>
        </w:trPr>
        <w:tc>
          <w:tcPr>
            <w:tcW w:w="1200" w:type="dxa"/>
            <w:shd w:val="clear" w:color="auto" w:fill="C4EFCE"/>
            <w:vAlign w:val="center"/>
            <w:hideMark/>
          </w:tcPr>
          <w:p w14:paraId="0019F272" w14:textId="77777777" w:rsidR="00DC5EC6" w:rsidRDefault="003245A4">
            <w:pPr>
              <w:pStyle w:val="P68B1DB1-Normal23"/>
              <w:spacing w:after="0" w:line="240" w:lineRule="auto"/>
              <w:jc w:val="center"/>
              <w:rPr>
                <w:rFonts w:eastAsia="Times New Roman" w:cs="Calibri"/>
                <w:noProof/>
              </w:rPr>
            </w:pPr>
            <w:r>
              <w:rPr>
                <w:noProof/>
              </w:rPr>
              <w:t>5.23</w:t>
            </w:r>
          </w:p>
        </w:tc>
        <w:tc>
          <w:tcPr>
            <w:tcW w:w="1760" w:type="dxa"/>
            <w:shd w:val="clear" w:color="auto" w:fill="C4EFCE"/>
            <w:vAlign w:val="center"/>
            <w:hideMark/>
          </w:tcPr>
          <w:p w14:paraId="7E76ACD1" w14:textId="77777777" w:rsidR="00DC5EC6" w:rsidRDefault="003245A4">
            <w:pPr>
              <w:pStyle w:val="P68B1DB1-Normal23"/>
              <w:spacing w:after="0" w:line="240" w:lineRule="auto"/>
              <w:jc w:val="center"/>
              <w:rPr>
                <w:rFonts w:eastAsia="Times New Roman" w:cs="Calibri"/>
                <w:noProof/>
              </w:rPr>
            </w:pPr>
            <w:r>
              <w:rPr>
                <w:noProof/>
              </w:rPr>
              <w:t>Re-C05-r10 </w:t>
            </w:r>
          </w:p>
        </w:tc>
        <w:tc>
          <w:tcPr>
            <w:tcW w:w="1520" w:type="dxa"/>
            <w:shd w:val="clear" w:color="auto" w:fill="C4EFCE"/>
            <w:vAlign w:val="center"/>
            <w:hideMark/>
          </w:tcPr>
          <w:p w14:paraId="29D0D0FA"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AEDE275" w14:textId="77777777" w:rsidR="00DC5EC6" w:rsidRDefault="003245A4">
            <w:pPr>
              <w:pStyle w:val="P68B1DB1-Normal23"/>
              <w:spacing w:after="0" w:line="240" w:lineRule="auto"/>
              <w:jc w:val="both"/>
              <w:rPr>
                <w:rFonts w:eastAsia="Times New Roman" w:cs="Calibri"/>
                <w:noProof/>
              </w:rPr>
            </w:pPr>
            <w:r>
              <w:rPr>
                <w:noProof/>
              </w:rPr>
              <w:t>A Banco Português de Fomento (BPF) tevékenységét és alapszabályát meghatározó rendelet hatálybalépése</w:t>
            </w:r>
          </w:p>
        </w:tc>
      </w:tr>
      <w:tr w:rsidR="00DC5EC6" w14:paraId="31564C75" w14:textId="77777777">
        <w:trPr>
          <w:trHeight w:val="440"/>
        </w:trPr>
        <w:tc>
          <w:tcPr>
            <w:tcW w:w="1200" w:type="dxa"/>
            <w:shd w:val="clear" w:color="auto" w:fill="C4EFCE"/>
            <w:vAlign w:val="center"/>
            <w:hideMark/>
          </w:tcPr>
          <w:p w14:paraId="0B27A3F2" w14:textId="77777777" w:rsidR="00DC5EC6" w:rsidRDefault="003245A4">
            <w:pPr>
              <w:pStyle w:val="P68B1DB1-Normal23"/>
              <w:spacing w:after="0" w:line="240" w:lineRule="auto"/>
              <w:jc w:val="center"/>
              <w:rPr>
                <w:rFonts w:eastAsia="Times New Roman" w:cs="Calibri"/>
                <w:noProof/>
              </w:rPr>
            </w:pPr>
            <w:r>
              <w:rPr>
                <w:noProof/>
              </w:rPr>
              <w:t>5.27</w:t>
            </w:r>
          </w:p>
        </w:tc>
        <w:tc>
          <w:tcPr>
            <w:tcW w:w="1760" w:type="dxa"/>
            <w:shd w:val="clear" w:color="auto" w:fill="C4EFCE"/>
            <w:vAlign w:val="center"/>
            <w:hideMark/>
          </w:tcPr>
          <w:p w14:paraId="0AC92BC5"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62A0E886"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52055337" w14:textId="77777777" w:rsidR="00DC5EC6" w:rsidRDefault="003245A4">
            <w:pPr>
              <w:pStyle w:val="P68B1DB1-Normal23"/>
              <w:spacing w:after="0" w:line="240" w:lineRule="auto"/>
              <w:jc w:val="both"/>
              <w:rPr>
                <w:rFonts w:eastAsia="Times New Roman" w:cs="Calibri"/>
                <w:noProof/>
              </w:rPr>
            </w:pPr>
            <w:r>
              <w:rPr>
                <w:noProof/>
              </w:rPr>
              <w:t xml:space="preserve">A BPF tőkésítési intézkedését szabályozó törvényerejű rendelet hatálybalépése </w:t>
            </w:r>
          </w:p>
        </w:tc>
      </w:tr>
      <w:tr w:rsidR="00DC5EC6" w14:paraId="5DC5E664" w14:textId="77777777">
        <w:trPr>
          <w:trHeight w:val="440"/>
        </w:trPr>
        <w:tc>
          <w:tcPr>
            <w:tcW w:w="1200" w:type="dxa"/>
            <w:shd w:val="clear" w:color="auto" w:fill="C4EFCE"/>
            <w:vAlign w:val="center"/>
            <w:hideMark/>
          </w:tcPr>
          <w:p w14:paraId="56BFF86C" w14:textId="77777777" w:rsidR="00DC5EC6" w:rsidRDefault="003245A4">
            <w:pPr>
              <w:pStyle w:val="P68B1DB1-Normal23"/>
              <w:spacing w:after="0" w:line="240" w:lineRule="auto"/>
              <w:jc w:val="center"/>
              <w:rPr>
                <w:rFonts w:eastAsia="Times New Roman" w:cs="Calibri"/>
                <w:noProof/>
              </w:rPr>
            </w:pPr>
            <w:r>
              <w:rPr>
                <w:noProof/>
              </w:rPr>
              <w:t>5.28</w:t>
            </w:r>
          </w:p>
        </w:tc>
        <w:tc>
          <w:tcPr>
            <w:tcW w:w="1760" w:type="dxa"/>
            <w:shd w:val="clear" w:color="auto" w:fill="C4EFCE"/>
            <w:vAlign w:val="center"/>
            <w:hideMark/>
          </w:tcPr>
          <w:p w14:paraId="1DAA31DC"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25478A9B"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449D334D" w14:textId="77777777" w:rsidR="00DC5EC6" w:rsidRDefault="003245A4">
            <w:pPr>
              <w:pStyle w:val="P68B1DB1-Normal23"/>
              <w:spacing w:after="0" w:line="240" w:lineRule="auto"/>
              <w:jc w:val="both"/>
              <w:rPr>
                <w:rFonts w:eastAsia="Times New Roman" w:cs="Calibri"/>
                <w:noProof/>
              </w:rPr>
            </w:pPr>
            <w:r>
              <w:rPr>
                <w:noProof/>
              </w:rPr>
              <w:t>A befektetési politika fejlesztése (tőkésítés) és a járműkezelő általi elfogadás</w:t>
            </w:r>
          </w:p>
        </w:tc>
      </w:tr>
      <w:tr w:rsidR="00DC5EC6" w14:paraId="3FD88BF5" w14:textId="77777777">
        <w:trPr>
          <w:trHeight w:val="440"/>
        </w:trPr>
        <w:tc>
          <w:tcPr>
            <w:tcW w:w="1200" w:type="dxa"/>
            <w:shd w:val="clear" w:color="auto" w:fill="C4EFCE"/>
            <w:vAlign w:val="center"/>
            <w:hideMark/>
          </w:tcPr>
          <w:p w14:paraId="0C2466D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B8B12A3"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156D5B3"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0B510FD1" w14:textId="63EA3829" w:rsidR="00DC5EC6" w:rsidRDefault="003245A4">
            <w:pPr>
              <w:pStyle w:val="P68B1DB1-Normal25"/>
              <w:spacing w:after="0" w:line="240" w:lineRule="auto"/>
              <w:jc w:val="center"/>
              <w:rPr>
                <w:rFonts w:cs="Calibri"/>
                <w:noProof/>
              </w:rPr>
            </w:pPr>
            <w:r>
              <w:rPr>
                <w:noProof/>
              </w:rPr>
              <w:t xml:space="preserve">·EURÓPAI BIZOTTSÁG 700 000 000 EUR </w:t>
            </w:r>
          </w:p>
        </w:tc>
      </w:tr>
    </w:tbl>
    <w:p w14:paraId="717E1755" w14:textId="77777777" w:rsidR="00DC5EC6" w:rsidRDefault="00DC5EC6">
      <w:pPr>
        <w:keepNext/>
        <w:spacing w:after="160" w:line="259" w:lineRule="auto"/>
        <w:contextualSpacing/>
        <w:jc w:val="both"/>
        <w:rPr>
          <w:rFonts w:ascii="Times New Roman" w:eastAsiaTheme="minorEastAsia" w:hAnsi="Times New Roman" w:cs="Times New Roman"/>
          <w:noProof/>
          <w:sz w:val="24"/>
        </w:rPr>
      </w:pPr>
    </w:p>
    <w:p w14:paraId="0D521636" w14:textId="77777777" w:rsidR="00DC5EC6" w:rsidRDefault="00DC5EC6">
      <w:pPr>
        <w:keepNext/>
        <w:spacing w:after="160" w:line="259" w:lineRule="auto"/>
        <w:contextualSpacing/>
        <w:jc w:val="both"/>
        <w:rPr>
          <w:rFonts w:ascii="Times New Roman" w:eastAsiaTheme="minorEastAsia" w:hAnsi="Times New Roman" w:cs="Times New Roman"/>
          <w:noProof/>
          <w:sz w:val="24"/>
        </w:rPr>
      </w:pPr>
    </w:p>
    <w:p w14:paraId="212AD2B0"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Második kifizetési kérelem (hiteltámogatás): </w:t>
      </w:r>
    </w:p>
    <w:p w14:paraId="02E15ED7"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0EB2FB8A" w14:textId="77777777">
        <w:trPr>
          <w:trHeight w:val="509"/>
        </w:trPr>
        <w:tc>
          <w:tcPr>
            <w:tcW w:w="1200" w:type="dxa"/>
            <w:vMerge w:val="restart"/>
            <w:shd w:val="clear" w:color="auto" w:fill="BDD7EE"/>
            <w:vAlign w:val="center"/>
            <w:hideMark/>
          </w:tcPr>
          <w:p w14:paraId="1B001ABA"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6E0E0306"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2A96E987"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7A89ACB1"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3B562DF" w14:textId="77777777">
        <w:trPr>
          <w:trHeight w:val="509"/>
        </w:trPr>
        <w:tc>
          <w:tcPr>
            <w:tcW w:w="1200" w:type="dxa"/>
            <w:vMerge/>
            <w:vAlign w:val="center"/>
            <w:hideMark/>
          </w:tcPr>
          <w:p w14:paraId="03688CB7"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5CEB0911"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3FC7C10B"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6D45A41A" w14:textId="77777777" w:rsidR="00DC5EC6" w:rsidRDefault="00DC5EC6">
            <w:pPr>
              <w:spacing w:after="0" w:line="240" w:lineRule="auto"/>
              <w:rPr>
                <w:rFonts w:ascii="Times New Roman" w:eastAsia="Times New Roman" w:hAnsi="Times New Roman" w:cs="Times New Roman"/>
                <w:noProof/>
                <w:sz w:val="20"/>
              </w:rPr>
            </w:pPr>
          </w:p>
        </w:tc>
      </w:tr>
      <w:tr w:rsidR="00DC5EC6" w14:paraId="1570ABB6" w14:textId="77777777">
        <w:trPr>
          <w:trHeight w:val="440"/>
        </w:trPr>
        <w:tc>
          <w:tcPr>
            <w:tcW w:w="1200" w:type="dxa"/>
            <w:shd w:val="clear" w:color="auto" w:fill="C4EFCE"/>
            <w:vAlign w:val="center"/>
            <w:hideMark/>
          </w:tcPr>
          <w:p w14:paraId="009ECE5F" w14:textId="77777777" w:rsidR="00DC5EC6" w:rsidRDefault="003245A4">
            <w:pPr>
              <w:pStyle w:val="P68B1DB1-Normal23"/>
              <w:spacing w:after="0" w:line="240" w:lineRule="auto"/>
              <w:jc w:val="center"/>
              <w:rPr>
                <w:rFonts w:eastAsia="Times New Roman" w:cs="Calibri"/>
                <w:noProof/>
              </w:rPr>
            </w:pPr>
            <w:r>
              <w:rPr>
                <w:noProof/>
              </w:rPr>
              <w:t>5.30</w:t>
            </w:r>
          </w:p>
        </w:tc>
        <w:tc>
          <w:tcPr>
            <w:tcW w:w="1760" w:type="dxa"/>
            <w:shd w:val="clear" w:color="auto" w:fill="C4EFCE"/>
            <w:vAlign w:val="center"/>
            <w:hideMark/>
          </w:tcPr>
          <w:p w14:paraId="675FBF51"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5F3B7817"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077B04B8" w14:textId="77777777" w:rsidR="00DC5EC6" w:rsidRDefault="003245A4">
            <w:pPr>
              <w:pStyle w:val="P68B1DB1-Normal23"/>
              <w:spacing w:after="0" w:line="240" w:lineRule="auto"/>
              <w:jc w:val="both"/>
              <w:rPr>
                <w:rFonts w:eastAsia="Times New Roman" w:cs="Calibri"/>
                <w:noProof/>
              </w:rPr>
            </w:pPr>
            <w:r>
              <w:rPr>
                <w:noProof/>
              </w:rPr>
              <w:t>Az Európai Bizottság értesítése a BPF pilléralapú értékelésének sikeres teljesítéséről</w:t>
            </w:r>
          </w:p>
        </w:tc>
      </w:tr>
      <w:tr w:rsidR="00DC5EC6" w14:paraId="4F63CB2A" w14:textId="77777777">
        <w:trPr>
          <w:trHeight w:val="440"/>
        </w:trPr>
        <w:tc>
          <w:tcPr>
            <w:tcW w:w="1200" w:type="dxa"/>
            <w:shd w:val="clear" w:color="auto" w:fill="C4EFCE"/>
            <w:vAlign w:val="center"/>
            <w:hideMark/>
          </w:tcPr>
          <w:p w14:paraId="1E7826AF" w14:textId="77777777" w:rsidR="00DC5EC6" w:rsidRDefault="003245A4">
            <w:pPr>
              <w:pStyle w:val="P68B1DB1-Normal23"/>
              <w:spacing w:after="0" w:line="240" w:lineRule="auto"/>
              <w:jc w:val="center"/>
              <w:rPr>
                <w:rFonts w:eastAsia="Times New Roman" w:cs="Calibri"/>
                <w:noProof/>
              </w:rPr>
            </w:pPr>
            <w:r>
              <w:rPr>
                <w:noProof/>
              </w:rPr>
              <w:t>5.31</w:t>
            </w:r>
          </w:p>
        </w:tc>
        <w:tc>
          <w:tcPr>
            <w:tcW w:w="1760" w:type="dxa"/>
            <w:shd w:val="clear" w:color="auto" w:fill="C4EFCE"/>
            <w:vAlign w:val="center"/>
            <w:hideMark/>
          </w:tcPr>
          <w:p w14:paraId="0270B895" w14:textId="77777777" w:rsidR="00DC5EC6" w:rsidRDefault="003245A4">
            <w:pPr>
              <w:pStyle w:val="P68B1DB1-Normal23"/>
              <w:spacing w:after="0" w:line="240" w:lineRule="auto"/>
              <w:jc w:val="center"/>
              <w:rPr>
                <w:rFonts w:eastAsia="Times New Roman" w:cs="Calibri"/>
                <w:noProof/>
              </w:rPr>
            </w:pPr>
            <w:r>
              <w:rPr>
                <w:noProof/>
              </w:rPr>
              <w:t>Re-C05-i06 </w:t>
            </w:r>
          </w:p>
        </w:tc>
        <w:tc>
          <w:tcPr>
            <w:tcW w:w="1520" w:type="dxa"/>
            <w:shd w:val="clear" w:color="auto" w:fill="C4EFCE"/>
            <w:vAlign w:val="center"/>
            <w:hideMark/>
          </w:tcPr>
          <w:p w14:paraId="3965D7AA" w14:textId="77777777" w:rsidR="00DC5EC6" w:rsidRDefault="003245A4">
            <w:pPr>
              <w:pStyle w:val="P68B1DB1-Normal23"/>
              <w:spacing w:after="0" w:line="240" w:lineRule="auto"/>
              <w:jc w:val="center"/>
              <w:rPr>
                <w:rFonts w:eastAsia="Times New Roman" w:cs="Calibri"/>
                <w:noProof/>
              </w:rPr>
            </w:pPr>
            <w:r>
              <w:rPr>
                <w:noProof/>
              </w:rPr>
              <w:t>M</w:t>
            </w:r>
          </w:p>
        </w:tc>
        <w:tc>
          <w:tcPr>
            <w:tcW w:w="5060" w:type="dxa"/>
            <w:shd w:val="clear" w:color="auto" w:fill="C4EFCE"/>
            <w:vAlign w:val="center"/>
            <w:hideMark/>
          </w:tcPr>
          <w:p w14:paraId="130F5CB2" w14:textId="77777777" w:rsidR="00DC5EC6" w:rsidRDefault="003245A4">
            <w:pPr>
              <w:pStyle w:val="P68B1DB1-Normal23"/>
              <w:spacing w:after="0" w:line="240" w:lineRule="auto"/>
              <w:jc w:val="both"/>
              <w:rPr>
                <w:rFonts w:eastAsia="Times New Roman" w:cs="Calibri"/>
                <w:noProof/>
              </w:rPr>
            </w:pPr>
            <w:r>
              <w:rPr>
                <w:noProof/>
              </w:rPr>
              <w:t>250 000 000 EUR összegű tőketranszfer a portugál kormány részéről a BPF részére és a BPF befektetési politikájának elfogadása</w:t>
            </w:r>
          </w:p>
        </w:tc>
      </w:tr>
      <w:tr w:rsidR="00DC5EC6" w14:paraId="5DF0FC8C" w14:textId="77777777">
        <w:trPr>
          <w:trHeight w:val="440"/>
        </w:trPr>
        <w:tc>
          <w:tcPr>
            <w:tcW w:w="1200" w:type="dxa"/>
            <w:shd w:val="clear" w:color="auto" w:fill="C4EFCE"/>
            <w:vAlign w:val="center"/>
            <w:hideMark/>
          </w:tcPr>
          <w:p w14:paraId="4275F46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422F0890"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216845AB"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3845844B" w14:textId="3DC80B07" w:rsidR="00DC5EC6" w:rsidRDefault="003245A4">
            <w:pPr>
              <w:pStyle w:val="P68B1DB1-Normal25"/>
              <w:spacing w:after="0" w:line="240" w:lineRule="auto"/>
              <w:jc w:val="center"/>
              <w:rPr>
                <w:rFonts w:cs="Calibri"/>
                <w:noProof/>
              </w:rPr>
            </w:pPr>
            <w:r>
              <w:rPr>
                <w:noProof/>
              </w:rPr>
              <w:t xml:space="preserve">·EURÓPAI BIZOTTSÁG 125 000 000 EUR </w:t>
            </w:r>
          </w:p>
        </w:tc>
      </w:tr>
    </w:tbl>
    <w:p w14:paraId="011575C2"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2F53405C"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27D8DBB2"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Harmadik kifizetési kérelem (hiteltámogatás): </w:t>
      </w:r>
    </w:p>
    <w:p w14:paraId="45710B93"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56F1D039" w14:textId="77777777">
        <w:trPr>
          <w:trHeight w:val="509"/>
          <w:tblHeader/>
        </w:trPr>
        <w:tc>
          <w:tcPr>
            <w:tcW w:w="1200" w:type="dxa"/>
            <w:vMerge w:val="restart"/>
            <w:shd w:val="clear" w:color="auto" w:fill="BDD7EE"/>
            <w:vAlign w:val="center"/>
            <w:hideMark/>
          </w:tcPr>
          <w:p w14:paraId="1CD5E8AC" w14:textId="77777777" w:rsidR="00DC5EC6" w:rsidRDefault="003245A4">
            <w:pPr>
              <w:pStyle w:val="P68B1DB1-Normal22"/>
              <w:keepNext/>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554BDD9C" w14:textId="77777777" w:rsidR="00DC5EC6" w:rsidRDefault="003245A4">
            <w:pPr>
              <w:pStyle w:val="P68B1DB1-Normal22"/>
              <w:keepNext/>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5A817C51" w14:textId="77777777" w:rsidR="00DC5EC6" w:rsidRDefault="003245A4">
            <w:pPr>
              <w:pStyle w:val="P68B1DB1-Normal22"/>
              <w:keepNext/>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348B16AE" w14:textId="77777777" w:rsidR="00DC5EC6" w:rsidRDefault="003245A4">
            <w:pPr>
              <w:pStyle w:val="P68B1DB1-Normal22"/>
              <w:keepNext/>
              <w:spacing w:after="0" w:line="240" w:lineRule="auto"/>
              <w:jc w:val="center"/>
              <w:rPr>
                <w:rFonts w:eastAsia="Times New Roman" w:cs="Times New Roman"/>
                <w:noProof/>
              </w:rPr>
            </w:pPr>
            <w:r>
              <w:rPr>
                <w:noProof/>
              </w:rPr>
              <w:t>Név</w:t>
            </w:r>
          </w:p>
        </w:tc>
      </w:tr>
      <w:tr w:rsidR="00DC5EC6" w14:paraId="54C48B88" w14:textId="77777777">
        <w:trPr>
          <w:trHeight w:val="509"/>
          <w:tblHeader/>
        </w:trPr>
        <w:tc>
          <w:tcPr>
            <w:tcW w:w="1200" w:type="dxa"/>
            <w:vMerge/>
            <w:vAlign w:val="center"/>
            <w:hideMark/>
          </w:tcPr>
          <w:p w14:paraId="15CE11B2"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1D899E3A"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4387D244"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4C9A4136" w14:textId="77777777" w:rsidR="00DC5EC6" w:rsidRDefault="00DC5EC6">
            <w:pPr>
              <w:spacing w:after="0" w:line="240" w:lineRule="auto"/>
              <w:rPr>
                <w:rFonts w:ascii="Times New Roman" w:eastAsia="Times New Roman" w:hAnsi="Times New Roman" w:cs="Times New Roman"/>
                <w:noProof/>
                <w:sz w:val="20"/>
              </w:rPr>
            </w:pPr>
          </w:p>
        </w:tc>
      </w:tr>
      <w:tr w:rsidR="00DC5EC6" w14:paraId="30E391F9" w14:textId="77777777">
        <w:trPr>
          <w:trHeight w:val="440"/>
        </w:trPr>
        <w:tc>
          <w:tcPr>
            <w:tcW w:w="1200" w:type="dxa"/>
            <w:shd w:val="clear" w:color="auto" w:fill="C4EFCE"/>
            <w:vAlign w:val="center"/>
          </w:tcPr>
          <w:p w14:paraId="1329D539" w14:textId="77777777" w:rsidR="00DC5EC6" w:rsidRDefault="003245A4">
            <w:pPr>
              <w:pStyle w:val="P68B1DB1-Normal23"/>
              <w:spacing w:after="0"/>
              <w:jc w:val="center"/>
              <w:rPr>
                <w:noProof/>
              </w:rPr>
            </w:pPr>
            <w:r>
              <w:rPr>
                <w:noProof/>
              </w:rPr>
              <w:t>2.20</w:t>
            </w:r>
          </w:p>
        </w:tc>
        <w:tc>
          <w:tcPr>
            <w:tcW w:w="1760" w:type="dxa"/>
            <w:shd w:val="clear" w:color="auto" w:fill="C4EFCE"/>
            <w:vAlign w:val="center"/>
          </w:tcPr>
          <w:p w14:paraId="46E5A600" w14:textId="77777777" w:rsidR="00DC5EC6" w:rsidRDefault="003245A4">
            <w:pPr>
              <w:pStyle w:val="P68B1DB1-Normal23"/>
              <w:spacing w:after="0"/>
              <w:jc w:val="center"/>
              <w:rPr>
                <w:noProof/>
              </w:rPr>
            </w:pPr>
            <w:r>
              <w:rPr>
                <w:noProof/>
              </w:rPr>
              <w:t>Re-C02-i05</w:t>
            </w:r>
          </w:p>
        </w:tc>
        <w:tc>
          <w:tcPr>
            <w:tcW w:w="1520" w:type="dxa"/>
            <w:shd w:val="clear" w:color="auto" w:fill="C4EFCE"/>
            <w:vAlign w:val="center"/>
          </w:tcPr>
          <w:p w14:paraId="731E33FA" w14:textId="77777777" w:rsidR="00DC5EC6" w:rsidRDefault="003245A4">
            <w:pPr>
              <w:pStyle w:val="P68B1DB1-Normal23"/>
              <w:spacing w:after="0"/>
              <w:jc w:val="center"/>
              <w:rPr>
                <w:noProof/>
              </w:rPr>
            </w:pPr>
            <w:r>
              <w:rPr>
                <w:noProof/>
              </w:rPr>
              <w:t>T</w:t>
            </w:r>
          </w:p>
        </w:tc>
        <w:tc>
          <w:tcPr>
            <w:tcW w:w="5060" w:type="dxa"/>
            <w:shd w:val="clear" w:color="auto" w:fill="C4EFCE"/>
            <w:vAlign w:val="center"/>
          </w:tcPr>
          <w:p w14:paraId="68BCDFD3" w14:textId="77777777" w:rsidR="00DC5EC6" w:rsidRDefault="003245A4">
            <w:pPr>
              <w:pStyle w:val="P68B1DB1-Normal23"/>
              <w:spacing w:after="0"/>
              <w:jc w:val="both"/>
              <w:rPr>
                <w:noProof/>
              </w:rPr>
            </w:pPr>
            <w:r>
              <w:rPr>
                <w:noProof/>
              </w:rPr>
              <w:t>Megfizethető közlakásállomány – Megkezdődő lakások (magas energiahatékonysággal vagy jobb energiahatékonysággal helyreállítva)</w:t>
            </w:r>
          </w:p>
        </w:tc>
      </w:tr>
      <w:tr w:rsidR="00DC5EC6" w14:paraId="74203895" w14:textId="77777777">
        <w:trPr>
          <w:trHeight w:val="440"/>
        </w:trPr>
        <w:tc>
          <w:tcPr>
            <w:tcW w:w="1200" w:type="dxa"/>
            <w:shd w:val="clear" w:color="auto" w:fill="C4EFCE"/>
            <w:vAlign w:val="center"/>
            <w:hideMark/>
          </w:tcPr>
          <w:p w14:paraId="2563BBA6" w14:textId="77777777" w:rsidR="00DC5EC6" w:rsidRDefault="003245A4">
            <w:pPr>
              <w:pStyle w:val="P68B1DB1-Normal23"/>
              <w:spacing w:after="0"/>
              <w:jc w:val="center"/>
              <w:rPr>
                <w:noProof/>
              </w:rPr>
            </w:pPr>
            <w:r>
              <w:rPr>
                <w:noProof/>
              </w:rPr>
              <w:t>2.25</w:t>
            </w:r>
          </w:p>
        </w:tc>
        <w:tc>
          <w:tcPr>
            <w:tcW w:w="1760" w:type="dxa"/>
            <w:shd w:val="clear" w:color="auto" w:fill="C4EFCE"/>
            <w:vAlign w:val="center"/>
            <w:hideMark/>
          </w:tcPr>
          <w:p w14:paraId="7E22A000" w14:textId="77777777" w:rsidR="00DC5EC6" w:rsidRDefault="003245A4">
            <w:pPr>
              <w:pStyle w:val="P68B1DB1-Normal23"/>
              <w:spacing w:after="0"/>
              <w:jc w:val="center"/>
              <w:rPr>
                <w:noProof/>
              </w:rPr>
            </w:pPr>
            <w:r>
              <w:rPr>
                <w:noProof/>
              </w:rPr>
              <w:t>Re-C02-i06</w:t>
            </w:r>
          </w:p>
        </w:tc>
        <w:tc>
          <w:tcPr>
            <w:tcW w:w="1520" w:type="dxa"/>
            <w:shd w:val="clear" w:color="auto" w:fill="C4EFCE"/>
            <w:vAlign w:val="center"/>
            <w:hideMark/>
          </w:tcPr>
          <w:p w14:paraId="116111E5" w14:textId="77777777" w:rsidR="00DC5EC6" w:rsidRDefault="003245A4">
            <w:pPr>
              <w:pStyle w:val="P68B1DB1-Normal23"/>
              <w:spacing w:after="0"/>
              <w:jc w:val="center"/>
              <w:rPr>
                <w:noProof/>
              </w:rPr>
            </w:pPr>
            <w:r>
              <w:rPr>
                <w:noProof/>
              </w:rPr>
              <w:t>T</w:t>
            </w:r>
          </w:p>
        </w:tc>
        <w:tc>
          <w:tcPr>
            <w:tcW w:w="5060" w:type="dxa"/>
            <w:shd w:val="clear" w:color="auto" w:fill="C4EFCE"/>
            <w:vAlign w:val="center"/>
            <w:hideMark/>
          </w:tcPr>
          <w:p w14:paraId="53F83543" w14:textId="77777777" w:rsidR="00DC5EC6" w:rsidRDefault="003245A4">
            <w:pPr>
              <w:pStyle w:val="P68B1DB1-Normal23"/>
              <w:spacing w:after="0"/>
              <w:jc w:val="both"/>
              <w:rPr>
                <w:noProof/>
              </w:rPr>
            </w:pPr>
            <w:r>
              <w:rPr>
                <w:noProof/>
              </w:rPr>
              <w:t>Hallgatói szállás megfizethető áron – a meghirdetett pályázatokon részt vevő diákszálláshelyek száma</w:t>
            </w:r>
          </w:p>
        </w:tc>
      </w:tr>
      <w:tr w:rsidR="00DC5EC6" w14:paraId="30722990" w14:textId="77777777">
        <w:trPr>
          <w:trHeight w:val="440"/>
        </w:trPr>
        <w:tc>
          <w:tcPr>
            <w:tcW w:w="1200" w:type="dxa"/>
            <w:shd w:val="clear" w:color="auto" w:fill="C4EFCE"/>
            <w:vAlign w:val="center"/>
            <w:hideMark/>
          </w:tcPr>
          <w:p w14:paraId="1327A5E4" w14:textId="77777777" w:rsidR="00DC5EC6" w:rsidRDefault="003245A4">
            <w:pPr>
              <w:pStyle w:val="P68B1DB1-Normal23"/>
              <w:spacing w:after="0"/>
              <w:jc w:val="center"/>
              <w:rPr>
                <w:noProof/>
              </w:rPr>
            </w:pPr>
            <w:r>
              <w:rPr>
                <w:noProof/>
              </w:rPr>
              <w:t>5.24</w:t>
            </w:r>
          </w:p>
        </w:tc>
        <w:tc>
          <w:tcPr>
            <w:tcW w:w="1760" w:type="dxa"/>
            <w:shd w:val="clear" w:color="auto" w:fill="C4EFCE"/>
            <w:vAlign w:val="center"/>
            <w:hideMark/>
          </w:tcPr>
          <w:p w14:paraId="7313D5BF" w14:textId="77777777" w:rsidR="00DC5EC6" w:rsidRDefault="003245A4">
            <w:pPr>
              <w:pStyle w:val="P68B1DB1-Normal23"/>
              <w:spacing w:after="0"/>
              <w:jc w:val="center"/>
              <w:rPr>
                <w:noProof/>
              </w:rPr>
            </w:pPr>
            <w:r>
              <w:rPr>
                <w:noProof/>
              </w:rPr>
              <w:t xml:space="preserve"> Re-C05-r13</w:t>
            </w:r>
          </w:p>
        </w:tc>
        <w:tc>
          <w:tcPr>
            <w:tcW w:w="1520" w:type="dxa"/>
            <w:shd w:val="clear" w:color="auto" w:fill="C4EFCE"/>
            <w:vAlign w:val="center"/>
            <w:hideMark/>
          </w:tcPr>
          <w:p w14:paraId="5AFBE9E2"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D4879B7" w14:textId="77777777" w:rsidR="00DC5EC6" w:rsidRDefault="003245A4">
            <w:pPr>
              <w:pStyle w:val="P68B1DB1-Normal23"/>
              <w:spacing w:after="0"/>
              <w:jc w:val="both"/>
              <w:rPr>
                <w:noProof/>
              </w:rPr>
            </w:pPr>
            <w:r>
              <w:rPr>
                <w:noProof/>
              </w:rPr>
              <w:t>A kollektív befektetési vállalkozásokra vonatkozó jogi keret felülvizsgálatának hatálybalépése</w:t>
            </w:r>
          </w:p>
        </w:tc>
      </w:tr>
      <w:tr w:rsidR="00DC5EC6" w14:paraId="37C006F7" w14:textId="77777777">
        <w:trPr>
          <w:trHeight w:val="440"/>
        </w:trPr>
        <w:tc>
          <w:tcPr>
            <w:tcW w:w="1200" w:type="dxa"/>
            <w:shd w:val="clear" w:color="auto" w:fill="C4EFCE"/>
            <w:vAlign w:val="center"/>
            <w:hideMark/>
          </w:tcPr>
          <w:p w14:paraId="26B1491D" w14:textId="77777777" w:rsidR="00DC5EC6" w:rsidRDefault="003245A4">
            <w:pPr>
              <w:pStyle w:val="P68B1DB1-Normal23"/>
              <w:spacing w:after="0"/>
              <w:jc w:val="center"/>
              <w:rPr>
                <w:noProof/>
              </w:rPr>
            </w:pPr>
            <w:r>
              <w:rPr>
                <w:noProof/>
              </w:rPr>
              <w:t>5.25</w:t>
            </w:r>
          </w:p>
        </w:tc>
        <w:tc>
          <w:tcPr>
            <w:tcW w:w="1760" w:type="dxa"/>
            <w:shd w:val="clear" w:color="auto" w:fill="C4EFCE"/>
            <w:vAlign w:val="center"/>
            <w:hideMark/>
          </w:tcPr>
          <w:p w14:paraId="7A4EA22B" w14:textId="77777777" w:rsidR="00DC5EC6" w:rsidRDefault="003245A4">
            <w:pPr>
              <w:pStyle w:val="P68B1DB1-Normal23"/>
              <w:spacing w:after="0"/>
              <w:jc w:val="center"/>
              <w:rPr>
                <w:noProof/>
              </w:rPr>
            </w:pPr>
            <w:r>
              <w:rPr>
                <w:noProof/>
              </w:rPr>
              <w:t xml:space="preserve"> Re-C05-r13</w:t>
            </w:r>
          </w:p>
        </w:tc>
        <w:tc>
          <w:tcPr>
            <w:tcW w:w="1520" w:type="dxa"/>
            <w:shd w:val="clear" w:color="auto" w:fill="C4EFCE"/>
            <w:vAlign w:val="center"/>
            <w:hideMark/>
          </w:tcPr>
          <w:p w14:paraId="35B03426"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43CD5844" w14:textId="77777777" w:rsidR="00DC5EC6" w:rsidRDefault="003245A4">
            <w:pPr>
              <w:pStyle w:val="P68B1DB1-Normal23"/>
              <w:spacing w:after="0"/>
              <w:jc w:val="both"/>
              <w:rPr>
                <w:noProof/>
              </w:rPr>
            </w:pPr>
            <w:r>
              <w:rPr>
                <w:noProof/>
              </w:rPr>
              <w:t>Az értékpapírtörvény felülvizsgálatának hatálybalépése</w:t>
            </w:r>
          </w:p>
        </w:tc>
      </w:tr>
      <w:tr w:rsidR="00DC5EC6" w14:paraId="3107CF2B" w14:textId="77777777">
        <w:trPr>
          <w:trHeight w:val="440"/>
        </w:trPr>
        <w:tc>
          <w:tcPr>
            <w:tcW w:w="1200" w:type="dxa"/>
            <w:shd w:val="clear" w:color="auto" w:fill="C4EFCE"/>
            <w:vAlign w:val="center"/>
            <w:hideMark/>
          </w:tcPr>
          <w:p w14:paraId="5CD7F889" w14:textId="77777777" w:rsidR="00DC5EC6" w:rsidRDefault="003245A4">
            <w:pPr>
              <w:pStyle w:val="P68B1DB1-Normal23"/>
              <w:spacing w:after="0"/>
              <w:jc w:val="center"/>
              <w:rPr>
                <w:noProof/>
              </w:rPr>
            </w:pPr>
            <w:r>
              <w:rPr>
                <w:noProof/>
              </w:rPr>
              <w:t>7.9</w:t>
            </w:r>
          </w:p>
        </w:tc>
        <w:tc>
          <w:tcPr>
            <w:tcW w:w="1760" w:type="dxa"/>
            <w:shd w:val="clear" w:color="auto" w:fill="C4EFCE"/>
            <w:vAlign w:val="center"/>
            <w:hideMark/>
          </w:tcPr>
          <w:p w14:paraId="6466928F" w14:textId="77777777" w:rsidR="00DC5EC6" w:rsidRDefault="003245A4">
            <w:pPr>
              <w:pStyle w:val="P68B1DB1-Normal23"/>
              <w:spacing w:after="0"/>
              <w:jc w:val="center"/>
              <w:rPr>
                <w:noProof/>
              </w:rPr>
            </w:pPr>
            <w:r>
              <w:rPr>
                <w:noProof/>
              </w:rPr>
              <w:t xml:space="preserve">Re-C07-i03 </w:t>
            </w:r>
          </w:p>
        </w:tc>
        <w:tc>
          <w:tcPr>
            <w:tcW w:w="1520" w:type="dxa"/>
            <w:shd w:val="clear" w:color="auto" w:fill="C4EFCE"/>
            <w:vAlign w:val="center"/>
            <w:hideMark/>
          </w:tcPr>
          <w:p w14:paraId="4E115C47" w14:textId="77777777" w:rsidR="00DC5EC6" w:rsidRDefault="003245A4">
            <w:pPr>
              <w:pStyle w:val="P68B1DB1-Normal23"/>
              <w:spacing w:after="0"/>
              <w:jc w:val="center"/>
              <w:rPr>
                <w:noProof/>
              </w:rPr>
            </w:pPr>
            <w:r>
              <w:rPr>
                <w:noProof/>
              </w:rPr>
              <w:t>M</w:t>
            </w:r>
          </w:p>
        </w:tc>
        <w:tc>
          <w:tcPr>
            <w:tcW w:w="5060" w:type="dxa"/>
            <w:shd w:val="clear" w:color="auto" w:fill="C4EFCE"/>
            <w:vAlign w:val="center"/>
            <w:hideMark/>
          </w:tcPr>
          <w:p w14:paraId="0B0DF1F4" w14:textId="77777777" w:rsidR="00DC5EC6" w:rsidRDefault="003245A4">
            <w:pPr>
              <w:pStyle w:val="P68B1DB1-Normal23"/>
              <w:spacing w:after="0"/>
              <w:jc w:val="both"/>
              <w:rPr>
                <w:noProof/>
              </w:rPr>
            </w:pPr>
            <w:r>
              <w:rPr>
                <w:noProof/>
              </w:rPr>
              <w:t>Az első környezeti hatásvizsgálat lezárult</w:t>
            </w:r>
          </w:p>
        </w:tc>
      </w:tr>
      <w:tr w:rsidR="00DC5EC6" w14:paraId="652BE136" w14:textId="77777777">
        <w:trPr>
          <w:trHeight w:val="440"/>
        </w:trPr>
        <w:tc>
          <w:tcPr>
            <w:tcW w:w="1200" w:type="dxa"/>
            <w:shd w:val="clear" w:color="auto" w:fill="C4EFCE"/>
            <w:vAlign w:val="center"/>
            <w:hideMark/>
          </w:tcPr>
          <w:p w14:paraId="13A380F0"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02962246"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4AD9BEA"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23433A9A" w14:textId="7B7D6100" w:rsidR="00DC5EC6" w:rsidRDefault="003245A4">
            <w:pPr>
              <w:pStyle w:val="P68B1DB1-Normal25"/>
              <w:spacing w:after="0" w:line="240" w:lineRule="auto"/>
              <w:jc w:val="center"/>
              <w:rPr>
                <w:rFonts w:cs="Calibri"/>
                <w:noProof/>
              </w:rPr>
            </w:pPr>
            <w:r>
              <w:rPr>
                <w:noProof/>
              </w:rPr>
              <w:t xml:space="preserve"> ·EURÓPAI BIZOTTSÁG 379 431 726 EUR</w:t>
            </w:r>
          </w:p>
        </w:tc>
      </w:tr>
    </w:tbl>
    <w:p w14:paraId="5F6BC874"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44F6034D"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2CE96FCC"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Negyedik kifizetési kérelem (hiteltámogatás): </w:t>
      </w:r>
    </w:p>
    <w:p w14:paraId="1272C240"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238EAFDB" w14:textId="77777777">
        <w:trPr>
          <w:trHeight w:val="1018"/>
        </w:trPr>
        <w:tc>
          <w:tcPr>
            <w:tcW w:w="1200" w:type="dxa"/>
            <w:shd w:val="clear" w:color="auto" w:fill="BDD7EE"/>
            <w:vAlign w:val="center"/>
            <w:hideMark/>
          </w:tcPr>
          <w:p w14:paraId="5792BC42"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shd w:val="clear" w:color="auto" w:fill="BDD7EE"/>
            <w:vAlign w:val="center"/>
            <w:hideMark/>
          </w:tcPr>
          <w:p w14:paraId="334D13DB"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shd w:val="clear" w:color="auto" w:fill="BDD7EE"/>
            <w:vAlign w:val="center"/>
            <w:hideMark/>
          </w:tcPr>
          <w:p w14:paraId="2EFF9745"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shd w:val="clear" w:color="auto" w:fill="BDD7EE"/>
            <w:vAlign w:val="center"/>
            <w:hideMark/>
          </w:tcPr>
          <w:p w14:paraId="1E5AFC53"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B0F91C7" w14:textId="77777777">
        <w:trPr>
          <w:trHeight w:val="440"/>
        </w:trPr>
        <w:tc>
          <w:tcPr>
            <w:tcW w:w="1200" w:type="dxa"/>
            <w:shd w:val="clear" w:color="auto" w:fill="C4EFCE"/>
            <w:vAlign w:val="center"/>
            <w:hideMark/>
          </w:tcPr>
          <w:p w14:paraId="33FD24C6" w14:textId="77777777" w:rsidR="00DC5EC6" w:rsidRDefault="003245A4">
            <w:pPr>
              <w:pStyle w:val="P68B1DB1-Normal23"/>
              <w:spacing w:after="0"/>
              <w:jc w:val="center"/>
              <w:rPr>
                <w:rFonts w:eastAsia="Calibri" w:cs="Calibri"/>
                <w:noProof/>
              </w:rPr>
            </w:pPr>
            <w:r>
              <w:rPr>
                <w:noProof/>
              </w:rPr>
              <w:t>5.44</w:t>
            </w:r>
          </w:p>
        </w:tc>
        <w:tc>
          <w:tcPr>
            <w:tcW w:w="1760" w:type="dxa"/>
            <w:shd w:val="clear" w:color="auto" w:fill="C4EFCE"/>
            <w:vAlign w:val="center"/>
            <w:hideMark/>
          </w:tcPr>
          <w:p w14:paraId="11788CF6" w14:textId="77777777" w:rsidR="00DC5EC6" w:rsidRDefault="003245A4">
            <w:pPr>
              <w:pStyle w:val="P68B1DB1-Normal23"/>
              <w:spacing w:after="0"/>
              <w:jc w:val="center"/>
              <w:rPr>
                <w:rFonts w:eastAsia="Calibri" w:cs="Calibri"/>
                <w:noProof/>
              </w:rPr>
            </w:pPr>
            <w:r>
              <w:rPr>
                <w:noProof/>
              </w:rPr>
              <w:t xml:space="preserve">Re-C05-i11 </w:t>
            </w:r>
          </w:p>
        </w:tc>
        <w:tc>
          <w:tcPr>
            <w:tcW w:w="1520" w:type="dxa"/>
            <w:shd w:val="clear" w:color="auto" w:fill="C4EFCE"/>
            <w:vAlign w:val="center"/>
            <w:hideMark/>
          </w:tcPr>
          <w:p w14:paraId="58C4625A"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0FDFE40"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 releváns stratégiai területeken (innovációs menetrendek).</w:t>
            </w:r>
          </w:p>
        </w:tc>
      </w:tr>
      <w:tr w:rsidR="00DC5EC6" w14:paraId="7151D914" w14:textId="77777777">
        <w:trPr>
          <w:trHeight w:val="440"/>
        </w:trPr>
        <w:tc>
          <w:tcPr>
            <w:tcW w:w="1200" w:type="dxa"/>
            <w:shd w:val="clear" w:color="auto" w:fill="C4EFCE"/>
            <w:vAlign w:val="center"/>
            <w:hideMark/>
          </w:tcPr>
          <w:p w14:paraId="0F583F70" w14:textId="77777777" w:rsidR="00DC5EC6" w:rsidRDefault="003245A4">
            <w:pPr>
              <w:pStyle w:val="P68B1DB1-Normal23"/>
              <w:spacing w:after="0"/>
              <w:jc w:val="center"/>
              <w:rPr>
                <w:rFonts w:eastAsia="Calibri" w:cs="Calibri"/>
                <w:noProof/>
              </w:rPr>
            </w:pPr>
            <w:r>
              <w:rPr>
                <w:noProof/>
              </w:rPr>
              <w:t>7.11</w:t>
            </w:r>
          </w:p>
        </w:tc>
        <w:tc>
          <w:tcPr>
            <w:tcW w:w="1760" w:type="dxa"/>
            <w:shd w:val="clear" w:color="auto" w:fill="C4EFCE"/>
            <w:vAlign w:val="center"/>
            <w:hideMark/>
          </w:tcPr>
          <w:p w14:paraId="478656E2" w14:textId="77777777" w:rsidR="00DC5EC6" w:rsidRDefault="003245A4">
            <w:pPr>
              <w:pStyle w:val="P68B1DB1-Normal23"/>
              <w:spacing w:after="0"/>
              <w:jc w:val="center"/>
              <w:rPr>
                <w:rFonts w:eastAsia="Calibri" w:cs="Calibri"/>
                <w:noProof/>
              </w:rPr>
            </w:pPr>
            <w:r>
              <w:rPr>
                <w:noProof/>
              </w:rPr>
              <w:t xml:space="preserve">Újra-C07–i04  </w:t>
            </w:r>
          </w:p>
        </w:tc>
        <w:tc>
          <w:tcPr>
            <w:tcW w:w="1520" w:type="dxa"/>
            <w:shd w:val="clear" w:color="auto" w:fill="C4EFCE"/>
            <w:vAlign w:val="center"/>
            <w:hideMark/>
          </w:tcPr>
          <w:p w14:paraId="07BFFE39"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6B8891E4" w14:textId="77777777" w:rsidR="00DC5EC6" w:rsidRDefault="003245A4">
            <w:pPr>
              <w:pStyle w:val="P68B1DB1-Normal23"/>
              <w:spacing w:after="0"/>
              <w:jc w:val="both"/>
              <w:rPr>
                <w:rFonts w:eastAsia="Calibri" w:cs="Calibri"/>
                <w:noProof/>
              </w:rPr>
            </w:pPr>
            <w:r>
              <w:rPr>
                <w:noProof/>
              </w:rPr>
              <w:t>10 közúti projektre aláírt szerződés</w:t>
            </w:r>
          </w:p>
        </w:tc>
      </w:tr>
      <w:tr w:rsidR="00DC5EC6" w14:paraId="2C020E91" w14:textId="77777777">
        <w:trPr>
          <w:trHeight w:val="440"/>
        </w:trPr>
        <w:tc>
          <w:tcPr>
            <w:tcW w:w="1200" w:type="dxa"/>
            <w:shd w:val="clear" w:color="auto" w:fill="C4EFCE"/>
            <w:vAlign w:val="center"/>
            <w:hideMark/>
          </w:tcPr>
          <w:p w14:paraId="6C01BAD7"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1969BD93"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089A606F"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2572465C" w14:textId="22F74E77" w:rsidR="00DC5EC6" w:rsidRDefault="003245A4">
            <w:pPr>
              <w:pStyle w:val="P68B1DB1-Normal25"/>
              <w:spacing w:after="0" w:line="240" w:lineRule="auto"/>
              <w:jc w:val="center"/>
              <w:rPr>
                <w:rFonts w:cs="Calibri"/>
                <w:noProof/>
              </w:rPr>
            </w:pPr>
            <w:r>
              <w:rPr>
                <w:noProof/>
              </w:rPr>
              <w:t xml:space="preserve">·EURÓPAI BIZOTTSÁG 235 337 423 EUR </w:t>
            </w:r>
          </w:p>
        </w:tc>
      </w:tr>
    </w:tbl>
    <w:p w14:paraId="1848AD6B"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Ötödik kifizetési kérelem (hiteltámogatás): </w:t>
      </w:r>
    </w:p>
    <w:p w14:paraId="3731A29C"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0A22D6D8" w14:textId="77777777">
        <w:trPr>
          <w:trHeight w:val="509"/>
        </w:trPr>
        <w:tc>
          <w:tcPr>
            <w:tcW w:w="1200" w:type="dxa"/>
            <w:vMerge w:val="restart"/>
            <w:shd w:val="clear" w:color="auto" w:fill="BDD7EE"/>
            <w:vAlign w:val="center"/>
            <w:hideMark/>
          </w:tcPr>
          <w:p w14:paraId="0638121E"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301BBB67"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32F1223B"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67BAF3AB"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655C06D0" w14:textId="77777777">
        <w:trPr>
          <w:trHeight w:val="509"/>
        </w:trPr>
        <w:tc>
          <w:tcPr>
            <w:tcW w:w="1200" w:type="dxa"/>
            <w:vMerge/>
            <w:vAlign w:val="center"/>
            <w:hideMark/>
          </w:tcPr>
          <w:p w14:paraId="7598C946"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016E741A"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0568ABB1"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1B8F5928" w14:textId="77777777" w:rsidR="00DC5EC6" w:rsidRDefault="00DC5EC6">
            <w:pPr>
              <w:spacing w:after="0" w:line="240" w:lineRule="auto"/>
              <w:rPr>
                <w:rFonts w:ascii="Times New Roman" w:eastAsia="Times New Roman" w:hAnsi="Times New Roman" w:cs="Times New Roman"/>
                <w:noProof/>
                <w:sz w:val="20"/>
              </w:rPr>
            </w:pPr>
          </w:p>
        </w:tc>
      </w:tr>
      <w:tr w:rsidR="00DC5EC6" w14:paraId="31A58DED" w14:textId="77777777">
        <w:trPr>
          <w:trHeight w:val="440"/>
        </w:trPr>
        <w:tc>
          <w:tcPr>
            <w:tcW w:w="1200" w:type="dxa"/>
            <w:shd w:val="clear" w:color="auto" w:fill="C4EFCE"/>
            <w:vAlign w:val="center"/>
            <w:hideMark/>
          </w:tcPr>
          <w:p w14:paraId="167E4BB8" w14:textId="77777777" w:rsidR="00DC5EC6" w:rsidRDefault="003245A4">
            <w:pPr>
              <w:pStyle w:val="P68B1DB1-Normal23"/>
              <w:spacing w:after="0"/>
              <w:jc w:val="center"/>
              <w:rPr>
                <w:rFonts w:eastAsia="Calibri" w:cs="Calibri"/>
                <w:noProof/>
              </w:rPr>
            </w:pPr>
            <w:r>
              <w:rPr>
                <w:noProof/>
              </w:rPr>
              <w:t>5.26</w:t>
            </w:r>
          </w:p>
        </w:tc>
        <w:tc>
          <w:tcPr>
            <w:tcW w:w="1760" w:type="dxa"/>
            <w:shd w:val="clear" w:color="auto" w:fill="C4EFCE"/>
            <w:vAlign w:val="center"/>
            <w:hideMark/>
          </w:tcPr>
          <w:p w14:paraId="062B8E17" w14:textId="77777777" w:rsidR="00DC5EC6" w:rsidRDefault="003245A4">
            <w:pPr>
              <w:pStyle w:val="P68B1DB1-Normal23"/>
              <w:spacing w:after="0"/>
              <w:jc w:val="center"/>
              <w:rPr>
                <w:rFonts w:eastAsia="Calibri" w:cs="Calibri"/>
                <w:noProof/>
              </w:rPr>
            </w:pPr>
            <w:r>
              <w:rPr>
                <w:noProof/>
              </w:rPr>
              <w:t>Re-C05-r13</w:t>
            </w:r>
          </w:p>
        </w:tc>
        <w:tc>
          <w:tcPr>
            <w:tcW w:w="1520" w:type="dxa"/>
            <w:shd w:val="clear" w:color="auto" w:fill="C4EFCE"/>
            <w:vAlign w:val="center"/>
            <w:hideMark/>
          </w:tcPr>
          <w:p w14:paraId="4FF6BD54"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7CA2977" w14:textId="77777777" w:rsidR="00DC5EC6" w:rsidRDefault="003245A4">
            <w:pPr>
              <w:pStyle w:val="P68B1DB1-Normal23"/>
              <w:spacing w:after="0"/>
              <w:jc w:val="both"/>
              <w:rPr>
                <w:rFonts w:eastAsia="Calibri" w:cs="Calibri"/>
                <w:noProof/>
              </w:rPr>
            </w:pPr>
            <w:r>
              <w:rPr>
                <w:noProof/>
              </w:rPr>
              <w:t>Tőkepiaci fejlődés – a jogszabályok hatálybalépése</w:t>
            </w:r>
          </w:p>
        </w:tc>
      </w:tr>
      <w:tr w:rsidR="00DC5EC6" w14:paraId="71DDD36A" w14:textId="77777777">
        <w:trPr>
          <w:trHeight w:val="440"/>
        </w:trPr>
        <w:tc>
          <w:tcPr>
            <w:tcW w:w="1200" w:type="dxa"/>
            <w:shd w:val="clear" w:color="auto" w:fill="C4EFCE"/>
            <w:vAlign w:val="center"/>
            <w:hideMark/>
          </w:tcPr>
          <w:p w14:paraId="374292D1" w14:textId="77777777" w:rsidR="00DC5EC6" w:rsidRDefault="003245A4">
            <w:pPr>
              <w:pStyle w:val="P68B1DB1-Normal23"/>
              <w:spacing w:after="0"/>
              <w:jc w:val="center"/>
              <w:rPr>
                <w:rFonts w:eastAsia="Calibri" w:cs="Calibri"/>
                <w:noProof/>
              </w:rPr>
            </w:pPr>
            <w:r>
              <w:rPr>
                <w:noProof/>
              </w:rPr>
              <w:t>5.43</w:t>
            </w:r>
          </w:p>
        </w:tc>
        <w:tc>
          <w:tcPr>
            <w:tcW w:w="1760" w:type="dxa"/>
            <w:shd w:val="clear" w:color="auto" w:fill="C4EFCE"/>
            <w:vAlign w:val="center"/>
            <w:hideMark/>
          </w:tcPr>
          <w:p w14:paraId="10072DFA" w14:textId="77777777" w:rsidR="00DC5EC6" w:rsidRDefault="003245A4">
            <w:pPr>
              <w:pStyle w:val="P68B1DB1-Normal23"/>
              <w:spacing w:after="0"/>
              <w:jc w:val="center"/>
              <w:rPr>
                <w:rFonts w:eastAsia="Calibri" w:cs="Calibri"/>
                <w:noProof/>
              </w:rPr>
            </w:pPr>
            <w:r>
              <w:rPr>
                <w:noProof/>
              </w:rPr>
              <w:t>Re-C05-i06</w:t>
            </w:r>
          </w:p>
        </w:tc>
        <w:tc>
          <w:tcPr>
            <w:tcW w:w="1520" w:type="dxa"/>
            <w:shd w:val="clear" w:color="auto" w:fill="C4EFCE"/>
            <w:vAlign w:val="center"/>
            <w:hideMark/>
          </w:tcPr>
          <w:p w14:paraId="7E7B7F52"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D07322" w14:textId="77777777" w:rsidR="00DC5EC6" w:rsidRDefault="003245A4">
            <w:pPr>
              <w:pStyle w:val="P68B1DB1-Normal23"/>
              <w:spacing w:after="0"/>
              <w:jc w:val="both"/>
              <w:rPr>
                <w:rFonts w:eastAsia="Calibri" w:cs="Calibri"/>
                <w:noProof/>
              </w:rPr>
            </w:pPr>
            <w:r>
              <w:rPr>
                <w:noProof/>
              </w:rPr>
              <w:t>Összesen 650 000 000 EUR tőkésítési eszközzel történő szállítás portugál nem pénzügyi vállalatok számára sajáttőke- és kvázitőke-támogatásban, befektetési politikájával összhangban</w:t>
            </w:r>
          </w:p>
        </w:tc>
      </w:tr>
      <w:tr w:rsidR="00DC5EC6" w14:paraId="67BDDC9F" w14:textId="77777777">
        <w:trPr>
          <w:trHeight w:val="440"/>
        </w:trPr>
        <w:tc>
          <w:tcPr>
            <w:tcW w:w="1200" w:type="dxa"/>
            <w:shd w:val="clear" w:color="auto" w:fill="C4EFCE"/>
            <w:vAlign w:val="center"/>
            <w:hideMark/>
          </w:tcPr>
          <w:p w14:paraId="66047135" w14:textId="77777777" w:rsidR="00DC5EC6" w:rsidRDefault="003245A4">
            <w:pPr>
              <w:pStyle w:val="P68B1DB1-Normal23"/>
              <w:spacing w:after="0"/>
              <w:jc w:val="center"/>
              <w:rPr>
                <w:rFonts w:eastAsia="Calibri" w:cs="Calibri"/>
                <w:noProof/>
              </w:rPr>
            </w:pPr>
            <w:r>
              <w:rPr>
                <w:noProof/>
              </w:rPr>
              <w:t>5.46</w:t>
            </w:r>
          </w:p>
        </w:tc>
        <w:tc>
          <w:tcPr>
            <w:tcW w:w="1760" w:type="dxa"/>
            <w:shd w:val="clear" w:color="auto" w:fill="C4EFCE"/>
            <w:vAlign w:val="center"/>
            <w:hideMark/>
          </w:tcPr>
          <w:p w14:paraId="5377E714" w14:textId="0B051042" w:rsidR="00DC5EC6" w:rsidRDefault="003245A4">
            <w:pPr>
              <w:pStyle w:val="P68B1DB1-Normal23"/>
              <w:spacing w:after="0"/>
              <w:jc w:val="center"/>
              <w:rPr>
                <w:rFonts w:eastAsia="Calibri" w:cs="Calibri"/>
                <w:noProof/>
              </w:rPr>
            </w:pPr>
            <w:r>
              <w:rPr>
                <w:noProof/>
              </w:rPr>
              <w:t>Re-C05–i12</w:t>
            </w:r>
          </w:p>
        </w:tc>
        <w:tc>
          <w:tcPr>
            <w:tcW w:w="1520" w:type="dxa"/>
            <w:shd w:val="clear" w:color="auto" w:fill="C4EFCE"/>
            <w:vAlign w:val="center"/>
            <w:hideMark/>
          </w:tcPr>
          <w:p w14:paraId="39E8C887"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3261A9DA"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 reziliencia és az éghajlatváltozáshoz való alkalmazkodás szempontjából releváns stratégiai területeken.</w:t>
            </w:r>
          </w:p>
        </w:tc>
      </w:tr>
      <w:tr w:rsidR="00DC5EC6" w14:paraId="783646DD" w14:textId="77777777">
        <w:trPr>
          <w:trHeight w:val="440"/>
        </w:trPr>
        <w:tc>
          <w:tcPr>
            <w:tcW w:w="1200" w:type="dxa"/>
            <w:shd w:val="clear" w:color="auto" w:fill="C4EFCE"/>
            <w:vAlign w:val="center"/>
            <w:hideMark/>
          </w:tcPr>
          <w:p w14:paraId="79C5A416" w14:textId="77777777" w:rsidR="00DC5EC6" w:rsidRDefault="003245A4">
            <w:pPr>
              <w:pStyle w:val="P68B1DB1-Normal23"/>
              <w:spacing w:after="0"/>
              <w:jc w:val="center"/>
              <w:rPr>
                <w:rFonts w:eastAsia="Calibri" w:cs="Calibri"/>
                <w:noProof/>
              </w:rPr>
            </w:pPr>
            <w:r>
              <w:rPr>
                <w:noProof/>
              </w:rPr>
              <w:t>9.10</w:t>
            </w:r>
          </w:p>
        </w:tc>
        <w:tc>
          <w:tcPr>
            <w:tcW w:w="1760" w:type="dxa"/>
            <w:shd w:val="clear" w:color="auto" w:fill="C4EFCE"/>
            <w:vAlign w:val="center"/>
            <w:hideMark/>
          </w:tcPr>
          <w:p w14:paraId="2E34E883" w14:textId="77777777" w:rsidR="00DC5EC6" w:rsidRDefault="003245A4">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3EC8C1A2"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6B927BD" w14:textId="77777777" w:rsidR="00DC5EC6" w:rsidRDefault="003245A4">
            <w:pPr>
              <w:pStyle w:val="P68B1DB1-Normal23"/>
              <w:spacing w:after="0"/>
              <w:jc w:val="both"/>
              <w:rPr>
                <w:rFonts w:eastAsia="Calibri" w:cs="Calibri"/>
                <w:noProof/>
              </w:rPr>
            </w:pPr>
            <w:r>
              <w:rPr>
                <w:noProof/>
              </w:rPr>
              <w:t>A jogszabályi kritériumoknak teljes mértékben és érdemben megfelelő pozitív környezeti hatásvizsgálattól, a gát, a víz- és napenergia-termelés és az öntözés aktualizált tervének elfogadásától függ, amely teljes mértékben figyelembe veszi a környezeti hatásvizsgálat valamennyi eredményét és feltételét.</w:t>
            </w:r>
          </w:p>
        </w:tc>
      </w:tr>
      <w:tr w:rsidR="00DC5EC6" w14:paraId="4044B104" w14:textId="77777777">
        <w:trPr>
          <w:trHeight w:val="440"/>
        </w:trPr>
        <w:tc>
          <w:tcPr>
            <w:tcW w:w="1200" w:type="dxa"/>
            <w:shd w:val="clear" w:color="auto" w:fill="C4EFCE"/>
            <w:vAlign w:val="center"/>
            <w:hideMark/>
          </w:tcPr>
          <w:p w14:paraId="554977E2" w14:textId="77777777" w:rsidR="00DC5EC6" w:rsidRDefault="003245A4">
            <w:pPr>
              <w:pStyle w:val="P68B1DB1-Normal23"/>
              <w:spacing w:after="0"/>
              <w:jc w:val="center"/>
              <w:rPr>
                <w:rFonts w:eastAsia="Calibri" w:cs="Calibri"/>
                <w:noProof/>
              </w:rPr>
            </w:pPr>
            <w:r>
              <w:rPr>
                <w:noProof/>
              </w:rPr>
              <w:t>10.5</w:t>
            </w:r>
          </w:p>
        </w:tc>
        <w:tc>
          <w:tcPr>
            <w:tcW w:w="1760" w:type="dxa"/>
            <w:shd w:val="clear" w:color="auto" w:fill="C4EFCE"/>
            <w:vAlign w:val="center"/>
            <w:hideMark/>
          </w:tcPr>
          <w:p w14:paraId="7E88ECA5" w14:textId="77777777" w:rsidR="00DC5EC6" w:rsidRDefault="003245A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65EB6416"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126B7A6F" w14:textId="77777777" w:rsidR="00DC5EC6" w:rsidRDefault="003245A4">
            <w:pPr>
              <w:pStyle w:val="P68B1DB1-Normal23"/>
              <w:spacing w:after="0"/>
              <w:jc w:val="both"/>
              <w:rPr>
                <w:rFonts w:eastAsia="Calibri" w:cs="Calibri"/>
                <w:noProof/>
              </w:rPr>
            </w:pPr>
            <w:r>
              <w:rPr>
                <w:noProof/>
              </w:rPr>
              <w:t>A „Többfunkciós haditengerészeti platform” és az „Üzemeltetési Központ” szerződésének aláírása</w:t>
            </w:r>
          </w:p>
        </w:tc>
      </w:tr>
      <w:tr w:rsidR="00DC5EC6" w14:paraId="2B9DFF49" w14:textId="77777777">
        <w:trPr>
          <w:trHeight w:val="440"/>
        </w:trPr>
        <w:tc>
          <w:tcPr>
            <w:tcW w:w="1200" w:type="dxa"/>
            <w:shd w:val="clear" w:color="auto" w:fill="C4EFCE"/>
            <w:vAlign w:val="center"/>
            <w:hideMark/>
          </w:tcPr>
          <w:p w14:paraId="2647C53D" w14:textId="77777777" w:rsidR="00DC5EC6" w:rsidRDefault="003245A4">
            <w:pPr>
              <w:pStyle w:val="P68B1DB1-Normal23"/>
              <w:spacing w:after="0"/>
              <w:jc w:val="center"/>
              <w:rPr>
                <w:rFonts w:eastAsia="Calibri" w:cs="Calibri"/>
                <w:noProof/>
              </w:rPr>
            </w:pPr>
            <w:r>
              <w:rPr>
                <w:noProof/>
              </w:rPr>
              <w:t>10.6</w:t>
            </w:r>
          </w:p>
        </w:tc>
        <w:tc>
          <w:tcPr>
            <w:tcW w:w="1760" w:type="dxa"/>
            <w:shd w:val="clear" w:color="auto" w:fill="C4EFCE"/>
            <w:vAlign w:val="center"/>
            <w:hideMark/>
          </w:tcPr>
          <w:p w14:paraId="2A668662" w14:textId="77777777" w:rsidR="00DC5EC6" w:rsidRDefault="003245A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3A3E338C"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F4C4272" w14:textId="77777777" w:rsidR="00DC5EC6" w:rsidRDefault="003245A4">
            <w:pPr>
              <w:pStyle w:val="P68B1DB1-Normal23"/>
              <w:spacing w:after="0"/>
              <w:jc w:val="both"/>
              <w:rPr>
                <w:rFonts w:eastAsia="Calibri" w:cs="Calibri"/>
                <w:noProof/>
              </w:rPr>
            </w:pPr>
            <w:r>
              <w:rPr>
                <w:noProof/>
              </w:rPr>
              <w:t>Az Alfeite Arsenal Akadémia véglegesítése</w:t>
            </w:r>
          </w:p>
        </w:tc>
      </w:tr>
      <w:tr w:rsidR="00DC5EC6" w14:paraId="6D18500A" w14:textId="77777777">
        <w:trPr>
          <w:trHeight w:val="440"/>
        </w:trPr>
        <w:tc>
          <w:tcPr>
            <w:tcW w:w="1200" w:type="dxa"/>
            <w:shd w:val="clear" w:color="auto" w:fill="C4EFCE"/>
            <w:vAlign w:val="center"/>
            <w:hideMark/>
          </w:tcPr>
          <w:p w14:paraId="67574E56" w14:textId="77777777" w:rsidR="00DC5EC6" w:rsidRDefault="003245A4">
            <w:pPr>
              <w:pStyle w:val="P68B1DB1-Normal23"/>
              <w:spacing w:after="0"/>
              <w:jc w:val="center"/>
              <w:rPr>
                <w:rFonts w:eastAsia="Calibri" w:cs="Calibri"/>
                <w:noProof/>
              </w:rPr>
            </w:pPr>
            <w:r>
              <w:rPr>
                <w:noProof/>
              </w:rPr>
              <w:t>10.17</w:t>
            </w:r>
          </w:p>
        </w:tc>
        <w:tc>
          <w:tcPr>
            <w:tcW w:w="1760" w:type="dxa"/>
            <w:shd w:val="clear" w:color="auto" w:fill="C4EFCE"/>
            <w:vAlign w:val="center"/>
            <w:hideMark/>
          </w:tcPr>
          <w:p w14:paraId="1B6529A3" w14:textId="77777777" w:rsidR="00DC5EC6" w:rsidRDefault="003245A4">
            <w:pPr>
              <w:pStyle w:val="P68B1DB1-Normal23"/>
              <w:spacing w:after="0"/>
              <w:jc w:val="center"/>
              <w:rPr>
                <w:rFonts w:eastAsia="Calibri" w:cs="Calibri"/>
                <w:noProof/>
              </w:rPr>
            </w:pPr>
            <w:r>
              <w:rPr>
                <w:noProof/>
              </w:rPr>
              <w:t>TC-C10–i07</w:t>
            </w:r>
          </w:p>
        </w:tc>
        <w:tc>
          <w:tcPr>
            <w:tcW w:w="1520" w:type="dxa"/>
            <w:shd w:val="clear" w:color="auto" w:fill="C4EFCE"/>
            <w:vAlign w:val="center"/>
            <w:hideMark/>
          </w:tcPr>
          <w:p w14:paraId="12FB1760"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5BC8A74" w14:textId="77777777" w:rsidR="00DC5EC6" w:rsidRDefault="003245A4">
            <w:pPr>
              <w:pStyle w:val="P68B1DB1-Normal23"/>
              <w:spacing w:after="0"/>
              <w:jc w:val="both"/>
              <w:rPr>
                <w:rFonts w:eastAsia="Calibri" w:cs="Calibri"/>
                <w:noProof/>
              </w:rPr>
            </w:pPr>
            <w:r>
              <w:rPr>
                <w:noProof/>
              </w:rPr>
              <w:t>Ajánlati felhívás közzététele a hajók dekarbonizációjára</w:t>
            </w:r>
          </w:p>
        </w:tc>
      </w:tr>
      <w:tr w:rsidR="00DC5EC6" w14:paraId="433CADC7" w14:textId="77777777">
        <w:trPr>
          <w:trHeight w:val="440"/>
        </w:trPr>
        <w:tc>
          <w:tcPr>
            <w:tcW w:w="1200" w:type="dxa"/>
            <w:shd w:val="clear" w:color="auto" w:fill="C4EFCE"/>
            <w:vAlign w:val="center"/>
            <w:hideMark/>
          </w:tcPr>
          <w:p w14:paraId="58C38FE9"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174B648"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5581E3C9"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730C8AFB" w14:textId="36EB2DD1" w:rsidR="00DC5EC6" w:rsidRDefault="003245A4">
            <w:pPr>
              <w:pStyle w:val="P68B1DB1-Normal25"/>
              <w:spacing w:after="0" w:line="240" w:lineRule="auto"/>
              <w:jc w:val="center"/>
              <w:rPr>
                <w:rFonts w:cs="Calibri"/>
                <w:noProof/>
              </w:rPr>
            </w:pPr>
            <w:r>
              <w:rPr>
                <w:noProof/>
              </w:rPr>
              <w:t xml:space="preserve"> ·EURÓPAI BIZOTTSÁG 1 313 054 513 EUR </w:t>
            </w:r>
          </w:p>
        </w:tc>
      </w:tr>
    </w:tbl>
    <w:p w14:paraId="776DB0E1"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 xml:space="preserve">Hatodik kifizetési kérelem (hiteltámogatás): </w:t>
      </w:r>
    </w:p>
    <w:p w14:paraId="4627AFE2"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472DF692" w14:textId="77777777">
        <w:trPr>
          <w:trHeight w:val="1018"/>
        </w:trPr>
        <w:tc>
          <w:tcPr>
            <w:tcW w:w="1200" w:type="dxa"/>
            <w:shd w:val="clear" w:color="auto" w:fill="BDD7EE"/>
            <w:vAlign w:val="center"/>
            <w:hideMark/>
          </w:tcPr>
          <w:p w14:paraId="7B934C96"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shd w:val="clear" w:color="auto" w:fill="BDD7EE"/>
            <w:vAlign w:val="center"/>
            <w:hideMark/>
          </w:tcPr>
          <w:p w14:paraId="5CEE0E6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shd w:val="clear" w:color="auto" w:fill="BDD7EE"/>
            <w:vAlign w:val="center"/>
            <w:hideMark/>
          </w:tcPr>
          <w:p w14:paraId="33AA6AB1"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shd w:val="clear" w:color="auto" w:fill="BDD7EE"/>
            <w:vAlign w:val="center"/>
            <w:hideMark/>
          </w:tcPr>
          <w:p w14:paraId="2BCBDEC5"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248D56A1" w14:textId="77777777">
        <w:trPr>
          <w:trHeight w:val="440"/>
        </w:trPr>
        <w:tc>
          <w:tcPr>
            <w:tcW w:w="1200" w:type="dxa"/>
            <w:shd w:val="clear" w:color="auto" w:fill="C4EFCE"/>
            <w:vAlign w:val="center"/>
            <w:hideMark/>
          </w:tcPr>
          <w:p w14:paraId="4959120F" w14:textId="77777777" w:rsidR="00DC5EC6" w:rsidRDefault="003245A4">
            <w:pPr>
              <w:pStyle w:val="P68B1DB1-Normal23"/>
              <w:spacing w:after="0"/>
              <w:jc w:val="center"/>
              <w:rPr>
                <w:rFonts w:eastAsia="Calibri" w:cs="Calibri"/>
                <w:noProof/>
              </w:rPr>
            </w:pPr>
            <w:r>
              <w:rPr>
                <w:noProof/>
              </w:rPr>
              <w:t>15.7</w:t>
            </w:r>
          </w:p>
        </w:tc>
        <w:tc>
          <w:tcPr>
            <w:tcW w:w="1760" w:type="dxa"/>
            <w:shd w:val="clear" w:color="auto" w:fill="C4EFCE"/>
            <w:vAlign w:val="center"/>
            <w:hideMark/>
          </w:tcPr>
          <w:p w14:paraId="7916AD2D" w14:textId="27F376C2" w:rsidR="00DC5EC6" w:rsidRDefault="003245A4">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75FE8E7B"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41ACFDB1" w14:textId="77777777" w:rsidR="00DC5EC6" w:rsidRDefault="003245A4">
            <w:pPr>
              <w:pStyle w:val="P68B1DB1-Normal23"/>
              <w:spacing w:after="0"/>
              <w:jc w:val="both"/>
              <w:rPr>
                <w:rFonts w:eastAsia="Calibri" w:cs="Calibri"/>
                <w:noProof/>
              </w:rPr>
            </w:pPr>
            <w:r>
              <w:rPr>
                <w:noProof/>
              </w:rPr>
              <w:t>Az Odivelas és Loures közötti könnyű vasúti tranzitvonal megépítésére vonatkozó szerződés aláírása</w:t>
            </w:r>
          </w:p>
        </w:tc>
      </w:tr>
      <w:tr w:rsidR="00DC5EC6" w14:paraId="258C3A70" w14:textId="77777777">
        <w:trPr>
          <w:trHeight w:val="440"/>
        </w:trPr>
        <w:tc>
          <w:tcPr>
            <w:tcW w:w="1200" w:type="dxa"/>
            <w:shd w:val="clear" w:color="auto" w:fill="C4EFCE"/>
            <w:vAlign w:val="center"/>
          </w:tcPr>
          <w:p w14:paraId="0AE9FA9B" w14:textId="260E9AD6" w:rsidR="00DC5EC6" w:rsidRDefault="003245A4">
            <w:pPr>
              <w:pStyle w:val="P68B1DB1-Normal23"/>
              <w:spacing w:after="0"/>
              <w:jc w:val="center"/>
              <w:rPr>
                <w:rFonts w:eastAsia="Calibri" w:cs="Calibri"/>
                <w:noProof/>
              </w:rPr>
            </w:pPr>
            <w:r>
              <w:rPr>
                <w:noProof/>
              </w:rPr>
              <w:t>19.31</w:t>
            </w:r>
          </w:p>
        </w:tc>
        <w:tc>
          <w:tcPr>
            <w:tcW w:w="1760" w:type="dxa"/>
            <w:shd w:val="clear" w:color="auto" w:fill="C4EFCE"/>
            <w:vAlign w:val="center"/>
          </w:tcPr>
          <w:p w14:paraId="4D3FC2B5" w14:textId="1956D4BE" w:rsidR="00DC5EC6" w:rsidRDefault="003245A4">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221D6EA6" w14:textId="332C3E10"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5E2AA86D" w14:textId="4355B8C4" w:rsidR="00DC5EC6" w:rsidRDefault="003245A4">
            <w:pPr>
              <w:pStyle w:val="P68B1DB1-Normal23"/>
              <w:spacing w:after="0"/>
              <w:jc w:val="both"/>
              <w:rPr>
                <w:rFonts w:eastAsia="Calibri" w:cs="Calibri"/>
                <w:noProof/>
              </w:rPr>
            </w:pPr>
            <w:r>
              <w:rPr>
                <w:noProof/>
              </w:rPr>
              <w:t>A SIADAP-ot felülvizsgáló jogalkotási aktus hatálybalépése</w:t>
            </w:r>
          </w:p>
        </w:tc>
      </w:tr>
      <w:tr w:rsidR="00DC5EC6" w14:paraId="32B276DA" w14:textId="77777777">
        <w:trPr>
          <w:trHeight w:val="440"/>
        </w:trPr>
        <w:tc>
          <w:tcPr>
            <w:tcW w:w="1200" w:type="dxa"/>
            <w:shd w:val="clear" w:color="auto" w:fill="C4EFCE"/>
            <w:vAlign w:val="center"/>
          </w:tcPr>
          <w:p w14:paraId="762889A1" w14:textId="4A9DFF95" w:rsidR="00DC5EC6" w:rsidRDefault="003245A4">
            <w:pPr>
              <w:pStyle w:val="P68B1DB1-Normal23"/>
              <w:spacing w:after="0"/>
              <w:jc w:val="center"/>
              <w:rPr>
                <w:rFonts w:eastAsia="Calibri" w:cs="Calibri"/>
                <w:noProof/>
              </w:rPr>
            </w:pPr>
            <w:r>
              <w:rPr>
                <w:noProof/>
              </w:rPr>
              <w:t>19.32</w:t>
            </w:r>
          </w:p>
        </w:tc>
        <w:tc>
          <w:tcPr>
            <w:tcW w:w="1760" w:type="dxa"/>
            <w:shd w:val="clear" w:color="auto" w:fill="C4EFCE"/>
            <w:vAlign w:val="center"/>
          </w:tcPr>
          <w:p w14:paraId="0C34D2D0" w14:textId="2A62E2CD" w:rsidR="00DC5EC6" w:rsidRDefault="003245A4">
            <w:pPr>
              <w:pStyle w:val="P68B1DB1-Normal23"/>
              <w:spacing w:after="0"/>
              <w:jc w:val="center"/>
              <w:rPr>
                <w:rFonts w:eastAsia="Calibri" w:cs="Calibri"/>
                <w:noProof/>
              </w:rPr>
            </w:pPr>
            <w:r>
              <w:rPr>
                <w:noProof/>
              </w:rPr>
              <w:t xml:space="preserve">TD-C19–r42  </w:t>
            </w:r>
          </w:p>
        </w:tc>
        <w:tc>
          <w:tcPr>
            <w:tcW w:w="1520" w:type="dxa"/>
            <w:shd w:val="clear" w:color="auto" w:fill="C4EFCE"/>
            <w:vAlign w:val="center"/>
          </w:tcPr>
          <w:p w14:paraId="618829A3" w14:textId="2EA3ACFD"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tcPr>
          <w:p w14:paraId="3FB23545" w14:textId="58302992" w:rsidR="00DC5EC6" w:rsidRDefault="003245A4">
            <w:pPr>
              <w:pStyle w:val="P68B1DB1-Normal23"/>
              <w:spacing w:after="0"/>
              <w:jc w:val="both"/>
              <w:rPr>
                <w:rFonts w:eastAsia="Calibri" w:cs="Calibri"/>
                <w:noProof/>
              </w:rPr>
            </w:pPr>
            <w:r>
              <w:rPr>
                <w:noProof/>
              </w:rPr>
              <w:t>A közigazgatási hatáskörök profilját felülvizsgáló jogalkotási aktus hatálybalépése</w:t>
            </w:r>
          </w:p>
        </w:tc>
      </w:tr>
      <w:tr w:rsidR="00DC5EC6" w14:paraId="383E267E" w14:textId="77777777">
        <w:trPr>
          <w:trHeight w:val="440"/>
        </w:trPr>
        <w:tc>
          <w:tcPr>
            <w:tcW w:w="1200" w:type="dxa"/>
            <w:shd w:val="clear" w:color="auto" w:fill="C4EFCE"/>
            <w:vAlign w:val="center"/>
            <w:hideMark/>
          </w:tcPr>
          <w:p w14:paraId="5D412478" w14:textId="77777777" w:rsidR="00DC5EC6" w:rsidRDefault="003245A4">
            <w:pPr>
              <w:pStyle w:val="P68B1DB1-Normal23"/>
              <w:spacing w:after="0" w:line="240" w:lineRule="auto"/>
              <w:jc w:val="center"/>
              <w:rPr>
                <w:rFonts w:eastAsia="Times New Roman" w:cs="Calibri"/>
                <w:noProof/>
              </w:rPr>
            </w:pPr>
            <w:r>
              <w:rPr>
                <w:noProof/>
              </w:rPr>
              <w:t> </w:t>
            </w:r>
          </w:p>
        </w:tc>
        <w:tc>
          <w:tcPr>
            <w:tcW w:w="1760" w:type="dxa"/>
            <w:shd w:val="clear" w:color="auto" w:fill="C4EFCE"/>
            <w:vAlign w:val="center"/>
            <w:hideMark/>
          </w:tcPr>
          <w:p w14:paraId="27210276" w14:textId="77777777" w:rsidR="00DC5EC6" w:rsidRDefault="003245A4">
            <w:pPr>
              <w:pStyle w:val="P68B1DB1-Normal23"/>
              <w:spacing w:after="0" w:line="240" w:lineRule="auto"/>
              <w:rPr>
                <w:rFonts w:eastAsia="Times New Roman" w:cs="Calibri"/>
                <w:noProof/>
              </w:rPr>
            </w:pPr>
            <w:r>
              <w:rPr>
                <w:noProof/>
              </w:rPr>
              <w:t> </w:t>
            </w:r>
          </w:p>
        </w:tc>
        <w:tc>
          <w:tcPr>
            <w:tcW w:w="1520" w:type="dxa"/>
            <w:shd w:val="clear" w:color="auto" w:fill="C4EFCE"/>
            <w:vAlign w:val="center"/>
            <w:hideMark/>
          </w:tcPr>
          <w:p w14:paraId="38682DCD" w14:textId="77777777" w:rsidR="00DC5EC6" w:rsidRDefault="003245A4">
            <w:pPr>
              <w:pStyle w:val="P68B1DB1-Normal23"/>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0FB1EF83" w14:textId="29D26B48" w:rsidR="00DC5EC6" w:rsidRDefault="003245A4">
            <w:pPr>
              <w:pStyle w:val="P68B1DB1-Normal25"/>
              <w:spacing w:after="0" w:line="240" w:lineRule="auto"/>
              <w:jc w:val="center"/>
              <w:rPr>
                <w:rFonts w:cs="Calibri"/>
                <w:noProof/>
              </w:rPr>
            </w:pPr>
            <w:r>
              <w:rPr>
                <w:noProof/>
              </w:rPr>
              <w:t xml:space="preserve"> ·EURÓPAI BIZOTTSÁG 366 243 120 EUR </w:t>
            </w:r>
          </w:p>
        </w:tc>
      </w:tr>
    </w:tbl>
    <w:p w14:paraId="43578890"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B71B7AD"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Hetedik kifizetési kérelem (hiteltámogatás):</w:t>
      </w:r>
    </w:p>
    <w:p w14:paraId="24A030D4"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520"/>
        <w:gridCol w:w="5060"/>
      </w:tblGrid>
      <w:tr w:rsidR="00DC5EC6" w14:paraId="29B816DE" w14:textId="77777777">
        <w:trPr>
          <w:trHeight w:val="1018"/>
          <w:tblHeader/>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07E0BB5"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6E93FEA9"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E9D866A"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3C3A7570"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582BD1F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651F993" w14:textId="77777777" w:rsidR="00DC5EC6" w:rsidRDefault="003245A4">
            <w:pPr>
              <w:pStyle w:val="P68B1DB1-Normal23"/>
              <w:spacing w:after="0"/>
              <w:jc w:val="center"/>
              <w:rPr>
                <w:rFonts w:eastAsia="Calibri" w:cs="Calibri"/>
                <w:noProof/>
              </w:rPr>
            </w:pPr>
            <w:r>
              <w:rPr>
                <w:noProof/>
              </w:rPr>
              <w:t>2.21</w:t>
            </w:r>
          </w:p>
        </w:tc>
        <w:tc>
          <w:tcPr>
            <w:tcW w:w="1760" w:type="dxa"/>
            <w:tcBorders>
              <w:top w:val="nil"/>
              <w:left w:val="nil"/>
              <w:bottom w:val="single" w:sz="4" w:space="0" w:color="auto"/>
              <w:right w:val="single" w:sz="4" w:space="0" w:color="auto"/>
            </w:tcBorders>
            <w:shd w:val="clear" w:color="auto" w:fill="C4EFCE"/>
            <w:vAlign w:val="center"/>
          </w:tcPr>
          <w:p w14:paraId="61E03559" w14:textId="77777777" w:rsidR="00DC5EC6" w:rsidRDefault="003245A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716B72F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226738D" w14:textId="77777777" w:rsidR="00DC5EC6" w:rsidRDefault="003245A4">
            <w:pPr>
              <w:pStyle w:val="P68B1DB1-Normal23"/>
              <w:spacing w:after="0"/>
              <w:jc w:val="both"/>
              <w:rPr>
                <w:rFonts w:eastAsia="Calibri" w:cs="Calibri"/>
                <w:noProof/>
              </w:rPr>
            </w:pPr>
            <w:r>
              <w:rPr>
                <w:noProof/>
              </w:rPr>
              <w:t>Megfizethető közlakásállomány – Megkezdődő lakások (magas energiahatékonysággal vagy jobb energiahatékonysággal helyreállítva)</w:t>
            </w:r>
          </w:p>
        </w:tc>
      </w:tr>
      <w:tr w:rsidR="00DC5EC6" w14:paraId="0BF1C5F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4221612" w14:textId="77777777" w:rsidR="00DC5EC6" w:rsidRDefault="003245A4">
            <w:pPr>
              <w:pStyle w:val="P68B1DB1-Normal23"/>
              <w:spacing w:after="0"/>
              <w:jc w:val="center"/>
              <w:rPr>
                <w:rFonts w:eastAsia="Calibri" w:cs="Calibri"/>
                <w:noProof/>
              </w:rPr>
            </w:pPr>
            <w:r>
              <w:rPr>
                <w:noProof/>
              </w:rPr>
              <w:t>2.22</w:t>
            </w:r>
          </w:p>
        </w:tc>
        <w:tc>
          <w:tcPr>
            <w:tcW w:w="1760" w:type="dxa"/>
            <w:tcBorders>
              <w:top w:val="nil"/>
              <w:left w:val="nil"/>
              <w:bottom w:val="single" w:sz="4" w:space="0" w:color="auto"/>
              <w:right w:val="single" w:sz="4" w:space="0" w:color="auto"/>
            </w:tcBorders>
            <w:shd w:val="clear" w:color="auto" w:fill="C4EFCE"/>
            <w:vAlign w:val="center"/>
          </w:tcPr>
          <w:p w14:paraId="4AB56C42" w14:textId="77777777" w:rsidR="00DC5EC6" w:rsidRDefault="003245A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2D06F0E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7E5487FC" w14:textId="77777777" w:rsidR="00DC5EC6" w:rsidRDefault="003245A4">
            <w:pPr>
              <w:pStyle w:val="P68B1DB1-Normal23"/>
              <w:spacing w:after="0"/>
              <w:jc w:val="both"/>
              <w:rPr>
                <w:rFonts w:eastAsia="Calibri" w:cs="Calibri"/>
                <w:noProof/>
              </w:rPr>
            </w:pPr>
            <w:r>
              <w:rPr>
                <w:noProof/>
              </w:rPr>
              <w:t>Megfizethető állami lakásállomány – Célhoz kötött lakások (magas energiahatékonyságú vagy jobb energiahatékonyságú rehabilitált)</w:t>
            </w:r>
          </w:p>
        </w:tc>
      </w:tr>
      <w:tr w:rsidR="00DC5EC6" w14:paraId="3D12777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5451CB4" w14:textId="77777777" w:rsidR="00DC5EC6" w:rsidRDefault="003245A4">
            <w:pPr>
              <w:pStyle w:val="P68B1DB1-Normal23"/>
              <w:spacing w:after="0"/>
              <w:jc w:val="center"/>
              <w:rPr>
                <w:rFonts w:eastAsia="Calibri" w:cs="Calibri"/>
                <w:noProof/>
              </w:rPr>
            </w:pPr>
            <w:r>
              <w:rPr>
                <w:noProof/>
              </w:rPr>
              <w:t>2.26</w:t>
            </w:r>
          </w:p>
        </w:tc>
        <w:tc>
          <w:tcPr>
            <w:tcW w:w="1760" w:type="dxa"/>
            <w:tcBorders>
              <w:top w:val="nil"/>
              <w:left w:val="nil"/>
              <w:bottom w:val="single" w:sz="4" w:space="0" w:color="auto"/>
              <w:right w:val="single" w:sz="4" w:space="0" w:color="auto"/>
            </w:tcBorders>
            <w:shd w:val="clear" w:color="auto" w:fill="C4EFCE"/>
            <w:vAlign w:val="center"/>
          </w:tcPr>
          <w:p w14:paraId="576AFC28" w14:textId="77777777" w:rsidR="00DC5EC6" w:rsidRDefault="003245A4">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E587169"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62038BAE" w14:textId="77777777" w:rsidR="00DC5EC6" w:rsidRDefault="003245A4">
            <w:pPr>
              <w:pStyle w:val="P68B1DB1-Normal23"/>
              <w:spacing w:after="0"/>
              <w:jc w:val="both"/>
              <w:rPr>
                <w:rFonts w:eastAsia="Calibri" w:cs="Calibri"/>
                <w:noProof/>
              </w:rPr>
            </w:pPr>
            <w:r>
              <w:rPr>
                <w:noProof/>
              </w:rPr>
              <w:t>Hallgatói szállás megfizethető áron</w:t>
            </w:r>
          </w:p>
        </w:tc>
      </w:tr>
      <w:tr w:rsidR="00DC5EC6" w14:paraId="295142D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87CECBE" w14:textId="77777777" w:rsidR="00DC5EC6" w:rsidRDefault="003245A4">
            <w:pPr>
              <w:pStyle w:val="P68B1DB1-Normal23"/>
              <w:spacing w:after="0"/>
              <w:jc w:val="center"/>
              <w:rPr>
                <w:rFonts w:eastAsia="Calibri" w:cs="Calibri"/>
                <w:noProof/>
              </w:rPr>
            </w:pPr>
            <w:r>
              <w:rPr>
                <w:noProof/>
              </w:rPr>
              <w:t>6.28</w:t>
            </w:r>
          </w:p>
        </w:tc>
        <w:tc>
          <w:tcPr>
            <w:tcW w:w="1760" w:type="dxa"/>
            <w:tcBorders>
              <w:top w:val="nil"/>
              <w:left w:val="nil"/>
              <w:bottom w:val="single" w:sz="4" w:space="0" w:color="auto"/>
              <w:right w:val="single" w:sz="4" w:space="0" w:color="auto"/>
            </w:tcBorders>
            <w:shd w:val="clear" w:color="auto" w:fill="C4EFCE"/>
            <w:vAlign w:val="center"/>
          </w:tcPr>
          <w:p w14:paraId="3B92DB76" w14:textId="3F6FD07E" w:rsidR="00DC5EC6" w:rsidRDefault="003245A4">
            <w:pPr>
              <w:pStyle w:val="P68B1DB1-Normal23"/>
              <w:spacing w:after="0"/>
              <w:jc w:val="center"/>
              <w:rPr>
                <w:rFonts w:eastAsia="Calibri" w:cs="Calibri"/>
                <w:noProof/>
              </w:rPr>
            </w:pPr>
            <w:r>
              <w:rPr>
                <w:noProof/>
              </w:rPr>
              <w:t>Re-C06-i09</w:t>
            </w:r>
          </w:p>
        </w:tc>
        <w:tc>
          <w:tcPr>
            <w:tcW w:w="1520" w:type="dxa"/>
            <w:tcBorders>
              <w:top w:val="nil"/>
              <w:left w:val="nil"/>
              <w:bottom w:val="nil"/>
              <w:right w:val="single" w:sz="4" w:space="0" w:color="auto"/>
            </w:tcBorders>
            <w:shd w:val="clear" w:color="auto" w:fill="C4EFCE"/>
            <w:vAlign w:val="center"/>
          </w:tcPr>
          <w:p w14:paraId="0BFA1EAE"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nil"/>
              <w:right w:val="single" w:sz="4" w:space="0" w:color="auto"/>
            </w:tcBorders>
            <w:shd w:val="clear" w:color="auto" w:fill="C4EFCE"/>
            <w:vAlign w:val="center"/>
          </w:tcPr>
          <w:p w14:paraId="1577A067" w14:textId="77777777" w:rsidR="00DC5EC6" w:rsidRDefault="003245A4">
            <w:pPr>
              <w:pStyle w:val="P68B1DB1-Normal23"/>
              <w:spacing w:after="0"/>
              <w:jc w:val="both"/>
              <w:rPr>
                <w:rFonts w:eastAsia="Calibri" w:cs="Calibri"/>
                <w:noProof/>
              </w:rPr>
            </w:pPr>
            <w:r>
              <w:rPr>
                <w:noProof/>
              </w:rPr>
              <w:t>Az állami iskolák építésére és felújítására vonatkozó szerződések aláírása</w:t>
            </w:r>
          </w:p>
        </w:tc>
      </w:tr>
      <w:tr w:rsidR="00DC5EC6" w14:paraId="1EF6CC4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7D3CFE"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3899B9C9" w14:textId="77777777" w:rsidR="00DC5EC6" w:rsidRDefault="003245A4">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7C7921DE"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4E153749" w14:textId="0F77FEA4" w:rsidR="00DC5EC6" w:rsidRDefault="003245A4">
            <w:pPr>
              <w:pStyle w:val="P68B1DB1-Normal25"/>
              <w:spacing w:after="0" w:line="240" w:lineRule="auto"/>
              <w:jc w:val="center"/>
              <w:rPr>
                <w:rFonts w:cs="Calibri"/>
                <w:noProof/>
              </w:rPr>
            </w:pPr>
            <w:r>
              <w:rPr>
                <w:noProof/>
              </w:rPr>
              <w:t xml:space="preserve">·EURÓPAI BIZOTTSÁG 689 431 726 EUR </w:t>
            </w:r>
          </w:p>
        </w:tc>
      </w:tr>
    </w:tbl>
    <w:p w14:paraId="7D06A031"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656FC920" w14:textId="77777777" w:rsidR="00DC5EC6" w:rsidRDefault="003245A4">
      <w:pPr>
        <w:pStyle w:val="P68B1DB1-Normal4"/>
        <w:keepNext/>
        <w:numPr>
          <w:ilvl w:val="1"/>
          <w:numId w:val="19"/>
        </w:numPr>
        <w:spacing w:before="40" w:after="160" w:line="259" w:lineRule="auto"/>
        <w:contextualSpacing/>
        <w:jc w:val="both"/>
        <w:rPr>
          <w:rFonts w:eastAsiaTheme="minorEastAsia" w:cs="Times New Roman"/>
          <w:noProof/>
        </w:rPr>
      </w:pPr>
      <w:r>
        <w:rPr>
          <w:noProof/>
        </w:rPr>
        <w:t>Nyolcadik kifizetési kérelem (hiteltámogatás):</w:t>
      </w:r>
    </w:p>
    <w:p w14:paraId="0C83B8A2" w14:textId="77777777" w:rsidR="00DC5EC6" w:rsidRDefault="00DC5EC6">
      <w:pPr>
        <w:keepNext/>
        <w:spacing w:before="40" w:after="160" w:line="259" w:lineRule="auto"/>
        <w:ind w:left="360"/>
        <w:contextualSpacing/>
        <w:jc w:val="both"/>
        <w:rPr>
          <w:rFonts w:ascii="Times New Roman" w:eastAsiaTheme="minorEastAsia" w:hAnsi="Times New Roman" w:cs="Times New Roman"/>
          <w:noProof/>
          <w:sz w:val="24"/>
        </w:rPr>
      </w:pPr>
    </w:p>
    <w:tbl>
      <w:tblPr>
        <w:tblW w:w="0" w:type="auto"/>
        <w:tblInd w:w="108" w:type="dxa"/>
        <w:tblLook w:val="04A0" w:firstRow="1" w:lastRow="0" w:firstColumn="1" w:lastColumn="0" w:noHBand="0" w:noVBand="1"/>
      </w:tblPr>
      <w:tblGrid>
        <w:gridCol w:w="1200"/>
        <w:gridCol w:w="1760"/>
        <w:gridCol w:w="1520"/>
        <w:gridCol w:w="5060"/>
      </w:tblGrid>
      <w:tr w:rsidR="00DC5EC6" w14:paraId="1EB3D4C6"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344EC777"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4D46E4F0"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3C9BAAF"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5D0B89D7"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329A16C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67755" w14:textId="77777777" w:rsidR="00DC5EC6" w:rsidRDefault="003245A4">
            <w:pPr>
              <w:pStyle w:val="P68B1DB1-Normal23"/>
              <w:spacing w:after="0"/>
              <w:jc w:val="center"/>
              <w:rPr>
                <w:rFonts w:eastAsia="Calibri" w:cs="Calibri"/>
                <w:noProof/>
              </w:rPr>
            </w:pPr>
            <w:r>
              <w:rPr>
                <w:noProof/>
              </w:rPr>
              <w:t>15.8</w:t>
            </w:r>
          </w:p>
        </w:tc>
        <w:tc>
          <w:tcPr>
            <w:tcW w:w="1760" w:type="dxa"/>
            <w:tcBorders>
              <w:top w:val="nil"/>
              <w:left w:val="nil"/>
              <w:bottom w:val="single" w:sz="4" w:space="0" w:color="auto"/>
              <w:right w:val="single" w:sz="4" w:space="0" w:color="auto"/>
            </w:tcBorders>
            <w:shd w:val="clear" w:color="auto" w:fill="C4EFCE"/>
            <w:vAlign w:val="center"/>
          </w:tcPr>
          <w:p w14:paraId="514CFC0D" w14:textId="77777777" w:rsidR="00DC5EC6" w:rsidRDefault="003245A4">
            <w:pPr>
              <w:pStyle w:val="P68B1DB1-Normal23"/>
              <w:spacing w:after="0"/>
              <w:jc w:val="center"/>
              <w:rPr>
                <w:rFonts w:eastAsia="Calibri" w:cs="Calibri"/>
                <w:noProof/>
              </w:rPr>
            </w:pPr>
            <w:r>
              <w:rPr>
                <w:noProof/>
              </w:rPr>
              <w:t>TC-C15-i03</w:t>
            </w:r>
          </w:p>
        </w:tc>
        <w:tc>
          <w:tcPr>
            <w:tcW w:w="1520" w:type="dxa"/>
            <w:tcBorders>
              <w:top w:val="nil"/>
              <w:left w:val="nil"/>
              <w:bottom w:val="single" w:sz="4" w:space="0" w:color="auto"/>
              <w:right w:val="single" w:sz="4" w:space="0" w:color="auto"/>
            </w:tcBorders>
            <w:shd w:val="clear" w:color="auto" w:fill="C4EFCE"/>
            <w:vAlign w:val="center"/>
          </w:tcPr>
          <w:p w14:paraId="116E6873" w14:textId="77777777" w:rsidR="00DC5EC6" w:rsidRDefault="003245A4">
            <w:pPr>
              <w:pStyle w:val="P68B1DB1-Normal23"/>
              <w:spacing w:after="0"/>
              <w:jc w:val="center"/>
              <w:rPr>
                <w:rFonts w:eastAsia="Calibri" w:cs="Calibri"/>
                <w:noProof/>
              </w:rPr>
            </w:pPr>
            <w:r>
              <w:rPr>
                <w:noProof/>
              </w:rPr>
              <w:t>M</w:t>
            </w:r>
          </w:p>
        </w:tc>
        <w:tc>
          <w:tcPr>
            <w:tcW w:w="5060" w:type="dxa"/>
            <w:tcBorders>
              <w:top w:val="nil"/>
              <w:left w:val="nil"/>
              <w:bottom w:val="single" w:sz="4" w:space="0" w:color="auto"/>
              <w:right w:val="single" w:sz="4" w:space="0" w:color="auto"/>
            </w:tcBorders>
            <w:shd w:val="clear" w:color="auto" w:fill="C4EFCE"/>
            <w:vAlign w:val="center"/>
          </w:tcPr>
          <w:p w14:paraId="53A9C291" w14:textId="77777777" w:rsidR="00DC5EC6" w:rsidRDefault="003245A4">
            <w:pPr>
              <w:pStyle w:val="P68B1DB1-Normal23"/>
              <w:spacing w:after="0"/>
              <w:jc w:val="both"/>
              <w:rPr>
                <w:rFonts w:eastAsia="Calibri" w:cs="Calibri"/>
                <w:noProof/>
              </w:rPr>
            </w:pPr>
            <w:r>
              <w:rPr>
                <w:noProof/>
              </w:rPr>
              <w:t>Jelentés az Odivelas és Loures közötti könnyű vasúti tranzitvonal megépítéséről</w:t>
            </w:r>
          </w:p>
        </w:tc>
      </w:tr>
      <w:tr w:rsidR="00DC5EC6" w14:paraId="06662A9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18904BF" w14:textId="74BC30D7" w:rsidR="00DC5EC6" w:rsidRDefault="003245A4">
            <w:pPr>
              <w:pStyle w:val="P68B1DB1-Normal23"/>
              <w:spacing w:after="0"/>
              <w:jc w:val="center"/>
              <w:rPr>
                <w:rFonts w:eastAsia="Calibri" w:cs="Calibri"/>
                <w:noProof/>
              </w:rPr>
            </w:pPr>
            <w:r>
              <w:rPr>
                <w:noProof/>
              </w:rPr>
              <w:t>19.33</w:t>
            </w:r>
          </w:p>
        </w:tc>
        <w:tc>
          <w:tcPr>
            <w:tcW w:w="1760" w:type="dxa"/>
            <w:tcBorders>
              <w:top w:val="nil"/>
              <w:left w:val="nil"/>
              <w:bottom w:val="single" w:sz="4" w:space="0" w:color="auto"/>
              <w:right w:val="single" w:sz="4" w:space="0" w:color="auto"/>
            </w:tcBorders>
            <w:shd w:val="clear" w:color="auto" w:fill="C4EFCE"/>
            <w:vAlign w:val="center"/>
          </w:tcPr>
          <w:p w14:paraId="608803B4" w14:textId="72AAAB61" w:rsidR="00DC5EC6" w:rsidRDefault="003245A4">
            <w:pPr>
              <w:pStyle w:val="P68B1DB1-Normal23"/>
              <w:spacing w:after="0"/>
              <w:jc w:val="center"/>
              <w:rPr>
                <w:rFonts w:eastAsia="Calibri" w:cs="Calibri"/>
                <w:noProof/>
              </w:rPr>
            </w:pPr>
            <w:r>
              <w:rPr>
                <w:noProof/>
              </w:rPr>
              <w:t>TD-C19–r42</w:t>
            </w:r>
          </w:p>
        </w:tc>
        <w:tc>
          <w:tcPr>
            <w:tcW w:w="1520" w:type="dxa"/>
            <w:tcBorders>
              <w:top w:val="nil"/>
              <w:left w:val="nil"/>
              <w:bottom w:val="single" w:sz="4" w:space="0" w:color="auto"/>
              <w:right w:val="single" w:sz="4" w:space="0" w:color="auto"/>
            </w:tcBorders>
            <w:shd w:val="clear" w:color="auto" w:fill="C4EFCE"/>
            <w:vAlign w:val="center"/>
          </w:tcPr>
          <w:p w14:paraId="5D02F4F1" w14:textId="187D8B12"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557BB89C" w14:textId="234CFB7F" w:rsidR="00DC5EC6" w:rsidRDefault="003245A4">
            <w:pPr>
              <w:pStyle w:val="P68B1DB1-Normal23"/>
              <w:spacing w:after="0"/>
              <w:jc w:val="both"/>
              <w:rPr>
                <w:rFonts w:eastAsia="Calibri" w:cs="Calibri"/>
                <w:noProof/>
              </w:rPr>
            </w:pPr>
            <w:r>
              <w:rPr>
                <w:noProof/>
              </w:rPr>
              <w:t>Az új SIADAP-rendszer üzembe helyezése</w:t>
            </w:r>
          </w:p>
        </w:tc>
      </w:tr>
      <w:tr w:rsidR="00DC5EC6" w14:paraId="564D14E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5C67E166" w14:textId="77777777" w:rsidR="00DC5EC6" w:rsidRDefault="00DC5EC6">
            <w:pPr>
              <w:spacing w:after="0" w:line="240" w:lineRule="auto"/>
              <w:jc w:val="center"/>
              <w:rPr>
                <w:rFonts w:ascii="Calibri" w:eastAsia="Times New Roman" w:hAnsi="Calibri" w:cs="Calibri"/>
                <w:noProof/>
                <w:sz w:val="16"/>
              </w:rPr>
            </w:pPr>
          </w:p>
        </w:tc>
        <w:tc>
          <w:tcPr>
            <w:tcW w:w="1760" w:type="dxa"/>
            <w:tcBorders>
              <w:top w:val="nil"/>
              <w:left w:val="nil"/>
              <w:bottom w:val="single" w:sz="4" w:space="0" w:color="auto"/>
              <w:right w:val="single" w:sz="4" w:space="0" w:color="auto"/>
            </w:tcBorders>
            <w:shd w:val="clear" w:color="auto" w:fill="C4EFCE"/>
            <w:vAlign w:val="center"/>
          </w:tcPr>
          <w:p w14:paraId="183EE67D" w14:textId="77777777" w:rsidR="00DC5EC6" w:rsidRDefault="00DC5EC6">
            <w:pPr>
              <w:spacing w:after="0" w:line="240" w:lineRule="auto"/>
              <w:rPr>
                <w:rFonts w:ascii="Calibri" w:eastAsia="Times New Roman" w:hAnsi="Calibri" w:cs="Calibri"/>
                <w:noProof/>
                <w:sz w:val="16"/>
              </w:rPr>
            </w:pPr>
          </w:p>
        </w:tc>
        <w:tc>
          <w:tcPr>
            <w:tcW w:w="1520" w:type="dxa"/>
            <w:tcBorders>
              <w:top w:val="single" w:sz="4" w:space="0" w:color="auto"/>
              <w:left w:val="nil"/>
              <w:bottom w:val="single" w:sz="4" w:space="0" w:color="auto"/>
              <w:right w:val="single" w:sz="4" w:space="0" w:color="auto"/>
            </w:tcBorders>
            <w:shd w:val="clear" w:color="auto" w:fill="C4EFCE"/>
            <w:vAlign w:val="center"/>
          </w:tcPr>
          <w:p w14:paraId="401D1A7C"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378DCF0E" w14:textId="269A2A38" w:rsidR="00DC5EC6" w:rsidRDefault="003245A4">
            <w:pPr>
              <w:pStyle w:val="P68B1DB1-Normal25"/>
              <w:spacing w:after="0" w:line="240" w:lineRule="auto"/>
              <w:jc w:val="center"/>
              <w:rPr>
                <w:rFonts w:cs="Calibri"/>
                <w:noProof/>
              </w:rPr>
            </w:pPr>
            <w:r>
              <w:rPr>
                <w:noProof/>
              </w:rPr>
              <w:t xml:space="preserve">  ·EURÓPAI BIZOTTSÁG 235 337 423 EUR </w:t>
            </w:r>
          </w:p>
        </w:tc>
      </w:tr>
    </w:tbl>
    <w:p w14:paraId="66284420" w14:textId="567F52B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6D952C31" w14:textId="0ECD3B5B"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26AC6BB"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3CFC0334" w14:textId="77777777" w:rsidR="00DC5EC6" w:rsidRDefault="003245A4">
      <w:pPr>
        <w:pStyle w:val="ListParagraph"/>
        <w:numPr>
          <w:ilvl w:val="1"/>
          <w:numId w:val="19"/>
        </w:numPr>
        <w:spacing w:before="40" w:line="259" w:lineRule="auto"/>
        <w:rPr>
          <w:noProof/>
        </w:rPr>
      </w:pPr>
      <w:r>
        <w:rPr>
          <w:noProof/>
        </w:rPr>
        <w:t xml:space="preserve"> Kilencedik kifizetési kérelem (hiteltámogatás):</w:t>
      </w:r>
    </w:p>
    <w:tbl>
      <w:tblPr>
        <w:tblW w:w="0" w:type="auto"/>
        <w:tblInd w:w="108" w:type="dxa"/>
        <w:tblLook w:val="04A0" w:firstRow="1" w:lastRow="0" w:firstColumn="1" w:lastColumn="0" w:noHBand="0" w:noVBand="1"/>
      </w:tblPr>
      <w:tblGrid>
        <w:gridCol w:w="1200"/>
        <w:gridCol w:w="1760"/>
        <w:gridCol w:w="1520"/>
        <w:gridCol w:w="5060"/>
      </w:tblGrid>
      <w:tr w:rsidR="00DC5EC6" w14:paraId="1494D25F" w14:textId="77777777">
        <w:trPr>
          <w:trHeight w:val="1018"/>
        </w:trPr>
        <w:tc>
          <w:tcPr>
            <w:tcW w:w="1200" w:type="dxa"/>
            <w:tcBorders>
              <w:top w:val="single" w:sz="4" w:space="0" w:color="auto"/>
              <w:left w:val="single" w:sz="4" w:space="0" w:color="auto"/>
              <w:bottom w:val="single" w:sz="4" w:space="0" w:color="auto"/>
              <w:right w:val="single" w:sz="4" w:space="0" w:color="auto"/>
            </w:tcBorders>
            <w:shd w:val="clear" w:color="auto" w:fill="BDD7EE"/>
            <w:vAlign w:val="center"/>
          </w:tcPr>
          <w:p w14:paraId="2B13A76D"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tcBorders>
              <w:top w:val="single" w:sz="4" w:space="0" w:color="auto"/>
              <w:left w:val="single" w:sz="4" w:space="0" w:color="auto"/>
              <w:bottom w:val="single" w:sz="4" w:space="0" w:color="auto"/>
              <w:right w:val="single" w:sz="4" w:space="0" w:color="auto"/>
            </w:tcBorders>
            <w:shd w:val="clear" w:color="auto" w:fill="BDD7EE"/>
            <w:vAlign w:val="center"/>
          </w:tcPr>
          <w:p w14:paraId="2C0AC9A7"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tcBorders>
              <w:top w:val="single" w:sz="4" w:space="0" w:color="auto"/>
              <w:left w:val="single" w:sz="4" w:space="0" w:color="auto"/>
              <w:bottom w:val="single" w:sz="4" w:space="0" w:color="auto"/>
              <w:right w:val="single" w:sz="4" w:space="0" w:color="auto"/>
            </w:tcBorders>
            <w:shd w:val="clear" w:color="auto" w:fill="BDD7EE"/>
            <w:vAlign w:val="center"/>
          </w:tcPr>
          <w:p w14:paraId="34E6E954"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tcBorders>
              <w:top w:val="single" w:sz="4" w:space="0" w:color="auto"/>
              <w:left w:val="single" w:sz="4" w:space="0" w:color="auto"/>
              <w:bottom w:val="single" w:sz="4" w:space="0" w:color="auto"/>
              <w:right w:val="single" w:sz="4" w:space="0" w:color="auto"/>
            </w:tcBorders>
            <w:shd w:val="clear" w:color="auto" w:fill="BDD7EE"/>
            <w:vAlign w:val="center"/>
          </w:tcPr>
          <w:p w14:paraId="1992174E"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78D3922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C57417B" w14:textId="77777777" w:rsidR="00DC5EC6" w:rsidRDefault="003245A4">
            <w:pPr>
              <w:pStyle w:val="P68B1DB1-Normal23"/>
              <w:spacing w:after="0"/>
              <w:jc w:val="center"/>
              <w:rPr>
                <w:rFonts w:eastAsia="Calibri" w:cs="Calibri"/>
                <w:noProof/>
              </w:rPr>
            </w:pPr>
            <w:r>
              <w:rPr>
                <w:noProof/>
              </w:rPr>
              <w:t>2.23</w:t>
            </w:r>
          </w:p>
        </w:tc>
        <w:tc>
          <w:tcPr>
            <w:tcW w:w="1760" w:type="dxa"/>
            <w:tcBorders>
              <w:top w:val="nil"/>
              <w:left w:val="nil"/>
              <w:bottom w:val="single" w:sz="4" w:space="0" w:color="auto"/>
              <w:right w:val="single" w:sz="4" w:space="0" w:color="auto"/>
            </w:tcBorders>
            <w:shd w:val="clear" w:color="auto" w:fill="C4EFCE"/>
            <w:vAlign w:val="center"/>
          </w:tcPr>
          <w:p w14:paraId="2A77E3A7" w14:textId="77777777" w:rsidR="00DC5EC6" w:rsidRDefault="003245A4">
            <w:pPr>
              <w:pStyle w:val="P68B1DB1-Normal23"/>
              <w:spacing w:after="0"/>
              <w:jc w:val="center"/>
              <w:rPr>
                <w:rFonts w:eastAsia="Calibri" w:cs="Calibri"/>
                <w:noProof/>
              </w:rPr>
            </w:pPr>
            <w:r>
              <w:rPr>
                <w:noProof/>
              </w:rPr>
              <w:t>Re-C02-i05</w:t>
            </w:r>
          </w:p>
        </w:tc>
        <w:tc>
          <w:tcPr>
            <w:tcW w:w="1520" w:type="dxa"/>
            <w:tcBorders>
              <w:top w:val="nil"/>
              <w:left w:val="nil"/>
              <w:bottom w:val="single" w:sz="4" w:space="0" w:color="auto"/>
              <w:right w:val="single" w:sz="4" w:space="0" w:color="auto"/>
            </w:tcBorders>
            <w:shd w:val="clear" w:color="auto" w:fill="C4EFCE"/>
            <w:vAlign w:val="center"/>
          </w:tcPr>
          <w:p w14:paraId="54653A95"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4A8559D1" w14:textId="77777777" w:rsidR="00DC5EC6" w:rsidRDefault="003245A4">
            <w:pPr>
              <w:pStyle w:val="P68B1DB1-Normal23"/>
              <w:spacing w:after="0"/>
              <w:jc w:val="both"/>
              <w:rPr>
                <w:rFonts w:eastAsia="Calibri" w:cs="Calibri"/>
                <w:noProof/>
              </w:rPr>
            </w:pPr>
            <w:r>
              <w:rPr>
                <w:noProof/>
              </w:rPr>
              <w:t>Megfizethető állami lakásállomány – Célhoz kötött lakások (magas energiahatékonyságú vagy jobb energiahatékonyságú rehabilitált)</w:t>
            </w:r>
          </w:p>
        </w:tc>
      </w:tr>
      <w:tr w:rsidR="00DC5EC6" w14:paraId="78375D28"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79A92DF" w14:textId="77777777" w:rsidR="00DC5EC6" w:rsidRDefault="003245A4">
            <w:pPr>
              <w:pStyle w:val="P68B1DB1-Normal23"/>
              <w:spacing w:after="0"/>
              <w:jc w:val="center"/>
              <w:rPr>
                <w:rFonts w:eastAsia="Calibri" w:cs="Calibri"/>
                <w:noProof/>
              </w:rPr>
            </w:pPr>
            <w:r>
              <w:rPr>
                <w:noProof/>
              </w:rPr>
              <w:t>2.27</w:t>
            </w:r>
          </w:p>
        </w:tc>
        <w:tc>
          <w:tcPr>
            <w:tcW w:w="1760" w:type="dxa"/>
            <w:tcBorders>
              <w:top w:val="nil"/>
              <w:left w:val="nil"/>
              <w:bottom w:val="single" w:sz="4" w:space="0" w:color="auto"/>
              <w:right w:val="single" w:sz="4" w:space="0" w:color="auto"/>
            </w:tcBorders>
            <w:shd w:val="clear" w:color="auto" w:fill="C4EFCE"/>
            <w:vAlign w:val="center"/>
          </w:tcPr>
          <w:p w14:paraId="3001518D" w14:textId="77777777" w:rsidR="00DC5EC6" w:rsidRDefault="003245A4">
            <w:pPr>
              <w:pStyle w:val="P68B1DB1-Normal23"/>
              <w:spacing w:after="0"/>
              <w:jc w:val="center"/>
              <w:rPr>
                <w:rFonts w:eastAsia="Calibri" w:cs="Calibri"/>
                <w:noProof/>
              </w:rPr>
            </w:pPr>
            <w:r>
              <w:rPr>
                <w:noProof/>
              </w:rPr>
              <w:t>Re-C02-i06</w:t>
            </w:r>
          </w:p>
        </w:tc>
        <w:tc>
          <w:tcPr>
            <w:tcW w:w="1520" w:type="dxa"/>
            <w:tcBorders>
              <w:top w:val="nil"/>
              <w:left w:val="nil"/>
              <w:bottom w:val="single" w:sz="4" w:space="0" w:color="auto"/>
              <w:right w:val="single" w:sz="4" w:space="0" w:color="auto"/>
            </w:tcBorders>
            <w:shd w:val="clear" w:color="auto" w:fill="C4EFCE"/>
            <w:vAlign w:val="center"/>
          </w:tcPr>
          <w:p w14:paraId="3DA24E3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169F4C1B" w14:textId="77777777" w:rsidR="00DC5EC6" w:rsidRDefault="003245A4">
            <w:pPr>
              <w:pStyle w:val="P68B1DB1-Normal23"/>
              <w:spacing w:after="0"/>
              <w:jc w:val="both"/>
              <w:rPr>
                <w:rFonts w:eastAsia="Calibri" w:cs="Calibri"/>
                <w:noProof/>
              </w:rPr>
            </w:pPr>
            <w:r>
              <w:rPr>
                <w:noProof/>
              </w:rPr>
              <w:t>Hallgatói szállás megfizethető áron</w:t>
            </w:r>
          </w:p>
        </w:tc>
      </w:tr>
      <w:tr w:rsidR="00DC5EC6" w14:paraId="67D25657"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EFDADF4" w14:textId="77777777" w:rsidR="00DC5EC6" w:rsidRDefault="003245A4">
            <w:pPr>
              <w:pStyle w:val="P68B1DB1-Normal23"/>
              <w:spacing w:after="0"/>
              <w:jc w:val="center"/>
              <w:rPr>
                <w:rFonts w:eastAsia="Calibri" w:cs="Calibri"/>
                <w:noProof/>
              </w:rPr>
            </w:pPr>
            <w:r>
              <w:rPr>
                <w:noProof/>
              </w:rPr>
              <w:t>5.29</w:t>
            </w:r>
          </w:p>
        </w:tc>
        <w:tc>
          <w:tcPr>
            <w:tcW w:w="1760" w:type="dxa"/>
            <w:tcBorders>
              <w:top w:val="nil"/>
              <w:left w:val="nil"/>
              <w:bottom w:val="single" w:sz="4" w:space="0" w:color="auto"/>
              <w:right w:val="single" w:sz="4" w:space="0" w:color="auto"/>
            </w:tcBorders>
            <w:shd w:val="clear" w:color="auto" w:fill="C4EFCE"/>
            <w:vAlign w:val="center"/>
          </w:tcPr>
          <w:p w14:paraId="65077588" w14:textId="77777777" w:rsidR="00DC5EC6" w:rsidRDefault="003245A4">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6A34C10A"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4DE8649" w14:textId="73C0101C" w:rsidR="00DC5EC6" w:rsidRDefault="003245A4">
            <w:pPr>
              <w:pStyle w:val="P68B1DB1-Normal23"/>
              <w:spacing w:after="0"/>
              <w:jc w:val="both"/>
              <w:rPr>
                <w:rFonts w:eastAsia="Calibri" w:cs="Calibri"/>
                <w:noProof/>
              </w:rPr>
            </w:pPr>
            <w:r>
              <w:rPr>
                <w:noProof/>
              </w:rPr>
              <w:t>Összesen 1 300 000 000 EUR tőkésítési eszközzel történő szállítás portugál nem pénzügyi vállalatok számára sajáttőke- és kvázisajáttőke-támogatás formájában, befektetési politikájával összhangban</w:t>
            </w:r>
          </w:p>
        </w:tc>
      </w:tr>
      <w:tr w:rsidR="00DC5EC6" w14:paraId="50C64ABA"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0B472DD0" w14:textId="77777777" w:rsidR="00DC5EC6" w:rsidRDefault="003245A4">
            <w:pPr>
              <w:pStyle w:val="P68B1DB1-Normal23"/>
              <w:spacing w:after="0"/>
              <w:jc w:val="center"/>
              <w:rPr>
                <w:rFonts w:eastAsia="Calibri" w:cs="Calibri"/>
                <w:noProof/>
              </w:rPr>
            </w:pPr>
            <w:r>
              <w:rPr>
                <w:noProof/>
              </w:rPr>
              <w:t>5.32</w:t>
            </w:r>
          </w:p>
        </w:tc>
        <w:tc>
          <w:tcPr>
            <w:tcW w:w="1760" w:type="dxa"/>
            <w:tcBorders>
              <w:top w:val="nil"/>
              <w:left w:val="nil"/>
              <w:bottom w:val="single" w:sz="4" w:space="0" w:color="auto"/>
              <w:right w:val="single" w:sz="4" w:space="0" w:color="auto"/>
            </w:tcBorders>
            <w:shd w:val="clear" w:color="auto" w:fill="C4EFCE"/>
            <w:vAlign w:val="center"/>
          </w:tcPr>
          <w:p w14:paraId="44B52EBF" w14:textId="77777777" w:rsidR="00DC5EC6" w:rsidRDefault="003245A4">
            <w:pPr>
              <w:pStyle w:val="P68B1DB1-Normal23"/>
              <w:spacing w:after="0"/>
              <w:jc w:val="center"/>
              <w:rPr>
                <w:rFonts w:eastAsia="Calibri" w:cs="Calibri"/>
                <w:noProof/>
              </w:rPr>
            </w:pPr>
            <w:r>
              <w:rPr>
                <w:noProof/>
              </w:rPr>
              <w:t>Re-C05-i06</w:t>
            </w:r>
          </w:p>
        </w:tc>
        <w:tc>
          <w:tcPr>
            <w:tcW w:w="1520" w:type="dxa"/>
            <w:tcBorders>
              <w:top w:val="nil"/>
              <w:left w:val="nil"/>
              <w:bottom w:val="single" w:sz="4" w:space="0" w:color="auto"/>
              <w:right w:val="single" w:sz="4" w:space="0" w:color="auto"/>
            </w:tcBorders>
            <w:shd w:val="clear" w:color="auto" w:fill="C4EFCE"/>
            <w:vAlign w:val="center"/>
          </w:tcPr>
          <w:p w14:paraId="75CF3957"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9D7A449" w14:textId="77777777" w:rsidR="00DC5EC6" w:rsidRDefault="003245A4">
            <w:pPr>
              <w:pStyle w:val="P68B1DB1-Normal23"/>
              <w:spacing w:after="0"/>
              <w:jc w:val="both"/>
              <w:rPr>
                <w:rFonts w:eastAsia="Calibri" w:cs="Calibri"/>
                <w:noProof/>
              </w:rPr>
            </w:pPr>
            <w:r>
              <w:rPr>
                <w:noProof/>
              </w:rPr>
              <w:t>A tőkeemelés által nyújtott garanciák 100%-át aláírták.</w:t>
            </w:r>
          </w:p>
        </w:tc>
      </w:tr>
      <w:tr w:rsidR="00DC5EC6" w14:paraId="382C66B1"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622DA2FA" w14:textId="77777777" w:rsidR="00DC5EC6" w:rsidRDefault="003245A4">
            <w:pPr>
              <w:pStyle w:val="P68B1DB1-Normal23"/>
              <w:spacing w:after="0"/>
              <w:jc w:val="center"/>
              <w:rPr>
                <w:rFonts w:eastAsia="Calibri" w:cs="Calibri"/>
                <w:noProof/>
              </w:rPr>
            </w:pPr>
            <w:r>
              <w:rPr>
                <w:noProof/>
              </w:rPr>
              <w:t>5.45</w:t>
            </w:r>
          </w:p>
        </w:tc>
        <w:tc>
          <w:tcPr>
            <w:tcW w:w="1760" w:type="dxa"/>
            <w:tcBorders>
              <w:top w:val="nil"/>
              <w:left w:val="nil"/>
              <w:bottom w:val="single" w:sz="4" w:space="0" w:color="auto"/>
              <w:right w:val="single" w:sz="4" w:space="0" w:color="auto"/>
            </w:tcBorders>
            <w:shd w:val="clear" w:color="auto" w:fill="C4EFCE"/>
            <w:vAlign w:val="center"/>
          </w:tcPr>
          <w:p w14:paraId="0BD22FC2" w14:textId="77777777" w:rsidR="00DC5EC6" w:rsidRDefault="003245A4">
            <w:pPr>
              <w:pStyle w:val="P68B1DB1-Normal23"/>
              <w:spacing w:after="0"/>
              <w:jc w:val="center"/>
              <w:rPr>
                <w:rFonts w:eastAsia="Calibri" w:cs="Calibri"/>
                <w:noProof/>
              </w:rPr>
            </w:pPr>
            <w:r>
              <w:rPr>
                <w:noProof/>
              </w:rPr>
              <w:t>Re-C05-i11</w:t>
            </w:r>
          </w:p>
        </w:tc>
        <w:tc>
          <w:tcPr>
            <w:tcW w:w="1520" w:type="dxa"/>
            <w:tcBorders>
              <w:top w:val="nil"/>
              <w:left w:val="nil"/>
              <w:bottom w:val="single" w:sz="4" w:space="0" w:color="auto"/>
              <w:right w:val="single" w:sz="4" w:space="0" w:color="auto"/>
            </w:tcBorders>
            <w:shd w:val="clear" w:color="auto" w:fill="C4EFCE"/>
            <w:vAlign w:val="center"/>
          </w:tcPr>
          <w:p w14:paraId="197EDE46"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3321F122" w14:textId="77777777" w:rsidR="00DC5EC6" w:rsidRDefault="003245A4">
            <w:pPr>
              <w:pStyle w:val="P68B1DB1-Normal23"/>
              <w:spacing w:after="0"/>
              <w:jc w:val="both"/>
              <w:rPr>
                <w:rFonts w:eastAsia="Calibri" w:cs="Calibri"/>
                <w:noProof/>
              </w:rPr>
            </w:pPr>
            <w:r>
              <w:rPr>
                <w:noProof/>
              </w:rPr>
              <w:t>446 termék, eljárás vagy szolgáltatás befejezése.</w:t>
            </w:r>
          </w:p>
        </w:tc>
      </w:tr>
      <w:tr w:rsidR="00DC5EC6" w14:paraId="75A43AF5"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1A6C56C4" w14:textId="77777777" w:rsidR="00DC5EC6" w:rsidRDefault="003245A4">
            <w:pPr>
              <w:pStyle w:val="P68B1DB1-Normal23"/>
              <w:spacing w:after="0"/>
              <w:jc w:val="center"/>
              <w:rPr>
                <w:rFonts w:eastAsia="Calibri" w:cs="Calibri"/>
                <w:noProof/>
              </w:rPr>
            </w:pPr>
            <w:r>
              <w:rPr>
                <w:noProof/>
              </w:rPr>
              <w:t>5.47</w:t>
            </w:r>
          </w:p>
        </w:tc>
        <w:tc>
          <w:tcPr>
            <w:tcW w:w="1760" w:type="dxa"/>
            <w:tcBorders>
              <w:top w:val="nil"/>
              <w:left w:val="nil"/>
              <w:bottom w:val="single" w:sz="4" w:space="0" w:color="auto"/>
              <w:right w:val="single" w:sz="4" w:space="0" w:color="auto"/>
            </w:tcBorders>
            <w:shd w:val="clear" w:color="auto" w:fill="C4EFCE"/>
            <w:vAlign w:val="center"/>
          </w:tcPr>
          <w:p w14:paraId="49495519" w14:textId="3E544D5D" w:rsidR="00DC5EC6" w:rsidRDefault="003245A4">
            <w:pPr>
              <w:pStyle w:val="P68B1DB1-Normal23"/>
              <w:spacing w:after="0"/>
              <w:jc w:val="center"/>
              <w:rPr>
                <w:rFonts w:eastAsia="Calibri" w:cs="Calibri"/>
                <w:noProof/>
              </w:rPr>
            </w:pPr>
            <w:r>
              <w:rPr>
                <w:noProof/>
              </w:rPr>
              <w:t>Re-C05–i12</w:t>
            </w:r>
          </w:p>
        </w:tc>
        <w:tc>
          <w:tcPr>
            <w:tcW w:w="1520" w:type="dxa"/>
            <w:tcBorders>
              <w:top w:val="nil"/>
              <w:left w:val="nil"/>
              <w:bottom w:val="single" w:sz="4" w:space="0" w:color="auto"/>
              <w:right w:val="single" w:sz="4" w:space="0" w:color="auto"/>
            </w:tcBorders>
            <w:shd w:val="clear" w:color="auto" w:fill="C4EFCE"/>
            <w:vAlign w:val="center"/>
          </w:tcPr>
          <w:p w14:paraId="1D528D41"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0301C30B" w14:textId="77777777" w:rsidR="00DC5EC6" w:rsidRDefault="003245A4">
            <w:pPr>
              <w:pStyle w:val="P68B1DB1-Normal23"/>
              <w:spacing w:after="0"/>
              <w:jc w:val="both"/>
              <w:rPr>
                <w:rFonts w:eastAsia="Calibri" w:cs="Calibri"/>
                <w:noProof/>
              </w:rPr>
            </w:pPr>
            <w:r>
              <w:rPr>
                <w:noProof/>
              </w:rPr>
              <w:t>Szerződések megkötése új termékek, eljárások vagy szolgáltatások kifejlesztésére az alacsony szén-dioxid-kibocsátású gazdaság, a reziliencia és az éghajlatváltozáshoz való alkalmazkodás szempontjából releváns stratégiai területeken.</w:t>
            </w:r>
          </w:p>
        </w:tc>
      </w:tr>
      <w:tr w:rsidR="00DC5EC6" w14:paraId="14F0C662"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876D187" w14:textId="77777777" w:rsidR="00DC5EC6" w:rsidRDefault="003245A4">
            <w:pPr>
              <w:pStyle w:val="P68B1DB1-Normal23"/>
              <w:spacing w:after="0"/>
              <w:jc w:val="center"/>
              <w:rPr>
                <w:rFonts w:eastAsia="Calibri" w:cs="Calibri"/>
                <w:noProof/>
              </w:rPr>
            </w:pPr>
            <w:r>
              <w:rPr>
                <w:noProof/>
              </w:rPr>
              <w:t>7.10</w:t>
            </w:r>
          </w:p>
        </w:tc>
        <w:tc>
          <w:tcPr>
            <w:tcW w:w="1760" w:type="dxa"/>
            <w:tcBorders>
              <w:top w:val="nil"/>
              <w:left w:val="nil"/>
              <w:bottom w:val="single" w:sz="4" w:space="0" w:color="auto"/>
              <w:right w:val="single" w:sz="4" w:space="0" w:color="auto"/>
            </w:tcBorders>
            <w:shd w:val="clear" w:color="auto" w:fill="C4EFCE"/>
            <w:vAlign w:val="center"/>
          </w:tcPr>
          <w:p w14:paraId="4150F0A6" w14:textId="77777777" w:rsidR="00DC5EC6" w:rsidRDefault="003245A4">
            <w:pPr>
              <w:pStyle w:val="P68B1DB1-Normal23"/>
              <w:spacing w:after="0"/>
              <w:jc w:val="center"/>
              <w:rPr>
                <w:rFonts w:eastAsia="Calibri" w:cs="Calibri"/>
                <w:noProof/>
              </w:rPr>
            </w:pPr>
            <w:r>
              <w:rPr>
                <w:noProof/>
              </w:rPr>
              <w:t>Re-C07-i03</w:t>
            </w:r>
          </w:p>
        </w:tc>
        <w:tc>
          <w:tcPr>
            <w:tcW w:w="1520" w:type="dxa"/>
            <w:tcBorders>
              <w:top w:val="nil"/>
              <w:left w:val="nil"/>
              <w:bottom w:val="single" w:sz="4" w:space="0" w:color="auto"/>
              <w:right w:val="single" w:sz="4" w:space="0" w:color="auto"/>
            </w:tcBorders>
            <w:shd w:val="clear" w:color="auto" w:fill="C4EFCE"/>
            <w:vAlign w:val="center"/>
          </w:tcPr>
          <w:p w14:paraId="592CEA84" w14:textId="77777777" w:rsidR="00DC5EC6" w:rsidRDefault="003245A4">
            <w:pPr>
              <w:pStyle w:val="P68B1DB1-Normal23"/>
              <w:spacing w:after="0"/>
              <w:jc w:val="center"/>
              <w:rPr>
                <w:rFonts w:eastAsia="Calibri" w:cs="Calibri"/>
                <w:noProof/>
              </w:rPr>
            </w:pPr>
            <w:r>
              <w:rPr>
                <w:noProof/>
              </w:rPr>
              <w:t>T</w:t>
            </w:r>
          </w:p>
        </w:tc>
        <w:tc>
          <w:tcPr>
            <w:tcW w:w="5060" w:type="dxa"/>
            <w:tcBorders>
              <w:top w:val="nil"/>
              <w:left w:val="nil"/>
              <w:bottom w:val="single" w:sz="4" w:space="0" w:color="auto"/>
              <w:right w:val="single" w:sz="4" w:space="0" w:color="auto"/>
            </w:tcBorders>
            <w:shd w:val="clear" w:color="auto" w:fill="C4EFCE"/>
            <w:vAlign w:val="center"/>
          </w:tcPr>
          <w:p w14:paraId="2B2DBE78"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7DB20DEC"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73F74755" w14:textId="77777777" w:rsidR="00DC5EC6" w:rsidRDefault="003245A4">
            <w:pPr>
              <w:pStyle w:val="P68B1DB1-Normal23"/>
              <w:spacing w:after="0"/>
              <w:jc w:val="center"/>
              <w:rPr>
                <w:rFonts w:eastAsia="Calibri" w:cs="Calibri"/>
                <w:noProof/>
              </w:rPr>
            </w:pPr>
            <w:r>
              <w:rPr>
                <w:noProof/>
              </w:rPr>
              <w:t>7.12</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0788EBF" w14:textId="77777777" w:rsidR="00DC5EC6" w:rsidRDefault="003245A4">
            <w:pPr>
              <w:pStyle w:val="P68B1DB1-Normal23"/>
              <w:spacing w:after="0"/>
              <w:jc w:val="center"/>
              <w:rPr>
                <w:rFonts w:eastAsia="Calibri" w:cs="Calibri"/>
                <w:noProof/>
              </w:rPr>
            </w:pPr>
            <w:r>
              <w:rPr>
                <w:noProof/>
              </w:rPr>
              <w:t>Újra-C07–i04</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C0933CA" w14:textId="77777777" w:rsidR="00DC5EC6" w:rsidRDefault="003245A4">
            <w:pPr>
              <w:pStyle w:val="P68B1DB1-Normal23"/>
              <w:spacing w:after="0"/>
              <w:jc w:val="center"/>
              <w:rPr>
                <w:rFonts w:eastAsia="Calibri" w:cs="Calibri"/>
                <w:noProof/>
              </w:rPr>
            </w:pPr>
            <w:r>
              <w:rPr>
                <w:noProof/>
              </w:rPr>
              <w:t>T</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6814B6B4" w14:textId="77777777" w:rsidR="00DC5EC6" w:rsidRDefault="003245A4">
            <w:pPr>
              <w:pStyle w:val="P68B1DB1-Normal23"/>
              <w:spacing w:after="0"/>
              <w:jc w:val="both"/>
              <w:rPr>
                <w:rFonts w:eastAsia="Calibri" w:cs="Calibri"/>
                <w:noProof/>
              </w:rPr>
            </w:pPr>
            <w:r>
              <w:rPr>
                <w:noProof/>
              </w:rPr>
              <w:t>Épített vagy rehabilitált utak</w:t>
            </w:r>
          </w:p>
        </w:tc>
      </w:tr>
      <w:tr w:rsidR="00DC5EC6" w14:paraId="2FF9C22D"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2DAA1A82" w14:textId="66BEC41C" w:rsidR="00DC5EC6" w:rsidRDefault="003245A4">
            <w:pPr>
              <w:pStyle w:val="P68B1DB1-Normal23"/>
              <w:spacing w:after="0"/>
              <w:jc w:val="center"/>
              <w:rPr>
                <w:rFonts w:eastAsia="Calibri" w:cs="Calibri"/>
                <w:noProof/>
              </w:rPr>
            </w:pPr>
            <w:r>
              <w:rPr>
                <w:noProof/>
              </w:rPr>
              <w:t>19.30</w:t>
            </w:r>
          </w:p>
        </w:tc>
        <w:tc>
          <w:tcPr>
            <w:tcW w:w="1760" w:type="dxa"/>
            <w:tcBorders>
              <w:top w:val="single" w:sz="4" w:space="0" w:color="auto"/>
              <w:left w:val="nil"/>
              <w:bottom w:val="single" w:sz="4" w:space="0" w:color="auto"/>
              <w:right w:val="single" w:sz="4" w:space="0" w:color="auto"/>
            </w:tcBorders>
            <w:shd w:val="clear" w:color="auto" w:fill="C4EFCE"/>
            <w:vAlign w:val="center"/>
          </w:tcPr>
          <w:p w14:paraId="71C7B993" w14:textId="3F7646E8" w:rsidR="00DC5EC6" w:rsidRDefault="003245A4">
            <w:pPr>
              <w:pStyle w:val="P68B1DB1-Normal23"/>
              <w:spacing w:after="0"/>
              <w:jc w:val="center"/>
              <w:rPr>
                <w:rFonts w:eastAsia="Calibri" w:cs="Calibri"/>
                <w:noProof/>
              </w:rPr>
            </w:pPr>
            <w:r>
              <w:rPr>
                <w:noProof/>
              </w:rPr>
              <w:t>TD-C19-r41</w:t>
            </w:r>
          </w:p>
        </w:tc>
        <w:tc>
          <w:tcPr>
            <w:tcW w:w="1520" w:type="dxa"/>
            <w:tcBorders>
              <w:top w:val="single" w:sz="4" w:space="0" w:color="auto"/>
              <w:left w:val="nil"/>
              <w:bottom w:val="nil"/>
              <w:right w:val="single" w:sz="4" w:space="0" w:color="auto"/>
            </w:tcBorders>
            <w:shd w:val="clear" w:color="auto" w:fill="C4EFCE"/>
            <w:vAlign w:val="center"/>
          </w:tcPr>
          <w:p w14:paraId="16274021" w14:textId="378AF8DD" w:rsidR="00DC5EC6" w:rsidRDefault="003245A4">
            <w:pPr>
              <w:pStyle w:val="P68B1DB1-Normal23"/>
              <w:spacing w:after="0"/>
              <w:jc w:val="center"/>
              <w:rPr>
                <w:rFonts w:eastAsia="Calibri" w:cs="Calibri"/>
                <w:noProof/>
              </w:rPr>
            </w:pPr>
            <w:r>
              <w:rPr>
                <w:noProof/>
              </w:rPr>
              <w:t>M</w:t>
            </w:r>
          </w:p>
        </w:tc>
        <w:tc>
          <w:tcPr>
            <w:tcW w:w="5060" w:type="dxa"/>
            <w:tcBorders>
              <w:top w:val="single" w:sz="4" w:space="0" w:color="auto"/>
              <w:left w:val="nil"/>
              <w:bottom w:val="nil"/>
              <w:right w:val="single" w:sz="4" w:space="0" w:color="auto"/>
            </w:tcBorders>
            <w:shd w:val="clear" w:color="auto" w:fill="C4EFCE"/>
            <w:vAlign w:val="center"/>
          </w:tcPr>
          <w:p w14:paraId="7AD3F20C" w14:textId="697A142B" w:rsidR="00DC5EC6" w:rsidRDefault="003245A4">
            <w:pPr>
              <w:pStyle w:val="P68B1DB1-Normal23"/>
              <w:spacing w:after="0"/>
              <w:jc w:val="both"/>
              <w:rPr>
                <w:rFonts w:eastAsia="Calibri" w:cs="Calibri"/>
                <w:noProof/>
              </w:rPr>
            </w:pPr>
            <w:r>
              <w:rPr>
                <w:noProof/>
              </w:rPr>
              <w:t>A közszolgáltatásokhoz való hozzáférésről szóló jogalkotási aktus hatálybalépése</w:t>
            </w:r>
          </w:p>
        </w:tc>
      </w:tr>
      <w:tr w:rsidR="00DC5EC6" w14:paraId="2DA41D00" w14:textId="77777777">
        <w:trPr>
          <w:trHeight w:val="440"/>
        </w:trPr>
        <w:tc>
          <w:tcPr>
            <w:tcW w:w="1200" w:type="dxa"/>
            <w:tcBorders>
              <w:top w:val="nil"/>
              <w:left w:val="single" w:sz="4" w:space="0" w:color="auto"/>
              <w:bottom w:val="single" w:sz="4" w:space="0" w:color="auto"/>
              <w:right w:val="single" w:sz="4" w:space="0" w:color="auto"/>
            </w:tcBorders>
            <w:shd w:val="clear" w:color="auto" w:fill="C4EFCE"/>
            <w:vAlign w:val="center"/>
          </w:tcPr>
          <w:p w14:paraId="32CD2493"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tcBorders>
              <w:top w:val="nil"/>
              <w:left w:val="nil"/>
              <w:bottom w:val="single" w:sz="4" w:space="0" w:color="auto"/>
              <w:right w:val="single" w:sz="4" w:space="0" w:color="auto"/>
            </w:tcBorders>
            <w:shd w:val="clear" w:color="auto" w:fill="C4EFCE"/>
            <w:vAlign w:val="center"/>
          </w:tcPr>
          <w:p w14:paraId="0300EF67" w14:textId="77777777" w:rsidR="00DC5EC6" w:rsidRDefault="003245A4">
            <w:pPr>
              <w:pStyle w:val="P68B1DB1-Normal8"/>
              <w:spacing w:after="0" w:line="240" w:lineRule="auto"/>
              <w:rPr>
                <w:rFonts w:eastAsia="Times New Roman" w:cs="Calibri"/>
                <w:noProof/>
              </w:rPr>
            </w:pPr>
            <w:r>
              <w:rPr>
                <w:noProof/>
              </w:rPr>
              <w:t> </w:t>
            </w:r>
          </w:p>
        </w:tc>
        <w:tc>
          <w:tcPr>
            <w:tcW w:w="1520" w:type="dxa"/>
            <w:tcBorders>
              <w:top w:val="single" w:sz="4" w:space="0" w:color="auto"/>
              <w:left w:val="nil"/>
              <w:bottom w:val="single" w:sz="4" w:space="0" w:color="auto"/>
              <w:right w:val="single" w:sz="4" w:space="0" w:color="auto"/>
            </w:tcBorders>
            <w:shd w:val="clear" w:color="auto" w:fill="C4EFCE"/>
            <w:vAlign w:val="center"/>
          </w:tcPr>
          <w:p w14:paraId="55ECE748"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tcBorders>
              <w:top w:val="single" w:sz="4" w:space="0" w:color="auto"/>
              <w:left w:val="nil"/>
              <w:bottom w:val="single" w:sz="4" w:space="0" w:color="auto"/>
              <w:right w:val="single" w:sz="4" w:space="0" w:color="auto"/>
            </w:tcBorders>
            <w:shd w:val="clear" w:color="auto" w:fill="C4EFCE"/>
            <w:vAlign w:val="center"/>
          </w:tcPr>
          <w:p w14:paraId="7C719D15" w14:textId="6A1C6747" w:rsidR="00DC5EC6" w:rsidRDefault="003245A4">
            <w:pPr>
              <w:pStyle w:val="P68B1DB1-Normal25"/>
              <w:spacing w:after="0" w:line="240" w:lineRule="auto"/>
              <w:jc w:val="center"/>
              <w:rPr>
                <w:rFonts w:cs="Calibri"/>
                <w:noProof/>
              </w:rPr>
            </w:pPr>
            <w:r>
              <w:rPr>
                <w:noProof/>
              </w:rPr>
              <w:t xml:space="preserve"> ·EURÓPAI BIZOTTSÁG 938 960 210 EUR </w:t>
            </w:r>
          </w:p>
        </w:tc>
      </w:tr>
    </w:tbl>
    <w:p w14:paraId="2594BF65" w14:textId="77777777" w:rsidR="00DC5EC6" w:rsidRDefault="00DC5EC6">
      <w:pPr>
        <w:keepNext/>
        <w:spacing w:before="40" w:after="160" w:line="259" w:lineRule="auto"/>
        <w:contextualSpacing/>
        <w:jc w:val="both"/>
        <w:rPr>
          <w:rFonts w:ascii="Times New Roman" w:eastAsiaTheme="minorEastAsia" w:hAnsi="Times New Roman" w:cs="Times New Roman"/>
          <w:noProof/>
          <w:sz w:val="24"/>
        </w:rPr>
      </w:pPr>
    </w:p>
    <w:p w14:paraId="76C80100" w14:textId="2CDFED06" w:rsidR="00DC5EC6" w:rsidRDefault="003245A4">
      <w:pPr>
        <w:pStyle w:val="P68B1DB1-Normal4"/>
        <w:keepNext/>
        <w:spacing w:before="40" w:after="160" w:line="259" w:lineRule="auto"/>
        <w:contextualSpacing/>
        <w:jc w:val="both"/>
        <w:rPr>
          <w:rFonts w:eastAsia="Yu Mincho" w:cs="Times New Roman"/>
          <w:noProof/>
        </w:rPr>
      </w:pPr>
      <w:r>
        <w:rPr>
          <w:noProof/>
        </w:rPr>
        <w:t>2.10. Tizedik kifizetési kérelem (hiteltámogatás):</w:t>
      </w:r>
    </w:p>
    <w:p w14:paraId="71DB6764" w14:textId="77777777" w:rsidR="00DC5EC6" w:rsidRDefault="00DC5EC6">
      <w:pPr>
        <w:keepNext/>
        <w:spacing w:before="40" w:after="0" w:line="259" w:lineRule="auto"/>
        <w:jc w:val="both"/>
        <w:rPr>
          <w:rFonts w:ascii="Times New Roman" w:eastAsiaTheme="minorEastAsia" w:hAnsi="Times New Roman" w:cs="Times New Roman"/>
          <w:noProof/>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760"/>
        <w:gridCol w:w="1520"/>
        <w:gridCol w:w="5060"/>
      </w:tblGrid>
      <w:tr w:rsidR="00DC5EC6" w14:paraId="6B7C20FE" w14:textId="77777777">
        <w:trPr>
          <w:trHeight w:val="509"/>
          <w:tblHeader/>
        </w:trPr>
        <w:tc>
          <w:tcPr>
            <w:tcW w:w="1200" w:type="dxa"/>
            <w:vMerge w:val="restart"/>
            <w:shd w:val="clear" w:color="auto" w:fill="BDD7EE"/>
            <w:vAlign w:val="center"/>
            <w:hideMark/>
          </w:tcPr>
          <w:p w14:paraId="091A540E" w14:textId="77777777" w:rsidR="00DC5EC6" w:rsidRDefault="003245A4">
            <w:pPr>
              <w:pStyle w:val="P68B1DB1-Normal22"/>
              <w:spacing w:after="0" w:line="240" w:lineRule="auto"/>
              <w:jc w:val="center"/>
              <w:rPr>
                <w:rFonts w:eastAsia="Times New Roman" w:cs="Times New Roman"/>
                <w:noProof/>
              </w:rPr>
            </w:pPr>
            <w:r>
              <w:rPr>
                <w:noProof/>
              </w:rPr>
              <w:t>Sorszám</w:t>
            </w:r>
          </w:p>
        </w:tc>
        <w:tc>
          <w:tcPr>
            <w:tcW w:w="1760" w:type="dxa"/>
            <w:vMerge w:val="restart"/>
            <w:shd w:val="clear" w:color="auto" w:fill="BDD7EE"/>
            <w:vAlign w:val="center"/>
            <w:hideMark/>
          </w:tcPr>
          <w:p w14:paraId="52173FC7" w14:textId="77777777" w:rsidR="00DC5EC6" w:rsidRDefault="003245A4">
            <w:pPr>
              <w:pStyle w:val="P68B1DB1-Normal22"/>
              <w:spacing w:after="0" w:line="240" w:lineRule="auto"/>
              <w:jc w:val="center"/>
              <w:rPr>
                <w:rFonts w:eastAsia="Times New Roman" w:cs="Times New Roman"/>
                <w:noProof/>
              </w:rPr>
            </w:pPr>
            <w:r>
              <w:rPr>
                <w:noProof/>
              </w:rPr>
              <w:t>Kapcsolódó intézkedés (reform vagy beruházás)</w:t>
            </w:r>
          </w:p>
        </w:tc>
        <w:tc>
          <w:tcPr>
            <w:tcW w:w="1520" w:type="dxa"/>
            <w:vMerge w:val="restart"/>
            <w:shd w:val="clear" w:color="auto" w:fill="BDD7EE"/>
            <w:vAlign w:val="center"/>
            <w:hideMark/>
          </w:tcPr>
          <w:p w14:paraId="60F692F4" w14:textId="77777777" w:rsidR="00DC5EC6" w:rsidRDefault="003245A4">
            <w:pPr>
              <w:pStyle w:val="P68B1DB1-Normal22"/>
              <w:spacing w:after="0" w:line="240" w:lineRule="auto"/>
              <w:jc w:val="center"/>
              <w:rPr>
                <w:rFonts w:eastAsia="Times New Roman" w:cs="Times New Roman"/>
                <w:noProof/>
              </w:rPr>
            </w:pPr>
            <w:r>
              <w:rPr>
                <w:noProof/>
              </w:rPr>
              <w:t>Mérföldkő/cél</w:t>
            </w:r>
          </w:p>
        </w:tc>
        <w:tc>
          <w:tcPr>
            <w:tcW w:w="5060" w:type="dxa"/>
            <w:vMerge w:val="restart"/>
            <w:shd w:val="clear" w:color="auto" w:fill="BDD7EE"/>
            <w:vAlign w:val="center"/>
            <w:hideMark/>
          </w:tcPr>
          <w:p w14:paraId="6E70766D" w14:textId="77777777" w:rsidR="00DC5EC6" w:rsidRDefault="003245A4">
            <w:pPr>
              <w:pStyle w:val="P68B1DB1-Normal22"/>
              <w:spacing w:after="0" w:line="240" w:lineRule="auto"/>
              <w:jc w:val="center"/>
              <w:rPr>
                <w:rFonts w:eastAsia="Times New Roman" w:cs="Times New Roman"/>
                <w:noProof/>
              </w:rPr>
            </w:pPr>
            <w:r>
              <w:rPr>
                <w:noProof/>
              </w:rPr>
              <w:t>Név</w:t>
            </w:r>
          </w:p>
        </w:tc>
      </w:tr>
      <w:tr w:rsidR="00DC5EC6" w14:paraId="5EC6EC37" w14:textId="77777777">
        <w:trPr>
          <w:trHeight w:val="509"/>
          <w:tblHeader/>
        </w:trPr>
        <w:tc>
          <w:tcPr>
            <w:tcW w:w="1200" w:type="dxa"/>
            <w:vMerge/>
            <w:vAlign w:val="center"/>
            <w:hideMark/>
          </w:tcPr>
          <w:p w14:paraId="140A919C" w14:textId="77777777" w:rsidR="00DC5EC6" w:rsidRDefault="00DC5EC6">
            <w:pPr>
              <w:spacing w:after="0" w:line="240" w:lineRule="auto"/>
              <w:rPr>
                <w:rFonts w:ascii="Times New Roman" w:eastAsia="Times New Roman" w:hAnsi="Times New Roman" w:cs="Times New Roman"/>
                <w:noProof/>
                <w:sz w:val="20"/>
              </w:rPr>
            </w:pPr>
          </w:p>
        </w:tc>
        <w:tc>
          <w:tcPr>
            <w:tcW w:w="1760" w:type="dxa"/>
            <w:vMerge/>
            <w:vAlign w:val="center"/>
            <w:hideMark/>
          </w:tcPr>
          <w:p w14:paraId="7480BF59" w14:textId="77777777" w:rsidR="00DC5EC6" w:rsidRDefault="00DC5EC6">
            <w:pPr>
              <w:spacing w:after="0" w:line="240" w:lineRule="auto"/>
              <w:rPr>
                <w:rFonts w:ascii="Times New Roman" w:eastAsia="Times New Roman" w:hAnsi="Times New Roman" w:cs="Times New Roman"/>
                <w:noProof/>
                <w:sz w:val="20"/>
              </w:rPr>
            </w:pPr>
          </w:p>
        </w:tc>
        <w:tc>
          <w:tcPr>
            <w:tcW w:w="1520" w:type="dxa"/>
            <w:vMerge/>
            <w:vAlign w:val="center"/>
            <w:hideMark/>
          </w:tcPr>
          <w:p w14:paraId="0A39A395" w14:textId="77777777" w:rsidR="00DC5EC6" w:rsidRDefault="00DC5EC6">
            <w:pPr>
              <w:spacing w:after="0" w:line="240" w:lineRule="auto"/>
              <w:rPr>
                <w:rFonts w:ascii="Times New Roman" w:eastAsia="Times New Roman" w:hAnsi="Times New Roman" w:cs="Times New Roman"/>
                <w:noProof/>
                <w:sz w:val="20"/>
              </w:rPr>
            </w:pPr>
          </w:p>
        </w:tc>
        <w:tc>
          <w:tcPr>
            <w:tcW w:w="5060" w:type="dxa"/>
            <w:vMerge/>
            <w:vAlign w:val="center"/>
            <w:hideMark/>
          </w:tcPr>
          <w:p w14:paraId="6045547B" w14:textId="77777777" w:rsidR="00DC5EC6" w:rsidRDefault="00DC5EC6">
            <w:pPr>
              <w:spacing w:after="0" w:line="240" w:lineRule="auto"/>
              <w:rPr>
                <w:rFonts w:ascii="Times New Roman" w:eastAsia="Times New Roman" w:hAnsi="Times New Roman" w:cs="Times New Roman"/>
                <w:noProof/>
                <w:sz w:val="20"/>
              </w:rPr>
            </w:pPr>
          </w:p>
        </w:tc>
      </w:tr>
      <w:tr w:rsidR="00DC5EC6" w14:paraId="43A9225B" w14:textId="77777777">
        <w:trPr>
          <w:trHeight w:val="440"/>
        </w:trPr>
        <w:tc>
          <w:tcPr>
            <w:tcW w:w="1200" w:type="dxa"/>
            <w:shd w:val="clear" w:color="auto" w:fill="C4EFCE"/>
            <w:vAlign w:val="center"/>
            <w:hideMark/>
          </w:tcPr>
          <w:p w14:paraId="1060EBA6" w14:textId="77777777" w:rsidR="00DC5EC6" w:rsidRDefault="003245A4">
            <w:pPr>
              <w:pStyle w:val="P68B1DB1-Normal23"/>
              <w:spacing w:after="0"/>
              <w:jc w:val="center"/>
              <w:rPr>
                <w:rFonts w:eastAsia="Calibri" w:cs="Calibri"/>
                <w:noProof/>
              </w:rPr>
            </w:pPr>
            <w:r>
              <w:rPr>
                <w:noProof/>
              </w:rPr>
              <w:t>2.24</w:t>
            </w:r>
          </w:p>
        </w:tc>
        <w:tc>
          <w:tcPr>
            <w:tcW w:w="1760" w:type="dxa"/>
            <w:shd w:val="clear" w:color="auto" w:fill="C4EFCE"/>
            <w:vAlign w:val="center"/>
            <w:hideMark/>
          </w:tcPr>
          <w:p w14:paraId="713D07D5" w14:textId="77777777" w:rsidR="00DC5EC6" w:rsidRDefault="003245A4">
            <w:pPr>
              <w:pStyle w:val="P68B1DB1-Normal23"/>
              <w:spacing w:after="0"/>
              <w:jc w:val="center"/>
              <w:rPr>
                <w:rFonts w:eastAsia="Calibri" w:cs="Calibri"/>
                <w:noProof/>
              </w:rPr>
            </w:pPr>
            <w:r>
              <w:rPr>
                <w:noProof/>
              </w:rPr>
              <w:t>Re-C02-i05</w:t>
            </w:r>
          </w:p>
        </w:tc>
        <w:tc>
          <w:tcPr>
            <w:tcW w:w="1520" w:type="dxa"/>
            <w:shd w:val="clear" w:color="auto" w:fill="C4EFCE"/>
            <w:vAlign w:val="center"/>
            <w:hideMark/>
          </w:tcPr>
          <w:p w14:paraId="4D626FFD"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546F0F41" w14:textId="77777777" w:rsidR="00DC5EC6" w:rsidRDefault="003245A4">
            <w:pPr>
              <w:pStyle w:val="P68B1DB1-Normal23"/>
              <w:spacing w:after="0"/>
              <w:jc w:val="both"/>
              <w:rPr>
                <w:rFonts w:eastAsia="Calibri" w:cs="Calibri"/>
                <w:noProof/>
              </w:rPr>
            </w:pPr>
            <w:r>
              <w:rPr>
                <w:noProof/>
              </w:rPr>
              <w:t>Megfizethető állami lakásállomány – Célhoz kötött lakások (magas energiahatékonyságú vagy jobb energiahatékonyságú rehabilitált)</w:t>
            </w:r>
          </w:p>
        </w:tc>
      </w:tr>
      <w:tr w:rsidR="00DC5EC6" w14:paraId="6ACD318C" w14:textId="77777777">
        <w:trPr>
          <w:trHeight w:val="440"/>
        </w:trPr>
        <w:tc>
          <w:tcPr>
            <w:tcW w:w="1200" w:type="dxa"/>
            <w:shd w:val="clear" w:color="auto" w:fill="C4EFCE"/>
            <w:vAlign w:val="center"/>
            <w:hideMark/>
          </w:tcPr>
          <w:p w14:paraId="4A97CC8F" w14:textId="77777777" w:rsidR="00DC5EC6" w:rsidRDefault="003245A4">
            <w:pPr>
              <w:pStyle w:val="P68B1DB1-Normal23"/>
              <w:spacing w:after="0"/>
              <w:jc w:val="center"/>
              <w:rPr>
                <w:rFonts w:eastAsia="Calibri" w:cs="Calibri"/>
                <w:noProof/>
              </w:rPr>
            </w:pPr>
            <w:r>
              <w:rPr>
                <w:noProof/>
              </w:rPr>
              <w:t>2.28</w:t>
            </w:r>
          </w:p>
        </w:tc>
        <w:tc>
          <w:tcPr>
            <w:tcW w:w="1760" w:type="dxa"/>
            <w:shd w:val="clear" w:color="auto" w:fill="C4EFCE"/>
            <w:vAlign w:val="center"/>
            <w:hideMark/>
          </w:tcPr>
          <w:p w14:paraId="3C8F5913" w14:textId="77777777" w:rsidR="00DC5EC6" w:rsidRDefault="003245A4">
            <w:pPr>
              <w:pStyle w:val="P68B1DB1-Normal23"/>
              <w:spacing w:after="0"/>
              <w:jc w:val="center"/>
              <w:rPr>
                <w:rFonts w:eastAsia="Calibri" w:cs="Calibri"/>
                <w:noProof/>
              </w:rPr>
            </w:pPr>
            <w:r>
              <w:rPr>
                <w:noProof/>
              </w:rPr>
              <w:t>Re-C02-i06</w:t>
            </w:r>
          </w:p>
        </w:tc>
        <w:tc>
          <w:tcPr>
            <w:tcW w:w="1520" w:type="dxa"/>
            <w:shd w:val="clear" w:color="auto" w:fill="C4EFCE"/>
            <w:vAlign w:val="center"/>
            <w:hideMark/>
          </w:tcPr>
          <w:p w14:paraId="6259008C"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B76E21D" w14:textId="77777777" w:rsidR="00DC5EC6" w:rsidRDefault="003245A4">
            <w:pPr>
              <w:pStyle w:val="P68B1DB1-Normal23"/>
              <w:spacing w:after="0"/>
              <w:jc w:val="both"/>
              <w:rPr>
                <w:rFonts w:eastAsia="Calibri" w:cs="Calibri"/>
                <w:noProof/>
              </w:rPr>
            </w:pPr>
            <w:r>
              <w:rPr>
                <w:noProof/>
              </w:rPr>
              <w:t>Hallgatói szállás megfizethető áron</w:t>
            </w:r>
          </w:p>
        </w:tc>
      </w:tr>
      <w:tr w:rsidR="00DC5EC6" w14:paraId="0BC09961" w14:textId="77777777">
        <w:trPr>
          <w:trHeight w:val="440"/>
        </w:trPr>
        <w:tc>
          <w:tcPr>
            <w:tcW w:w="1200" w:type="dxa"/>
            <w:shd w:val="clear" w:color="auto" w:fill="C4EFCE"/>
            <w:vAlign w:val="center"/>
            <w:hideMark/>
          </w:tcPr>
          <w:p w14:paraId="5CF2BED8" w14:textId="77777777" w:rsidR="00DC5EC6" w:rsidRDefault="003245A4">
            <w:pPr>
              <w:pStyle w:val="P68B1DB1-Normal23"/>
              <w:spacing w:after="0"/>
              <w:jc w:val="center"/>
              <w:rPr>
                <w:rFonts w:eastAsia="Calibri" w:cs="Calibri"/>
                <w:noProof/>
              </w:rPr>
            </w:pPr>
            <w:r>
              <w:rPr>
                <w:noProof/>
              </w:rPr>
              <w:t>2.32</w:t>
            </w:r>
          </w:p>
        </w:tc>
        <w:tc>
          <w:tcPr>
            <w:tcW w:w="1760" w:type="dxa"/>
            <w:shd w:val="clear" w:color="auto" w:fill="C4EFCE"/>
            <w:vAlign w:val="center"/>
            <w:hideMark/>
          </w:tcPr>
          <w:p w14:paraId="67904F64" w14:textId="77777777" w:rsidR="00DC5EC6" w:rsidRDefault="003245A4">
            <w:pPr>
              <w:pStyle w:val="P68B1DB1-Normal23"/>
              <w:spacing w:after="0"/>
              <w:jc w:val="center"/>
              <w:rPr>
                <w:rFonts w:eastAsia="Calibri" w:cs="Calibri"/>
                <w:noProof/>
              </w:rPr>
            </w:pPr>
            <w:r>
              <w:rPr>
                <w:noProof/>
              </w:rPr>
              <w:t>Re-C02-i01</w:t>
            </w:r>
          </w:p>
        </w:tc>
        <w:tc>
          <w:tcPr>
            <w:tcW w:w="1520" w:type="dxa"/>
            <w:shd w:val="clear" w:color="auto" w:fill="C4EFCE"/>
            <w:vAlign w:val="center"/>
            <w:hideMark/>
          </w:tcPr>
          <w:p w14:paraId="264290E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62BD1AF8" w14:textId="77777777" w:rsidR="00DC5EC6" w:rsidRDefault="003245A4">
            <w:pPr>
              <w:pStyle w:val="P68B1DB1-Normal23"/>
              <w:spacing w:after="0"/>
              <w:jc w:val="both"/>
              <w:rPr>
                <w:rFonts w:eastAsia="Calibri" w:cs="Calibri"/>
                <w:noProof/>
              </w:rPr>
            </w:pPr>
            <w:r>
              <w:rPr>
                <w:noProof/>
              </w:rPr>
              <w:t>Lakhatáshoz (hitelhez) való hozzáférést támogató program – háztartásoknak nyújtott vásárolt, épített (magas energiahatékonyságú) vagy rehabilitált (jobb energiahatékonyságú) lakások</w:t>
            </w:r>
          </w:p>
        </w:tc>
      </w:tr>
      <w:tr w:rsidR="00DC5EC6" w14:paraId="0E1519F3" w14:textId="77777777">
        <w:trPr>
          <w:trHeight w:val="440"/>
        </w:trPr>
        <w:tc>
          <w:tcPr>
            <w:tcW w:w="1200" w:type="dxa"/>
            <w:shd w:val="clear" w:color="auto" w:fill="C4EFCE"/>
            <w:vAlign w:val="center"/>
            <w:hideMark/>
          </w:tcPr>
          <w:p w14:paraId="76C8C652" w14:textId="77777777" w:rsidR="00DC5EC6" w:rsidRDefault="003245A4">
            <w:pPr>
              <w:pStyle w:val="P68B1DB1-Normal23"/>
              <w:spacing w:after="0"/>
              <w:jc w:val="center"/>
              <w:rPr>
                <w:rFonts w:eastAsia="Calibri" w:cs="Calibri"/>
                <w:noProof/>
              </w:rPr>
            </w:pPr>
            <w:r>
              <w:rPr>
                <w:noProof/>
              </w:rPr>
              <w:t>6.29</w:t>
            </w:r>
          </w:p>
        </w:tc>
        <w:tc>
          <w:tcPr>
            <w:tcW w:w="1760" w:type="dxa"/>
            <w:shd w:val="clear" w:color="auto" w:fill="C4EFCE"/>
            <w:vAlign w:val="center"/>
            <w:hideMark/>
          </w:tcPr>
          <w:p w14:paraId="0F6D3ED0" w14:textId="77777777" w:rsidR="00DC5EC6" w:rsidRDefault="003245A4">
            <w:pPr>
              <w:pStyle w:val="P68B1DB1-Normal23"/>
              <w:spacing w:after="0"/>
              <w:jc w:val="center"/>
              <w:rPr>
                <w:rFonts w:eastAsia="Calibri" w:cs="Calibri"/>
                <w:noProof/>
              </w:rPr>
            </w:pPr>
            <w:r>
              <w:rPr>
                <w:noProof/>
              </w:rPr>
              <w:t>Re-C06-i09</w:t>
            </w:r>
          </w:p>
        </w:tc>
        <w:tc>
          <w:tcPr>
            <w:tcW w:w="1520" w:type="dxa"/>
            <w:shd w:val="clear" w:color="auto" w:fill="C4EFCE"/>
            <w:vAlign w:val="center"/>
            <w:hideMark/>
          </w:tcPr>
          <w:p w14:paraId="6D0F7153"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047B6D19" w14:textId="77777777" w:rsidR="00DC5EC6" w:rsidRDefault="003245A4">
            <w:pPr>
              <w:pStyle w:val="P68B1DB1-Normal23"/>
              <w:spacing w:after="0"/>
              <w:jc w:val="both"/>
              <w:rPr>
                <w:rFonts w:eastAsia="Calibri" w:cs="Calibri"/>
                <w:noProof/>
              </w:rPr>
            </w:pPr>
            <w:r>
              <w:rPr>
                <w:noProof/>
              </w:rPr>
              <w:t>Épített vagy felújított iskolák</w:t>
            </w:r>
          </w:p>
        </w:tc>
      </w:tr>
      <w:tr w:rsidR="00DC5EC6" w14:paraId="5238DA6D" w14:textId="77777777">
        <w:trPr>
          <w:trHeight w:val="440"/>
        </w:trPr>
        <w:tc>
          <w:tcPr>
            <w:tcW w:w="1200" w:type="dxa"/>
            <w:shd w:val="clear" w:color="auto" w:fill="C4EFCE"/>
            <w:vAlign w:val="center"/>
            <w:hideMark/>
          </w:tcPr>
          <w:p w14:paraId="5A9125CA" w14:textId="77777777" w:rsidR="00DC5EC6" w:rsidRDefault="003245A4">
            <w:pPr>
              <w:pStyle w:val="P68B1DB1-Normal23"/>
              <w:spacing w:after="0"/>
              <w:jc w:val="center"/>
              <w:rPr>
                <w:rFonts w:eastAsia="Calibri" w:cs="Calibri"/>
                <w:noProof/>
              </w:rPr>
            </w:pPr>
            <w:r>
              <w:rPr>
                <w:noProof/>
              </w:rPr>
              <w:t>9.11</w:t>
            </w:r>
          </w:p>
        </w:tc>
        <w:tc>
          <w:tcPr>
            <w:tcW w:w="1760" w:type="dxa"/>
            <w:shd w:val="clear" w:color="auto" w:fill="C4EFCE"/>
            <w:vAlign w:val="center"/>
            <w:hideMark/>
          </w:tcPr>
          <w:p w14:paraId="0D639E29" w14:textId="77777777" w:rsidR="00DC5EC6" w:rsidRDefault="003245A4">
            <w:pPr>
              <w:pStyle w:val="P68B1DB1-Normal23"/>
              <w:spacing w:after="0"/>
              <w:jc w:val="center"/>
              <w:rPr>
                <w:rFonts w:eastAsia="Calibri" w:cs="Calibri"/>
                <w:noProof/>
              </w:rPr>
            </w:pPr>
            <w:r>
              <w:rPr>
                <w:noProof/>
              </w:rPr>
              <w:t>Re-C09-i02</w:t>
            </w:r>
          </w:p>
        </w:tc>
        <w:tc>
          <w:tcPr>
            <w:tcW w:w="1520" w:type="dxa"/>
            <w:shd w:val="clear" w:color="auto" w:fill="C4EFCE"/>
            <w:vAlign w:val="center"/>
            <w:hideMark/>
          </w:tcPr>
          <w:p w14:paraId="41B75453"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312ACE4B" w14:textId="77777777" w:rsidR="00DC5EC6" w:rsidRDefault="003245A4">
            <w:pPr>
              <w:pStyle w:val="P68B1DB1-Normal23"/>
              <w:spacing w:after="0"/>
              <w:jc w:val="both"/>
              <w:rPr>
                <w:rFonts w:eastAsia="Calibri" w:cs="Calibri"/>
                <w:noProof/>
              </w:rPr>
            </w:pPr>
            <w:r>
              <w:rPr>
                <w:noProof/>
              </w:rPr>
              <w:t>A gát, a víz- és napenergia-termelés és az öntözés üzembe helyezése, a környezeti hatásvizsgálat eredményeinek és feltételeinek teljes körű tiszteletben tartása, valamint az érintett víztestek jó állapotának elérése</w:t>
            </w:r>
          </w:p>
        </w:tc>
      </w:tr>
      <w:tr w:rsidR="00DC5EC6" w14:paraId="19AB668B" w14:textId="77777777">
        <w:trPr>
          <w:trHeight w:val="440"/>
        </w:trPr>
        <w:tc>
          <w:tcPr>
            <w:tcW w:w="1200" w:type="dxa"/>
            <w:shd w:val="clear" w:color="auto" w:fill="C4EFCE"/>
            <w:vAlign w:val="center"/>
            <w:hideMark/>
          </w:tcPr>
          <w:p w14:paraId="6A2076DD" w14:textId="77777777" w:rsidR="00DC5EC6" w:rsidRDefault="003245A4">
            <w:pPr>
              <w:pStyle w:val="P68B1DB1-Normal23"/>
              <w:spacing w:after="0"/>
              <w:jc w:val="center"/>
              <w:rPr>
                <w:rFonts w:eastAsia="Calibri" w:cs="Calibri"/>
                <w:noProof/>
              </w:rPr>
            </w:pPr>
            <w:r>
              <w:rPr>
                <w:noProof/>
              </w:rPr>
              <w:t>10.7</w:t>
            </w:r>
          </w:p>
        </w:tc>
        <w:tc>
          <w:tcPr>
            <w:tcW w:w="1760" w:type="dxa"/>
            <w:shd w:val="clear" w:color="auto" w:fill="C4EFCE"/>
            <w:vAlign w:val="center"/>
            <w:hideMark/>
          </w:tcPr>
          <w:p w14:paraId="7A7CF25E" w14:textId="77777777" w:rsidR="00DC5EC6" w:rsidRDefault="003245A4">
            <w:pPr>
              <w:pStyle w:val="P68B1DB1-Normal23"/>
              <w:spacing w:after="0"/>
              <w:jc w:val="center"/>
              <w:rPr>
                <w:rFonts w:eastAsia="Calibri" w:cs="Calibri"/>
                <w:noProof/>
              </w:rPr>
            </w:pPr>
            <w:r>
              <w:rPr>
                <w:noProof/>
              </w:rPr>
              <w:t>TC-C10-i03</w:t>
            </w:r>
          </w:p>
        </w:tc>
        <w:tc>
          <w:tcPr>
            <w:tcW w:w="1520" w:type="dxa"/>
            <w:shd w:val="clear" w:color="auto" w:fill="C4EFCE"/>
            <w:vAlign w:val="center"/>
            <w:hideMark/>
          </w:tcPr>
          <w:p w14:paraId="266B0A8B" w14:textId="77777777" w:rsidR="00DC5EC6" w:rsidRDefault="003245A4">
            <w:pPr>
              <w:pStyle w:val="P68B1DB1-Normal23"/>
              <w:spacing w:after="0"/>
              <w:jc w:val="center"/>
              <w:rPr>
                <w:rFonts w:eastAsia="Calibri" w:cs="Calibri"/>
                <w:noProof/>
              </w:rPr>
            </w:pPr>
            <w:r>
              <w:rPr>
                <w:noProof/>
              </w:rPr>
              <w:t>M</w:t>
            </w:r>
          </w:p>
        </w:tc>
        <w:tc>
          <w:tcPr>
            <w:tcW w:w="5060" w:type="dxa"/>
            <w:shd w:val="clear" w:color="auto" w:fill="C4EFCE"/>
            <w:vAlign w:val="center"/>
            <w:hideMark/>
          </w:tcPr>
          <w:p w14:paraId="73803CDA" w14:textId="77777777" w:rsidR="00DC5EC6" w:rsidRDefault="003245A4">
            <w:pPr>
              <w:pStyle w:val="P68B1DB1-Normal23"/>
              <w:spacing w:after="0"/>
              <w:jc w:val="both"/>
              <w:rPr>
                <w:rFonts w:eastAsia="Calibri" w:cs="Calibri"/>
                <w:noProof/>
              </w:rPr>
            </w:pPr>
            <w:r>
              <w:rPr>
                <w:noProof/>
              </w:rPr>
              <w:t>A „többfunkciós haditengerészeti platform” és az „operációs központ” fogadása és elfogadása</w:t>
            </w:r>
          </w:p>
        </w:tc>
      </w:tr>
      <w:tr w:rsidR="00DC5EC6" w14:paraId="057D473A" w14:textId="77777777">
        <w:trPr>
          <w:trHeight w:val="440"/>
        </w:trPr>
        <w:tc>
          <w:tcPr>
            <w:tcW w:w="1200" w:type="dxa"/>
            <w:shd w:val="clear" w:color="auto" w:fill="C4EFCE"/>
            <w:vAlign w:val="center"/>
            <w:hideMark/>
          </w:tcPr>
          <w:p w14:paraId="5F8992F9" w14:textId="77777777" w:rsidR="00DC5EC6" w:rsidRDefault="003245A4">
            <w:pPr>
              <w:pStyle w:val="P68B1DB1-Normal23"/>
              <w:spacing w:after="0"/>
              <w:jc w:val="center"/>
              <w:rPr>
                <w:rFonts w:eastAsia="Calibri" w:cs="Calibri"/>
                <w:noProof/>
              </w:rPr>
            </w:pPr>
            <w:r>
              <w:rPr>
                <w:noProof/>
              </w:rPr>
              <w:t>10.18</w:t>
            </w:r>
          </w:p>
        </w:tc>
        <w:tc>
          <w:tcPr>
            <w:tcW w:w="1760" w:type="dxa"/>
            <w:shd w:val="clear" w:color="auto" w:fill="C4EFCE"/>
            <w:vAlign w:val="center"/>
            <w:hideMark/>
          </w:tcPr>
          <w:p w14:paraId="3BD8484D" w14:textId="77777777" w:rsidR="00DC5EC6" w:rsidRDefault="003245A4">
            <w:pPr>
              <w:pStyle w:val="P68B1DB1-Normal23"/>
              <w:spacing w:after="0"/>
              <w:jc w:val="center"/>
              <w:rPr>
                <w:rFonts w:eastAsia="Calibri" w:cs="Calibri"/>
                <w:noProof/>
              </w:rPr>
            </w:pPr>
            <w:r>
              <w:rPr>
                <w:noProof/>
              </w:rPr>
              <w:t>TC-10-i07</w:t>
            </w:r>
          </w:p>
        </w:tc>
        <w:tc>
          <w:tcPr>
            <w:tcW w:w="1520" w:type="dxa"/>
            <w:shd w:val="clear" w:color="auto" w:fill="C4EFCE"/>
            <w:vAlign w:val="center"/>
            <w:hideMark/>
          </w:tcPr>
          <w:p w14:paraId="735A96C0"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7556295A" w14:textId="77777777" w:rsidR="00DC5EC6" w:rsidRDefault="003245A4">
            <w:pPr>
              <w:pStyle w:val="P68B1DB1-Normal23"/>
              <w:spacing w:after="0"/>
              <w:jc w:val="both"/>
              <w:rPr>
                <w:rFonts w:eastAsia="Calibri" w:cs="Calibri"/>
                <w:noProof/>
              </w:rPr>
            </w:pPr>
            <w:r>
              <w:rPr>
                <w:noProof/>
              </w:rPr>
              <w:t>A hajók energiahatékonysági beavatkozásainak befejezése</w:t>
            </w:r>
          </w:p>
        </w:tc>
      </w:tr>
      <w:tr w:rsidR="00DC5EC6" w14:paraId="4F144B9C" w14:textId="77777777">
        <w:trPr>
          <w:trHeight w:val="440"/>
        </w:trPr>
        <w:tc>
          <w:tcPr>
            <w:tcW w:w="1200" w:type="dxa"/>
            <w:shd w:val="clear" w:color="auto" w:fill="C4EFCE"/>
            <w:vAlign w:val="center"/>
            <w:hideMark/>
          </w:tcPr>
          <w:p w14:paraId="32223458" w14:textId="77777777" w:rsidR="00DC5EC6" w:rsidRDefault="003245A4">
            <w:pPr>
              <w:pStyle w:val="P68B1DB1-Normal23"/>
              <w:spacing w:after="0"/>
              <w:jc w:val="center"/>
              <w:rPr>
                <w:rFonts w:eastAsia="Calibri" w:cs="Calibri"/>
                <w:noProof/>
              </w:rPr>
            </w:pPr>
            <w:r>
              <w:rPr>
                <w:noProof/>
              </w:rPr>
              <w:t>15.9</w:t>
            </w:r>
          </w:p>
        </w:tc>
        <w:tc>
          <w:tcPr>
            <w:tcW w:w="1760" w:type="dxa"/>
            <w:shd w:val="clear" w:color="auto" w:fill="C4EFCE"/>
            <w:vAlign w:val="center"/>
            <w:hideMark/>
          </w:tcPr>
          <w:p w14:paraId="653ED741" w14:textId="77777777" w:rsidR="00DC5EC6" w:rsidRDefault="003245A4">
            <w:pPr>
              <w:pStyle w:val="P68B1DB1-Normal23"/>
              <w:spacing w:after="0"/>
              <w:jc w:val="center"/>
              <w:rPr>
                <w:rFonts w:eastAsia="Calibri" w:cs="Calibri"/>
                <w:noProof/>
              </w:rPr>
            </w:pPr>
            <w:r>
              <w:rPr>
                <w:noProof/>
              </w:rPr>
              <w:t>TC-C15-i03</w:t>
            </w:r>
          </w:p>
        </w:tc>
        <w:tc>
          <w:tcPr>
            <w:tcW w:w="1520" w:type="dxa"/>
            <w:shd w:val="clear" w:color="auto" w:fill="C4EFCE"/>
            <w:vAlign w:val="center"/>
            <w:hideMark/>
          </w:tcPr>
          <w:p w14:paraId="36D4B6CD" w14:textId="77777777" w:rsidR="00DC5EC6" w:rsidRDefault="003245A4">
            <w:pPr>
              <w:pStyle w:val="P68B1DB1-Normal23"/>
              <w:spacing w:after="0"/>
              <w:jc w:val="center"/>
              <w:rPr>
                <w:rFonts w:eastAsia="Calibri" w:cs="Calibri"/>
                <w:noProof/>
              </w:rPr>
            </w:pPr>
            <w:r>
              <w:rPr>
                <w:noProof/>
              </w:rPr>
              <w:t>T</w:t>
            </w:r>
          </w:p>
        </w:tc>
        <w:tc>
          <w:tcPr>
            <w:tcW w:w="5060" w:type="dxa"/>
            <w:shd w:val="clear" w:color="auto" w:fill="C4EFCE"/>
            <w:vAlign w:val="center"/>
            <w:hideMark/>
          </w:tcPr>
          <w:p w14:paraId="19759650" w14:textId="77777777" w:rsidR="00DC5EC6" w:rsidRDefault="003245A4">
            <w:pPr>
              <w:pStyle w:val="P68B1DB1-Normal23"/>
              <w:spacing w:after="0"/>
              <w:jc w:val="both"/>
              <w:rPr>
                <w:rFonts w:eastAsia="Calibri" w:cs="Calibri"/>
                <w:noProof/>
              </w:rPr>
            </w:pPr>
            <w:r>
              <w:rPr>
                <w:noProof/>
              </w:rPr>
              <w:t>Az Odivelas és a Loures közötti könnyű vasúti tranzitvonal építése befejezve</w:t>
            </w:r>
          </w:p>
        </w:tc>
      </w:tr>
      <w:tr w:rsidR="00DC5EC6" w14:paraId="4C01CA89" w14:textId="77777777">
        <w:trPr>
          <w:trHeight w:val="440"/>
        </w:trPr>
        <w:tc>
          <w:tcPr>
            <w:tcW w:w="1200" w:type="dxa"/>
            <w:shd w:val="clear" w:color="auto" w:fill="C4EFCE"/>
            <w:vAlign w:val="center"/>
            <w:hideMark/>
          </w:tcPr>
          <w:p w14:paraId="58A583A0" w14:textId="77777777" w:rsidR="00DC5EC6" w:rsidRDefault="003245A4">
            <w:pPr>
              <w:pStyle w:val="P68B1DB1-Normal8"/>
              <w:spacing w:after="0" w:line="240" w:lineRule="auto"/>
              <w:jc w:val="center"/>
              <w:rPr>
                <w:rFonts w:eastAsia="Times New Roman" w:cs="Calibri"/>
                <w:noProof/>
              </w:rPr>
            </w:pPr>
            <w:r>
              <w:rPr>
                <w:noProof/>
              </w:rPr>
              <w:t> </w:t>
            </w:r>
          </w:p>
        </w:tc>
        <w:tc>
          <w:tcPr>
            <w:tcW w:w="1760" w:type="dxa"/>
            <w:shd w:val="clear" w:color="auto" w:fill="C4EFCE"/>
            <w:vAlign w:val="center"/>
            <w:hideMark/>
          </w:tcPr>
          <w:p w14:paraId="60B776CD" w14:textId="77777777" w:rsidR="00DC5EC6" w:rsidRDefault="003245A4">
            <w:pPr>
              <w:pStyle w:val="P68B1DB1-Normal8"/>
              <w:spacing w:after="0" w:line="240" w:lineRule="auto"/>
              <w:rPr>
                <w:rFonts w:eastAsia="Times New Roman" w:cs="Calibri"/>
                <w:noProof/>
              </w:rPr>
            </w:pPr>
            <w:r>
              <w:rPr>
                <w:noProof/>
              </w:rPr>
              <w:t> </w:t>
            </w:r>
          </w:p>
        </w:tc>
        <w:tc>
          <w:tcPr>
            <w:tcW w:w="1520" w:type="dxa"/>
            <w:shd w:val="clear" w:color="auto" w:fill="C4EFCE"/>
            <w:vAlign w:val="center"/>
            <w:hideMark/>
          </w:tcPr>
          <w:p w14:paraId="795582F7" w14:textId="77777777" w:rsidR="00DC5EC6" w:rsidRDefault="003245A4">
            <w:pPr>
              <w:pStyle w:val="P68B1DB1-Normal24"/>
              <w:spacing w:after="0" w:line="240" w:lineRule="auto"/>
              <w:jc w:val="center"/>
              <w:rPr>
                <w:rFonts w:eastAsia="Times New Roman" w:cs="Calibri"/>
                <w:noProof/>
              </w:rPr>
            </w:pPr>
            <w:r>
              <w:rPr>
                <w:noProof/>
              </w:rPr>
              <w:t>Részösszeg</w:t>
            </w:r>
          </w:p>
        </w:tc>
        <w:tc>
          <w:tcPr>
            <w:tcW w:w="5060" w:type="dxa"/>
            <w:shd w:val="clear" w:color="auto" w:fill="C4EFCE"/>
            <w:vAlign w:val="center"/>
            <w:hideMark/>
          </w:tcPr>
          <w:p w14:paraId="608E3E88" w14:textId="42969D28" w:rsidR="00DC5EC6" w:rsidRDefault="003245A4">
            <w:pPr>
              <w:pStyle w:val="P68B1DB1-Normal25"/>
              <w:spacing w:after="0" w:line="240" w:lineRule="auto"/>
              <w:jc w:val="center"/>
              <w:rPr>
                <w:rFonts w:cs="Calibri"/>
                <w:noProof/>
              </w:rPr>
            </w:pPr>
            <w:r>
              <w:rPr>
                <w:noProof/>
              </w:rPr>
              <w:t xml:space="preserve"> ·EURÓPAI BIZOTTSÁG 907 960 212 EUR </w:t>
            </w:r>
          </w:p>
        </w:tc>
      </w:tr>
    </w:tbl>
    <w:p w14:paraId="1317C313" w14:textId="77777777" w:rsidR="00DC5EC6" w:rsidRDefault="00DC5EC6">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p>
    <w:p w14:paraId="7BC3CF85" w14:textId="11A36794" w:rsidR="00DC5EC6" w:rsidRDefault="003245A4">
      <w:pPr>
        <w:keepNext/>
        <w:tabs>
          <w:tab w:val="num" w:pos="850"/>
        </w:tabs>
        <w:spacing w:before="360" w:after="0" w:line="259" w:lineRule="auto"/>
        <w:ind w:left="850" w:hanging="850"/>
        <w:jc w:val="both"/>
        <w:outlineLvl w:val="0"/>
        <w:rPr>
          <w:rFonts w:ascii="Times New Roman" w:eastAsiaTheme="majorEastAsia" w:hAnsi="Times New Roman" w:cs="Times New Roman"/>
          <w:b/>
          <w:smallCaps/>
          <w:noProof/>
          <w:sz w:val="24"/>
        </w:rPr>
      </w:pPr>
      <w:r>
        <w:rPr>
          <w:noProof/>
        </w:rPr>
        <w:br w:type="page"/>
        <w:t>3</w:t>
      </w:r>
      <w:r>
        <w:rPr>
          <w:rFonts w:ascii="Times New Roman" w:hAnsi="Times New Roman"/>
          <w:b/>
          <w:smallCaps/>
          <w:noProof/>
          <w:sz w:val="24"/>
        </w:rPr>
        <w:t xml:space="preserve">. SZAKASZ: KIEGÉSZÍTŐ INTÉZKEDÉSEK </w:t>
      </w:r>
    </w:p>
    <w:p w14:paraId="21FD14C8" w14:textId="77777777" w:rsidR="00DC5EC6" w:rsidRDefault="003245A4">
      <w:pPr>
        <w:pStyle w:val="P68B1DB1-Normal3"/>
        <w:keepNext/>
        <w:numPr>
          <w:ilvl w:val="1"/>
          <w:numId w:val="49"/>
        </w:numPr>
        <w:spacing w:before="40" w:after="0" w:line="259" w:lineRule="auto"/>
        <w:ind w:left="357" w:hanging="357"/>
        <w:jc w:val="both"/>
        <w:outlineLvl w:val="1"/>
        <w:rPr>
          <w:rFonts w:eastAsiaTheme="majorEastAsia" w:cs="Times New Roman"/>
          <w:noProof/>
        </w:rPr>
      </w:pPr>
      <w:r>
        <w:rPr>
          <w:noProof/>
        </w:rPr>
        <w:t>A helyreállítási és rezilienciaépítési terv végrehajtásához és nyomon követéséhez kapcsolódó intézkedések</w:t>
      </w:r>
    </w:p>
    <w:p w14:paraId="0513130D"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Portugália helyreállítási és rezilienciaépítési tervének nyomon követésére és végrehajtására a következő szabályoknak megfelelően kerül sor: </w:t>
      </w:r>
    </w:p>
    <w:p w14:paraId="47CE9DC2" w14:textId="3215C937" w:rsidR="00DC5EC6" w:rsidRDefault="003245A4">
      <w:pPr>
        <w:pStyle w:val="P68B1DB1-Normal4"/>
        <w:keepNext/>
        <w:spacing w:before="40" w:after="0" w:line="259" w:lineRule="auto"/>
        <w:jc w:val="both"/>
        <w:rPr>
          <w:rFonts w:eastAsiaTheme="minorEastAsia" w:cs="Times New Roman"/>
          <w:noProof/>
        </w:rPr>
      </w:pPr>
      <w:r>
        <w:rPr>
          <w:noProof/>
        </w:rPr>
        <w:t xml:space="preserve">A július 24-i 61/2023. sz. törvényerejű rendelettel módosított 29-B/2021. sz. törvényerejű rendelet négyszintű irányítási modellt hoz létre: </w:t>
      </w:r>
    </w:p>
    <w:p w14:paraId="5C86F29E" w14:textId="77777777"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A miniszterelnök által elnökölt, a stratégiai és szakpolitikai koordinációért, valamint az átfogó politikai irányításért felelős miniszterközi bizottság; </w:t>
      </w:r>
    </w:p>
    <w:p w14:paraId="40167AC1" w14:textId="77777777"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A különböző szociális és gazdasági partnerek képviselőiből és a civil társadalom kulcsfontosságú szereplőiből álló, független személy által vezetett nemzeti nyomonkövetési bizottság, amelynek feladata a helyreállítási és rezilienciaépítési terv végrehajtásának és eredményeinek nyomon követése, a terv megfelelő terjesztésének előmozdítása a polgárok, a vállalkozások és más szervezetek körében, valamint a teljesítményt befolyásoló kérdések vizsgálata és ajánlások előterjesztése; </w:t>
      </w:r>
    </w:p>
    <w:p w14:paraId="39701269" w14:textId="78BB1033"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 xml:space="preserve">A Minisztertanács 46-B/2021. sz. állásfoglalásával létrehozott Estrutura </w:t>
      </w:r>
      <w:r>
        <w:rPr>
          <w:i/>
          <w:noProof/>
        </w:rPr>
        <w:t>de missao Recuperar Portugal</w:t>
      </w:r>
      <w:r>
        <w:rPr>
          <w:noProof/>
        </w:rPr>
        <w:t xml:space="preserve"> igazgatási struktúra (a továbbiakban: feladaterő) felel a helyreállítási és rezilienciaépítési terv végrehajtásáért, a Fejlesztési és Kohéziós Ügynökséggel (az uniós források kombinációjának felhasználásának felügyeletével, a kettős finanszírozás kockázatának és a más kezdeményezésekkel való összhangnak a ellenőrzésével) és a Pénzügyminisztériummal együtt;</w:t>
      </w:r>
    </w:p>
    <w:p w14:paraId="1B7F06E3" w14:textId="77777777" w:rsidR="00DC5EC6" w:rsidRDefault="003245A4">
      <w:pPr>
        <w:pStyle w:val="P68B1DB1-Normal4"/>
        <w:keepNext/>
        <w:numPr>
          <w:ilvl w:val="0"/>
          <w:numId w:val="54"/>
        </w:numPr>
        <w:spacing w:before="40" w:after="160" w:line="259" w:lineRule="auto"/>
        <w:contextualSpacing/>
        <w:jc w:val="both"/>
        <w:rPr>
          <w:rFonts w:eastAsiaTheme="minorEastAsia" w:cs="Times New Roman"/>
          <w:noProof/>
        </w:rPr>
      </w:pPr>
      <w:r>
        <w:rPr>
          <w:noProof/>
        </w:rPr>
        <w:t>A Pénzügyi Főfelügyelőség (IGF) elnökletével működő Ellenőrzési és Ellenőrzési Bizottság (CAC) felel az ellenőrzési és ellenőrzési tevékenységekért.</w:t>
      </w:r>
    </w:p>
    <w:p w14:paraId="7337E38A" w14:textId="77777777" w:rsidR="00DC5EC6" w:rsidRDefault="003245A4">
      <w:pPr>
        <w:pStyle w:val="P68B1DB1-Normal4"/>
        <w:keepNext/>
        <w:spacing w:before="40" w:after="0" w:line="259" w:lineRule="auto"/>
        <w:jc w:val="both"/>
        <w:rPr>
          <w:rFonts w:eastAsiaTheme="minorEastAsia" w:cs="Times New Roman"/>
          <w:noProof/>
        </w:rPr>
      </w:pPr>
      <w:r>
        <w:rPr>
          <w:noProof/>
        </w:rPr>
        <w:t xml:space="preserve">Portugália létrehozta az egyes reformok és beruházások komponensek szintjén történő végrehajtásáért felelős intézményi szereplőket. Az egyes reformok és beruházások végrehajtásában részt vevő felelős minisztériumok vagy szereplők rendszeresen kapcsolatot tartanak a munkacsoporttal, amely a helyreállítási és rezilienciaépítési tervvel kapcsolatos munka koordinálásáért, a közvetlen és közbenső kedvezményezettekkel szerződések aláírásáért, a mérföldkövek és célok teljesítésének ellenőrzéséért, valamint a kifizetési kérelmeknek az Európai Bizottsághoz történő továbbításáért felelős szervezet. </w:t>
      </w:r>
    </w:p>
    <w:p w14:paraId="4221245C" w14:textId="77777777" w:rsidR="00DC5EC6" w:rsidRDefault="00DC5EC6">
      <w:pPr>
        <w:keepNext/>
        <w:spacing w:before="40" w:after="0" w:line="259" w:lineRule="auto"/>
        <w:jc w:val="both"/>
        <w:rPr>
          <w:rFonts w:ascii="Times New Roman" w:eastAsiaTheme="minorEastAsia" w:hAnsi="Times New Roman" w:cs="Times New Roman"/>
          <w:noProof/>
          <w:sz w:val="24"/>
        </w:rPr>
      </w:pPr>
    </w:p>
    <w:p w14:paraId="0C7CC7C0" w14:textId="77777777" w:rsidR="00DC5EC6" w:rsidRDefault="003245A4">
      <w:pPr>
        <w:pStyle w:val="P68B1DB1-Normal3"/>
        <w:keepNext/>
        <w:numPr>
          <w:ilvl w:val="1"/>
          <w:numId w:val="49"/>
        </w:numPr>
        <w:spacing w:before="40" w:after="0" w:line="259" w:lineRule="auto"/>
        <w:ind w:left="357" w:hanging="357"/>
        <w:jc w:val="both"/>
        <w:outlineLvl w:val="1"/>
        <w:rPr>
          <w:rFonts w:eastAsiaTheme="minorEastAsia" w:cs="Times New Roman"/>
          <w:noProof/>
        </w:rPr>
      </w:pPr>
      <w:r>
        <w:rPr>
          <w:noProof/>
        </w:rPr>
        <w:t>A Bizottságnak az alapul szolgáló adatokhoz való teljes körű hozzáférését biztosító intézkedések</w:t>
      </w:r>
    </w:p>
    <w:p w14:paraId="2A07BA90" w14:textId="77777777" w:rsidR="00DC5EC6" w:rsidRDefault="00DC5EC6">
      <w:pPr>
        <w:keepNext/>
        <w:spacing w:before="40" w:after="0" w:line="259" w:lineRule="auto"/>
        <w:ind w:left="357"/>
        <w:jc w:val="both"/>
        <w:outlineLvl w:val="1"/>
        <w:rPr>
          <w:rFonts w:ascii="Times New Roman" w:eastAsiaTheme="minorEastAsia" w:hAnsi="Times New Roman" w:cs="Times New Roman"/>
          <w:b/>
          <w:noProof/>
          <w:sz w:val="24"/>
          <w:u w:val="single"/>
        </w:rPr>
      </w:pPr>
    </w:p>
    <w:p w14:paraId="058CE76E" w14:textId="524D29FB" w:rsidR="00DC5EC6" w:rsidRDefault="003245A4">
      <w:pPr>
        <w:pStyle w:val="P68B1DB1-Normal4"/>
        <w:keepNext/>
        <w:numPr>
          <w:ilvl w:val="0"/>
          <w:numId w:val="69"/>
        </w:numPr>
        <w:spacing w:before="120" w:after="0" w:line="240" w:lineRule="auto"/>
        <w:ind w:left="714" w:hanging="357"/>
        <w:contextualSpacing/>
        <w:jc w:val="both"/>
        <w:rPr>
          <w:rFonts w:cs="Times New Roman"/>
          <w:noProof/>
        </w:rPr>
      </w:pPr>
      <w:r>
        <w:rPr>
          <w:noProof/>
        </w:rPr>
        <w:t>A Portugália helyreállítási és rezilienciaépítési tervének és végrehajtásának központi koordináló szerveként az „Estrutura de missao Recuperar Portugal” munkacsoport felel a terv átfogó koordinálásáért és nyomon követéséért, a Fejlesztési és Kohéziós Ügynökséggel és a Pénzügyminisztériummal együtt. Koordináló szervként működik különösen a mérföldkövek és célok terén elért eredmények nyomon követése, a nyomon követés és adott esetben az ellenőrzési és ellenőrzési tevékenységek végrehajtása, valamint a jelentéstétel és a kifizetési kérelmek tekintetében. Koordinálja a mérföldkövekre és célokra, a releváns mutatókra, valamint a minőségi pénzügyi információkra és egyéb adatokra, például a végső kedvezményezettekre vonatkozó jelentéstételt. Az adatkódolás egy központosított informatikai rendszerben történik.</w:t>
      </w:r>
    </w:p>
    <w:p w14:paraId="09971485" w14:textId="77777777" w:rsidR="00DC5EC6" w:rsidRDefault="003245A4">
      <w:pPr>
        <w:pStyle w:val="P68B1DB1-Normal4"/>
        <w:keepNext/>
        <w:numPr>
          <w:ilvl w:val="0"/>
          <w:numId w:val="69"/>
        </w:numPr>
        <w:spacing w:before="120" w:after="120" w:line="240" w:lineRule="auto"/>
        <w:contextualSpacing/>
        <w:jc w:val="both"/>
        <w:rPr>
          <w:rFonts w:eastAsiaTheme="minorEastAsia" w:cs="Times New Roman"/>
          <w:noProof/>
        </w:rPr>
      </w:pPr>
      <w:r>
        <w:rPr>
          <w:noProof/>
        </w:rPr>
        <w:t xml:space="preserve">Az (EU) 2021/241 rendelet 24. cikkének (2) bekezdésével összhangban Portugália az e melléklet 2.1. szakaszában foglalt releváns elfogadott mérföldkövek és célok teljesítését követően megfelelően indokolt kérelmet nyújt be a Bizottsághoz a pénzügyi hozzájárulás és adott esetben a hitel kifizetése iránt. Portugália biztosítja, hogy kérésre a Bizottság teljes körű hozzáféréssel rendelkezzen a kifizetési kérelem megfelelő indokolását alátámasztó releváns adatokhoz, mind a kifizetési kérelemnek az (EU) 2021/241 rendelet 24. cikkének (3) bekezdése szerinti értékelése, mind pedig ellenőrzési és kontrollcélok céljából. </w:t>
      </w:r>
    </w:p>
    <w:p w14:paraId="03FAF694" w14:textId="77777777" w:rsidR="00DC5EC6" w:rsidRDefault="00DC5EC6">
      <w:pPr>
        <w:rPr>
          <w:noProof/>
        </w:rPr>
      </w:pPr>
    </w:p>
    <w:sectPr w:rsidR="00DC5EC6">
      <w:headerReference w:type="even" r:id="rId392"/>
      <w:headerReference w:type="default" r:id="rId393"/>
      <w:footerReference w:type="even" r:id="rId394"/>
      <w:footerReference w:type="default" r:id="rId395"/>
      <w:headerReference w:type="first" r:id="rId396"/>
      <w:footerReference w:type="first" r:id="rId397"/>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E45E" w14:textId="77777777" w:rsidR="005B6AC4" w:rsidRDefault="005B6AC4">
      <w:pPr>
        <w:spacing w:after="0" w:line="240" w:lineRule="auto"/>
      </w:pPr>
      <w:r>
        <w:separator/>
      </w:r>
    </w:p>
  </w:endnote>
  <w:endnote w:type="continuationSeparator" w:id="0">
    <w:p w14:paraId="7D886B43" w14:textId="77777777" w:rsidR="005B6AC4" w:rsidRDefault="005B6AC4">
      <w:pPr>
        <w:spacing w:after="0" w:line="240" w:lineRule="auto"/>
      </w:pPr>
      <w:r>
        <w:continuationSeparator/>
      </w:r>
    </w:p>
  </w:endnote>
  <w:endnote w:type="continuationNotice" w:id="1">
    <w:p w14:paraId="7BFFF541" w14:textId="77777777" w:rsidR="005B6AC4" w:rsidRDefault="005B6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panose1 w:val="02020609040205080304"/>
    <w:charset w:val="80"/>
    <w:family w:val="modern"/>
    <w:pitch w:val="fixed"/>
    <w:sig w:usb0="E00002FF" w:usb1="6AC7FDFB" w:usb2="08000012" w:usb3="00000000" w:csb0="0002009F" w:csb1="00000000"/>
  </w:font>
  <w:font w:name="Times New Roman félkövé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1DEE" w14:textId="77777777" w:rsidR="005B5627" w:rsidRPr="005B5627" w:rsidRDefault="005B5627" w:rsidP="005B56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D884" w14:textId="77777777" w:rsidR="00992384" w:rsidRDefault="00992384">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1D25" w14:textId="77777777" w:rsidR="00DC5EC6" w:rsidRDefault="00DC5EC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12415"/>
      <w:docPartObj>
        <w:docPartGallery w:val="Page Numbers (Bottom of Page)"/>
        <w:docPartUnique/>
      </w:docPartObj>
    </w:sdtPr>
    <w:sdtEndPr>
      <w:rPr>
        <w:noProof/>
      </w:rPr>
    </w:sdtEndPr>
    <w:sdtContent>
      <w:p w14:paraId="5C35590C" w14:textId="38FA285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AB594E4" w14:textId="77777777" w:rsidR="00DC5EC6" w:rsidRDefault="00DC5EC6">
    <w:pPr>
      <w:pStyle w:val="FooterCouncil"/>
    </w:pP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387E" w14:textId="77777777" w:rsidR="00DC5EC6" w:rsidRDefault="00DC5EC6">
    <w:pPr>
      <w:pStyle w:val="Footer"/>
    </w:pP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33C40" w14:textId="77777777" w:rsidR="00DC5EC6" w:rsidRDefault="00DC5EC6">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05438"/>
      <w:docPartObj>
        <w:docPartGallery w:val="Page Numbers (Bottom of Page)"/>
        <w:docPartUnique/>
      </w:docPartObj>
    </w:sdtPr>
    <w:sdtEndPr>
      <w:rPr>
        <w:noProof/>
      </w:rPr>
    </w:sdtEndPr>
    <w:sdtContent>
      <w:p w14:paraId="6CE76736" w14:textId="62189A6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E47A84D" w14:textId="77777777" w:rsidR="00DC5EC6" w:rsidRDefault="00DC5EC6">
    <w:pPr>
      <w:pStyle w:val="FooterCouncil"/>
    </w:pP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A711" w14:textId="77777777" w:rsidR="00DC5EC6" w:rsidRDefault="00DC5EC6">
    <w:pPr>
      <w:pStyle w:val="Footer"/>
    </w:pP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7546" w14:textId="77777777" w:rsidR="00DC5EC6" w:rsidRDefault="00DC5EC6">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537083"/>
      <w:docPartObj>
        <w:docPartGallery w:val="Page Numbers (Bottom of Page)"/>
        <w:docPartUnique/>
      </w:docPartObj>
    </w:sdtPr>
    <w:sdtEndPr>
      <w:rPr>
        <w:noProof/>
      </w:rPr>
    </w:sdtEndPr>
    <w:sdtContent>
      <w:p w14:paraId="400B67AA" w14:textId="0E52DA81"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9B88E92" w14:textId="77777777" w:rsidR="00DC5EC6" w:rsidRDefault="00DC5EC6">
    <w:pPr>
      <w:pStyle w:val="FooterCouncil"/>
    </w:pP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66A6" w14:textId="77777777" w:rsidR="00DC5EC6" w:rsidRDefault="00DC5EC6">
    <w:pPr>
      <w:pStyle w:val="Footer"/>
    </w:pP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032C" w14:textId="77777777" w:rsidR="00DC5EC6" w:rsidRDefault="00DC5EC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699544"/>
      <w:docPartObj>
        <w:docPartGallery w:val="Page Numbers (Bottom of Page)"/>
        <w:docPartUnique/>
      </w:docPartObj>
    </w:sdtPr>
    <w:sdtEndPr>
      <w:rPr>
        <w:noProof/>
      </w:rPr>
    </w:sdtEndPr>
    <w:sdtContent>
      <w:p w14:paraId="1EB3FDA0" w14:textId="0C6D4E91" w:rsidR="00992384" w:rsidRDefault="00992384">
        <w:pPr>
          <w:pStyle w:val="Footer"/>
          <w:jc w:val="center"/>
        </w:pPr>
        <w:r>
          <w:fldChar w:fldCharType="begin"/>
        </w:r>
        <w:r>
          <w:instrText xml:space="preserve"> PAGE   \* MERGEFORMAT </w:instrText>
        </w:r>
        <w:r>
          <w:fldChar w:fldCharType="separate"/>
        </w:r>
        <w:r w:rsidR="005B5627">
          <w:rPr>
            <w:noProof/>
          </w:rPr>
          <w:t>10</w:t>
        </w:r>
        <w:r>
          <w:fldChar w:fldCharType="end"/>
        </w:r>
      </w:p>
    </w:sdtContent>
  </w:sdt>
  <w:p w14:paraId="7A15B2B2" w14:textId="77777777" w:rsidR="00992384" w:rsidRDefault="00992384">
    <w:pPr>
      <w:pStyle w:val="Footer"/>
    </w:pP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1652"/>
      <w:docPartObj>
        <w:docPartGallery w:val="Page Numbers (Bottom of Page)"/>
        <w:docPartUnique/>
      </w:docPartObj>
    </w:sdtPr>
    <w:sdtEndPr>
      <w:rPr>
        <w:noProof/>
      </w:rPr>
    </w:sdtEndPr>
    <w:sdtContent>
      <w:p w14:paraId="64BE41A1" w14:textId="4418F72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CCA67FB" w14:textId="77777777" w:rsidR="00DC5EC6" w:rsidRDefault="00DC5EC6">
    <w:pPr>
      <w:pStyle w:val="FooterCouncil"/>
    </w:pP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F1F5" w14:textId="77777777" w:rsidR="00DC5EC6" w:rsidRDefault="00DC5EC6">
    <w:pPr>
      <w:pStyle w:val="Footer"/>
    </w:pPr>
  </w:p>
</w:ftr>
</file>

<file path=word/footer1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C986" w14:textId="77777777" w:rsidR="00DC5EC6" w:rsidRDefault="00DC5EC6">
    <w:pPr>
      <w:pStyle w:val="Footer"/>
    </w:pPr>
  </w:p>
</w:ftr>
</file>

<file path=word/footer1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802795"/>
      <w:docPartObj>
        <w:docPartGallery w:val="Page Numbers (Bottom of Page)"/>
        <w:docPartUnique/>
      </w:docPartObj>
    </w:sdtPr>
    <w:sdtEndPr>
      <w:rPr>
        <w:noProof/>
      </w:rPr>
    </w:sdtEndPr>
    <w:sdtContent>
      <w:p w14:paraId="3F6CD9B0" w14:textId="2B432A40"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85FDF4B" w14:textId="77777777" w:rsidR="00DC5EC6" w:rsidRDefault="00DC5EC6">
    <w:pPr>
      <w:pStyle w:val="FooterCouncil"/>
    </w:pPr>
  </w:p>
</w:ftr>
</file>

<file path=word/footer1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3878" w14:textId="77777777" w:rsidR="00DC5EC6" w:rsidRDefault="00DC5EC6">
    <w:pPr>
      <w:pStyle w:val="Footer"/>
    </w:pPr>
  </w:p>
</w:ftr>
</file>

<file path=word/footer1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DCE7" w14:textId="77777777" w:rsidR="00DC5EC6" w:rsidRDefault="00DC5EC6">
    <w:pPr>
      <w:pStyle w:val="Footer"/>
    </w:pPr>
  </w:p>
</w:ftr>
</file>

<file path=word/footer1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81091"/>
      <w:docPartObj>
        <w:docPartGallery w:val="Page Numbers (Bottom of Page)"/>
        <w:docPartUnique/>
      </w:docPartObj>
    </w:sdtPr>
    <w:sdtEndPr>
      <w:rPr>
        <w:noProof/>
      </w:rPr>
    </w:sdtEndPr>
    <w:sdtContent>
      <w:p w14:paraId="75178E5C" w14:textId="7FB3180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8422C38" w14:textId="77777777" w:rsidR="00DC5EC6" w:rsidRDefault="00DC5EC6">
    <w:pPr>
      <w:pStyle w:val="FooterCouncil"/>
    </w:pPr>
  </w:p>
</w:ftr>
</file>

<file path=word/footer1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5B6C7" w14:textId="77777777" w:rsidR="00DC5EC6" w:rsidRDefault="00DC5EC6">
    <w:pPr>
      <w:pStyle w:val="Footer"/>
    </w:pPr>
  </w:p>
</w:ftr>
</file>

<file path=word/footer1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ECB7" w14:textId="77777777" w:rsidR="00DC5EC6" w:rsidRDefault="00DC5EC6">
    <w:pPr>
      <w:pStyle w:val="Footer"/>
    </w:pPr>
  </w:p>
</w:ftr>
</file>

<file path=word/footer1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32258"/>
      <w:docPartObj>
        <w:docPartGallery w:val="Page Numbers (Bottom of Page)"/>
        <w:docPartUnique/>
      </w:docPartObj>
    </w:sdtPr>
    <w:sdtEndPr>
      <w:rPr>
        <w:noProof/>
      </w:rPr>
    </w:sdtEndPr>
    <w:sdtContent>
      <w:p w14:paraId="2727D672" w14:textId="46A3741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1BA5E86" w14:textId="77777777" w:rsidR="00DC5EC6" w:rsidRDefault="00DC5EC6">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F6A6E" w14:textId="77777777" w:rsidR="00992384" w:rsidRDefault="00992384">
    <w:pPr>
      <w:pStyle w:val="Footer"/>
    </w:pPr>
  </w:p>
</w:ftr>
</file>

<file path=word/footer1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5423" w14:textId="77777777" w:rsidR="00DC5EC6" w:rsidRDefault="00DC5EC6">
    <w:pPr>
      <w:pStyle w:val="Footer"/>
    </w:pPr>
  </w:p>
</w:ftr>
</file>

<file path=word/footer1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2A79" w14:textId="77777777" w:rsidR="00DC5EC6" w:rsidRDefault="00DC5EC6">
    <w:pPr>
      <w:pStyle w:val="Footer"/>
    </w:pPr>
  </w:p>
</w:ftr>
</file>

<file path=word/footer1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292644"/>
      <w:docPartObj>
        <w:docPartGallery w:val="Page Numbers (Bottom of Page)"/>
        <w:docPartUnique/>
      </w:docPartObj>
    </w:sdtPr>
    <w:sdtEndPr>
      <w:rPr>
        <w:noProof/>
      </w:rPr>
    </w:sdtEndPr>
    <w:sdtContent>
      <w:p w14:paraId="1A732953" w14:textId="0EAA12D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F3FCFDE" w14:textId="77777777" w:rsidR="00DC5EC6" w:rsidRDefault="00DC5EC6">
    <w:pPr>
      <w:pStyle w:val="FooterCouncil"/>
    </w:pPr>
  </w:p>
</w:ftr>
</file>

<file path=word/footer1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EE08" w14:textId="77777777" w:rsidR="00DC5EC6" w:rsidRDefault="00DC5EC6">
    <w:pPr>
      <w:pStyle w:val="Footer"/>
    </w:pPr>
  </w:p>
</w:ftr>
</file>

<file path=word/footer1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D009" w14:textId="77777777" w:rsidR="00DC5EC6" w:rsidRDefault="00DC5EC6">
    <w:pPr>
      <w:pStyle w:val="Footer"/>
    </w:pPr>
  </w:p>
</w:ftr>
</file>

<file path=word/footer1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412636"/>
      <w:docPartObj>
        <w:docPartGallery w:val="Page Numbers (Bottom of Page)"/>
        <w:docPartUnique/>
      </w:docPartObj>
    </w:sdtPr>
    <w:sdtEndPr>
      <w:rPr>
        <w:noProof/>
      </w:rPr>
    </w:sdtEndPr>
    <w:sdtContent>
      <w:p w14:paraId="5F31BC2C" w14:textId="25CE31B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98CD17C" w14:textId="77777777" w:rsidR="00DC5EC6" w:rsidRDefault="00DC5EC6">
    <w:pPr>
      <w:pStyle w:val="FooterCouncil"/>
    </w:pPr>
  </w:p>
</w:ftr>
</file>

<file path=word/footer1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655" w14:textId="77777777" w:rsidR="00DC5EC6" w:rsidRDefault="00DC5EC6">
    <w:pPr>
      <w:pStyle w:val="Footer"/>
    </w:pPr>
  </w:p>
</w:ftr>
</file>

<file path=word/footer1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FCCA" w14:textId="77777777" w:rsidR="00DC5EC6" w:rsidRDefault="00DC5EC6">
    <w:pPr>
      <w:pStyle w:val="Footer"/>
    </w:pPr>
  </w:p>
</w:ftr>
</file>

<file path=word/footer1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565869"/>
      <w:docPartObj>
        <w:docPartGallery w:val="Page Numbers (Bottom of Page)"/>
        <w:docPartUnique/>
      </w:docPartObj>
    </w:sdtPr>
    <w:sdtEndPr>
      <w:rPr>
        <w:noProof/>
      </w:rPr>
    </w:sdtEndPr>
    <w:sdtContent>
      <w:p w14:paraId="2A025F3F" w14:textId="7ED8BDBE"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4331C35" w14:textId="77777777" w:rsidR="00DC5EC6" w:rsidRDefault="00DC5EC6">
    <w:pPr>
      <w:pStyle w:val="FooterCouncil"/>
    </w:pPr>
  </w:p>
</w:ftr>
</file>

<file path=word/footer1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8598" w14:textId="77777777" w:rsidR="00DC5EC6" w:rsidRDefault="00DC5EC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57A0" w14:textId="77777777" w:rsidR="00DC5EC6" w:rsidRDefault="00DC5EC6">
    <w:pPr>
      <w:pStyle w:val="Footer"/>
    </w:pPr>
  </w:p>
</w:ftr>
</file>

<file path=word/footer1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4A3A" w14:textId="77777777" w:rsidR="00DC5EC6" w:rsidRDefault="00DC5EC6">
    <w:pPr>
      <w:pStyle w:val="Footer"/>
    </w:pPr>
  </w:p>
</w:ftr>
</file>

<file path=word/footer1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66933"/>
      <w:docPartObj>
        <w:docPartGallery w:val="Page Numbers (Bottom of Page)"/>
        <w:docPartUnique/>
      </w:docPartObj>
    </w:sdtPr>
    <w:sdtEndPr>
      <w:rPr>
        <w:noProof/>
      </w:rPr>
    </w:sdtEndPr>
    <w:sdtContent>
      <w:p w14:paraId="6946F91E" w14:textId="65DB292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317CAD5" w14:textId="77777777" w:rsidR="00DC5EC6" w:rsidRDefault="00DC5EC6">
    <w:pPr>
      <w:pStyle w:val="FooterCouncil"/>
    </w:pPr>
  </w:p>
</w:ftr>
</file>

<file path=word/footer1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9999" w14:textId="77777777" w:rsidR="00DC5EC6" w:rsidRDefault="00DC5EC6">
    <w:pPr>
      <w:pStyle w:val="Footer"/>
    </w:pPr>
  </w:p>
</w:ftr>
</file>

<file path=word/footer1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FC7C" w14:textId="77777777" w:rsidR="00DC5EC6" w:rsidRDefault="00DC5EC6">
    <w:pPr>
      <w:pStyle w:val="Footer"/>
    </w:pPr>
  </w:p>
</w:ftr>
</file>

<file path=word/footer1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4876"/>
      <w:docPartObj>
        <w:docPartGallery w:val="Page Numbers (Bottom of Page)"/>
        <w:docPartUnique/>
      </w:docPartObj>
    </w:sdtPr>
    <w:sdtEndPr>
      <w:rPr>
        <w:noProof/>
      </w:rPr>
    </w:sdtEndPr>
    <w:sdtContent>
      <w:p w14:paraId="5182A1D9" w14:textId="3F40DCD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9915F40" w14:textId="77777777" w:rsidR="00DC5EC6" w:rsidRDefault="00DC5EC6">
    <w:pPr>
      <w:pStyle w:val="FooterCouncil"/>
    </w:pPr>
  </w:p>
</w:ftr>
</file>

<file path=word/footer1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047F" w14:textId="77777777" w:rsidR="00DC5EC6" w:rsidRDefault="00DC5EC6">
    <w:pPr>
      <w:pStyle w:val="Footer"/>
    </w:pPr>
  </w:p>
</w:ftr>
</file>

<file path=word/footer1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A06D" w14:textId="77777777" w:rsidR="00DC5EC6" w:rsidRDefault="00DC5EC6">
    <w:pPr>
      <w:pStyle w:val="Footer"/>
    </w:pPr>
  </w:p>
</w:ftr>
</file>

<file path=word/footer1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89003"/>
      <w:docPartObj>
        <w:docPartGallery w:val="Page Numbers (Bottom of Page)"/>
        <w:docPartUnique/>
      </w:docPartObj>
    </w:sdtPr>
    <w:sdtEndPr>
      <w:rPr>
        <w:noProof/>
      </w:rPr>
    </w:sdtEndPr>
    <w:sdtContent>
      <w:p w14:paraId="70C4F1F4" w14:textId="71FC383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5A4C2D26" w14:textId="77777777" w:rsidR="00DC5EC6" w:rsidRDefault="00DC5EC6">
    <w:pPr>
      <w:pStyle w:val="FooterCouncil"/>
    </w:pPr>
  </w:p>
</w:ftr>
</file>

<file path=word/footer1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1873" w14:textId="77777777" w:rsidR="00DC5EC6" w:rsidRDefault="00DC5EC6">
    <w:pPr>
      <w:pStyle w:val="Footer"/>
    </w:pPr>
  </w:p>
</w:ftr>
</file>

<file path=word/footer1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903F" w14:textId="77777777" w:rsidR="00DC5EC6" w:rsidRDefault="00DC5EC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49075"/>
      <w:docPartObj>
        <w:docPartGallery w:val="Page Numbers (Bottom of Page)"/>
        <w:docPartUnique/>
      </w:docPartObj>
    </w:sdtPr>
    <w:sdtEndPr>
      <w:rPr>
        <w:noProof/>
      </w:rPr>
    </w:sdtEndPr>
    <w:sdtContent>
      <w:p w14:paraId="697ADC4C" w14:textId="5338294E" w:rsidR="00DC5EC6" w:rsidRDefault="003245A4">
        <w:pPr>
          <w:pStyle w:val="Footer"/>
          <w:jc w:val="center"/>
        </w:pPr>
        <w:r>
          <w:fldChar w:fldCharType="begin"/>
        </w:r>
        <w:r>
          <w:instrText xml:space="preserve"> PAGE   \* MERGEFORMAT </w:instrText>
        </w:r>
        <w:r>
          <w:fldChar w:fldCharType="separate"/>
        </w:r>
        <w:r w:rsidR="005B5627">
          <w:rPr>
            <w:noProof/>
          </w:rPr>
          <w:t>11</w:t>
        </w:r>
        <w:r>
          <w:fldChar w:fldCharType="end"/>
        </w:r>
      </w:p>
    </w:sdtContent>
  </w:sdt>
  <w:p w14:paraId="2F25493B" w14:textId="77777777" w:rsidR="00DC5EC6" w:rsidRDefault="00DC5EC6">
    <w:pPr>
      <w:pStyle w:val="FooterCouncil"/>
    </w:pPr>
  </w:p>
</w:ftr>
</file>

<file path=word/footer1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59084"/>
      <w:docPartObj>
        <w:docPartGallery w:val="Page Numbers (Bottom of Page)"/>
        <w:docPartUnique/>
      </w:docPartObj>
    </w:sdtPr>
    <w:sdtEndPr>
      <w:rPr>
        <w:noProof/>
      </w:rPr>
    </w:sdtEndPr>
    <w:sdtContent>
      <w:p w14:paraId="09FF84C0" w14:textId="371DBF6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689A89B" w14:textId="77777777" w:rsidR="00DC5EC6" w:rsidRDefault="00DC5EC6">
    <w:pPr>
      <w:pStyle w:val="FooterCouncil"/>
    </w:pPr>
  </w:p>
</w:ftr>
</file>

<file path=word/footer1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F905" w14:textId="77777777" w:rsidR="00DC5EC6" w:rsidRDefault="00DC5EC6">
    <w:pPr>
      <w:pStyle w:val="Footer"/>
    </w:pPr>
  </w:p>
</w:ftr>
</file>

<file path=word/footer1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6487" w14:textId="77777777" w:rsidR="00DC5EC6" w:rsidRDefault="00DC5EC6">
    <w:pPr>
      <w:pStyle w:val="Footer"/>
    </w:pPr>
  </w:p>
</w:ftr>
</file>

<file path=word/footer1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668119"/>
      <w:docPartObj>
        <w:docPartGallery w:val="Page Numbers (Bottom of Page)"/>
        <w:docPartUnique/>
      </w:docPartObj>
    </w:sdtPr>
    <w:sdtEndPr>
      <w:rPr>
        <w:noProof/>
      </w:rPr>
    </w:sdtEndPr>
    <w:sdtContent>
      <w:p w14:paraId="197EF205" w14:textId="4FAF66C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51BFF986" w14:textId="77777777" w:rsidR="00DC5EC6" w:rsidRDefault="00DC5EC6">
    <w:pPr>
      <w:pStyle w:val="FooterCouncil"/>
    </w:pPr>
  </w:p>
</w:ftr>
</file>

<file path=word/footer1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C769" w14:textId="77777777" w:rsidR="00DC5EC6" w:rsidRDefault="00DC5EC6">
    <w:pPr>
      <w:pStyle w:val="Footer"/>
    </w:pPr>
  </w:p>
</w:ftr>
</file>

<file path=word/footer1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304A" w14:textId="77777777" w:rsidR="00DC5EC6" w:rsidRDefault="00DC5EC6">
    <w:pPr>
      <w:pStyle w:val="Footer"/>
    </w:pPr>
  </w:p>
</w:ftr>
</file>

<file path=word/footer1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42259"/>
      <w:docPartObj>
        <w:docPartGallery w:val="Page Numbers (Bottom of Page)"/>
        <w:docPartUnique/>
      </w:docPartObj>
    </w:sdtPr>
    <w:sdtEndPr>
      <w:rPr>
        <w:noProof/>
      </w:rPr>
    </w:sdtEndPr>
    <w:sdtContent>
      <w:p w14:paraId="6B70ED90" w14:textId="4C8D18B1"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05AB191" w14:textId="77777777" w:rsidR="00DC5EC6" w:rsidRDefault="00DC5EC6">
    <w:pPr>
      <w:pStyle w:val="FooterCouncil"/>
    </w:pPr>
  </w:p>
</w:ftr>
</file>

<file path=word/footer1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9200" w14:textId="77777777" w:rsidR="00DC5EC6" w:rsidRDefault="00DC5EC6">
    <w:pPr>
      <w:pStyle w:val="Footer"/>
    </w:pPr>
  </w:p>
</w:ftr>
</file>

<file path=word/footer1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C958" w14:textId="77777777" w:rsidR="00DC5EC6" w:rsidRDefault="00DC5EC6">
    <w:pPr>
      <w:pStyle w:val="Footer"/>
    </w:pPr>
  </w:p>
</w:ftr>
</file>

<file path=word/footer1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7877"/>
      <w:docPartObj>
        <w:docPartGallery w:val="Page Numbers (Bottom of Page)"/>
        <w:docPartUnique/>
      </w:docPartObj>
    </w:sdtPr>
    <w:sdtEndPr>
      <w:rPr>
        <w:noProof/>
      </w:rPr>
    </w:sdtEndPr>
    <w:sdtContent>
      <w:p w14:paraId="3EFC1F34" w14:textId="60F5F0D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170B67A" w14:textId="77777777" w:rsidR="00DC5EC6" w:rsidRDefault="00DC5EC6">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B398" w14:textId="77777777" w:rsidR="00DC5EC6" w:rsidRDefault="00DC5EC6">
    <w:pPr>
      <w:pStyle w:val="Footer"/>
    </w:pPr>
  </w:p>
</w:ftr>
</file>

<file path=word/footer1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82C2" w14:textId="77777777" w:rsidR="00DC5EC6" w:rsidRDefault="00DC5EC6">
    <w:pPr>
      <w:pStyle w:val="Footer"/>
    </w:pPr>
  </w:p>
</w:ftr>
</file>

<file path=word/footer1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BE4B" w14:textId="77777777" w:rsidR="00DC5EC6" w:rsidRDefault="00DC5EC6">
    <w:pPr>
      <w:pStyle w:val="Footer"/>
    </w:pPr>
  </w:p>
</w:ftr>
</file>

<file path=word/footer1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68927"/>
      <w:docPartObj>
        <w:docPartGallery w:val="Page Numbers (Bottom of Page)"/>
        <w:docPartUnique/>
      </w:docPartObj>
    </w:sdtPr>
    <w:sdtEndPr>
      <w:rPr>
        <w:noProof/>
      </w:rPr>
    </w:sdtEndPr>
    <w:sdtContent>
      <w:p w14:paraId="1B2ED277" w14:textId="35738820"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6B25FDC" w14:textId="77777777" w:rsidR="00DC5EC6" w:rsidRDefault="00DC5EC6">
    <w:pPr>
      <w:pStyle w:val="FooterCouncil"/>
    </w:pPr>
  </w:p>
</w:ftr>
</file>

<file path=word/footer1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671" w14:textId="77777777" w:rsidR="00DC5EC6" w:rsidRDefault="00DC5EC6">
    <w:pPr>
      <w:pStyle w:val="Footer"/>
    </w:pPr>
  </w:p>
</w:ftr>
</file>

<file path=word/footer1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973B" w14:textId="77777777" w:rsidR="00DC5EC6" w:rsidRDefault="00DC5EC6">
    <w:pPr>
      <w:pStyle w:val="Footer"/>
    </w:pPr>
  </w:p>
</w:ftr>
</file>

<file path=word/footer1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35111"/>
      <w:docPartObj>
        <w:docPartGallery w:val="Page Numbers (Bottom of Page)"/>
        <w:docPartUnique/>
      </w:docPartObj>
    </w:sdtPr>
    <w:sdtEndPr>
      <w:rPr>
        <w:noProof/>
      </w:rPr>
    </w:sdtEndPr>
    <w:sdtContent>
      <w:p w14:paraId="4CF811EF" w14:textId="78EE14F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1E2B198" w14:textId="77777777" w:rsidR="00DC5EC6" w:rsidRDefault="00DC5EC6">
    <w:pPr>
      <w:pStyle w:val="FooterCouncil"/>
    </w:pPr>
  </w:p>
</w:ftr>
</file>

<file path=word/footer1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7961" w14:textId="77777777" w:rsidR="00DC5EC6" w:rsidRDefault="00DC5EC6">
    <w:pPr>
      <w:pStyle w:val="Footer"/>
    </w:pPr>
  </w:p>
</w:ftr>
</file>

<file path=word/footer1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B7371" w14:textId="77777777" w:rsidR="00DC5EC6" w:rsidRDefault="00DC5EC6">
    <w:pPr>
      <w:pStyle w:val="Footer"/>
    </w:pPr>
  </w:p>
</w:ftr>
</file>

<file path=word/footer1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091529"/>
      <w:docPartObj>
        <w:docPartGallery w:val="Page Numbers (Bottom of Page)"/>
        <w:docPartUnique/>
      </w:docPartObj>
    </w:sdtPr>
    <w:sdtEndPr>
      <w:rPr>
        <w:noProof/>
      </w:rPr>
    </w:sdtEndPr>
    <w:sdtContent>
      <w:p w14:paraId="126DF290" w14:textId="395CA58A"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D623DEB" w14:textId="77777777" w:rsidR="00DC5EC6" w:rsidRDefault="00DC5EC6">
    <w:pPr>
      <w:pStyle w:val="FooterCouncil"/>
    </w:pPr>
  </w:p>
</w:ftr>
</file>

<file path=word/footer1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51D7" w14:textId="77777777" w:rsidR="00DC5EC6" w:rsidRDefault="00DC5EC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0C83" w14:textId="77777777" w:rsidR="00DC5EC6" w:rsidRDefault="00DC5EC6">
    <w:pPr>
      <w:pStyle w:val="Footer"/>
    </w:pPr>
  </w:p>
</w:ftr>
</file>

<file path=word/footer1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E64" w14:textId="77777777" w:rsidR="00DC5EC6" w:rsidRDefault="00DC5EC6">
    <w:pPr>
      <w:pStyle w:val="Footer"/>
    </w:pPr>
  </w:p>
</w:ftr>
</file>

<file path=word/footer1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50509"/>
      <w:docPartObj>
        <w:docPartGallery w:val="Page Numbers (Bottom of Page)"/>
        <w:docPartUnique/>
      </w:docPartObj>
    </w:sdtPr>
    <w:sdtEndPr>
      <w:rPr>
        <w:noProof/>
      </w:rPr>
    </w:sdtEndPr>
    <w:sdtContent>
      <w:p w14:paraId="398E9E99" w14:textId="20945DC3"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1EBDB67F" w14:textId="77777777" w:rsidR="00DC5EC6" w:rsidRDefault="00DC5EC6">
    <w:pPr>
      <w:pStyle w:val="FooterCouncil"/>
    </w:pPr>
  </w:p>
</w:ftr>
</file>

<file path=word/footer1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2AB5" w14:textId="77777777" w:rsidR="00DC5EC6" w:rsidRDefault="00DC5EC6">
    <w:pPr>
      <w:pStyle w:val="Footer"/>
    </w:pPr>
  </w:p>
</w:ftr>
</file>

<file path=word/footer1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CDF8" w14:textId="77777777" w:rsidR="00DC5EC6" w:rsidRDefault="00DC5EC6">
    <w:pPr>
      <w:pStyle w:val="Footer"/>
    </w:pPr>
  </w:p>
</w:ftr>
</file>

<file path=word/footer1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71365"/>
      <w:docPartObj>
        <w:docPartGallery w:val="Page Numbers (Bottom of Page)"/>
        <w:docPartUnique/>
      </w:docPartObj>
    </w:sdtPr>
    <w:sdtEndPr>
      <w:rPr>
        <w:noProof/>
      </w:rPr>
    </w:sdtEndPr>
    <w:sdtContent>
      <w:p w14:paraId="62055C4B" w14:textId="19453D9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DFBE96B" w14:textId="77777777" w:rsidR="00DC5EC6" w:rsidRDefault="00DC5EC6">
    <w:pPr>
      <w:pStyle w:val="FooterCouncil"/>
    </w:pPr>
  </w:p>
</w:ftr>
</file>

<file path=word/footer1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A32A" w14:textId="77777777" w:rsidR="00DC5EC6" w:rsidRDefault="00DC5EC6">
    <w:pPr>
      <w:pStyle w:val="Footer"/>
    </w:pPr>
  </w:p>
</w:ftr>
</file>

<file path=word/footer1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CC1" w14:textId="77777777" w:rsidR="00DC5EC6" w:rsidRDefault="00DC5EC6">
    <w:pPr>
      <w:pStyle w:val="Footer"/>
    </w:pPr>
  </w:p>
</w:ftr>
</file>

<file path=word/footer1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6313"/>
      <w:docPartObj>
        <w:docPartGallery w:val="Page Numbers (Bottom of Page)"/>
        <w:docPartUnique/>
      </w:docPartObj>
    </w:sdtPr>
    <w:sdtEndPr>
      <w:rPr>
        <w:noProof/>
      </w:rPr>
    </w:sdtEndPr>
    <w:sdtContent>
      <w:p w14:paraId="4B6FA002" w14:textId="6A34B5C3"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B1E739A" w14:textId="77777777" w:rsidR="00DC5EC6" w:rsidRDefault="00DC5EC6">
    <w:pPr>
      <w:pStyle w:val="FooterCouncil"/>
    </w:pPr>
  </w:p>
</w:ftr>
</file>

<file path=word/footer1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DC62" w14:textId="77777777" w:rsidR="00DC5EC6" w:rsidRDefault="00DC5EC6">
    <w:pPr>
      <w:pStyle w:val="Footer"/>
    </w:pPr>
  </w:p>
</w:ftr>
</file>

<file path=word/footer1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71EE" w14:textId="77777777" w:rsidR="00DC5EC6" w:rsidRDefault="00DC5EC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4112"/>
      <w:docPartObj>
        <w:docPartGallery w:val="Page Numbers (Bottom of Page)"/>
        <w:docPartUnique/>
      </w:docPartObj>
    </w:sdtPr>
    <w:sdtEndPr>
      <w:rPr>
        <w:noProof/>
      </w:rPr>
    </w:sdtEndPr>
    <w:sdtContent>
      <w:p w14:paraId="12CB0D27" w14:textId="5D9043D3"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B5F64D9" w14:textId="77777777" w:rsidR="00DC5EC6" w:rsidRDefault="00DC5EC6">
    <w:pPr>
      <w:pStyle w:val="FooterCouncil"/>
    </w:pPr>
  </w:p>
</w:ftr>
</file>

<file path=word/footer1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06568"/>
      <w:docPartObj>
        <w:docPartGallery w:val="Page Numbers (Bottom of Page)"/>
        <w:docPartUnique/>
      </w:docPartObj>
    </w:sdtPr>
    <w:sdtEndPr>
      <w:rPr>
        <w:noProof/>
      </w:rPr>
    </w:sdtEndPr>
    <w:sdtContent>
      <w:p w14:paraId="28D3693D" w14:textId="75FD25FC"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12266354" w14:textId="77777777" w:rsidR="00DC5EC6" w:rsidRDefault="00DC5EC6">
    <w:pPr>
      <w:pStyle w:val="FooterCouncil"/>
    </w:pPr>
  </w:p>
</w:ftr>
</file>

<file path=word/footer1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6BB2" w14:textId="77777777" w:rsidR="00DC5EC6" w:rsidRDefault="00DC5EC6">
    <w:pPr>
      <w:pStyle w:val="Footer"/>
    </w:pPr>
  </w:p>
</w:ftr>
</file>

<file path=word/footer1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FECF" w14:textId="77777777" w:rsidR="00DC5EC6" w:rsidRDefault="00DC5EC6">
    <w:pPr>
      <w:pStyle w:val="Footer"/>
    </w:pPr>
  </w:p>
</w:ftr>
</file>

<file path=word/footer1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0002"/>
      <w:docPartObj>
        <w:docPartGallery w:val="Page Numbers (Bottom of Page)"/>
        <w:docPartUnique/>
      </w:docPartObj>
    </w:sdtPr>
    <w:sdtEndPr>
      <w:rPr>
        <w:noProof/>
      </w:rPr>
    </w:sdtEndPr>
    <w:sdtContent>
      <w:p w14:paraId="53C379DD" w14:textId="6EC11630"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35C4841" w14:textId="77777777" w:rsidR="00DC5EC6" w:rsidRDefault="00DC5EC6">
    <w:pPr>
      <w:pStyle w:val="FooterCouncil"/>
    </w:pPr>
  </w:p>
</w:ftr>
</file>

<file path=word/footer1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8EB" w14:textId="77777777" w:rsidR="00DC5EC6" w:rsidRDefault="00DC5EC6">
    <w:pPr>
      <w:pStyle w:val="Footer"/>
    </w:pPr>
  </w:p>
</w:ftr>
</file>

<file path=word/footer1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0043" w14:textId="77777777" w:rsidR="00DC5EC6" w:rsidRDefault="00DC5EC6">
    <w:pPr>
      <w:pStyle w:val="Footer"/>
    </w:pPr>
  </w:p>
</w:ftr>
</file>

<file path=word/footer1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54586"/>
      <w:docPartObj>
        <w:docPartGallery w:val="Page Numbers (Bottom of Page)"/>
        <w:docPartUnique/>
      </w:docPartObj>
    </w:sdtPr>
    <w:sdtEndPr>
      <w:rPr>
        <w:noProof/>
      </w:rPr>
    </w:sdtEndPr>
    <w:sdtContent>
      <w:p w14:paraId="7AEAA58B" w14:textId="18D29009"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4B82BCE" w14:textId="77777777" w:rsidR="00DC5EC6" w:rsidRDefault="00DC5EC6">
    <w:pPr>
      <w:pStyle w:val="FooterCouncil"/>
    </w:pPr>
  </w:p>
</w:ftr>
</file>

<file path=word/footer1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499E" w14:textId="77777777" w:rsidR="00DC5EC6" w:rsidRDefault="00DC5EC6">
    <w:pPr>
      <w:pStyle w:val="Footer"/>
    </w:pPr>
  </w:p>
</w:ftr>
</file>

<file path=word/footer1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D40B" w14:textId="77777777" w:rsidR="00DC5EC6" w:rsidRDefault="00DC5EC6">
    <w:pPr>
      <w:pStyle w:val="Footer"/>
    </w:pPr>
  </w:p>
</w:ftr>
</file>

<file path=word/footer1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24723"/>
      <w:docPartObj>
        <w:docPartGallery w:val="Page Numbers (Bottom of Page)"/>
        <w:docPartUnique/>
      </w:docPartObj>
    </w:sdtPr>
    <w:sdtEndPr>
      <w:rPr>
        <w:noProof/>
      </w:rPr>
    </w:sdtEndPr>
    <w:sdtContent>
      <w:p w14:paraId="01B45A81" w14:textId="7B94C4ED"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DD189E6" w14:textId="77777777" w:rsidR="00DC5EC6" w:rsidRDefault="00DC5EC6">
    <w:pPr>
      <w:pStyle w:val="FooterCouncil"/>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6430" w14:textId="77777777" w:rsidR="00DC5EC6" w:rsidRDefault="00DC5EC6">
    <w:pPr>
      <w:pStyle w:val="Footer"/>
    </w:pPr>
  </w:p>
</w:ftr>
</file>

<file path=word/footer1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73D8" w14:textId="77777777" w:rsidR="00DC5EC6" w:rsidRDefault="00DC5EC6">
    <w:pPr>
      <w:pStyle w:val="Footer"/>
    </w:pPr>
  </w:p>
</w:ftr>
</file>

<file path=word/footer1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68AC" w14:textId="77777777" w:rsidR="00DC5EC6" w:rsidRDefault="00DC5EC6">
    <w:pPr>
      <w:pStyle w:val="Footer"/>
    </w:pPr>
  </w:p>
</w:ftr>
</file>

<file path=word/footer1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08648"/>
      <w:docPartObj>
        <w:docPartGallery w:val="Page Numbers (Bottom of Page)"/>
        <w:docPartUnique/>
      </w:docPartObj>
    </w:sdtPr>
    <w:sdtEndPr>
      <w:rPr>
        <w:noProof/>
      </w:rPr>
    </w:sdtEndPr>
    <w:sdtContent>
      <w:p w14:paraId="13ED70D2" w14:textId="57D86C32"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2C7D1A9" w14:textId="77777777" w:rsidR="00DC5EC6" w:rsidRDefault="00DC5EC6">
    <w:pPr>
      <w:pStyle w:val="FooterCouncil"/>
    </w:pPr>
  </w:p>
</w:ftr>
</file>

<file path=word/footer1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3600" w14:textId="77777777" w:rsidR="00DC5EC6" w:rsidRDefault="00DC5EC6">
    <w:pPr>
      <w:pStyle w:val="Footer"/>
    </w:pPr>
  </w:p>
</w:ftr>
</file>

<file path=word/footer1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FED2" w14:textId="77777777" w:rsidR="00DC5EC6" w:rsidRDefault="00DC5EC6">
    <w:pPr>
      <w:pStyle w:val="Footer"/>
    </w:pPr>
  </w:p>
</w:ftr>
</file>

<file path=word/footer1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87532"/>
      <w:docPartObj>
        <w:docPartGallery w:val="Page Numbers (Bottom of Page)"/>
        <w:docPartUnique/>
      </w:docPartObj>
    </w:sdtPr>
    <w:sdtEndPr>
      <w:rPr>
        <w:noProof/>
      </w:rPr>
    </w:sdtEndPr>
    <w:sdtContent>
      <w:p w14:paraId="53677020" w14:textId="1DCBDA7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A3B62C6" w14:textId="77777777" w:rsidR="00DC5EC6" w:rsidRDefault="00DC5EC6">
    <w:pPr>
      <w:pStyle w:val="FooterCouncil"/>
    </w:pPr>
  </w:p>
</w:ftr>
</file>

<file path=word/footer1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8487" w14:textId="77777777" w:rsidR="00DC5EC6" w:rsidRDefault="00DC5EC6">
    <w:pPr>
      <w:pStyle w:val="Footer"/>
    </w:pPr>
  </w:p>
</w:ftr>
</file>

<file path=word/footer1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5AF4" w14:textId="77777777" w:rsidR="00DC5EC6" w:rsidRDefault="00DC5EC6">
    <w:pPr>
      <w:pStyle w:val="Footer"/>
    </w:pPr>
  </w:p>
</w:ftr>
</file>

<file path=word/footer1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5917"/>
      <w:docPartObj>
        <w:docPartGallery w:val="Page Numbers (Bottom of Page)"/>
        <w:docPartUnique/>
      </w:docPartObj>
    </w:sdtPr>
    <w:sdtEndPr>
      <w:rPr>
        <w:noProof/>
      </w:rPr>
    </w:sdtEndPr>
    <w:sdtContent>
      <w:p w14:paraId="508043F1" w14:textId="6ABC6F4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BD69011" w14:textId="77777777" w:rsidR="00DC5EC6" w:rsidRDefault="00DC5EC6">
    <w:pPr>
      <w:pStyle w:val="FooterCouncil"/>
    </w:pPr>
  </w:p>
</w:ftr>
</file>

<file path=word/footer1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8B47" w14:textId="77777777" w:rsidR="00DC5EC6" w:rsidRDefault="00DC5EC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6645" w14:textId="77777777" w:rsidR="00992384" w:rsidRDefault="00992384">
    <w:pPr>
      <w:pStyle w:val="Footer"/>
    </w:pPr>
  </w:p>
</w:ftr>
</file>

<file path=word/footer1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BBC0" w14:textId="77777777" w:rsidR="00DC5EC6" w:rsidRDefault="00DC5EC6">
    <w:pPr>
      <w:pStyle w:val="Footer"/>
    </w:pPr>
  </w:p>
</w:ftr>
</file>

<file path=word/footer1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24516"/>
      <w:docPartObj>
        <w:docPartGallery w:val="Page Numbers (Bottom of Page)"/>
        <w:docPartUnique/>
      </w:docPartObj>
    </w:sdtPr>
    <w:sdtEndPr>
      <w:rPr>
        <w:noProof/>
      </w:rPr>
    </w:sdtEndPr>
    <w:sdtContent>
      <w:p w14:paraId="4A7028B2" w14:textId="2C22FBB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3B5F61B" w14:textId="77777777" w:rsidR="00DC5EC6" w:rsidRDefault="00DC5EC6">
    <w:pPr>
      <w:pStyle w:val="FooterCouncil"/>
    </w:pPr>
  </w:p>
</w:ftr>
</file>

<file path=word/footer1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DA6B" w14:textId="77777777" w:rsidR="00DC5EC6" w:rsidRDefault="00DC5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6186" w14:textId="058E70B3" w:rsidR="00992384" w:rsidRPr="005B5627" w:rsidRDefault="005B5627" w:rsidP="005B5627">
    <w:pPr>
      <w:pStyle w:val="FooterCoverPage"/>
      <w:rPr>
        <w:rFonts w:ascii="Arial" w:hAnsi="Arial" w:cs="Arial"/>
        <w:b/>
        <w:sz w:val="48"/>
      </w:rPr>
    </w:pPr>
    <w:r w:rsidRPr="005B5627">
      <w:rPr>
        <w:rFonts w:ascii="Arial" w:hAnsi="Arial" w:cs="Arial"/>
        <w:b/>
        <w:sz w:val="48"/>
      </w:rPr>
      <w:t>HU</w:t>
    </w:r>
    <w:r w:rsidRPr="005B5627">
      <w:rPr>
        <w:rFonts w:ascii="Arial" w:hAnsi="Arial" w:cs="Arial"/>
        <w:b/>
        <w:sz w:val="48"/>
      </w:rPr>
      <w:tab/>
    </w:r>
    <w:r w:rsidRPr="005B5627">
      <w:rPr>
        <w:rFonts w:ascii="Arial" w:hAnsi="Arial" w:cs="Arial"/>
        <w:b/>
        <w:sz w:val="48"/>
      </w:rPr>
      <w:tab/>
    </w:r>
    <w:r w:rsidRPr="005B5627">
      <w:tab/>
    </w:r>
    <w:r w:rsidRPr="005B5627">
      <w:rPr>
        <w:rFonts w:ascii="Arial" w:hAnsi="Arial" w:cs="Arial"/>
        <w:b/>
        <w:sz w:val="48"/>
      </w:rPr>
      <w:t>HU</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01996"/>
      <w:docPartObj>
        <w:docPartGallery w:val="Page Numbers (Bottom of Page)"/>
        <w:docPartUnique/>
      </w:docPartObj>
    </w:sdtPr>
    <w:sdtEndPr>
      <w:rPr>
        <w:noProof/>
      </w:rPr>
    </w:sdtEndPr>
    <w:sdtContent>
      <w:p w14:paraId="368238C3"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3CC854F3" w14:textId="77777777" w:rsidR="00992384" w:rsidRDefault="00992384">
    <w:pPr>
      <w:pStyle w:val="FooterCouncil"/>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7331" w14:textId="77777777" w:rsidR="00992384" w:rsidRDefault="0099238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01BA" w14:textId="77777777" w:rsidR="00DC5EC6" w:rsidRDefault="00DC5EC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30203"/>
      <w:docPartObj>
        <w:docPartGallery w:val="Page Numbers (Bottom of Page)"/>
        <w:docPartUnique/>
      </w:docPartObj>
    </w:sdtPr>
    <w:sdtEndPr>
      <w:rPr>
        <w:noProof/>
      </w:rPr>
    </w:sdtEndPr>
    <w:sdtContent>
      <w:p w14:paraId="2CED8AC6" w14:textId="20A9079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5C9F863" w14:textId="77777777" w:rsidR="00DC5EC6" w:rsidRDefault="00DC5EC6">
    <w:pPr>
      <w:pStyle w:val="FooterCouncil"/>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2863" w14:textId="77777777" w:rsidR="00DC5EC6" w:rsidRDefault="00DC5EC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E3D" w14:textId="77777777" w:rsidR="00DC5EC6" w:rsidRDefault="00DC5EC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98613"/>
      <w:docPartObj>
        <w:docPartGallery w:val="Page Numbers (Bottom of Page)"/>
        <w:docPartUnique/>
      </w:docPartObj>
    </w:sdtPr>
    <w:sdtEndPr>
      <w:rPr>
        <w:noProof/>
      </w:rPr>
    </w:sdtEndPr>
    <w:sdtContent>
      <w:p w14:paraId="05F0F492" w14:textId="1FFE498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741FD69" w14:textId="77777777" w:rsidR="00DC5EC6" w:rsidRDefault="00DC5EC6">
    <w:pPr>
      <w:pStyle w:val="FooterCouncil"/>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0E57" w14:textId="77777777" w:rsidR="00DC5EC6" w:rsidRDefault="00DC5EC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00E" w14:textId="77777777" w:rsidR="00DC5EC6" w:rsidRDefault="00DC5EC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87096"/>
      <w:docPartObj>
        <w:docPartGallery w:val="Page Numbers (Bottom of Page)"/>
        <w:docPartUnique/>
      </w:docPartObj>
    </w:sdtPr>
    <w:sdtEndPr>
      <w:rPr>
        <w:noProof/>
      </w:rPr>
    </w:sdtEndPr>
    <w:sdtContent>
      <w:p w14:paraId="2DEBA96A" w14:textId="4C15FA84"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EB36D5D" w14:textId="77777777" w:rsidR="00DC5EC6" w:rsidRDefault="00DC5EC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789A" w14:textId="77777777" w:rsidR="005B5627" w:rsidRPr="005B5627" w:rsidRDefault="005B5627" w:rsidP="005B5627">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295D" w14:textId="77777777" w:rsidR="00DC5EC6" w:rsidRDefault="00DC5EC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C1FE" w14:textId="77777777" w:rsidR="00DC5EC6" w:rsidRDefault="00DC5EC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98929"/>
      <w:docPartObj>
        <w:docPartGallery w:val="Page Numbers (Bottom of Page)"/>
        <w:docPartUnique/>
      </w:docPartObj>
    </w:sdtPr>
    <w:sdtEndPr>
      <w:rPr>
        <w:noProof/>
      </w:rPr>
    </w:sdtEndPr>
    <w:sdtContent>
      <w:p w14:paraId="714D1441" w14:textId="7E54DB4C"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19E7858" w14:textId="77777777" w:rsidR="00DC5EC6" w:rsidRDefault="00DC5EC6">
    <w:pPr>
      <w:pStyle w:val="FooterCouncil"/>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A4F3" w14:textId="77777777" w:rsidR="00DC5EC6" w:rsidRDefault="00DC5EC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9EF6" w14:textId="77777777" w:rsidR="00DC5EC6" w:rsidRDefault="00DC5EC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99938"/>
      <w:docPartObj>
        <w:docPartGallery w:val="Page Numbers (Bottom of Page)"/>
        <w:docPartUnique/>
      </w:docPartObj>
    </w:sdtPr>
    <w:sdtEndPr>
      <w:rPr>
        <w:noProof/>
      </w:rPr>
    </w:sdtEndPr>
    <w:sdtContent>
      <w:p w14:paraId="345873AE" w14:textId="1218090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986C6F5" w14:textId="77777777" w:rsidR="00DC5EC6" w:rsidRDefault="00DC5EC6">
    <w:pPr>
      <w:pStyle w:val="FooterCouncil"/>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3DE8" w14:textId="77777777" w:rsidR="00DC5EC6" w:rsidRDefault="00DC5EC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5039" w14:textId="77777777" w:rsidR="00DC5EC6" w:rsidRDefault="00DC5EC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77009"/>
      <w:docPartObj>
        <w:docPartGallery w:val="Page Numbers (Bottom of Page)"/>
        <w:docPartUnique/>
      </w:docPartObj>
    </w:sdtPr>
    <w:sdtEndPr>
      <w:rPr>
        <w:noProof/>
      </w:rPr>
    </w:sdtEndPr>
    <w:sdtContent>
      <w:p w14:paraId="65098364" w14:textId="728670F7"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643FB93" w14:textId="77777777" w:rsidR="00DC5EC6" w:rsidRDefault="00DC5EC6">
    <w:pPr>
      <w:pStyle w:val="FooterCouncil"/>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F6AF8" w14:textId="77777777" w:rsidR="00DC5EC6" w:rsidRDefault="00DC5E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0DE0" w14:textId="77777777" w:rsidR="00DC5EC6" w:rsidRDefault="00DC5EC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2116" w14:textId="77777777" w:rsidR="00DC5EC6" w:rsidRDefault="00DC5EC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41893"/>
      <w:docPartObj>
        <w:docPartGallery w:val="Page Numbers (Bottom of Page)"/>
        <w:docPartUnique/>
      </w:docPartObj>
    </w:sdtPr>
    <w:sdtEndPr>
      <w:rPr>
        <w:noProof/>
      </w:rPr>
    </w:sdtEndPr>
    <w:sdtContent>
      <w:p w14:paraId="00966A19" w14:textId="69B60B7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F45C853" w14:textId="77777777" w:rsidR="00DC5EC6" w:rsidRDefault="00DC5EC6">
    <w:pPr>
      <w:pStyle w:val="FooterCouncil"/>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0EAA" w14:textId="77777777" w:rsidR="00DC5EC6" w:rsidRDefault="00DC5EC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00FE" w14:textId="77777777" w:rsidR="00DC5EC6" w:rsidRDefault="00DC5EC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36114"/>
      <w:docPartObj>
        <w:docPartGallery w:val="Page Numbers (Bottom of Page)"/>
        <w:docPartUnique/>
      </w:docPartObj>
    </w:sdtPr>
    <w:sdtEndPr>
      <w:rPr>
        <w:noProof/>
      </w:rPr>
    </w:sdtEndPr>
    <w:sdtContent>
      <w:p w14:paraId="25167880" w14:textId="0D504E9E"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B6037DF" w14:textId="77777777" w:rsidR="00DC5EC6" w:rsidRDefault="00DC5EC6">
    <w:pPr>
      <w:pStyle w:val="FooterCouncil"/>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1D7A" w14:textId="77777777" w:rsidR="00DC5EC6" w:rsidRDefault="00DC5EC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43A7" w14:textId="77777777" w:rsidR="00DC5EC6" w:rsidRDefault="00DC5EC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507974"/>
      <w:docPartObj>
        <w:docPartGallery w:val="Page Numbers (Bottom of Page)"/>
        <w:docPartUnique/>
      </w:docPartObj>
    </w:sdtPr>
    <w:sdtEndPr>
      <w:rPr>
        <w:noProof/>
      </w:rPr>
    </w:sdtEndPr>
    <w:sdtContent>
      <w:p w14:paraId="1811EA1C" w14:textId="44C20AC1"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1988643" w14:textId="77777777" w:rsidR="00DC5EC6" w:rsidRDefault="00DC5EC6">
    <w:pPr>
      <w:pStyle w:val="FooterCouncil"/>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4B48" w14:textId="77777777" w:rsidR="00DC5EC6" w:rsidRDefault="00DC5EC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3585" w14:textId="77777777" w:rsidR="00DC5EC6" w:rsidRDefault="00DC5E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46073"/>
      <w:docPartObj>
        <w:docPartGallery w:val="Page Numbers (Bottom of Page)"/>
        <w:docPartUnique/>
      </w:docPartObj>
    </w:sdtPr>
    <w:sdtEndPr>
      <w:rPr>
        <w:noProof/>
      </w:rPr>
    </w:sdtEndPr>
    <w:sdtContent>
      <w:p w14:paraId="2AA68066" w14:textId="4EDB990F" w:rsidR="00DC5EC6" w:rsidRDefault="003245A4">
        <w:pPr>
          <w:pStyle w:val="Footer"/>
          <w:jc w:val="center"/>
        </w:pPr>
        <w:r>
          <w:fldChar w:fldCharType="begin"/>
        </w:r>
        <w:r>
          <w:instrText xml:space="preserve"> PAGE   \* MERGEFORMAT </w:instrText>
        </w:r>
        <w:r>
          <w:fldChar w:fldCharType="separate"/>
        </w:r>
        <w:r w:rsidR="005B5627">
          <w:rPr>
            <w:noProof/>
          </w:rPr>
          <w:t>1</w:t>
        </w:r>
        <w:r>
          <w:fldChar w:fldCharType="end"/>
        </w:r>
      </w:p>
    </w:sdtContent>
  </w:sdt>
  <w:p w14:paraId="0DEA6884" w14:textId="77777777" w:rsidR="00DC5EC6" w:rsidRDefault="00DC5EC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01915"/>
      <w:docPartObj>
        <w:docPartGallery w:val="Page Numbers (Bottom of Page)"/>
        <w:docPartUnique/>
      </w:docPartObj>
    </w:sdtPr>
    <w:sdtEndPr>
      <w:rPr>
        <w:noProof/>
      </w:rPr>
    </w:sdtEndPr>
    <w:sdtContent>
      <w:p w14:paraId="7D3A79CE" w14:textId="724C2B6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8DB9891" w14:textId="77777777" w:rsidR="00DC5EC6" w:rsidRDefault="00DC5EC6">
    <w:pPr>
      <w:pStyle w:val="FooterCouncil"/>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6A8D" w14:textId="77777777" w:rsidR="00DC5EC6" w:rsidRDefault="00DC5EC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2201" w14:textId="77777777" w:rsidR="00DC5EC6" w:rsidRDefault="00DC5EC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15558"/>
      <w:docPartObj>
        <w:docPartGallery w:val="Page Numbers (Bottom of Page)"/>
        <w:docPartUnique/>
      </w:docPartObj>
    </w:sdtPr>
    <w:sdtEndPr>
      <w:rPr>
        <w:noProof/>
      </w:rPr>
    </w:sdtEndPr>
    <w:sdtContent>
      <w:p w14:paraId="3C55196F" w14:textId="3F12762B"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08F913B" w14:textId="77777777" w:rsidR="00DC5EC6" w:rsidRDefault="00DC5EC6">
    <w:pPr>
      <w:pStyle w:val="FooterCouncil"/>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2109" w14:textId="77777777" w:rsidR="00DC5EC6" w:rsidRDefault="00DC5EC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1565" w14:textId="77777777" w:rsidR="00DC5EC6" w:rsidRDefault="00DC5EC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578241"/>
      <w:docPartObj>
        <w:docPartGallery w:val="Page Numbers (Bottom of Page)"/>
        <w:docPartUnique/>
      </w:docPartObj>
    </w:sdtPr>
    <w:sdtEndPr>
      <w:rPr>
        <w:noProof/>
      </w:rPr>
    </w:sdtEndPr>
    <w:sdtContent>
      <w:p w14:paraId="491E5022" w14:textId="0DA370AA"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11540942" w14:textId="77777777" w:rsidR="00DC5EC6" w:rsidRDefault="00DC5EC6">
    <w:pPr>
      <w:pStyle w:val="FooterCouncil"/>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2774" w14:textId="77777777" w:rsidR="00DC5EC6" w:rsidRDefault="00DC5EC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3ED" w14:textId="77777777" w:rsidR="00DC5EC6" w:rsidRDefault="00DC5EC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12463"/>
      <w:docPartObj>
        <w:docPartGallery w:val="Page Numbers (Bottom of Page)"/>
        <w:docPartUnique/>
      </w:docPartObj>
    </w:sdtPr>
    <w:sdtEndPr>
      <w:rPr>
        <w:noProof/>
      </w:rPr>
    </w:sdtEndPr>
    <w:sdtContent>
      <w:p w14:paraId="553A0A03" w14:textId="771841E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23CC830" w14:textId="77777777" w:rsidR="00DC5EC6" w:rsidRDefault="00DC5EC6">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863A" w14:textId="77777777" w:rsidR="00DC5EC6" w:rsidRDefault="00DC5EC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83F60" w14:textId="77777777" w:rsidR="00DC5EC6" w:rsidRDefault="00DC5EC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2836" w14:textId="77777777" w:rsidR="00DC5EC6" w:rsidRDefault="00DC5EC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33270"/>
      <w:docPartObj>
        <w:docPartGallery w:val="Page Numbers (Bottom of Page)"/>
        <w:docPartUnique/>
      </w:docPartObj>
    </w:sdtPr>
    <w:sdtEndPr>
      <w:rPr>
        <w:noProof/>
      </w:rPr>
    </w:sdtEndPr>
    <w:sdtContent>
      <w:p w14:paraId="0F5CF51F" w14:textId="5820333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135D1FF" w14:textId="77777777" w:rsidR="00DC5EC6" w:rsidRDefault="00DC5EC6">
    <w:pPr>
      <w:pStyle w:val="FooterCouncil"/>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5A9E" w14:textId="77777777" w:rsidR="00DC5EC6" w:rsidRDefault="00DC5EC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6CD2B" w14:textId="77777777" w:rsidR="00DC5EC6" w:rsidRDefault="00DC5EC6">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883907"/>
      <w:docPartObj>
        <w:docPartGallery w:val="Page Numbers (Bottom of Page)"/>
        <w:docPartUnique/>
      </w:docPartObj>
    </w:sdtPr>
    <w:sdtEndPr>
      <w:rPr>
        <w:noProof/>
      </w:rPr>
    </w:sdtEndPr>
    <w:sdtContent>
      <w:p w14:paraId="1E7DE44E" w14:textId="71994768"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368A7015" w14:textId="77777777" w:rsidR="00DC5EC6" w:rsidRDefault="00DC5EC6">
    <w:pPr>
      <w:pStyle w:val="FooterCouncil"/>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2D1F" w14:textId="77777777" w:rsidR="00DC5EC6" w:rsidRDefault="00DC5EC6">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DB6A" w14:textId="77777777" w:rsidR="00DC5EC6" w:rsidRDefault="00DC5EC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24488"/>
      <w:docPartObj>
        <w:docPartGallery w:val="Page Numbers (Bottom of Page)"/>
        <w:docPartUnique/>
      </w:docPartObj>
    </w:sdtPr>
    <w:sdtEndPr>
      <w:rPr>
        <w:noProof/>
      </w:rPr>
    </w:sdtEndPr>
    <w:sdtContent>
      <w:p w14:paraId="26B90A8C" w14:textId="16A8AB0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2113364" w14:textId="77777777" w:rsidR="00DC5EC6" w:rsidRDefault="00DC5EC6">
    <w:pPr>
      <w:pStyle w:val="FooterCouncil"/>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D2FD" w14:textId="77777777" w:rsidR="00DC5EC6" w:rsidRDefault="00DC5E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1D98" w14:textId="77777777" w:rsidR="00992384" w:rsidRDefault="00992384">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96EC" w14:textId="77777777" w:rsidR="00DC5EC6" w:rsidRDefault="00DC5EC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75543"/>
      <w:docPartObj>
        <w:docPartGallery w:val="Page Numbers (Bottom of Page)"/>
        <w:docPartUnique/>
      </w:docPartObj>
    </w:sdtPr>
    <w:sdtEndPr>
      <w:rPr>
        <w:noProof/>
      </w:rPr>
    </w:sdtEndPr>
    <w:sdtContent>
      <w:p w14:paraId="20D54BE6" w14:textId="27EB8F5F"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20347BDD" w14:textId="77777777" w:rsidR="00DC5EC6" w:rsidRDefault="00DC5EC6">
    <w:pPr>
      <w:pStyle w:val="FooterCouncil"/>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22CD" w14:textId="77777777" w:rsidR="00DC5EC6" w:rsidRDefault="00DC5EC6">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697E" w14:textId="77777777" w:rsidR="00DC5EC6" w:rsidRDefault="00DC5EC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92075"/>
      <w:docPartObj>
        <w:docPartGallery w:val="Page Numbers (Bottom of Page)"/>
        <w:docPartUnique/>
      </w:docPartObj>
    </w:sdtPr>
    <w:sdtEndPr>
      <w:rPr>
        <w:noProof/>
      </w:rPr>
    </w:sdtEndPr>
    <w:sdtContent>
      <w:p w14:paraId="27D12E9D" w14:textId="1F2E7166"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CA32D1F" w14:textId="77777777" w:rsidR="00DC5EC6" w:rsidRDefault="00DC5EC6">
    <w:pPr>
      <w:pStyle w:val="FooterCouncil"/>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6821" w14:textId="77777777" w:rsidR="00DC5EC6" w:rsidRDefault="00DC5EC6">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7E8F" w14:textId="77777777" w:rsidR="00DC5EC6" w:rsidRDefault="00DC5EC6">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046173"/>
      <w:docPartObj>
        <w:docPartGallery w:val="Page Numbers (Bottom of Page)"/>
        <w:docPartUnique/>
      </w:docPartObj>
    </w:sdtPr>
    <w:sdtEndPr>
      <w:rPr>
        <w:noProof/>
      </w:rPr>
    </w:sdtEndPr>
    <w:sdtContent>
      <w:p w14:paraId="7812839D" w14:textId="7C40077D"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00134FDC" w14:textId="77777777" w:rsidR="00DC5EC6" w:rsidRDefault="00DC5EC6">
    <w:pPr>
      <w:pStyle w:val="FooterCouncil"/>
    </w:pP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D1FF" w14:textId="77777777" w:rsidR="00DC5EC6" w:rsidRDefault="00DC5EC6">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67FC" w14:textId="77777777" w:rsidR="00DC5EC6" w:rsidRDefault="00DC5EC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777697"/>
      <w:docPartObj>
        <w:docPartGallery w:val="Page Numbers (Bottom of Page)"/>
        <w:docPartUnique/>
      </w:docPartObj>
    </w:sdtPr>
    <w:sdtEndPr>
      <w:rPr>
        <w:noProof/>
      </w:rPr>
    </w:sdtEndPr>
    <w:sdtContent>
      <w:p w14:paraId="40DA72A3" w14:textId="56436E1A" w:rsidR="00992384" w:rsidRDefault="00992384">
        <w:pPr>
          <w:pStyle w:val="Footer"/>
          <w:jc w:val="center"/>
        </w:pPr>
        <w:r>
          <w:fldChar w:fldCharType="begin"/>
        </w:r>
        <w:r>
          <w:instrText xml:space="preserve"> PAGE   \* MERGEFORMAT </w:instrText>
        </w:r>
        <w:r>
          <w:fldChar w:fldCharType="separate"/>
        </w:r>
        <w:r w:rsidR="005B5627">
          <w:rPr>
            <w:noProof/>
          </w:rPr>
          <w:t>4</w:t>
        </w:r>
        <w:r>
          <w:fldChar w:fldCharType="end"/>
        </w:r>
      </w:p>
    </w:sdtContent>
  </w:sdt>
  <w:p w14:paraId="176CA405" w14:textId="77777777" w:rsidR="00992384" w:rsidRDefault="00992384">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50081"/>
      <w:docPartObj>
        <w:docPartGallery w:val="Page Numbers (Bottom of Page)"/>
        <w:docPartUnique/>
      </w:docPartObj>
    </w:sdtPr>
    <w:sdtEndPr>
      <w:rPr>
        <w:noProof/>
      </w:rPr>
    </w:sdtEndPr>
    <w:sdtContent>
      <w:p w14:paraId="171ABC93" w14:textId="08F260A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75AA0CD7" w14:textId="77777777" w:rsidR="00DC5EC6" w:rsidRDefault="00DC5EC6">
    <w:pPr>
      <w:pStyle w:val="FooterCouncil"/>
    </w:pP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2D4F" w14:textId="77777777" w:rsidR="00DC5EC6" w:rsidRDefault="00DC5EC6">
    <w:pPr>
      <w:pStyle w:val="Footer"/>
    </w:pP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74F" w14:textId="77777777" w:rsidR="00DC5EC6" w:rsidRDefault="00DC5EC6">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7768"/>
      <w:docPartObj>
        <w:docPartGallery w:val="Page Numbers (Bottom of Page)"/>
        <w:docPartUnique/>
      </w:docPartObj>
    </w:sdtPr>
    <w:sdtEndPr>
      <w:rPr>
        <w:noProof/>
      </w:rPr>
    </w:sdtEndPr>
    <w:sdtContent>
      <w:p w14:paraId="5DEDEBC3" w14:textId="2065B74D"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57ED285" w14:textId="77777777" w:rsidR="00DC5EC6" w:rsidRDefault="00DC5EC6">
    <w:pPr>
      <w:pStyle w:val="FooterCouncil"/>
    </w:pP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A91C" w14:textId="77777777" w:rsidR="00DC5EC6" w:rsidRDefault="00DC5EC6">
    <w:pPr>
      <w:pStyle w:val="Footer"/>
    </w:pP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FFA4" w14:textId="77777777" w:rsidR="00DC5EC6" w:rsidRDefault="00DC5EC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580077"/>
      <w:docPartObj>
        <w:docPartGallery w:val="Page Numbers (Bottom of Page)"/>
        <w:docPartUnique/>
      </w:docPartObj>
    </w:sdtPr>
    <w:sdtEndPr>
      <w:rPr>
        <w:noProof/>
      </w:rPr>
    </w:sdtEndPr>
    <w:sdtContent>
      <w:p w14:paraId="38B617B1" w14:textId="29E47AAE"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40204AFC" w14:textId="77777777" w:rsidR="00DC5EC6" w:rsidRDefault="00DC5EC6">
    <w:pPr>
      <w:pStyle w:val="FooterCouncil"/>
    </w:pP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680E" w14:textId="77777777" w:rsidR="00DC5EC6" w:rsidRDefault="00DC5EC6">
    <w:pPr>
      <w:pStyle w:val="Footer"/>
    </w:pP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ED65" w14:textId="77777777" w:rsidR="00DC5EC6" w:rsidRDefault="00DC5EC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25800"/>
      <w:docPartObj>
        <w:docPartGallery w:val="Page Numbers (Bottom of Page)"/>
        <w:docPartUnique/>
      </w:docPartObj>
    </w:sdtPr>
    <w:sdtEndPr>
      <w:rPr>
        <w:noProof/>
      </w:rPr>
    </w:sdtEndPr>
    <w:sdtContent>
      <w:p w14:paraId="16F8FF98" w14:textId="3E257F15" w:rsidR="00DC5EC6" w:rsidRDefault="003245A4">
        <w:pPr>
          <w:pStyle w:val="Footer"/>
          <w:jc w:val="center"/>
        </w:pPr>
        <w:r>
          <w:fldChar w:fldCharType="begin"/>
        </w:r>
        <w:r>
          <w:instrText xml:space="preserve"> PAGE   \* MERGEFORMAT </w:instrText>
        </w:r>
        <w:r>
          <w:fldChar w:fldCharType="separate"/>
        </w:r>
        <w:r>
          <w:t>2</w:t>
        </w:r>
        <w:r>
          <w:fldChar w:fldCharType="end"/>
        </w:r>
      </w:p>
    </w:sdtContent>
  </w:sdt>
  <w:p w14:paraId="612C7217" w14:textId="77777777" w:rsidR="00DC5EC6" w:rsidRDefault="00DC5EC6">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2891" w14:textId="77777777" w:rsidR="00992384" w:rsidRDefault="00992384">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ABC1" w14:textId="77777777" w:rsidR="00DC5EC6" w:rsidRDefault="00DC5EC6">
    <w:pPr>
      <w:pStyle w:val="Footer"/>
    </w:pP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CC56" w14:textId="77777777" w:rsidR="00992384" w:rsidRDefault="00992384">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628322"/>
      <w:docPartObj>
        <w:docPartGallery w:val="Page Numbers (Bottom of Page)"/>
        <w:docPartUnique/>
      </w:docPartObj>
    </w:sdtPr>
    <w:sdtEndPr>
      <w:rPr>
        <w:noProof/>
      </w:rPr>
    </w:sdtEndPr>
    <w:sdtContent>
      <w:p w14:paraId="1F774029"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3CE53585" w14:textId="77777777" w:rsidR="00992384" w:rsidRDefault="00992384">
    <w:pPr>
      <w:pStyle w:val="FooterCouncil"/>
    </w:pP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B63D" w14:textId="77777777" w:rsidR="00992384" w:rsidRDefault="00992384">
    <w:pPr>
      <w:pStyle w:val="Footer"/>
    </w:pP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994C" w14:textId="77777777" w:rsidR="00992384" w:rsidRDefault="00992384">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11021"/>
      <w:docPartObj>
        <w:docPartGallery w:val="Page Numbers (Bottom of Page)"/>
        <w:docPartUnique/>
      </w:docPartObj>
    </w:sdtPr>
    <w:sdtEndPr>
      <w:rPr>
        <w:noProof/>
      </w:rPr>
    </w:sdtEndPr>
    <w:sdtContent>
      <w:p w14:paraId="1F9CB836"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5A53B42D" w14:textId="77777777" w:rsidR="00992384" w:rsidRDefault="00992384">
    <w:pPr>
      <w:pStyle w:val="FooterCouncil"/>
    </w:pP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89B4" w14:textId="77777777" w:rsidR="00992384" w:rsidRDefault="00992384">
    <w:pPr>
      <w:pStyle w:val="Footer"/>
    </w:pP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1B45" w14:textId="77777777" w:rsidR="00992384" w:rsidRDefault="00992384">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92085"/>
      <w:docPartObj>
        <w:docPartGallery w:val="Page Numbers (Bottom of Page)"/>
        <w:docPartUnique/>
      </w:docPartObj>
    </w:sdtPr>
    <w:sdtEndPr>
      <w:rPr>
        <w:noProof/>
      </w:rPr>
    </w:sdtEndPr>
    <w:sdtContent>
      <w:p w14:paraId="38667AD4" w14:textId="77777777" w:rsidR="00992384" w:rsidRDefault="00992384">
        <w:pPr>
          <w:pStyle w:val="Footer"/>
          <w:jc w:val="center"/>
        </w:pPr>
        <w:r>
          <w:fldChar w:fldCharType="begin"/>
        </w:r>
        <w:r>
          <w:instrText xml:space="preserve"> PAGE   \* MERGEFORMAT </w:instrText>
        </w:r>
        <w:r>
          <w:fldChar w:fldCharType="separate"/>
        </w:r>
        <w:r>
          <w:t>2</w:t>
        </w:r>
        <w:r>
          <w:fldChar w:fldCharType="end"/>
        </w:r>
      </w:p>
    </w:sdtContent>
  </w:sdt>
  <w:p w14:paraId="4E82E05F" w14:textId="77777777" w:rsidR="00992384" w:rsidRDefault="00992384">
    <w:pPr>
      <w:pStyle w:val="FooterCouncil"/>
    </w:pP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AE87" w14:textId="77777777" w:rsidR="00992384" w:rsidRDefault="0099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5599F" w14:textId="77777777" w:rsidR="005B6AC4" w:rsidRDefault="005B6AC4">
      <w:pPr>
        <w:spacing w:after="0" w:line="240" w:lineRule="auto"/>
      </w:pPr>
      <w:r>
        <w:separator/>
      </w:r>
    </w:p>
  </w:footnote>
  <w:footnote w:type="continuationSeparator" w:id="0">
    <w:p w14:paraId="33CE6BC6" w14:textId="77777777" w:rsidR="005B6AC4" w:rsidRDefault="005B6AC4">
      <w:pPr>
        <w:spacing w:after="0" w:line="240" w:lineRule="auto"/>
      </w:pPr>
      <w:r>
        <w:continuationSeparator/>
      </w:r>
    </w:p>
  </w:footnote>
  <w:footnote w:type="continuationNotice" w:id="1">
    <w:p w14:paraId="30EA258D" w14:textId="77777777" w:rsidR="005B6AC4" w:rsidRDefault="005B6AC4">
      <w:pPr>
        <w:spacing w:after="0" w:line="240" w:lineRule="auto"/>
      </w:pPr>
    </w:p>
  </w:footnote>
  <w:footnote w:id="2">
    <w:p w14:paraId="4F724CD0" w14:textId="77777777" w:rsidR="00DC5EC6" w:rsidRDefault="003245A4">
      <w:pPr>
        <w:pStyle w:val="FootnoteText"/>
        <w:ind w:left="709" w:hanging="709"/>
      </w:pPr>
      <w:r>
        <w:rPr>
          <w:rStyle w:val="FootnoteReference"/>
        </w:rPr>
        <w:footnoteRef/>
      </w:r>
      <w:r>
        <w:t xml:space="preserve"> </w:t>
      </w:r>
      <w:hyperlink r:id="rId1" w:history="1">
        <w:r>
          <w:rPr>
            <w:rStyle w:val="Hyperlink"/>
          </w:rPr>
          <w:t>https://www.un.org/development/desa/disabilities/convention-on-the-rights-of-persons-with-disabilities.html</w:t>
        </w:r>
      </w:hyperlink>
      <w:r>
        <w:t xml:space="preserve">.    </w:t>
      </w:r>
    </w:p>
  </w:footnote>
  <w:footnote w:id="3">
    <w:p w14:paraId="6EF9B016" w14:textId="77777777" w:rsidR="00DC5EC6" w:rsidRDefault="003245A4">
      <w:pPr>
        <w:pStyle w:val="FootnoteText"/>
        <w:ind w:left="709" w:hanging="709"/>
      </w:pPr>
      <w:r>
        <w:rPr>
          <w:rStyle w:val="FootnoteReference"/>
        </w:rPr>
        <w:footnoteRef/>
      </w:r>
      <w:r>
        <w:t xml:space="preserve"> </w:t>
      </w:r>
      <w:hyperlink r:id="rId2" w:history="1">
        <w:r>
          <w:rPr>
            <w:rStyle w:val="Hyperlink"/>
          </w:rPr>
          <w:t>https://ec.europa.eu/social/main.jsp?catId=738&amp;langId=en&amp;pubId=8376&amp;furtherPubs=yes</w:t>
        </w:r>
      </w:hyperlink>
      <w:r>
        <w:t xml:space="preserve"> </w:t>
      </w:r>
    </w:p>
  </w:footnote>
  <w:footnote w:id="4">
    <w:p w14:paraId="7BE524BD" w14:textId="77777777" w:rsidR="00DC5EC6" w:rsidRDefault="003245A4">
      <w:pPr>
        <w:pStyle w:val="FootnoteText"/>
        <w:ind w:left="709" w:hanging="709"/>
      </w:pPr>
      <w:r>
        <w:rPr>
          <w:rStyle w:val="FootnoteReference"/>
        </w:rPr>
        <w:footnoteRef/>
      </w:r>
      <w:r>
        <w:t xml:space="preserve"> </w:t>
      </w:r>
      <w:hyperlink r:id="rId3" w:history="1">
        <w:r>
          <w:rPr>
            <w:rStyle w:val="Hyperlink"/>
          </w:rPr>
          <w:t>https://ec.europa.eu/info/sites/default/files/1_en_act_part1_v8_0.pdf</w:t>
        </w:r>
      </w:hyperlink>
      <w:r>
        <w:t xml:space="preserve"> </w:t>
      </w:r>
    </w:p>
  </w:footnote>
  <w:footnote w:id="5">
    <w:p w14:paraId="20BF6478" w14:textId="77777777" w:rsidR="00DC5EC6" w:rsidRDefault="003245A4">
      <w:pPr>
        <w:pStyle w:val="FootnoteText"/>
        <w:ind w:left="709" w:hanging="709"/>
      </w:pPr>
      <w:r>
        <w:rPr>
          <w:rStyle w:val="FootnoteReference"/>
        </w:rPr>
        <w:footnoteRef/>
      </w:r>
      <w:r>
        <w:t xml:space="preserve"> </w:t>
      </w:r>
      <w:hyperlink r:id="rId4" w:history="1">
        <w:r>
          <w:rPr>
            <w:rStyle w:val="Hyperlink"/>
          </w:rPr>
          <w:t>https://www.un.org/development/desa/disabilities/convention-on-the-rights-of-persons-with-disabilities.html</w:t>
        </w:r>
      </w:hyperlink>
      <w:r>
        <w:t xml:space="preserve">.    </w:t>
      </w:r>
    </w:p>
  </w:footnote>
  <w:footnote w:id="6">
    <w:p w14:paraId="697E022B" w14:textId="77777777" w:rsidR="00DC5EC6" w:rsidRDefault="003245A4">
      <w:pPr>
        <w:pStyle w:val="FootnoteText"/>
        <w:ind w:left="709" w:hanging="709"/>
      </w:pPr>
      <w:r>
        <w:rPr>
          <w:rStyle w:val="FootnoteReference"/>
        </w:rPr>
        <w:footnoteRef/>
      </w:r>
      <w:r>
        <w:t xml:space="preserve"> </w:t>
      </w:r>
      <w:hyperlink r:id="rId5" w:history="1">
        <w:r>
          <w:rPr>
            <w:rStyle w:val="Hyperlink"/>
          </w:rPr>
          <w:t>https://ec.europa.eu/social/main.jsp?catId=738&amp;langId=en&amp;pubId=8376&amp;furtherPubs=yes</w:t>
        </w:r>
      </w:hyperlink>
      <w:r>
        <w:t xml:space="preserve"> </w:t>
      </w:r>
    </w:p>
  </w:footnote>
  <w:footnote w:id="7">
    <w:p w14:paraId="22261CC4" w14:textId="77777777" w:rsidR="00DC5EC6" w:rsidRDefault="003245A4">
      <w:pPr>
        <w:pStyle w:val="FootnoteText"/>
        <w:ind w:left="709" w:hanging="709"/>
      </w:pPr>
      <w: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8">
    <w:p w14:paraId="2B2A4952" w14:textId="77777777" w:rsidR="00DC5EC6" w:rsidRDefault="003245A4">
      <w:pPr>
        <w:pStyle w:val="FootnoteText"/>
        <w:ind w:left="709" w:hanging="709"/>
      </w:pPr>
      <w: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9">
    <w:p w14:paraId="104B9886" w14:textId="77777777" w:rsidR="00DC5EC6" w:rsidRDefault="003245A4">
      <w:pPr>
        <w:pStyle w:val="FootnoteText"/>
        <w:ind w:left="709" w:hanging="709"/>
      </w:pPr>
      <w: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10">
    <w:p w14:paraId="3F26F5F7" w14:textId="77777777" w:rsidR="00DC5EC6" w:rsidRDefault="003245A4">
      <w:pPr>
        <w:pStyle w:val="FootnoteText"/>
        <w:ind w:left="709" w:hanging="709"/>
      </w:pPr>
      <w: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11">
    <w:p w14:paraId="54B6E1CA" w14:textId="77777777" w:rsidR="00DC5EC6" w:rsidRDefault="003245A4">
      <w:pPr>
        <w:pStyle w:val="FootnoteText"/>
        <w:ind w:left="709" w:hanging="709"/>
      </w:pPr>
      <w: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12">
    <w:p w14:paraId="0700F327" w14:textId="77777777" w:rsidR="00DC5EC6" w:rsidRDefault="003245A4">
      <w:pPr>
        <w:pStyle w:val="FootnoteText"/>
        <w:ind w:left="709" w:hanging="709"/>
      </w:pPr>
      <w: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13">
    <w:p w14:paraId="4A7CE0CE"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14">
    <w:p w14:paraId="33C91D2C" w14:textId="77777777" w:rsidR="00DC5EC6" w:rsidRDefault="003245A4">
      <w:pPr>
        <w:pStyle w:val="FootnoteText"/>
        <w:ind w:left="709" w:hanging="709"/>
      </w:pPr>
      <w: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15">
    <w:p w14:paraId="4570EEC3"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16">
    <w:p w14:paraId="18847726"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17">
    <w:p w14:paraId="2CDBAB26" w14:textId="77777777" w:rsidR="00DC5EC6" w:rsidRDefault="003245A4">
      <w:pPr>
        <w:spacing w:after="0" w:line="240" w:lineRule="auto"/>
        <w:ind w:left="709" w:hanging="709"/>
        <w:jc w:val="both"/>
        <w:rPr>
          <w:rFonts w:ascii="Times New Roman" w:eastAsiaTheme="minorEastAsia"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18">
    <w:p w14:paraId="02418914"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19">
    <w:p w14:paraId="2734878E"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20">
    <w:p w14:paraId="25410A69"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1">
    <w:p w14:paraId="4B3934FC"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22">
    <w:p w14:paraId="6CB29564"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23">
    <w:p w14:paraId="1A1A021C"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24">
    <w:p w14:paraId="72CFAB7C"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5">
    <w:p w14:paraId="23F2A08C"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26">
    <w:p w14:paraId="2E05CEF0"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27">
    <w:p w14:paraId="2FE089E1"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28">
    <w:p w14:paraId="54165B86"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29">
    <w:p w14:paraId="78C1F4E6"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30">
    <w:p w14:paraId="43DD17DC"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31">
    <w:p w14:paraId="27354B64" w14:textId="77777777" w:rsidR="00DC5EC6" w:rsidRDefault="003245A4">
      <w:pPr>
        <w:pStyle w:val="FootnoteText"/>
      </w:pPr>
      <w:r>
        <w:rPr>
          <w:rStyle w:val="FootnoteReference"/>
        </w:rPr>
        <w:footnoteRef/>
      </w:r>
      <w:r>
        <w:t xml:space="preserve"> 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 </w:t>
      </w:r>
    </w:p>
  </w:footnote>
  <w:footnote w:id="32">
    <w:p w14:paraId="4299F52C" w14:textId="77777777" w:rsidR="00DC5EC6" w:rsidRDefault="003245A4">
      <w:pPr>
        <w:pStyle w:val="FootnoteText"/>
      </w:pPr>
      <w:r>
        <w:rPr>
          <w:rStyle w:val="FootnoteReference"/>
        </w:rPr>
        <w:footnoteRef/>
      </w:r>
      <w:r>
        <w:t xml:space="preserve"> 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 </w:t>
      </w:r>
    </w:p>
  </w:footnote>
  <w:footnote w:id="33">
    <w:p w14:paraId="275F7B84" w14:textId="77777777" w:rsidR="00DC5EC6" w:rsidRDefault="003245A4">
      <w:pPr>
        <w:pStyle w:val="FootnoteText"/>
      </w:pPr>
      <w:r>
        <w:rPr>
          <w:rStyle w:val="FootnoteReference"/>
        </w:rPr>
        <w:footnoteRef/>
      </w:r>
      <w:r>
        <w:t xml:space="preserve"> 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 </w:t>
      </w:r>
    </w:p>
  </w:footnote>
  <w:footnote w:id="34">
    <w:p w14:paraId="15124B53" w14:textId="77777777" w:rsidR="00DC5EC6" w:rsidRDefault="003245A4">
      <w:pPr>
        <w:pStyle w:val="FootnoteText"/>
      </w:pPr>
      <w:r>
        <w:rPr>
          <w:rStyle w:val="FootnoteReference"/>
        </w:rPr>
        <w:footnoteRef/>
      </w:r>
      <w:r>
        <w:t xml:space="preserve">  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 </w:t>
      </w:r>
    </w:p>
  </w:footnote>
  <w:footnote w:id="35">
    <w:p w14:paraId="13E939F4" w14:textId="77777777" w:rsidR="00DC5EC6" w:rsidRDefault="003245A4">
      <w:pPr>
        <w:pStyle w:val="FootnoteText"/>
        <w:spacing w:line="240" w:lineRule="auto"/>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36">
    <w:p w14:paraId="7560EFBF" w14:textId="77777777" w:rsidR="00DC5EC6" w:rsidRDefault="003245A4">
      <w:pPr>
        <w:pStyle w:val="FootnoteText"/>
        <w:spacing w:line="240" w:lineRule="auto"/>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37">
    <w:p w14:paraId="22DA75BD"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38">
    <w:p w14:paraId="31E3972C" w14:textId="77777777" w:rsidR="00DC5EC6" w:rsidRDefault="003245A4">
      <w:pPr>
        <w:pStyle w:val="FootnoteText"/>
        <w:spacing w:line="240" w:lineRule="auto"/>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39">
    <w:p w14:paraId="032B3FB7" w14:textId="017008BD" w:rsidR="00DC5EC6" w:rsidRDefault="003245A4">
      <w:pPr>
        <w:pStyle w:val="FootnoteText"/>
        <w:ind w:left="709" w:hanging="709"/>
      </w:pPr>
      <w:r>
        <w:rPr>
          <w:rStyle w:val="FootnoteReference"/>
        </w:rPr>
        <w:footnoteRef/>
      </w:r>
      <w:r>
        <w:t xml:space="preserve"> </w:t>
      </w:r>
      <w:r>
        <w:tab/>
        <w:t xml:space="preserve">Decreto Regulamentar n.° 9-A/2017: </w:t>
      </w:r>
      <w:hyperlink r:id="rId6" w:history="1">
        <w:r>
          <w:rPr>
            <w:rStyle w:val="Hyperlink"/>
          </w:rPr>
          <w:t>https://dre.pt/application/conteudo/114152782</w:t>
        </w:r>
      </w:hyperlink>
      <w:r>
        <w:t xml:space="preserve">  </w:t>
      </w:r>
    </w:p>
  </w:footnote>
  <w:footnote w:id="40">
    <w:p w14:paraId="0D885102" w14:textId="77777777" w:rsidR="00DC5EC6" w:rsidRDefault="003245A4">
      <w:pPr>
        <w:pStyle w:val="FootnoteText"/>
        <w:spacing w:line="240" w:lineRule="auto"/>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41">
    <w:p w14:paraId="41986EED" w14:textId="77777777" w:rsidR="00DC5EC6" w:rsidRDefault="003245A4">
      <w:pPr>
        <w:pStyle w:val="FootnoteText"/>
        <w:spacing w:line="240" w:lineRule="auto"/>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42">
    <w:p w14:paraId="0FE45297" w14:textId="77777777" w:rsidR="00DC5EC6" w:rsidRDefault="003245A4">
      <w:pPr>
        <w:pStyle w:val="FootnoteText"/>
        <w:spacing w:line="240" w:lineRule="auto"/>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43">
    <w:p w14:paraId="45413230" w14:textId="77777777" w:rsidR="00DC5EC6" w:rsidRDefault="003245A4">
      <w:pPr>
        <w:pStyle w:val="FootnoteText"/>
        <w:spacing w:line="240" w:lineRule="auto"/>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44">
    <w:p w14:paraId="2D3802F5" w14:textId="77777777" w:rsidR="00DC5EC6" w:rsidRDefault="003245A4">
      <w:pPr>
        <w:pStyle w:val="FootnoteText"/>
        <w:spacing w:line="240" w:lineRule="auto"/>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45">
    <w:p w14:paraId="58D642AD" w14:textId="77777777" w:rsidR="00DC5EC6" w:rsidRDefault="003245A4">
      <w:pPr>
        <w:pStyle w:val="FootnoteText"/>
        <w:spacing w:line="240" w:lineRule="auto"/>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46">
    <w:p w14:paraId="2EC8D73E" w14:textId="77777777" w:rsidR="00DC5EC6" w:rsidRDefault="003245A4">
      <w:pPr>
        <w:spacing w:after="0" w:line="240" w:lineRule="auto"/>
        <w:ind w:left="709" w:hanging="709"/>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47">
    <w:p w14:paraId="69F62AAE" w14:textId="77777777" w:rsidR="00DC5EC6" w:rsidRDefault="003245A4">
      <w:pPr>
        <w:pStyle w:val="FootnoteText"/>
        <w:spacing w:line="240" w:lineRule="auto"/>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48">
    <w:p w14:paraId="23D04827"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49">
    <w:p w14:paraId="086CCC13" w14:textId="77777777" w:rsidR="00DC5EC6" w:rsidRDefault="003245A4">
      <w:pPr>
        <w:pStyle w:val="FootnoteText"/>
        <w:spacing w:line="240" w:lineRule="auto"/>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0">
    <w:p w14:paraId="50DDA874" w14:textId="77777777" w:rsidR="00DC5EC6" w:rsidRDefault="003245A4">
      <w:pPr>
        <w:spacing w:after="0" w:line="240" w:lineRule="auto"/>
        <w:ind w:left="709" w:hanging="709"/>
        <w:jc w:val="both"/>
        <w:rPr>
          <w:rFonts w:ascii="Times New Roman" w:hAnsi="Times New Roman" w:cs="Times New Roman"/>
        </w:rPr>
      </w:pPr>
      <w:r>
        <w:rPr>
          <w:rStyle w:val="FootnoteReference"/>
          <w:sz w:val="20"/>
        </w:rPr>
        <w:footnoteRef/>
      </w:r>
      <w:r>
        <w:rPr>
          <w:rFonts w:ascii="Times New Roman" w:hAnsi="Times New Roman"/>
          <w:sz w:val="20"/>
        </w:rPr>
        <w:t xml:space="preserve"> </w:t>
      </w:r>
      <w:r>
        <w:rPr>
          <w:rFonts w:ascii="Times New Roman" w:hAnsi="Times New Roman"/>
          <w:sz w:val="20"/>
        </w:rP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51">
    <w:p w14:paraId="629442C7" w14:textId="77777777" w:rsidR="00DC5EC6" w:rsidRDefault="003245A4">
      <w:pPr>
        <w:pStyle w:val="FootnoteText"/>
        <w:spacing w:line="240" w:lineRule="auto"/>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52">
    <w:p w14:paraId="6CD2C7EC"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53">
    <w:p w14:paraId="6D4C9DB2"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4">
    <w:p w14:paraId="2F4AA456"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55">
    <w:p w14:paraId="5D8F35A8"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56">
    <w:p w14:paraId="5A0A53A2"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57">
    <w:p w14:paraId="59375361"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58">
    <w:p w14:paraId="3A868ECC"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59">
    <w:p w14:paraId="57210ACA"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60">
    <w:p w14:paraId="29A7C9B1" w14:textId="77777777" w:rsidR="00DC5EC6" w:rsidRDefault="003245A4">
      <w:pPr>
        <w:pStyle w:val="FootnoteText"/>
        <w:ind w:left="709" w:hanging="709"/>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61">
    <w:p w14:paraId="24F14AC4" w14:textId="77777777" w:rsidR="00DC5EC6" w:rsidRDefault="003245A4">
      <w:pPr>
        <w:pStyle w:val="FootnoteText"/>
        <w:ind w:left="709" w:hanging="709"/>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62">
    <w:p w14:paraId="57CE1546" w14:textId="77777777" w:rsidR="00DC5EC6" w:rsidRDefault="003245A4">
      <w:pPr>
        <w:pStyle w:val="FootnoteText"/>
        <w:ind w:left="709" w:hanging="709"/>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63">
    <w:p w14:paraId="1812F0A1" w14:textId="77777777" w:rsidR="00DC5EC6" w:rsidRDefault="003245A4">
      <w:pPr>
        <w:pStyle w:val="FootnoteText"/>
        <w:ind w:left="709" w:hanging="709"/>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64">
    <w:p w14:paraId="3705F09F"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65">
    <w:p w14:paraId="79ECCF36" w14:textId="77777777" w:rsidR="00DC5EC6" w:rsidRDefault="003245A4">
      <w:pPr>
        <w:pStyle w:val="FootnoteText"/>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66">
    <w:p w14:paraId="0CD64774" w14:textId="77777777" w:rsidR="00DC5EC6" w:rsidRDefault="003245A4">
      <w:pPr>
        <w:pStyle w:val="FootnoteText"/>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67">
    <w:p w14:paraId="137FD1EF" w14:textId="77777777" w:rsidR="00DC5EC6" w:rsidRDefault="003245A4">
      <w:pPr>
        <w:pStyle w:val="FootnoteText"/>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68">
    <w:p w14:paraId="405D3F43"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69">
    <w:p w14:paraId="5450CE25" w14:textId="77777777" w:rsidR="00DC5EC6" w:rsidRDefault="003245A4">
      <w:pPr>
        <w:pStyle w:val="FootnoteText"/>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70">
    <w:p w14:paraId="3B01555B" w14:textId="77777777" w:rsidR="00DC5EC6" w:rsidRDefault="003245A4">
      <w:pPr>
        <w:pStyle w:val="FootnoteText"/>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71">
    <w:p w14:paraId="3D345DD3" w14:textId="77777777" w:rsidR="00DC5EC6" w:rsidRDefault="003245A4">
      <w:pPr>
        <w:pStyle w:val="FootnoteText"/>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72">
    <w:p w14:paraId="1D00325C" w14:textId="77777777" w:rsidR="00DC5EC6" w:rsidRDefault="003245A4">
      <w:pPr>
        <w:pStyle w:val="FootnoteText"/>
      </w:pPr>
      <w:r>
        <w:rPr>
          <w:rStyle w:val="FootnoteReference"/>
        </w:rPr>
        <w:footnoteRef/>
      </w:r>
      <w:r>
        <w:t xml:space="preserve"> </w:t>
      </w:r>
      <w:r>
        <w:tab/>
        <w:t>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w:t>
      </w:r>
    </w:p>
  </w:footnote>
  <w:footnote w:id="73">
    <w:p w14:paraId="2B98AA92" w14:textId="77777777" w:rsidR="00DC5EC6" w:rsidRDefault="003245A4">
      <w:pPr>
        <w:pStyle w:val="FootnoteText"/>
      </w:pPr>
      <w:r>
        <w:rPr>
          <w:rStyle w:val="FootnoteReference"/>
        </w:rPr>
        <w:footnoteRef/>
      </w:r>
      <w:r>
        <w:t xml:space="preserve"> </w:t>
      </w:r>
      <w:r>
        <w:tab/>
        <w:t>Amennyiben a támogatott tevékenység olyan előre jelzett üvegházhatásúgáz-kibocsátást ér el, amely nem alacsonyabb a vonatkozó referenciaértékeknél, meg kell indokolni, hogy ez miért nem lehetséges. A kibocsátáskereskedelmi rendszer hatálya alá tartozó tevékenységekre vonatkozó ingyenes kiosztásra vonatkozóan az (EU) 2021/447 bizottsági végrehajtási rendeletben meghatározott referenciaértékek.</w:t>
      </w:r>
    </w:p>
  </w:footnote>
  <w:footnote w:id="74">
    <w:p w14:paraId="1AD470E4" w14:textId="77777777" w:rsidR="00DC5EC6" w:rsidRDefault="003245A4">
      <w:pPr>
        <w:pStyle w:val="FootnoteText"/>
      </w:pPr>
      <w:r>
        <w:rPr>
          <w:rStyle w:val="FootnoteReference"/>
        </w:rPr>
        <w:footnoteRef/>
      </w:r>
      <w:r>
        <w:t xml:space="preserve"> </w:t>
      </w:r>
      <w:r>
        <w:tab/>
        <w:t>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w:t>
      </w:r>
    </w:p>
  </w:footnote>
  <w:footnote w:id="75">
    <w:p w14:paraId="62FBAA1A" w14:textId="77777777" w:rsidR="00DC5EC6" w:rsidRDefault="003245A4">
      <w:pPr>
        <w:pStyle w:val="FootnoteText"/>
      </w:pPr>
      <w:r>
        <w:rPr>
          <w:rStyle w:val="FootnoteReference"/>
        </w:rPr>
        <w:footnoteRef/>
      </w:r>
      <w:r>
        <w:t xml:space="preserve"> </w:t>
      </w:r>
      <w:r>
        <w:tab/>
        <w:t>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w:t>
      </w:r>
    </w:p>
  </w:footnote>
  <w:footnote w:id="76">
    <w:p w14:paraId="7ECA6AE2" w14:textId="77777777" w:rsidR="00DC5EC6" w:rsidRDefault="003245A4">
      <w:pPr>
        <w:pStyle w:val="FootnoteText"/>
      </w:pPr>
      <w:r>
        <w:rPr>
          <w:rStyle w:val="FootnoteReference"/>
        </w:rPr>
        <w:footnoteRef/>
      </w:r>
      <w:r>
        <w:t xml:space="preserve"> Az adókedvezmény fogalmát az </w:t>
      </w:r>
      <w:r>
        <w:rPr>
          <w:i/>
        </w:rPr>
        <w:t xml:space="preserve">Estatuto dos Benefícios Fiscais </w:t>
      </w:r>
      <w:r>
        <w:t>(a július 1-jei 215/1989. sz. törvényerejű rendelet melléklete) 2. cikke határozza meg. Az adókiadásokat az adókedvezmények költségvetési hatásaként határozzák meg.</w:t>
      </w:r>
    </w:p>
  </w:footnote>
  <w:footnote w:id="77">
    <w:p w14:paraId="29A60DEE" w14:textId="77777777" w:rsidR="00DC5EC6" w:rsidRDefault="003245A4">
      <w:pPr>
        <w:pStyle w:val="FootnoteText"/>
        <w:ind w:left="709" w:hanging="709"/>
      </w:pPr>
      <w:r>
        <w:rPr>
          <w:rStyle w:val="FootnoteReference"/>
        </w:rPr>
        <w:footnoteRef/>
      </w:r>
      <w:r>
        <w:t xml:space="preserve"> </w:t>
      </w:r>
      <w:r>
        <w:tab/>
        <w:t>Az érzékszervi rendszert érintő, riasztásra vagy nyugalomra kialakított helyiségek</w:t>
      </w:r>
    </w:p>
  </w:footnote>
  <w:footnote w:id="78">
    <w:p w14:paraId="4E79D273" w14:textId="77777777" w:rsidR="00DC5EC6" w:rsidRDefault="003245A4">
      <w:pPr>
        <w:pStyle w:val="FootnoteText"/>
      </w:pPr>
      <w:r>
        <w:rPr>
          <w:rStyle w:val="FootnoteReference"/>
        </w:rPr>
        <w:footnoteRef/>
      </w:r>
      <w:r>
        <w:t xml:space="preserve"> Kivéve az ezen intézkedés hatálya alá tartozó, a jelentős károkozás elkerülését célzó elvről szóló technikai iránymutatás (2021/C58/01) III. mellékletében meghatározott feltételeknek megfelelő, földgázt felhasználó villamosenergia- és/vagy hőtermelésre, valamint a kapcsolódó átviteli és elosztási infrastruktúrára irányuló projekteket. </w:t>
      </w:r>
    </w:p>
  </w:footnote>
  <w:footnote w:id="79">
    <w:p w14:paraId="328B7220" w14:textId="77777777" w:rsidR="00DC5EC6" w:rsidRDefault="003245A4">
      <w:pPr>
        <w:pStyle w:val="FootnoteText"/>
      </w:pPr>
      <w:r>
        <w:rPr>
          <w:rStyle w:val="FootnoteReference"/>
        </w:rPr>
        <w:footnoteRef/>
      </w:r>
      <w:r>
        <w:t xml:space="preserve"> 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 </w:t>
      </w:r>
    </w:p>
  </w:footnote>
  <w:footnote w:id="80">
    <w:p w14:paraId="2AA60221" w14:textId="0051F9E1" w:rsidR="00DC5EC6" w:rsidRDefault="003245A4">
      <w:pPr>
        <w:pStyle w:val="FootnoteText"/>
      </w:pPr>
      <w:r>
        <w:rPr>
          <w:rStyle w:val="FootnoteReference"/>
        </w:rPr>
        <w:footnoteRef/>
      </w:r>
      <w:r>
        <w:t xml:space="preserve"> 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 </w:t>
      </w:r>
    </w:p>
  </w:footnote>
  <w:footnote w:id="81">
    <w:p w14:paraId="4213660C" w14:textId="77777777" w:rsidR="00DC5EC6" w:rsidRDefault="003245A4">
      <w:pPr>
        <w:pStyle w:val="FootnoteText"/>
      </w:pPr>
      <w:r>
        <w:rPr>
          <w:rStyle w:val="FootnoteReference"/>
        </w:rPr>
        <w:footnoteRef/>
      </w:r>
      <w:r>
        <w:t xml:space="preserve"> Ez a kizárás nem vonatkozik az ezen intézkedés szerinti fellépésekre a kizárólag nem újrafeldolgozható veszélyes hulladékok kezelésére szolgáló létesítményekben, valamint a meglévő üzemekben, ahol az ezen intézkedés szerinti tevékenységek célja az energiahatékonyság növelése, a füstgázok tárolási célú megkötése vagy a hulladékégetésből származó hamuból származó anyagok felhasználása vagy kinyerése, feltéve, hogy az ezen intézkedés szerinti fellépések nem eredményezik az üzemek hulladékfeldolgozási kapacitásának növekedését vagy az üzemek élettartamának meghosszabbítását; ezek esetében az üzem szintjén szolgáltatnak bizonyítékot. </w:t>
      </w:r>
    </w:p>
  </w:footnote>
  <w:footnote w:id="82">
    <w:p w14:paraId="7D3EBBC3" w14:textId="63EBD02D" w:rsidR="00DC5EC6" w:rsidRDefault="003245A4">
      <w:pPr>
        <w:pStyle w:val="FootnoteText"/>
      </w:pPr>
      <w:r>
        <w:rPr>
          <w:rStyle w:val="FootnoteReference"/>
        </w:rPr>
        <w:footnoteRef/>
      </w:r>
      <w:r>
        <w:t xml:space="preserve"> Ez a kizárás nem vonatkozik az ezen intézkedés keretében a meglévő mechanikus-biológiai hulladékkezelő létesítményekben végrehajtott intézkedésekre, amennyiben az ezen intézkedés keretében végrehajtott fellépések célja az energiahatékonyság növelése vagy az elkülönített hulladék újrafeldolgozási műveletekhez való utólagos átalakítása a biohulladék komposztálása és a biohulladék anaerob lebontása céljából, feltéve, hogy az ezen intézkedés szerinti szerinti ilyen fellépések nem eredményezik az üzemek hulladékfeldolgozási kapacitásának növelését vagy az üzemek élettartamának meghosszabbítását; ezek esetében az üzem szintjén szolgáltatnak bizonyítékot.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AC69" w14:textId="77777777" w:rsidR="005B5627" w:rsidRPr="005B5627" w:rsidRDefault="005B5627" w:rsidP="005B56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68CB3" w14:textId="77777777" w:rsidR="00992384" w:rsidRDefault="00992384">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6A1E" w14:textId="77777777" w:rsidR="00DC5EC6" w:rsidRDefault="00DC5EC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F3E1" w14:textId="77777777" w:rsidR="00DC5EC6" w:rsidRDefault="00DC5EC6">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4980" w14:textId="77777777" w:rsidR="00DC5EC6" w:rsidRDefault="00DC5EC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770D" w14:textId="77777777" w:rsidR="00DC5EC6" w:rsidRDefault="00DC5EC6">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5FE9" w14:textId="77777777" w:rsidR="00DC5EC6" w:rsidRDefault="00DC5EC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124B8" w14:textId="77777777" w:rsidR="00DC5EC6" w:rsidRDefault="00DC5EC6">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13E6" w14:textId="77777777" w:rsidR="00DC5EC6" w:rsidRDefault="00DC5EC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A8AC" w14:textId="77777777" w:rsidR="00DC5EC6" w:rsidRDefault="00DC5EC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232E" w14:textId="77777777" w:rsidR="00DC5EC6" w:rsidRDefault="00DC5EC6">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F5A" w14:textId="77777777" w:rsidR="00DC5EC6" w:rsidRDefault="00DC5E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1DCA" w14:textId="77777777" w:rsidR="00992384" w:rsidRDefault="00992384">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8A13" w14:textId="77777777" w:rsidR="00DC5EC6" w:rsidRDefault="00DC5EC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C2F1" w14:textId="77777777" w:rsidR="00DC5EC6" w:rsidRDefault="00DC5EC6">
    <w:pPr>
      <w:pStyle w:val="Header"/>
    </w:pP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DF1B" w14:textId="77777777" w:rsidR="00DC5EC6" w:rsidRDefault="00DC5EC6">
    <w:pPr>
      <w:pStyle w:val="Header"/>
    </w:pP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2C45" w14:textId="77777777" w:rsidR="00DC5EC6" w:rsidRDefault="00DC5EC6">
    <w:pPr>
      <w:pStyle w:val="Header"/>
    </w:pP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2C8D" w14:textId="77777777" w:rsidR="00DC5EC6" w:rsidRDefault="00DC5EC6">
    <w:pPr>
      <w:pStyle w:val="Header"/>
    </w:pP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B982" w14:textId="77777777" w:rsidR="00DC5EC6" w:rsidRDefault="00DC5EC6">
    <w:pPr>
      <w:pStyle w:val="Header"/>
    </w:pP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9295" w14:textId="77777777" w:rsidR="00DC5EC6" w:rsidRDefault="00DC5EC6">
    <w:pPr>
      <w:pStyle w:val="Header"/>
    </w:pP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0039" w14:textId="77777777" w:rsidR="00DC5EC6" w:rsidRDefault="00DC5EC6">
    <w:pPr>
      <w:pStyle w:val="Header"/>
    </w:pP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ED21" w14:textId="77777777" w:rsidR="00DC5EC6" w:rsidRDefault="00DC5EC6">
    <w:pPr>
      <w:pStyle w:val="Header"/>
    </w:pP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7854" w14:textId="77777777" w:rsidR="00DC5EC6" w:rsidRDefault="00DC5E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17BD" w14:textId="77777777" w:rsidR="00992384" w:rsidRDefault="00992384">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8FE" w14:textId="77777777" w:rsidR="00DC5EC6" w:rsidRDefault="00DC5EC6">
    <w:pPr>
      <w:pStyle w:val="Header"/>
    </w:pP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F815" w14:textId="77777777" w:rsidR="00DC5EC6" w:rsidRDefault="00DC5EC6">
    <w:pPr>
      <w:pStyle w:val="Header"/>
    </w:pP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4230" w14:textId="77777777" w:rsidR="00DC5EC6" w:rsidRDefault="00DC5EC6">
    <w:pPr>
      <w:pStyle w:val="Header"/>
    </w:pP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D6CB" w14:textId="77777777" w:rsidR="00DC5EC6" w:rsidRDefault="00DC5EC6">
    <w:pPr>
      <w:pStyle w:val="Header"/>
    </w:pP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4D6A" w14:textId="77777777" w:rsidR="00DC5EC6" w:rsidRDefault="00DC5EC6">
    <w:pPr>
      <w:pStyle w:val="Header"/>
    </w:pP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3F1B" w14:textId="77777777" w:rsidR="00DC5EC6" w:rsidRDefault="00DC5EC6">
    <w:pPr>
      <w:pStyle w:val="Header"/>
    </w:pP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9215" w14:textId="77777777" w:rsidR="00DC5EC6" w:rsidRDefault="00DC5EC6">
    <w:pPr>
      <w:pStyle w:val="Header"/>
    </w:pP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C4D0" w14:textId="77777777" w:rsidR="00DC5EC6" w:rsidRDefault="00DC5EC6">
    <w:pPr>
      <w:pStyle w:val="Header"/>
    </w:pP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DB31" w14:textId="77777777" w:rsidR="00DC5EC6" w:rsidRDefault="00DC5EC6">
    <w:pPr>
      <w:pStyle w:val="Header"/>
    </w:pP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D58F" w14:textId="77777777" w:rsidR="00DC5EC6" w:rsidRDefault="00DC5E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8DEE" w14:textId="77777777" w:rsidR="00DC5EC6" w:rsidRDefault="00DC5EC6">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862C" w14:textId="77777777" w:rsidR="00DC5EC6" w:rsidRDefault="00DC5EC6">
    <w:pPr>
      <w:pStyle w:val="Header"/>
    </w:pP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0E8A" w14:textId="77777777" w:rsidR="00DC5EC6" w:rsidRDefault="00DC5EC6">
    <w:pPr>
      <w:pStyle w:val="Header"/>
    </w:pP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0F1E" w14:textId="77777777" w:rsidR="00DC5EC6" w:rsidRDefault="00DC5EC6">
    <w:pPr>
      <w:pStyle w:val="Header"/>
    </w:pP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36E8" w14:textId="77777777" w:rsidR="00DC5EC6" w:rsidRDefault="00DC5EC6">
    <w:pPr>
      <w:pStyle w:val="Header"/>
    </w:pP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D6FE" w14:textId="77777777" w:rsidR="00DC5EC6" w:rsidRDefault="00DC5EC6">
    <w:pPr>
      <w:pStyle w:val="Header"/>
    </w:pP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F8BF" w14:textId="77777777" w:rsidR="00DC5EC6" w:rsidRDefault="00DC5EC6">
    <w:pPr>
      <w:pStyle w:val="Header"/>
    </w:pP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5682" w14:textId="77777777" w:rsidR="00DC5EC6" w:rsidRDefault="00DC5EC6">
    <w:pPr>
      <w:pStyle w:val="Header"/>
    </w:pP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EF45" w14:textId="77777777" w:rsidR="00DC5EC6" w:rsidRDefault="00DC5EC6">
    <w:pPr>
      <w:pStyle w:val="Header"/>
    </w:pP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2283" w14:textId="77777777" w:rsidR="00DC5EC6" w:rsidRDefault="00DC5EC6">
    <w:pPr>
      <w:pStyle w:val="Header"/>
    </w:pP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AFD4" w14:textId="77777777" w:rsidR="00DC5EC6" w:rsidRDefault="00DC5EC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F86B" w14:textId="77777777" w:rsidR="00DC5EC6" w:rsidRDefault="00DC5EC6">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8B30" w14:textId="77777777" w:rsidR="00DC5EC6" w:rsidRDefault="00DC5EC6">
    <w:pPr>
      <w:pStyle w:val="Header"/>
    </w:pP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F833" w14:textId="77777777" w:rsidR="00DC5EC6" w:rsidRDefault="00DC5EC6">
    <w:pPr>
      <w:pStyle w:val="Header"/>
    </w:pP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421B" w14:textId="77777777" w:rsidR="00DC5EC6" w:rsidRDefault="00DC5EC6">
    <w:pPr>
      <w:pStyle w:val="Header"/>
    </w:pP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132F" w14:textId="77777777" w:rsidR="00DC5EC6" w:rsidRDefault="00DC5EC6">
    <w:pPr>
      <w:pStyle w:val="Header"/>
    </w:pP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3FC9" w14:textId="77777777" w:rsidR="00DC5EC6" w:rsidRDefault="00DC5EC6">
    <w:pPr>
      <w:pStyle w:val="Header"/>
    </w:pP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0AC6D" w14:textId="77777777" w:rsidR="00DC5EC6" w:rsidRDefault="00DC5EC6">
    <w:pPr>
      <w:pStyle w:val="Header"/>
    </w:pP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8A8" w14:textId="77777777" w:rsidR="00DC5EC6" w:rsidRDefault="00DC5EC6">
    <w:pPr>
      <w:pStyle w:val="Header"/>
    </w:pP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450E" w14:textId="77777777" w:rsidR="00DC5EC6" w:rsidRDefault="00DC5EC6">
    <w:pPr>
      <w:pStyle w:val="Header"/>
    </w:pP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DBE5" w14:textId="77777777" w:rsidR="00DC5EC6" w:rsidRDefault="00DC5EC6">
    <w:pPr>
      <w:pStyle w:val="Header"/>
    </w:pPr>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A42D" w14:textId="77777777" w:rsidR="00DC5EC6" w:rsidRDefault="00DC5E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1AA0" w14:textId="77777777" w:rsidR="00DC5EC6" w:rsidRDefault="00DC5EC6">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1B720" w14:textId="77777777" w:rsidR="00DC5EC6" w:rsidRDefault="00DC5EC6">
    <w:pPr>
      <w:pStyle w:val="Header"/>
    </w:pPr>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A31D" w14:textId="77777777" w:rsidR="00DC5EC6" w:rsidRDefault="00DC5EC6">
    <w:pPr>
      <w:pStyle w:val="Header"/>
    </w:pPr>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B87" w14:textId="77777777" w:rsidR="00DC5EC6" w:rsidRDefault="00DC5EC6">
    <w:pPr>
      <w:pStyle w:val="Header"/>
    </w:pP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866D" w14:textId="77777777" w:rsidR="00DC5EC6" w:rsidRDefault="00DC5EC6">
    <w:pPr>
      <w:pStyle w:val="Header"/>
    </w:pPr>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770DF" w14:textId="77777777" w:rsidR="00DC5EC6" w:rsidRDefault="00DC5EC6">
    <w:pPr>
      <w:pStyle w:val="Header"/>
    </w:pPr>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B748" w14:textId="77777777" w:rsidR="00DC5EC6" w:rsidRDefault="00DC5EC6">
    <w:pPr>
      <w:pStyle w:val="Header"/>
    </w:pP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44AE" w14:textId="77777777" w:rsidR="00DC5EC6" w:rsidRDefault="00DC5EC6">
    <w:pPr>
      <w:pStyle w:val="Header"/>
    </w:pPr>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5A93" w14:textId="77777777" w:rsidR="00DC5EC6" w:rsidRDefault="00DC5EC6">
    <w:pPr>
      <w:pStyle w:val="Header"/>
    </w:pPr>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66726" w14:textId="77777777" w:rsidR="00DC5EC6" w:rsidRDefault="00DC5EC6">
    <w:pPr>
      <w:pStyle w:val="Header"/>
    </w:pP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B7DF" w14:textId="77777777" w:rsidR="00DC5EC6" w:rsidRDefault="00DC5E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CA62" w14:textId="77777777" w:rsidR="00DC5EC6" w:rsidRDefault="00DC5EC6">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D57C" w14:textId="77777777" w:rsidR="00DC5EC6" w:rsidRDefault="00DC5EC6">
    <w:pPr>
      <w:pStyle w:val="Header"/>
    </w:pPr>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2D3D" w14:textId="77777777" w:rsidR="00DC5EC6" w:rsidRDefault="00DC5EC6">
    <w:pPr>
      <w:pStyle w:val="Header"/>
    </w:pP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90E" w14:textId="77777777" w:rsidR="00DC5EC6" w:rsidRDefault="00DC5EC6">
    <w:pPr>
      <w:pStyle w:val="Header"/>
    </w:pPr>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D0B8" w14:textId="77777777" w:rsidR="00DC5EC6" w:rsidRDefault="00DC5EC6">
    <w:pPr>
      <w:pStyle w:val="Header"/>
    </w:pPr>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D044" w14:textId="77777777" w:rsidR="00DC5EC6" w:rsidRDefault="00DC5EC6">
    <w:pPr>
      <w:pStyle w:val="Header"/>
    </w:pP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8225" w14:textId="77777777" w:rsidR="00DC5EC6" w:rsidRDefault="00DC5EC6">
    <w:pPr>
      <w:pStyle w:val="Header"/>
    </w:pPr>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A6BA" w14:textId="77777777" w:rsidR="00DC5EC6" w:rsidRDefault="00DC5EC6">
    <w:pPr>
      <w:pStyle w:val="Header"/>
    </w:pPr>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298E" w14:textId="77777777" w:rsidR="00DC5EC6" w:rsidRDefault="00DC5EC6">
    <w:pPr>
      <w:pStyle w:val="Header"/>
    </w:pP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6781" w14:textId="77777777" w:rsidR="00DC5EC6" w:rsidRDefault="00DC5EC6">
    <w:pPr>
      <w:pStyle w:val="Header"/>
    </w:pPr>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5563" w14:textId="77777777" w:rsidR="00DC5EC6" w:rsidRDefault="00DC5EC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D2EF" w14:textId="77777777" w:rsidR="00DC5EC6" w:rsidRDefault="00DC5EC6">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F637" w14:textId="77777777" w:rsidR="00DC5EC6" w:rsidRDefault="00DC5EC6">
    <w:pPr>
      <w:pStyle w:val="Header"/>
    </w:pP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250D" w14:textId="77777777" w:rsidR="00DC5EC6" w:rsidRDefault="00DC5EC6">
    <w:pPr>
      <w:pStyle w:val="Header"/>
    </w:pPr>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7438" w14:textId="77777777" w:rsidR="00DC5EC6" w:rsidRDefault="00DC5EC6">
    <w:pPr>
      <w:pStyle w:val="Header"/>
    </w:pPr>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B3CA" w14:textId="77777777" w:rsidR="00DC5EC6" w:rsidRDefault="00DC5EC6">
    <w:pPr>
      <w:pStyle w:val="Header"/>
    </w:pP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D82A" w14:textId="77777777" w:rsidR="00DC5EC6" w:rsidRDefault="00DC5EC6">
    <w:pPr>
      <w:pStyle w:val="Header"/>
    </w:pPr>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B922" w14:textId="77777777" w:rsidR="00DC5EC6" w:rsidRDefault="00DC5EC6">
    <w:pPr>
      <w:pStyle w:val="Header"/>
    </w:pPr>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81FE" w14:textId="77777777" w:rsidR="00DC5EC6" w:rsidRDefault="00DC5EC6">
    <w:pPr>
      <w:pStyle w:val="Header"/>
    </w:pP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2D1C" w14:textId="77777777" w:rsidR="00DC5EC6" w:rsidRDefault="00DC5EC6">
    <w:pPr>
      <w:pStyle w:val="Header"/>
    </w:pPr>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639A6" w14:textId="77777777" w:rsidR="00DC5EC6" w:rsidRDefault="00DC5EC6">
    <w:pPr>
      <w:pStyle w:val="Header"/>
    </w:pPr>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FEBF" w14:textId="77777777" w:rsidR="00DC5EC6" w:rsidRDefault="00DC5EC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A26F" w14:textId="77777777" w:rsidR="00DC5EC6" w:rsidRDefault="00DC5EC6">
    <w:pPr>
      <w:pStyle w:val="Header"/>
    </w:pPr>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7B59" w14:textId="77777777" w:rsidR="00DC5EC6" w:rsidRDefault="00DC5EC6">
    <w:pPr>
      <w:pStyle w:val="Header"/>
    </w:pPr>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728E" w14:textId="77777777" w:rsidR="00DC5EC6" w:rsidRDefault="00DC5EC6">
    <w:pPr>
      <w:pStyle w:val="Header"/>
    </w:pPr>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0B2F" w14:textId="77777777" w:rsidR="00DC5EC6" w:rsidRDefault="00DC5EC6">
    <w:pPr>
      <w:pStyle w:val="Header"/>
    </w:pP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09A8" w14:textId="77777777" w:rsidR="00DC5EC6" w:rsidRDefault="00DC5EC6">
    <w:pPr>
      <w:pStyle w:val="Header"/>
    </w:pPr>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07A1" w14:textId="77777777" w:rsidR="00DC5EC6" w:rsidRDefault="00DC5EC6">
    <w:pPr>
      <w:pStyle w:val="Header"/>
    </w:pPr>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DECA3" w14:textId="77777777" w:rsidR="00DC5EC6" w:rsidRDefault="00DC5EC6">
    <w:pPr>
      <w:pStyle w:val="Header"/>
    </w:pP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DB52" w14:textId="77777777" w:rsidR="00DC5EC6" w:rsidRDefault="00DC5EC6">
    <w:pPr>
      <w:pStyle w:val="Header"/>
    </w:pPr>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05A9" w14:textId="77777777" w:rsidR="00DC5EC6" w:rsidRDefault="00DC5EC6">
    <w:pPr>
      <w:pStyle w:val="Header"/>
    </w:pPr>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2904" w14:textId="77777777" w:rsidR="00DC5EC6" w:rsidRDefault="00DC5EC6">
    <w:pPr>
      <w:pStyle w:val="Header"/>
    </w:pP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33E" w14:textId="77777777" w:rsidR="00DC5EC6" w:rsidRDefault="00DC5EC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F294" w14:textId="77777777" w:rsidR="00992384" w:rsidRDefault="00992384">
    <w:pPr>
      <w:pStyle w:val="Header"/>
    </w:pPr>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54BC" w14:textId="77777777" w:rsidR="00DC5EC6" w:rsidRDefault="00DC5EC6">
    <w:pPr>
      <w:pStyle w:val="Header"/>
    </w:pPr>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19F9" w14:textId="77777777" w:rsidR="00DC5EC6" w:rsidRDefault="00DC5EC6">
    <w:pPr>
      <w:pStyle w:val="Header"/>
    </w:pP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43F7" w14:textId="77777777" w:rsidR="00DC5EC6" w:rsidRDefault="00DC5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FA17" w14:textId="77777777" w:rsidR="005B5627" w:rsidRPr="005B5627" w:rsidRDefault="005B5627" w:rsidP="005B5627">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8113" w14:textId="77777777" w:rsidR="00992384" w:rsidRDefault="0099238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42E93" w14:textId="77777777" w:rsidR="00992384" w:rsidRDefault="0099238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DDB" w14:textId="77777777" w:rsidR="00DC5EC6" w:rsidRDefault="00DC5EC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4777" w14:textId="77777777" w:rsidR="00DC5EC6" w:rsidRDefault="00DC5EC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36C8" w14:textId="77777777" w:rsidR="00DC5EC6" w:rsidRDefault="00DC5EC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7C6F" w14:textId="77777777" w:rsidR="00DC5EC6" w:rsidRDefault="00DC5EC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3D9F" w14:textId="77777777" w:rsidR="00DC5EC6" w:rsidRDefault="00DC5EC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0942" w14:textId="77777777" w:rsidR="00DC5EC6" w:rsidRDefault="00DC5EC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F32A" w14:textId="77777777" w:rsidR="00DC5EC6" w:rsidRDefault="00DC5EC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A12F" w14:textId="77777777" w:rsidR="00DC5EC6" w:rsidRDefault="00DC5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DABA" w14:textId="77777777" w:rsidR="005B5627" w:rsidRPr="005B5627" w:rsidRDefault="005B5627" w:rsidP="005B5627">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2F4" w14:textId="77777777" w:rsidR="00DC5EC6" w:rsidRDefault="00DC5EC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224F" w14:textId="77777777" w:rsidR="00DC5EC6" w:rsidRDefault="00DC5EC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77E7" w14:textId="77777777" w:rsidR="00DC5EC6" w:rsidRDefault="00DC5EC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9350" w14:textId="77777777" w:rsidR="00DC5EC6" w:rsidRDefault="00DC5EC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D4E8" w14:textId="77777777" w:rsidR="00DC5EC6" w:rsidRDefault="00DC5EC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8F10" w14:textId="77777777" w:rsidR="00DC5EC6" w:rsidRDefault="00DC5EC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DB30" w14:textId="77777777" w:rsidR="00DC5EC6" w:rsidRDefault="00DC5EC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93A6" w14:textId="77777777" w:rsidR="00DC5EC6" w:rsidRDefault="00DC5EC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F74" w14:textId="77777777" w:rsidR="00DC5EC6" w:rsidRDefault="00DC5EC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F793" w14:textId="77777777" w:rsidR="00DC5EC6" w:rsidRDefault="00DC5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4584" w14:textId="77777777" w:rsidR="00DC5EC6" w:rsidRDefault="00DC5EC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B4EF" w14:textId="77777777" w:rsidR="00DC5EC6" w:rsidRDefault="00DC5EC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D9AC" w14:textId="77777777" w:rsidR="00DC5EC6" w:rsidRDefault="00DC5EC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D491" w14:textId="77777777" w:rsidR="00DC5EC6" w:rsidRDefault="00DC5EC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7821" w14:textId="77777777" w:rsidR="00DC5EC6" w:rsidRDefault="00DC5EC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EAE9" w14:textId="77777777" w:rsidR="00DC5EC6" w:rsidRDefault="00DC5EC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A868" w14:textId="77777777" w:rsidR="00DC5EC6" w:rsidRDefault="00DC5EC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D584" w14:textId="77777777" w:rsidR="00DC5EC6" w:rsidRDefault="00DC5EC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F77A" w14:textId="77777777" w:rsidR="00DC5EC6" w:rsidRDefault="00DC5EC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AC8F" w14:textId="77777777" w:rsidR="00DC5EC6" w:rsidRDefault="00DC5EC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29F0" w14:textId="77777777" w:rsidR="00DC5EC6" w:rsidRDefault="00DC5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A92B" w14:textId="77777777" w:rsidR="00DC5EC6" w:rsidRDefault="00DC5EC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42A0" w14:textId="77777777" w:rsidR="00DC5EC6" w:rsidRDefault="00DC5EC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0269" w14:textId="77777777" w:rsidR="00DC5EC6" w:rsidRDefault="00DC5EC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71B2" w14:textId="77777777" w:rsidR="00DC5EC6" w:rsidRDefault="00DC5EC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79D1" w14:textId="77777777" w:rsidR="00DC5EC6" w:rsidRDefault="00DC5EC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858B" w14:textId="77777777" w:rsidR="00DC5EC6" w:rsidRDefault="00DC5EC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A12D" w14:textId="77777777" w:rsidR="00DC5EC6" w:rsidRDefault="00DC5EC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0596" w14:textId="77777777" w:rsidR="00DC5EC6" w:rsidRDefault="00DC5EC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B726" w14:textId="77777777" w:rsidR="00DC5EC6" w:rsidRDefault="00DC5EC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07AE" w14:textId="77777777" w:rsidR="00DC5EC6" w:rsidRDefault="00DC5EC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4CE1" w14:textId="77777777" w:rsidR="00DC5EC6" w:rsidRDefault="00DC5E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6762D" w14:textId="77777777" w:rsidR="00DC5EC6" w:rsidRDefault="00DC5EC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A0CB" w14:textId="77777777" w:rsidR="00DC5EC6" w:rsidRDefault="00DC5EC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F58FF" w14:textId="77777777" w:rsidR="00DC5EC6" w:rsidRDefault="00DC5EC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A092" w14:textId="77777777" w:rsidR="00DC5EC6" w:rsidRDefault="00DC5EC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847C" w14:textId="77777777" w:rsidR="00DC5EC6" w:rsidRDefault="00DC5EC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D52B" w14:textId="77777777" w:rsidR="00DC5EC6" w:rsidRDefault="00DC5EC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05E5" w14:textId="77777777" w:rsidR="00DC5EC6" w:rsidRDefault="00DC5EC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32A9" w14:textId="77777777" w:rsidR="00DC5EC6" w:rsidRDefault="00DC5EC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465A" w14:textId="77777777" w:rsidR="00DC5EC6" w:rsidRDefault="00DC5EC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D111" w14:textId="77777777" w:rsidR="00DC5EC6" w:rsidRDefault="00DC5EC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D576" w14:textId="77777777" w:rsidR="00DC5EC6" w:rsidRDefault="00DC5E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F6350" w14:textId="77777777" w:rsidR="00992384" w:rsidRDefault="0099238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C6C1" w14:textId="77777777" w:rsidR="00DC5EC6" w:rsidRDefault="00DC5EC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175B" w14:textId="77777777" w:rsidR="00DC5EC6" w:rsidRDefault="00DC5EC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AED7" w14:textId="77777777" w:rsidR="00DC5EC6" w:rsidRDefault="00DC5EC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63C7" w14:textId="77777777" w:rsidR="00DC5EC6" w:rsidRDefault="00DC5EC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D838B" w14:textId="77777777" w:rsidR="00DC5EC6" w:rsidRDefault="00DC5EC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3AB4" w14:textId="77777777" w:rsidR="00DC5EC6" w:rsidRDefault="00DC5EC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C8A8" w14:textId="77777777" w:rsidR="00DC5EC6" w:rsidRDefault="00DC5EC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F6C0" w14:textId="77777777" w:rsidR="00DC5EC6" w:rsidRDefault="00DC5EC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2196" w14:textId="77777777" w:rsidR="00DC5EC6" w:rsidRDefault="00DC5EC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D0D7" w14:textId="77777777" w:rsidR="00DC5EC6" w:rsidRDefault="00DC5E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BA82" w14:textId="77777777" w:rsidR="00992384" w:rsidRDefault="0099238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D4CB" w14:textId="77777777" w:rsidR="00DC5EC6" w:rsidRDefault="00DC5EC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DDB9" w14:textId="77777777" w:rsidR="00DC5EC6" w:rsidRDefault="00DC5EC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1991" w14:textId="77777777" w:rsidR="00DC5EC6" w:rsidRDefault="00DC5EC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4B4D" w14:textId="77777777" w:rsidR="00DC5EC6" w:rsidRDefault="00DC5EC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2570" w14:textId="77777777" w:rsidR="00DC5EC6" w:rsidRDefault="00DC5EC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3226" w14:textId="77777777" w:rsidR="00DC5EC6" w:rsidRDefault="00DC5EC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3C44" w14:textId="77777777" w:rsidR="00DC5EC6" w:rsidRDefault="00DC5EC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3BA2" w14:textId="77777777" w:rsidR="00DC5EC6" w:rsidRDefault="00DC5EC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9537" w14:textId="77777777" w:rsidR="00DC5EC6" w:rsidRDefault="00DC5EC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3420" w14:textId="77777777" w:rsidR="00DC5EC6" w:rsidRDefault="00DC5E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1D33" w14:textId="77777777" w:rsidR="00992384" w:rsidRDefault="00992384">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EA38" w14:textId="77777777" w:rsidR="00DC5EC6" w:rsidRDefault="00DC5EC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20E9" w14:textId="77777777" w:rsidR="00992384" w:rsidRDefault="00992384">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15C70" w14:textId="77777777" w:rsidR="00992384" w:rsidRDefault="00992384">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3664" w14:textId="77777777" w:rsidR="00992384" w:rsidRDefault="00992384">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6595" w14:textId="77777777" w:rsidR="00992384" w:rsidRDefault="00992384">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57FF" w14:textId="77777777" w:rsidR="00992384" w:rsidRDefault="00992384">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2959C" w14:textId="77777777" w:rsidR="00992384" w:rsidRDefault="00992384">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D26A" w14:textId="77777777" w:rsidR="00992384" w:rsidRDefault="00992384">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0B08" w14:textId="77777777" w:rsidR="00992384" w:rsidRDefault="00992384">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78AC" w14:textId="77777777" w:rsidR="00992384" w:rsidRDefault="00992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16821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BC045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4EC618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1E9F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2091B"/>
    <w:multiLevelType w:val="hybridMultilevel"/>
    <w:tmpl w:val="0BDC60C2"/>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9868A0"/>
    <w:multiLevelType w:val="hybridMultilevel"/>
    <w:tmpl w:val="32C2A90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EC3743"/>
    <w:multiLevelType w:val="hybridMultilevel"/>
    <w:tmpl w:val="1E7E21BE"/>
    <w:lvl w:ilvl="0" w:tplc="F9B098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BD3768"/>
    <w:multiLevelType w:val="hybridMultilevel"/>
    <w:tmpl w:val="FFFFFFFF"/>
    <w:lvl w:ilvl="0" w:tplc="DDF0C67C">
      <w:start w:val="8"/>
      <w:numFmt w:val="decimal"/>
      <w:lvlText w:val="%1."/>
      <w:lvlJc w:val="left"/>
      <w:pPr>
        <w:ind w:left="720" w:hanging="360"/>
      </w:pPr>
      <w:rPr>
        <w:rFonts w:ascii="Calibri" w:hAnsi="Calibri" w:hint="default"/>
      </w:rPr>
    </w:lvl>
    <w:lvl w:ilvl="1" w:tplc="38E8673E">
      <w:start w:val="1"/>
      <w:numFmt w:val="lowerLetter"/>
      <w:lvlText w:val="%2."/>
      <w:lvlJc w:val="left"/>
      <w:pPr>
        <w:ind w:left="1440" w:hanging="360"/>
      </w:pPr>
    </w:lvl>
    <w:lvl w:ilvl="2" w:tplc="33E8910E">
      <w:start w:val="1"/>
      <w:numFmt w:val="lowerRoman"/>
      <w:lvlText w:val="%3."/>
      <w:lvlJc w:val="right"/>
      <w:pPr>
        <w:ind w:left="2160" w:hanging="180"/>
      </w:pPr>
    </w:lvl>
    <w:lvl w:ilvl="3" w:tplc="50B22B8C">
      <w:start w:val="1"/>
      <w:numFmt w:val="decimal"/>
      <w:lvlText w:val="%4."/>
      <w:lvlJc w:val="left"/>
      <w:pPr>
        <w:ind w:left="2880" w:hanging="360"/>
      </w:pPr>
    </w:lvl>
    <w:lvl w:ilvl="4" w:tplc="090C8E02">
      <w:start w:val="1"/>
      <w:numFmt w:val="lowerLetter"/>
      <w:lvlText w:val="%5."/>
      <w:lvlJc w:val="left"/>
      <w:pPr>
        <w:ind w:left="3600" w:hanging="360"/>
      </w:pPr>
    </w:lvl>
    <w:lvl w:ilvl="5" w:tplc="8660A99C">
      <w:start w:val="1"/>
      <w:numFmt w:val="lowerRoman"/>
      <w:lvlText w:val="%6."/>
      <w:lvlJc w:val="right"/>
      <w:pPr>
        <w:ind w:left="4320" w:hanging="180"/>
      </w:pPr>
    </w:lvl>
    <w:lvl w:ilvl="6" w:tplc="6DE691CE">
      <w:start w:val="1"/>
      <w:numFmt w:val="decimal"/>
      <w:lvlText w:val="%7."/>
      <w:lvlJc w:val="left"/>
      <w:pPr>
        <w:ind w:left="5040" w:hanging="360"/>
      </w:pPr>
    </w:lvl>
    <w:lvl w:ilvl="7" w:tplc="282EBCCE">
      <w:start w:val="1"/>
      <w:numFmt w:val="lowerLetter"/>
      <w:lvlText w:val="%8."/>
      <w:lvlJc w:val="left"/>
      <w:pPr>
        <w:ind w:left="5760" w:hanging="360"/>
      </w:pPr>
    </w:lvl>
    <w:lvl w:ilvl="8" w:tplc="CE7018EC">
      <w:start w:val="1"/>
      <w:numFmt w:val="lowerRoman"/>
      <w:lvlText w:val="%9."/>
      <w:lvlJc w:val="right"/>
      <w:pPr>
        <w:ind w:left="6480" w:hanging="180"/>
      </w:pPr>
    </w:lvl>
  </w:abstractNum>
  <w:abstractNum w:abstractNumId="8" w15:restartNumberingAfterBreak="0">
    <w:nsid w:val="0507090B"/>
    <w:multiLevelType w:val="hybridMultilevel"/>
    <w:tmpl w:val="22E61F54"/>
    <w:lvl w:ilvl="0" w:tplc="FFFFFFFF">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Yu Mincho Light" w:hAnsi="Yu Mincho Light" w:cs="Yu Mincho Light" w:hint="default"/>
      </w:rPr>
    </w:lvl>
    <w:lvl w:ilvl="2" w:tplc="18090005" w:tentative="1">
      <w:start w:val="1"/>
      <w:numFmt w:val="bullet"/>
      <w:lvlText w:val=""/>
      <w:lvlJc w:val="left"/>
      <w:pPr>
        <w:ind w:left="2220" w:hanging="360"/>
      </w:pPr>
      <w:rPr>
        <w:rFonts w:ascii="MS Mincho" w:hAnsi="MS Mincho" w:hint="default"/>
      </w:rPr>
    </w:lvl>
    <w:lvl w:ilvl="3" w:tplc="18090001" w:tentative="1">
      <w:start w:val="1"/>
      <w:numFmt w:val="bullet"/>
      <w:lvlText w:val=""/>
      <w:lvlJc w:val="left"/>
      <w:pPr>
        <w:ind w:left="2940" w:hanging="360"/>
      </w:pPr>
      <w:rPr>
        <w:rFonts w:ascii="MS Mincho" w:hAnsi="MS Mincho" w:hint="default"/>
      </w:rPr>
    </w:lvl>
    <w:lvl w:ilvl="4" w:tplc="18090003" w:tentative="1">
      <w:start w:val="1"/>
      <w:numFmt w:val="bullet"/>
      <w:lvlText w:val="o"/>
      <w:lvlJc w:val="left"/>
      <w:pPr>
        <w:ind w:left="3660" w:hanging="360"/>
      </w:pPr>
      <w:rPr>
        <w:rFonts w:ascii="Yu Mincho Light" w:hAnsi="Yu Mincho Light" w:cs="Yu Mincho Light" w:hint="default"/>
      </w:rPr>
    </w:lvl>
    <w:lvl w:ilvl="5" w:tplc="18090005" w:tentative="1">
      <w:start w:val="1"/>
      <w:numFmt w:val="bullet"/>
      <w:lvlText w:val=""/>
      <w:lvlJc w:val="left"/>
      <w:pPr>
        <w:ind w:left="4380" w:hanging="360"/>
      </w:pPr>
      <w:rPr>
        <w:rFonts w:ascii="MS Mincho" w:hAnsi="MS Mincho" w:hint="default"/>
      </w:rPr>
    </w:lvl>
    <w:lvl w:ilvl="6" w:tplc="18090001" w:tentative="1">
      <w:start w:val="1"/>
      <w:numFmt w:val="bullet"/>
      <w:lvlText w:val=""/>
      <w:lvlJc w:val="left"/>
      <w:pPr>
        <w:ind w:left="5100" w:hanging="360"/>
      </w:pPr>
      <w:rPr>
        <w:rFonts w:ascii="MS Mincho" w:hAnsi="MS Mincho" w:hint="default"/>
      </w:rPr>
    </w:lvl>
    <w:lvl w:ilvl="7" w:tplc="18090003" w:tentative="1">
      <w:start w:val="1"/>
      <w:numFmt w:val="bullet"/>
      <w:lvlText w:val="o"/>
      <w:lvlJc w:val="left"/>
      <w:pPr>
        <w:ind w:left="5820" w:hanging="360"/>
      </w:pPr>
      <w:rPr>
        <w:rFonts w:ascii="Yu Mincho Light" w:hAnsi="Yu Mincho Light" w:cs="Yu Mincho Light" w:hint="default"/>
      </w:rPr>
    </w:lvl>
    <w:lvl w:ilvl="8" w:tplc="18090005" w:tentative="1">
      <w:start w:val="1"/>
      <w:numFmt w:val="bullet"/>
      <w:lvlText w:val=""/>
      <w:lvlJc w:val="left"/>
      <w:pPr>
        <w:ind w:left="6540" w:hanging="360"/>
      </w:pPr>
      <w:rPr>
        <w:rFonts w:ascii="MS Mincho" w:hAnsi="MS Mincho" w:hint="default"/>
      </w:rPr>
    </w:lvl>
  </w:abstractNum>
  <w:abstractNum w:abstractNumId="9" w15:restartNumberingAfterBreak="0">
    <w:nsid w:val="0853DD90"/>
    <w:multiLevelType w:val="hybridMultilevel"/>
    <w:tmpl w:val="FFFFFFFF"/>
    <w:lvl w:ilvl="0" w:tplc="9B86F24C">
      <w:start w:val="1"/>
      <w:numFmt w:val="bullet"/>
      <w:lvlText w:val="-"/>
      <w:lvlJc w:val="left"/>
      <w:pPr>
        <w:ind w:left="720" w:hanging="360"/>
      </w:pPr>
      <w:rPr>
        <w:rFonts w:ascii="Arial" w:hAnsi="Arial" w:hint="default"/>
      </w:rPr>
    </w:lvl>
    <w:lvl w:ilvl="1" w:tplc="0C4E7CFA">
      <w:start w:val="1"/>
      <w:numFmt w:val="bullet"/>
      <w:lvlText w:val="o"/>
      <w:lvlJc w:val="left"/>
      <w:pPr>
        <w:ind w:left="1440" w:hanging="360"/>
      </w:pPr>
      <w:rPr>
        <w:rFonts w:ascii="Segoe UI Emoji" w:hAnsi="Segoe UI Emoji" w:hint="default"/>
      </w:rPr>
    </w:lvl>
    <w:lvl w:ilvl="2" w:tplc="21EE2022">
      <w:start w:val="1"/>
      <w:numFmt w:val="bullet"/>
      <w:lvlText w:val=""/>
      <w:lvlJc w:val="left"/>
      <w:pPr>
        <w:ind w:left="2160" w:hanging="360"/>
      </w:pPr>
      <w:rPr>
        <w:rFonts w:ascii="@MS Mincho" w:hAnsi="@MS Mincho" w:hint="default"/>
      </w:rPr>
    </w:lvl>
    <w:lvl w:ilvl="3" w:tplc="F8FA31DA">
      <w:start w:val="1"/>
      <w:numFmt w:val="bullet"/>
      <w:lvlText w:val=""/>
      <w:lvlJc w:val="left"/>
      <w:pPr>
        <w:ind w:left="2880" w:hanging="360"/>
      </w:pPr>
      <w:rPr>
        <w:rFonts w:ascii="Times New Roman félkövér" w:hAnsi="Times New Roman félkövér" w:hint="default"/>
      </w:rPr>
    </w:lvl>
    <w:lvl w:ilvl="4" w:tplc="045A305A">
      <w:start w:val="1"/>
      <w:numFmt w:val="bullet"/>
      <w:lvlText w:val="o"/>
      <w:lvlJc w:val="left"/>
      <w:pPr>
        <w:ind w:left="3600" w:hanging="360"/>
      </w:pPr>
      <w:rPr>
        <w:rFonts w:ascii="Segoe UI Emoji" w:hAnsi="Segoe UI Emoji" w:hint="default"/>
      </w:rPr>
    </w:lvl>
    <w:lvl w:ilvl="5" w:tplc="74125AAE">
      <w:start w:val="1"/>
      <w:numFmt w:val="bullet"/>
      <w:lvlText w:val=""/>
      <w:lvlJc w:val="left"/>
      <w:pPr>
        <w:ind w:left="4320" w:hanging="360"/>
      </w:pPr>
      <w:rPr>
        <w:rFonts w:ascii="@MS Mincho" w:hAnsi="@MS Mincho" w:hint="default"/>
      </w:rPr>
    </w:lvl>
    <w:lvl w:ilvl="6" w:tplc="2E8C3324">
      <w:start w:val="1"/>
      <w:numFmt w:val="bullet"/>
      <w:lvlText w:val=""/>
      <w:lvlJc w:val="left"/>
      <w:pPr>
        <w:ind w:left="5040" w:hanging="360"/>
      </w:pPr>
      <w:rPr>
        <w:rFonts w:ascii="Times New Roman félkövér" w:hAnsi="Times New Roman félkövér" w:hint="default"/>
      </w:rPr>
    </w:lvl>
    <w:lvl w:ilvl="7" w:tplc="6AD0341A">
      <w:start w:val="1"/>
      <w:numFmt w:val="bullet"/>
      <w:lvlText w:val="o"/>
      <w:lvlJc w:val="left"/>
      <w:pPr>
        <w:ind w:left="5760" w:hanging="360"/>
      </w:pPr>
      <w:rPr>
        <w:rFonts w:ascii="Segoe UI Emoji" w:hAnsi="Segoe UI Emoji" w:hint="default"/>
      </w:rPr>
    </w:lvl>
    <w:lvl w:ilvl="8" w:tplc="53ECFD58">
      <w:start w:val="1"/>
      <w:numFmt w:val="bullet"/>
      <w:lvlText w:val=""/>
      <w:lvlJc w:val="left"/>
      <w:pPr>
        <w:ind w:left="6480" w:hanging="360"/>
      </w:pPr>
      <w:rPr>
        <w:rFonts w:ascii="@MS Mincho" w:hAnsi="@MS Mincho" w:hint="default"/>
      </w:rPr>
    </w:lvl>
  </w:abstractNum>
  <w:abstractNum w:abstractNumId="10" w15:restartNumberingAfterBreak="0">
    <w:nsid w:val="0B7071AF"/>
    <w:multiLevelType w:val="hybridMultilevel"/>
    <w:tmpl w:val="338CE26C"/>
    <w:lvl w:ilvl="0" w:tplc="991C3E1E">
      <w:start w:val="1"/>
      <w:numFmt w:val="bullet"/>
      <w:lvlText w:val="-"/>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0B9A3F81"/>
    <w:multiLevelType w:val="hybridMultilevel"/>
    <w:tmpl w:val="E17CE6DE"/>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C583D17"/>
    <w:multiLevelType w:val="hybridMultilevel"/>
    <w:tmpl w:val="B372B45A"/>
    <w:lvl w:ilvl="0" w:tplc="5EC66656">
      <w:start w:val="1"/>
      <w:numFmt w:val="bullet"/>
      <w:lvlText w:val=""/>
      <w:lvlJc w:val="left"/>
      <w:pPr>
        <w:ind w:left="720" w:hanging="360"/>
      </w:pPr>
      <w:rPr>
        <w:rFonts w:ascii="Symbol" w:hAnsi="Symbol"/>
      </w:rPr>
    </w:lvl>
    <w:lvl w:ilvl="1" w:tplc="6C1E4D28">
      <w:start w:val="1"/>
      <w:numFmt w:val="bullet"/>
      <w:lvlText w:val=""/>
      <w:lvlJc w:val="left"/>
      <w:pPr>
        <w:ind w:left="720" w:hanging="360"/>
      </w:pPr>
      <w:rPr>
        <w:rFonts w:ascii="Symbol" w:hAnsi="Symbol"/>
      </w:rPr>
    </w:lvl>
    <w:lvl w:ilvl="2" w:tplc="48B6CD7C">
      <w:start w:val="1"/>
      <w:numFmt w:val="bullet"/>
      <w:lvlText w:val=""/>
      <w:lvlJc w:val="left"/>
      <w:pPr>
        <w:ind w:left="720" w:hanging="360"/>
      </w:pPr>
      <w:rPr>
        <w:rFonts w:ascii="Symbol" w:hAnsi="Symbol"/>
      </w:rPr>
    </w:lvl>
    <w:lvl w:ilvl="3" w:tplc="8804AAEA">
      <w:start w:val="1"/>
      <w:numFmt w:val="bullet"/>
      <w:lvlText w:val=""/>
      <w:lvlJc w:val="left"/>
      <w:pPr>
        <w:ind w:left="720" w:hanging="360"/>
      </w:pPr>
      <w:rPr>
        <w:rFonts w:ascii="Symbol" w:hAnsi="Symbol"/>
      </w:rPr>
    </w:lvl>
    <w:lvl w:ilvl="4" w:tplc="7FBE0D5E">
      <w:start w:val="1"/>
      <w:numFmt w:val="bullet"/>
      <w:lvlText w:val=""/>
      <w:lvlJc w:val="left"/>
      <w:pPr>
        <w:ind w:left="720" w:hanging="360"/>
      </w:pPr>
      <w:rPr>
        <w:rFonts w:ascii="Symbol" w:hAnsi="Symbol"/>
      </w:rPr>
    </w:lvl>
    <w:lvl w:ilvl="5" w:tplc="55204034">
      <w:start w:val="1"/>
      <w:numFmt w:val="bullet"/>
      <w:lvlText w:val=""/>
      <w:lvlJc w:val="left"/>
      <w:pPr>
        <w:ind w:left="720" w:hanging="360"/>
      </w:pPr>
      <w:rPr>
        <w:rFonts w:ascii="Symbol" w:hAnsi="Symbol"/>
      </w:rPr>
    </w:lvl>
    <w:lvl w:ilvl="6" w:tplc="75747AF4">
      <w:start w:val="1"/>
      <w:numFmt w:val="bullet"/>
      <w:lvlText w:val=""/>
      <w:lvlJc w:val="left"/>
      <w:pPr>
        <w:ind w:left="720" w:hanging="360"/>
      </w:pPr>
      <w:rPr>
        <w:rFonts w:ascii="Symbol" w:hAnsi="Symbol"/>
      </w:rPr>
    </w:lvl>
    <w:lvl w:ilvl="7" w:tplc="5A6C7638">
      <w:start w:val="1"/>
      <w:numFmt w:val="bullet"/>
      <w:lvlText w:val=""/>
      <w:lvlJc w:val="left"/>
      <w:pPr>
        <w:ind w:left="720" w:hanging="360"/>
      </w:pPr>
      <w:rPr>
        <w:rFonts w:ascii="Symbol" w:hAnsi="Symbol"/>
      </w:rPr>
    </w:lvl>
    <w:lvl w:ilvl="8" w:tplc="DB141560">
      <w:start w:val="1"/>
      <w:numFmt w:val="bullet"/>
      <w:lvlText w:val=""/>
      <w:lvlJc w:val="left"/>
      <w:pPr>
        <w:ind w:left="720" w:hanging="360"/>
      </w:pPr>
      <w:rPr>
        <w:rFonts w:ascii="Symbol" w:hAnsi="Symbol"/>
      </w:rPr>
    </w:lvl>
  </w:abstractNum>
  <w:abstractNum w:abstractNumId="13" w15:restartNumberingAfterBreak="0">
    <w:nsid w:val="0C681D4E"/>
    <w:multiLevelType w:val="hybridMultilevel"/>
    <w:tmpl w:val="4E9642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0CBC6"/>
    <w:multiLevelType w:val="hybridMultilevel"/>
    <w:tmpl w:val="FFFFFFFF"/>
    <w:lvl w:ilvl="0" w:tplc="5762C3A6">
      <w:start w:val="1"/>
      <w:numFmt w:val="bullet"/>
      <w:lvlText w:val=""/>
      <w:lvlJc w:val="left"/>
      <w:pPr>
        <w:ind w:left="720" w:hanging="360"/>
      </w:pPr>
      <w:rPr>
        <w:rFonts w:ascii="Symbol" w:hAnsi="Symbol" w:hint="default"/>
      </w:rPr>
    </w:lvl>
    <w:lvl w:ilvl="1" w:tplc="523C60EA">
      <w:start w:val="1"/>
      <w:numFmt w:val="bullet"/>
      <w:lvlText w:val="o"/>
      <w:lvlJc w:val="left"/>
      <w:pPr>
        <w:ind w:left="1440" w:hanging="360"/>
      </w:pPr>
      <w:rPr>
        <w:rFonts w:ascii="Courier New" w:hAnsi="Courier New" w:hint="default"/>
      </w:rPr>
    </w:lvl>
    <w:lvl w:ilvl="2" w:tplc="8BFA6B86">
      <w:start w:val="1"/>
      <w:numFmt w:val="bullet"/>
      <w:lvlText w:val=""/>
      <w:lvlJc w:val="left"/>
      <w:pPr>
        <w:ind w:left="2160" w:hanging="360"/>
      </w:pPr>
      <w:rPr>
        <w:rFonts w:ascii="Wingdings" w:hAnsi="Wingdings" w:hint="default"/>
      </w:rPr>
    </w:lvl>
    <w:lvl w:ilvl="3" w:tplc="8842B4AE">
      <w:start w:val="1"/>
      <w:numFmt w:val="bullet"/>
      <w:lvlText w:val=""/>
      <w:lvlJc w:val="left"/>
      <w:pPr>
        <w:ind w:left="2880" w:hanging="360"/>
      </w:pPr>
      <w:rPr>
        <w:rFonts w:ascii="Symbol" w:hAnsi="Symbol" w:hint="default"/>
      </w:rPr>
    </w:lvl>
    <w:lvl w:ilvl="4" w:tplc="04A0D452">
      <w:start w:val="1"/>
      <w:numFmt w:val="bullet"/>
      <w:lvlText w:val="o"/>
      <w:lvlJc w:val="left"/>
      <w:pPr>
        <w:ind w:left="3600" w:hanging="360"/>
      </w:pPr>
      <w:rPr>
        <w:rFonts w:ascii="Courier New" w:hAnsi="Courier New" w:hint="default"/>
      </w:rPr>
    </w:lvl>
    <w:lvl w:ilvl="5" w:tplc="04F21308">
      <w:start w:val="1"/>
      <w:numFmt w:val="bullet"/>
      <w:lvlText w:val=""/>
      <w:lvlJc w:val="left"/>
      <w:pPr>
        <w:ind w:left="4320" w:hanging="360"/>
      </w:pPr>
      <w:rPr>
        <w:rFonts w:ascii="Wingdings" w:hAnsi="Wingdings" w:hint="default"/>
      </w:rPr>
    </w:lvl>
    <w:lvl w:ilvl="6" w:tplc="8BB88B5C">
      <w:start w:val="1"/>
      <w:numFmt w:val="bullet"/>
      <w:lvlText w:val=""/>
      <w:lvlJc w:val="left"/>
      <w:pPr>
        <w:ind w:left="5040" w:hanging="360"/>
      </w:pPr>
      <w:rPr>
        <w:rFonts w:ascii="Symbol" w:hAnsi="Symbol" w:hint="default"/>
      </w:rPr>
    </w:lvl>
    <w:lvl w:ilvl="7" w:tplc="C3DE9168">
      <w:start w:val="1"/>
      <w:numFmt w:val="bullet"/>
      <w:lvlText w:val="o"/>
      <w:lvlJc w:val="left"/>
      <w:pPr>
        <w:ind w:left="5760" w:hanging="360"/>
      </w:pPr>
      <w:rPr>
        <w:rFonts w:ascii="Courier New" w:hAnsi="Courier New" w:hint="default"/>
      </w:rPr>
    </w:lvl>
    <w:lvl w:ilvl="8" w:tplc="CEE831A4">
      <w:start w:val="1"/>
      <w:numFmt w:val="bullet"/>
      <w:lvlText w:val=""/>
      <w:lvlJc w:val="left"/>
      <w:pPr>
        <w:ind w:left="6480" w:hanging="360"/>
      </w:pPr>
      <w:rPr>
        <w:rFonts w:ascii="Wingdings" w:hAnsi="Wingdings" w:hint="default"/>
      </w:rPr>
    </w:lvl>
  </w:abstractNum>
  <w:abstractNum w:abstractNumId="15" w15:restartNumberingAfterBreak="0">
    <w:nsid w:val="0C990D6D"/>
    <w:multiLevelType w:val="hybridMultilevel"/>
    <w:tmpl w:val="9AE27DC0"/>
    <w:lvl w:ilvl="0" w:tplc="18090001">
      <w:start w:val="1"/>
      <w:numFmt w:val="bullet"/>
      <w:lvlText w:val=""/>
      <w:lvlJc w:val="left"/>
      <w:pPr>
        <w:ind w:left="720" w:hanging="360"/>
      </w:pPr>
      <w:rPr>
        <w:rFonts w:ascii="Times New Roman félkövér" w:hAnsi="Times New Roman félkövér" w:hint="default"/>
      </w:rPr>
    </w:lvl>
    <w:lvl w:ilvl="1" w:tplc="18090003" w:tentative="1">
      <w:start w:val="1"/>
      <w:numFmt w:val="bullet"/>
      <w:lvlText w:val="o"/>
      <w:lvlJc w:val="left"/>
      <w:pPr>
        <w:ind w:left="1440" w:hanging="360"/>
      </w:pPr>
      <w:rPr>
        <w:rFonts w:ascii="@MS Mincho" w:hAnsi="@MS Mincho" w:cs="@MS Mincho"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MS Mincho" w:hAnsi="@MS Mincho" w:cs="@MS Mincho"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MS Mincho" w:hAnsi="@MS Mincho" w:cs="@MS Mincho" w:hint="default"/>
      </w:rPr>
    </w:lvl>
    <w:lvl w:ilvl="8" w:tplc="18090005" w:tentative="1">
      <w:start w:val="1"/>
      <w:numFmt w:val="bullet"/>
      <w:lvlText w:val=""/>
      <w:lvlJc w:val="left"/>
      <w:pPr>
        <w:ind w:left="6480" w:hanging="360"/>
      </w:pPr>
      <w:rPr>
        <w:rFonts w:ascii="MS Mincho" w:hAnsi="MS Mincho" w:hint="default"/>
      </w:rPr>
    </w:lvl>
  </w:abstractNum>
  <w:abstractNum w:abstractNumId="16" w15:restartNumberingAfterBreak="0">
    <w:nsid w:val="0DFD6381"/>
    <w:multiLevelType w:val="hybridMultilevel"/>
    <w:tmpl w:val="5FA6E936"/>
    <w:lvl w:ilvl="0" w:tplc="B2AC25C2">
      <w:numFmt w:val="bullet"/>
      <w:lvlText w:val=""/>
      <w:lvlJc w:val="left"/>
      <w:pPr>
        <w:ind w:left="1080" w:hanging="360"/>
      </w:pPr>
      <w:rPr>
        <w:rFonts w:ascii="Symbol" w:eastAsiaTheme="minorEastAsia" w:hAnsi="Symbol" w:cs="Times New Roman" w:hint="default"/>
      </w:rPr>
    </w:lvl>
    <w:lvl w:ilvl="1" w:tplc="FFFFFFFF" w:tentative="1">
      <w:start w:val="1"/>
      <w:numFmt w:val="bullet"/>
      <w:lvlText w:val="o"/>
      <w:lvlJc w:val="left"/>
      <w:pPr>
        <w:ind w:left="1800" w:hanging="360"/>
      </w:pPr>
      <w:rPr>
        <w:rFonts w:ascii="@MS Mincho" w:hAnsi="@MS Mincho" w:cs="@MS Mincho" w:hint="default"/>
      </w:rPr>
    </w:lvl>
    <w:lvl w:ilvl="2" w:tplc="FFFFFFFF" w:tentative="1">
      <w:start w:val="1"/>
      <w:numFmt w:val="bullet"/>
      <w:lvlText w:val=""/>
      <w:lvlJc w:val="left"/>
      <w:pPr>
        <w:ind w:left="2520" w:hanging="360"/>
      </w:pPr>
      <w:rPr>
        <w:rFonts w:ascii="MS Mincho" w:hAnsi="MS Mincho" w:hint="default"/>
      </w:rPr>
    </w:lvl>
    <w:lvl w:ilvl="3" w:tplc="FFFFFFFF" w:tentative="1">
      <w:start w:val="1"/>
      <w:numFmt w:val="bullet"/>
      <w:lvlText w:val=""/>
      <w:lvlJc w:val="left"/>
      <w:pPr>
        <w:ind w:left="3240" w:hanging="360"/>
      </w:pPr>
      <w:rPr>
        <w:rFonts w:ascii="Times New Roman félkövér" w:hAnsi="Times New Roman félkövér" w:hint="default"/>
      </w:rPr>
    </w:lvl>
    <w:lvl w:ilvl="4" w:tplc="FFFFFFFF" w:tentative="1">
      <w:start w:val="1"/>
      <w:numFmt w:val="bullet"/>
      <w:lvlText w:val="o"/>
      <w:lvlJc w:val="left"/>
      <w:pPr>
        <w:ind w:left="3960" w:hanging="360"/>
      </w:pPr>
      <w:rPr>
        <w:rFonts w:ascii="@MS Mincho" w:hAnsi="@MS Mincho" w:cs="@MS Mincho" w:hint="default"/>
      </w:rPr>
    </w:lvl>
    <w:lvl w:ilvl="5" w:tplc="FFFFFFFF" w:tentative="1">
      <w:start w:val="1"/>
      <w:numFmt w:val="bullet"/>
      <w:lvlText w:val=""/>
      <w:lvlJc w:val="left"/>
      <w:pPr>
        <w:ind w:left="4680" w:hanging="360"/>
      </w:pPr>
      <w:rPr>
        <w:rFonts w:ascii="MS Mincho" w:hAnsi="MS Mincho" w:hint="default"/>
      </w:rPr>
    </w:lvl>
    <w:lvl w:ilvl="6" w:tplc="FFFFFFFF" w:tentative="1">
      <w:start w:val="1"/>
      <w:numFmt w:val="bullet"/>
      <w:lvlText w:val=""/>
      <w:lvlJc w:val="left"/>
      <w:pPr>
        <w:ind w:left="5400" w:hanging="360"/>
      </w:pPr>
      <w:rPr>
        <w:rFonts w:ascii="Times New Roman félkövér" w:hAnsi="Times New Roman félkövér" w:hint="default"/>
      </w:rPr>
    </w:lvl>
    <w:lvl w:ilvl="7" w:tplc="FFFFFFFF" w:tentative="1">
      <w:start w:val="1"/>
      <w:numFmt w:val="bullet"/>
      <w:lvlText w:val="o"/>
      <w:lvlJc w:val="left"/>
      <w:pPr>
        <w:ind w:left="6120" w:hanging="360"/>
      </w:pPr>
      <w:rPr>
        <w:rFonts w:ascii="@MS Mincho" w:hAnsi="@MS Mincho" w:cs="@MS Mincho" w:hint="default"/>
      </w:rPr>
    </w:lvl>
    <w:lvl w:ilvl="8" w:tplc="FFFFFFFF" w:tentative="1">
      <w:start w:val="1"/>
      <w:numFmt w:val="bullet"/>
      <w:lvlText w:val=""/>
      <w:lvlJc w:val="left"/>
      <w:pPr>
        <w:ind w:left="6840" w:hanging="360"/>
      </w:pPr>
      <w:rPr>
        <w:rFonts w:ascii="MS Mincho" w:hAnsi="MS Mincho" w:hint="default"/>
      </w:rPr>
    </w:lvl>
  </w:abstractNum>
  <w:abstractNum w:abstractNumId="17" w15:restartNumberingAfterBreak="0">
    <w:nsid w:val="0E686556"/>
    <w:multiLevelType w:val="hybridMultilevel"/>
    <w:tmpl w:val="C554E2BA"/>
    <w:lvl w:ilvl="0" w:tplc="FFFFFFFF">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2AC25C2">
      <w:numFmt w:val="bullet"/>
      <w:lvlText w:val=""/>
      <w:lvlJc w:val="left"/>
      <w:pPr>
        <w:ind w:left="3600" w:hanging="720"/>
      </w:pPr>
      <w:rPr>
        <w:rFonts w:ascii="Symbol" w:eastAsiaTheme="minorEastAsia" w:hAnsi="Symbol"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9FECC5"/>
    <w:multiLevelType w:val="hybridMultilevel"/>
    <w:tmpl w:val="FFFFFFFF"/>
    <w:lvl w:ilvl="0" w:tplc="2DBC04E0">
      <w:start w:val="2"/>
      <w:numFmt w:val="decimal"/>
      <w:lvlText w:val="%1."/>
      <w:lvlJc w:val="left"/>
      <w:pPr>
        <w:ind w:left="720" w:hanging="360"/>
      </w:pPr>
      <w:rPr>
        <w:rFonts w:ascii="Arial" w:hAnsi="Arial" w:hint="default"/>
      </w:rPr>
    </w:lvl>
    <w:lvl w:ilvl="1" w:tplc="66E873C6">
      <w:start w:val="1"/>
      <w:numFmt w:val="lowerLetter"/>
      <w:lvlText w:val="%2."/>
      <w:lvlJc w:val="left"/>
      <w:pPr>
        <w:ind w:left="1440" w:hanging="360"/>
      </w:pPr>
    </w:lvl>
    <w:lvl w:ilvl="2" w:tplc="E3A4A870">
      <w:start w:val="1"/>
      <w:numFmt w:val="lowerRoman"/>
      <w:lvlText w:val="%3."/>
      <w:lvlJc w:val="right"/>
      <w:pPr>
        <w:ind w:left="2160" w:hanging="180"/>
      </w:pPr>
    </w:lvl>
    <w:lvl w:ilvl="3" w:tplc="827099A4">
      <w:start w:val="1"/>
      <w:numFmt w:val="decimal"/>
      <w:lvlText w:val="%4."/>
      <w:lvlJc w:val="left"/>
      <w:pPr>
        <w:ind w:left="2880" w:hanging="360"/>
      </w:pPr>
    </w:lvl>
    <w:lvl w:ilvl="4" w:tplc="8D2EC904">
      <w:start w:val="1"/>
      <w:numFmt w:val="lowerLetter"/>
      <w:lvlText w:val="%5."/>
      <w:lvlJc w:val="left"/>
      <w:pPr>
        <w:ind w:left="3600" w:hanging="360"/>
      </w:pPr>
    </w:lvl>
    <w:lvl w:ilvl="5" w:tplc="291C5CEC">
      <w:start w:val="1"/>
      <w:numFmt w:val="lowerRoman"/>
      <w:lvlText w:val="%6."/>
      <w:lvlJc w:val="right"/>
      <w:pPr>
        <w:ind w:left="4320" w:hanging="180"/>
      </w:pPr>
    </w:lvl>
    <w:lvl w:ilvl="6" w:tplc="3E3E39AA">
      <w:start w:val="1"/>
      <w:numFmt w:val="decimal"/>
      <w:lvlText w:val="%7."/>
      <w:lvlJc w:val="left"/>
      <w:pPr>
        <w:ind w:left="5040" w:hanging="360"/>
      </w:pPr>
    </w:lvl>
    <w:lvl w:ilvl="7" w:tplc="AED002D2">
      <w:start w:val="1"/>
      <w:numFmt w:val="lowerLetter"/>
      <w:lvlText w:val="%8."/>
      <w:lvlJc w:val="left"/>
      <w:pPr>
        <w:ind w:left="5760" w:hanging="360"/>
      </w:pPr>
    </w:lvl>
    <w:lvl w:ilvl="8" w:tplc="896C89B0">
      <w:start w:val="1"/>
      <w:numFmt w:val="lowerRoman"/>
      <w:lvlText w:val="%9."/>
      <w:lvlJc w:val="right"/>
      <w:pPr>
        <w:ind w:left="6480" w:hanging="180"/>
      </w:pPr>
    </w:lvl>
  </w:abstractNum>
  <w:abstractNum w:abstractNumId="19" w15:restartNumberingAfterBreak="0">
    <w:nsid w:val="10B46BD6"/>
    <w:multiLevelType w:val="hybridMultilevel"/>
    <w:tmpl w:val="8FF4FAA2"/>
    <w:lvl w:ilvl="0" w:tplc="991C3E1E">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2242160"/>
    <w:multiLevelType w:val="hybridMultilevel"/>
    <w:tmpl w:val="D43A42EE"/>
    <w:lvl w:ilvl="0" w:tplc="37B223E2">
      <w:start w:val="1"/>
      <w:numFmt w:val="bullet"/>
      <w:lvlText w:val=""/>
      <w:lvlJc w:val="left"/>
      <w:pPr>
        <w:ind w:left="1004" w:hanging="360"/>
      </w:pPr>
      <w:rPr>
        <w:rFonts w:ascii="Times New Roman félkövér" w:hAnsi="Times New Roman félkövér"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21" w15:restartNumberingAfterBreak="0">
    <w:nsid w:val="14BC9304"/>
    <w:multiLevelType w:val="hybridMultilevel"/>
    <w:tmpl w:val="FFFFFFFF"/>
    <w:lvl w:ilvl="0" w:tplc="946A4DA8">
      <w:start w:val="9"/>
      <w:numFmt w:val="decimal"/>
      <w:lvlText w:val="%1."/>
      <w:lvlJc w:val="left"/>
      <w:pPr>
        <w:ind w:left="720" w:hanging="360"/>
      </w:pPr>
      <w:rPr>
        <w:rFonts w:ascii="Calibri" w:hAnsi="Calibri" w:hint="default"/>
      </w:rPr>
    </w:lvl>
    <w:lvl w:ilvl="1" w:tplc="BE925662">
      <w:start w:val="1"/>
      <w:numFmt w:val="lowerLetter"/>
      <w:lvlText w:val="%2."/>
      <w:lvlJc w:val="left"/>
      <w:pPr>
        <w:ind w:left="1440" w:hanging="360"/>
      </w:pPr>
    </w:lvl>
    <w:lvl w:ilvl="2" w:tplc="6972B792">
      <w:start w:val="1"/>
      <w:numFmt w:val="lowerRoman"/>
      <w:lvlText w:val="%3."/>
      <w:lvlJc w:val="right"/>
      <w:pPr>
        <w:ind w:left="2160" w:hanging="180"/>
      </w:pPr>
    </w:lvl>
    <w:lvl w:ilvl="3" w:tplc="D96C8D54">
      <w:start w:val="1"/>
      <w:numFmt w:val="decimal"/>
      <w:lvlText w:val="%4."/>
      <w:lvlJc w:val="left"/>
      <w:pPr>
        <w:ind w:left="2880" w:hanging="360"/>
      </w:pPr>
    </w:lvl>
    <w:lvl w:ilvl="4" w:tplc="7038816E">
      <w:start w:val="1"/>
      <w:numFmt w:val="lowerLetter"/>
      <w:lvlText w:val="%5."/>
      <w:lvlJc w:val="left"/>
      <w:pPr>
        <w:ind w:left="3600" w:hanging="360"/>
      </w:pPr>
    </w:lvl>
    <w:lvl w:ilvl="5" w:tplc="FBFA4DAA">
      <w:start w:val="1"/>
      <w:numFmt w:val="lowerRoman"/>
      <w:lvlText w:val="%6."/>
      <w:lvlJc w:val="right"/>
      <w:pPr>
        <w:ind w:left="4320" w:hanging="180"/>
      </w:pPr>
    </w:lvl>
    <w:lvl w:ilvl="6" w:tplc="F1FE5F90">
      <w:start w:val="1"/>
      <w:numFmt w:val="decimal"/>
      <w:lvlText w:val="%7."/>
      <w:lvlJc w:val="left"/>
      <w:pPr>
        <w:ind w:left="5040" w:hanging="360"/>
      </w:pPr>
    </w:lvl>
    <w:lvl w:ilvl="7" w:tplc="93C44108">
      <w:start w:val="1"/>
      <w:numFmt w:val="lowerLetter"/>
      <w:lvlText w:val="%8."/>
      <w:lvlJc w:val="left"/>
      <w:pPr>
        <w:ind w:left="5760" w:hanging="360"/>
      </w:pPr>
    </w:lvl>
    <w:lvl w:ilvl="8" w:tplc="2AC07D90">
      <w:start w:val="1"/>
      <w:numFmt w:val="lowerRoman"/>
      <w:lvlText w:val="%9."/>
      <w:lvlJc w:val="right"/>
      <w:pPr>
        <w:ind w:left="6480" w:hanging="180"/>
      </w:pPr>
    </w:lvl>
  </w:abstractNum>
  <w:abstractNum w:abstractNumId="22" w15:restartNumberingAfterBreak="0">
    <w:nsid w:val="157F6626"/>
    <w:multiLevelType w:val="hybridMultilevel"/>
    <w:tmpl w:val="3502E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613FA9"/>
    <w:multiLevelType w:val="hybridMultilevel"/>
    <w:tmpl w:val="D0B64B60"/>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2F08CF"/>
    <w:multiLevelType w:val="hybridMultilevel"/>
    <w:tmpl w:val="0054108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MS Mincho" w:hAnsi="@MS Mincho" w:cs="@MS Mincho" w:hint="default"/>
      </w:rPr>
    </w:lvl>
    <w:lvl w:ilvl="2" w:tplc="FFFFFFFF" w:tentative="1">
      <w:start w:val="1"/>
      <w:numFmt w:val="bullet"/>
      <w:lvlText w:val=""/>
      <w:lvlJc w:val="left"/>
      <w:pPr>
        <w:ind w:left="2160" w:hanging="360"/>
      </w:pPr>
      <w:rPr>
        <w:rFonts w:ascii="MS Mincho" w:hAnsi="MS Mincho" w:hint="default"/>
      </w:rPr>
    </w:lvl>
    <w:lvl w:ilvl="3" w:tplc="FFFFFFFF" w:tentative="1">
      <w:start w:val="1"/>
      <w:numFmt w:val="bullet"/>
      <w:lvlText w:val=""/>
      <w:lvlJc w:val="left"/>
      <w:pPr>
        <w:ind w:left="2880" w:hanging="360"/>
      </w:pPr>
      <w:rPr>
        <w:rFonts w:ascii="Times New Roman félkövér" w:hAnsi="Times New Roman félkövér" w:hint="default"/>
      </w:rPr>
    </w:lvl>
    <w:lvl w:ilvl="4" w:tplc="FFFFFFFF" w:tentative="1">
      <w:start w:val="1"/>
      <w:numFmt w:val="bullet"/>
      <w:lvlText w:val="o"/>
      <w:lvlJc w:val="left"/>
      <w:pPr>
        <w:ind w:left="3600" w:hanging="360"/>
      </w:pPr>
      <w:rPr>
        <w:rFonts w:ascii="@MS Mincho" w:hAnsi="@MS Mincho" w:cs="@MS Mincho" w:hint="default"/>
      </w:rPr>
    </w:lvl>
    <w:lvl w:ilvl="5" w:tplc="FFFFFFFF" w:tentative="1">
      <w:start w:val="1"/>
      <w:numFmt w:val="bullet"/>
      <w:lvlText w:val=""/>
      <w:lvlJc w:val="left"/>
      <w:pPr>
        <w:ind w:left="4320" w:hanging="360"/>
      </w:pPr>
      <w:rPr>
        <w:rFonts w:ascii="MS Mincho" w:hAnsi="MS Mincho" w:hint="default"/>
      </w:rPr>
    </w:lvl>
    <w:lvl w:ilvl="6" w:tplc="FFFFFFFF" w:tentative="1">
      <w:start w:val="1"/>
      <w:numFmt w:val="bullet"/>
      <w:lvlText w:val=""/>
      <w:lvlJc w:val="left"/>
      <w:pPr>
        <w:ind w:left="5040" w:hanging="360"/>
      </w:pPr>
      <w:rPr>
        <w:rFonts w:ascii="Times New Roman félkövér" w:hAnsi="Times New Roman félkövér" w:hint="default"/>
      </w:rPr>
    </w:lvl>
    <w:lvl w:ilvl="7" w:tplc="FFFFFFFF" w:tentative="1">
      <w:start w:val="1"/>
      <w:numFmt w:val="bullet"/>
      <w:lvlText w:val="o"/>
      <w:lvlJc w:val="left"/>
      <w:pPr>
        <w:ind w:left="5760" w:hanging="360"/>
      </w:pPr>
      <w:rPr>
        <w:rFonts w:ascii="@MS Mincho" w:hAnsi="@MS Mincho" w:cs="@MS Mincho" w:hint="default"/>
      </w:rPr>
    </w:lvl>
    <w:lvl w:ilvl="8" w:tplc="FFFFFFFF" w:tentative="1">
      <w:start w:val="1"/>
      <w:numFmt w:val="bullet"/>
      <w:lvlText w:val=""/>
      <w:lvlJc w:val="left"/>
      <w:pPr>
        <w:ind w:left="6480" w:hanging="360"/>
      </w:pPr>
      <w:rPr>
        <w:rFonts w:ascii="MS Mincho" w:hAnsi="MS Mincho" w:hint="default"/>
      </w:rPr>
    </w:lvl>
  </w:abstractNum>
  <w:abstractNum w:abstractNumId="25" w15:restartNumberingAfterBreak="0">
    <w:nsid w:val="1AB43499"/>
    <w:multiLevelType w:val="hybridMultilevel"/>
    <w:tmpl w:val="229035E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15:restartNumberingAfterBreak="0">
    <w:nsid w:val="1F634050"/>
    <w:multiLevelType w:val="hybridMultilevel"/>
    <w:tmpl w:val="E9E6C966"/>
    <w:lvl w:ilvl="0" w:tplc="8DC418A6">
      <w:start w:val="1"/>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2081216A"/>
    <w:multiLevelType w:val="hybridMultilevel"/>
    <w:tmpl w:val="4B021F8C"/>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2624070"/>
    <w:multiLevelType w:val="hybridMultilevel"/>
    <w:tmpl w:val="8E7008C4"/>
    <w:lvl w:ilvl="0" w:tplc="991C3E1E">
      <w:start w:val="1"/>
      <w:numFmt w:val="bullet"/>
      <w:lvlText w:val="-"/>
      <w:lvlJc w:val="left"/>
      <w:pPr>
        <w:ind w:left="776" w:hanging="360"/>
      </w:pPr>
      <w:rPr>
        <w:rFonts w:ascii="Calibri" w:hAnsi="Calibri"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009700"/>
    <w:multiLevelType w:val="hybridMultilevel"/>
    <w:tmpl w:val="FFFFFFFF"/>
    <w:lvl w:ilvl="0" w:tplc="99B43E64">
      <w:start w:val="1"/>
      <w:numFmt w:val="decimal"/>
      <w:lvlText w:val="%1."/>
      <w:lvlJc w:val="left"/>
      <w:pPr>
        <w:ind w:left="720" w:hanging="360"/>
      </w:pPr>
    </w:lvl>
    <w:lvl w:ilvl="1" w:tplc="CCEE7EBA">
      <w:start w:val="1"/>
      <w:numFmt w:val="lowerLetter"/>
      <w:lvlText w:val="%2."/>
      <w:lvlJc w:val="left"/>
      <w:pPr>
        <w:ind w:left="1440" w:hanging="360"/>
      </w:pPr>
    </w:lvl>
    <w:lvl w:ilvl="2" w:tplc="05B68F20">
      <w:start w:val="1"/>
      <w:numFmt w:val="lowerRoman"/>
      <w:lvlText w:val="%3."/>
      <w:lvlJc w:val="right"/>
      <w:pPr>
        <w:ind w:left="2160" w:hanging="180"/>
      </w:pPr>
    </w:lvl>
    <w:lvl w:ilvl="3" w:tplc="4ED244CE">
      <w:start w:val="1"/>
      <w:numFmt w:val="decimal"/>
      <w:lvlText w:val="%4."/>
      <w:lvlJc w:val="left"/>
      <w:pPr>
        <w:ind w:left="2880" w:hanging="360"/>
      </w:pPr>
    </w:lvl>
    <w:lvl w:ilvl="4" w:tplc="EB8266EA">
      <w:start w:val="1"/>
      <w:numFmt w:val="lowerLetter"/>
      <w:lvlText w:val="%5."/>
      <w:lvlJc w:val="left"/>
      <w:pPr>
        <w:ind w:left="3600" w:hanging="360"/>
      </w:pPr>
    </w:lvl>
    <w:lvl w:ilvl="5" w:tplc="BF6ABFE8">
      <w:start w:val="1"/>
      <w:numFmt w:val="lowerRoman"/>
      <w:lvlText w:val="%6."/>
      <w:lvlJc w:val="right"/>
      <w:pPr>
        <w:ind w:left="4320" w:hanging="180"/>
      </w:pPr>
    </w:lvl>
    <w:lvl w:ilvl="6" w:tplc="CD3E4BBE">
      <w:start w:val="1"/>
      <w:numFmt w:val="decimal"/>
      <w:lvlText w:val="%7."/>
      <w:lvlJc w:val="left"/>
      <w:pPr>
        <w:ind w:left="5040" w:hanging="360"/>
      </w:pPr>
    </w:lvl>
    <w:lvl w:ilvl="7" w:tplc="24F2CCC0">
      <w:start w:val="1"/>
      <w:numFmt w:val="lowerLetter"/>
      <w:lvlText w:val="%8."/>
      <w:lvlJc w:val="left"/>
      <w:pPr>
        <w:ind w:left="5760" w:hanging="360"/>
      </w:pPr>
    </w:lvl>
    <w:lvl w:ilvl="8" w:tplc="82AC6408">
      <w:start w:val="1"/>
      <w:numFmt w:val="lowerRoman"/>
      <w:lvlText w:val="%9."/>
      <w:lvlJc w:val="right"/>
      <w:pPr>
        <w:ind w:left="6480" w:hanging="180"/>
      </w:pPr>
    </w:lvl>
  </w:abstractNum>
  <w:abstractNum w:abstractNumId="32" w15:restartNumberingAfterBreak="0">
    <w:nsid w:val="252E0C0D"/>
    <w:multiLevelType w:val="hybridMultilevel"/>
    <w:tmpl w:val="E09411D6"/>
    <w:lvl w:ilvl="0" w:tplc="991C3E1E">
      <w:start w:val="1"/>
      <w:numFmt w:val="bullet"/>
      <w:lvlText w:val="-"/>
      <w:lvlJc w:val="left"/>
      <w:pPr>
        <w:ind w:left="1080" w:hanging="720"/>
      </w:pPr>
      <w:rPr>
        <w:rFonts w:ascii="Calibri" w:hAnsi="Calibri"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253BC87E"/>
    <w:multiLevelType w:val="hybridMultilevel"/>
    <w:tmpl w:val="FFFFFFFF"/>
    <w:lvl w:ilvl="0" w:tplc="DFC40566">
      <w:start w:val="1"/>
      <w:numFmt w:val="bullet"/>
      <w:lvlText w:val="-"/>
      <w:lvlJc w:val="left"/>
      <w:pPr>
        <w:ind w:left="720" w:hanging="360"/>
      </w:pPr>
      <w:rPr>
        <w:rFonts w:ascii="Calibri" w:hAnsi="Calibri" w:hint="default"/>
      </w:rPr>
    </w:lvl>
    <w:lvl w:ilvl="1" w:tplc="605AC882">
      <w:start w:val="1"/>
      <w:numFmt w:val="bullet"/>
      <w:lvlText w:val="o"/>
      <w:lvlJc w:val="left"/>
      <w:pPr>
        <w:ind w:left="1440" w:hanging="360"/>
      </w:pPr>
      <w:rPr>
        <w:rFonts w:ascii="Courier New" w:hAnsi="Courier New" w:hint="default"/>
      </w:rPr>
    </w:lvl>
    <w:lvl w:ilvl="2" w:tplc="B2CCB334">
      <w:start w:val="1"/>
      <w:numFmt w:val="bullet"/>
      <w:lvlText w:val=""/>
      <w:lvlJc w:val="left"/>
      <w:pPr>
        <w:ind w:left="2160" w:hanging="360"/>
      </w:pPr>
      <w:rPr>
        <w:rFonts w:ascii="Wingdings" w:hAnsi="Wingdings" w:hint="default"/>
      </w:rPr>
    </w:lvl>
    <w:lvl w:ilvl="3" w:tplc="62502F0C">
      <w:start w:val="1"/>
      <w:numFmt w:val="bullet"/>
      <w:lvlText w:val=""/>
      <w:lvlJc w:val="left"/>
      <w:pPr>
        <w:ind w:left="2880" w:hanging="360"/>
      </w:pPr>
      <w:rPr>
        <w:rFonts w:ascii="Symbol" w:hAnsi="Symbol" w:hint="default"/>
      </w:rPr>
    </w:lvl>
    <w:lvl w:ilvl="4" w:tplc="6652CB26">
      <w:start w:val="1"/>
      <w:numFmt w:val="bullet"/>
      <w:lvlText w:val="o"/>
      <w:lvlJc w:val="left"/>
      <w:pPr>
        <w:ind w:left="3600" w:hanging="360"/>
      </w:pPr>
      <w:rPr>
        <w:rFonts w:ascii="Courier New" w:hAnsi="Courier New" w:hint="default"/>
      </w:rPr>
    </w:lvl>
    <w:lvl w:ilvl="5" w:tplc="E4E83CC2">
      <w:start w:val="1"/>
      <w:numFmt w:val="bullet"/>
      <w:lvlText w:val=""/>
      <w:lvlJc w:val="left"/>
      <w:pPr>
        <w:ind w:left="4320" w:hanging="360"/>
      </w:pPr>
      <w:rPr>
        <w:rFonts w:ascii="Wingdings" w:hAnsi="Wingdings" w:hint="default"/>
      </w:rPr>
    </w:lvl>
    <w:lvl w:ilvl="6" w:tplc="61C2AD16">
      <w:start w:val="1"/>
      <w:numFmt w:val="bullet"/>
      <w:lvlText w:val=""/>
      <w:lvlJc w:val="left"/>
      <w:pPr>
        <w:ind w:left="5040" w:hanging="360"/>
      </w:pPr>
      <w:rPr>
        <w:rFonts w:ascii="Symbol" w:hAnsi="Symbol" w:hint="default"/>
      </w:rPr>
    </w:lvl>
    <w:lvl w:ilvl="7" w:tplc="D716F0BA">
      <w:start w:val="1"/>
      <w:numFmt w:val="bullet"/>
      <w:lvlText w:val="o"/>
      <w:lvlJc w:val="left"/>
      <w:pPr>
        <w:ind w:left="5760" w:hanging="360"/>
      </w:pPr>
      <w:rPr>
        <w:rFonts w:ascii="Courier New" w:hAnsi="Courier New" w:hint="default"/>
      </w:rPr>
    </w:lvl>
    <w:lvl w:ilvl="8" w:tplc="A27AAE5C">
      <w:start w:val="1"/>
      <w:numFmt w:val="bullet"/>
      <w:lvlText w:val=""/>
      <w:lvlJc w:val="left"/>
      <w:pPr>
        <w:ind w:left="6480" w:hanging="360"/>
      </w:pPr>
      <w:rPr>
        <w:rFonts w:ascii="Wingdings" w:hAnsi="Wingdings" w:hint="default"/>
      </w:rPr>
    </w:lvl>
  </w:abstractNum>
  <w:abstractNum w:abstractNumId="34" w15:restartNumberingAfterBreak="0">
    <w:nsid w:val="25F7EFAC"/>
    <w:multiLevelType w:val="hybridMultilevel"/>
    <w:tmpl w:val="FFFFFFFF"/>
    <w:lvl w:ilvl="0" w:tplc="B4944A2A">
      <w:start w:val="1"/>
      <w:numFmt w:val="bullet"/>
      <w:lvlText w:val=""/>
      <w:lvlJc w:val="left"/>
      <w:pPr>
        <w:ind w:left="720" w:hanging="360"/>
      </w:pPr>
      <w:rPr>
        <w:rFonts w:ascii="Symbol" w:hAnsi="Symbol" w:hint="default"/>
      </w:rPr>
    </w:lvl>
    <w:lvl w:ilvl="1" w:tplc="B386AABC">
      <w:start w:val="1"/>
      <w:numFmt w:val="bullet"/>
      <w:lvlText w:val="o"/>
      <w:lvlJc w:val="left"/>
      <w:pPr>
        <w:ind w:left="1440" w:hanging="360"/>
      </w:pPr>
      <w:rPr>
        <w:rFonts w:ascii="Courier New" w:hAnsi="Courier New" w:hint="default"/>
      </w:rPr>
    </w:lvl>
    <w:lvl w:ilvl="2" w:tplc="88083F64">
      <w:start w:val="1"/>
      <w:numFmt w:val="bullet"/>
      <w:lvlText w:val=""/>
      <w:lvlJc w:val="left"/>
      <w:pPr>
        <w:ind w:left="2160" w:hanging="360"/>
      </w:pPr>
      <w:rPr>
        <w:rFonts w:ascii="Wingdings" w:hAnsi="Wingdings" w:hint="default"/>
      </w:rPr>
    </w:lvl>
    <w:lvl w:ilvl="3" w:tplc="3314D7D4">
      <w:start w:val="1"/>
      <w:numFmt w:val="bullet"/>
      <w:lvlText w:val=""/>
      <w:lvlJc w:val="left"/>
      <w:pPr>
        <w:ind w:left="2880" w:hanging="360"/>
      </w:pPr>
      <w:rPr>
        <w:rFonts w:ascii="Symbol" w:hAnsi="Symbol" w:hint="default"/>
      </w:rPr>
    </w:lvl>
    <w:lvl w:ilvl="4" w:tplc="86B8C04C">
      <w:start w:val="1"/>
      <w:numFmt w:val="bullet"/>
      <w:lvlText w:val="o"/>
      <w:lvlJc w:val="left"/>
      <w:pPr>
        <w:ind w:left="3600" w:hanging="360"/>
      </w:pPr>
      <w:rPr>
        <w:rFonts w:ascii="Courier New" w:hAnsi="Courier New" w:hint="default"/>
      </w:rPr>
    </w:lvl>
    <w:lvl w:ilvl="5" w:tplc="D1F069F0">
      <w:start w:val="1"/>
      <w:numFmt w:val="bullet"/>
      <w:lvlText w:val=""/>
      <w:lvlJc w:val="left"/>
      <w:pPr>
        <w:ind w:left="4320" w:hanging="360"/>
      </w:pPr>
      <w:rPr>
        <w:rFonts w:ascii="Wingdings" w:hAnsi="Wingdings" w:hint="default"/>
      </w:rPr>
    </w:lvl>
    <w:lvl w:ilvl="6" w:tplc="80A26088">
      <w:start w:val="1"/>
      <w:numFmt w:val="bullet"/>
      <w:lvlText w:val=""/>
      <w:lvlJc w:val="left"/>
      <w:pPr>
        <w:ind w:left="5040" w:hanging="360"/>
      </w:pPr>
      <w:rPr>
        <w:rFonts w:ascii="Symbol" w:hAnsi="Symbol" w:hint="default"/>
      </w:rPr>
    </w:lvl>
    <w:lvl w:ilvl="7" w:tplc="A8E01994">
      <w:start w:val="1"/>
      <w:numFmt w:val="bullet"/>
      <w:lvlText w:val="o"/>
      <w:lvlJc w:val="left"/>
      <w:pPr>
        <w:ind w:left="5760" w:hanging="360"/>
      </w:pPr>
      <w:rPr>
        <w:rFonts w:ascii="Courier New" w:hAnsi="Courier New" w:hint="default"/>
      </w:rPr>
    </w:lvl>
    <w:lvl w:ilvl="8" w:tplc="C6124E5A">
      <w:start w:val="1"/>
      <w:numFmt w:val="bullet"/>
      <w:lvlText w:val=""/>
      <w:lvlJc w:val="left"/>
      <w:pPr>
        <w:ind w:left="6480" w:hanging="360"/>
      </w:pPr>
      <w:rPr>
        <w:rFonts w:ascii="Wingdings" w:hAnsi="Wingdings" w:hint="default"/>
      </w:rPr>
    </w:lvl>
  </w:abstractNum>
  <w:abstractNum w:abstractNumId="35" w15:restartNumberingAfterBreak="0">
    <w:nsid w:val="27174F45"/>
    <w:multiLevelType w:val="hybridMultilevel"/>
    <w:tmpl w:val="B30C8676"/>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8B227E"/>
    <w:multiLevelType w:val="hybridMultilevel"/>
    <w:tmpl w:val="ED3E031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AE5023"/>
    <w:multiLevelType w:val="hybridMultilevel"/>
    <w:tmpl w:val="44E8D442"/>
    <w:lvl w:ilvl="0" w:tplc="3F16C13A">
      <w:start w:val="1"/>
      <w:numFmt w:val="decimal"/>
      <w:lvlText w:val="%1."/>
      <w:lvlJc w:val="left"/>
      <w:pPr>
        <w:ind w:left="720" w:hanging="360"/>
      </w:pPr>
      <w:rPr>
        <w:rFonts w:ascii="Segoe UI Emoji" w:eastAsiaTheme="minorHAnsi" w:hAnsi="Segoe UI Emoji" w:cs="Segoe UI Emoj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0" w15:restartNumberingAfterBreak="0">
    <w:nsid w:val="2D27ABB0"/>
    <w:multiLevelType w:val="hybridMultilevel"/>
    <w:tmpl w:val="1348036C"/>
    <w:lvl w:ilvl="0" w:tplc="18090001">
      <w:start w:val="1"/>
      <w:numFmt w:val="bullet"/>
      <w:lvlText w:val=""/>
      <w:lvlJc w:val="left"/>
      <w:pPr>
        <w:ind w:left="720" w:hanging="360"/>
      </w:pPr>
      <w:rPr>
        <w:rFonts w:ascii="Segoe UI Emoji" w:hAnsi="Segoe UI Emoji" w:hint="default"/>
      </w:rPr>
    </w:lvl>
    <w:lvl w:ilvl="1" w:tplc="1CC29F7A">
      <w:start w:val="1"/>
      <w:numFmt w:val="bullet"/>
      <w:lvlText w:val="o"/>
      <w:lvlJc w:val="left"/>
      <w:pPr>
        <w:ind w:left="1440" w:hanging="360"/>
      </w:pPr>
      <w:rPr>
        <w:rFonts w:ascii="Segoe UI Emoji" w:hAnsi="Segoe UI Emoji" w:hint="default"/>
      </w:rPr>
    </w:lvl>
    <w:lvl w:ilvl="2" w:tplc="AF805360">
      <w:start w:val="1"/>
      <w:numFmt w:val="bullet"/>
      <w:lvlText w:val=""/>
      <w:lvlJc w:val="left"/>
      <w:pPr>
        <w:ind w:left="2160" w:hanging="360"/>
      </w:pPr>
      <w:rPr>
        <w:rFonts w:ascii="@MS Mincho" w:hAnsi="@MS Mincho" w:hint="default"/>
      </w:rPr>
    </w:lvl>
    <w:lvl w:ilvl="3" w:tplc="DE9C8254">
      <w:start w:val="1"/>
      <w:numFmt w:val="bullet"/>
      <w:lvlText w:val=""/>
      <w:lvlJc w:val="left"/>
      <w:pPr>
        <w:ind w:left="2880" w:hanging="360"/>
      </w:pPr>
      <w:rPr>
        <w:rFonts w:ascii="Times New Roman félkövér" w:hAnsi="Times New Roman félkövér" w:hint="default"/>
      </w:rPr>
    </w:lvl>
    <w:lvl w:ilvl="4" w:tplc="6A00F8A0">
      <w:start w:val="1"/>
      <w:numFmt w:val="bullet"/>
      <w:lvlText w:val="o"/>
      <w:lvlJc w:val="left"/>
      <w:pPr>
        <w:ind w:left="3600" w:hanging="360"/>
      </w:pPr>
      <w:rPr>
        <w:rFonts w:ascii="Segoe UI Emoji" w:hAnsi="Segoe UI Emoji" w:hint="default"/>
      </w:rPr>
    </w:lvl>
    <w:lvl w:ilvl="5" w:tplc="AA06549C">
      <w:start w:val="1"/>
      <w:numFmt w:val="bullet"/>
      <w:lvlText w:val=""/>
      <w:lvlJc w:val="left"/>
      <w:pPr>
        <w:ind w:left="4320" w:hanging="360"/>
      </w:pPr>
      <w:rPr>
        <w:rFonts w:ascii="@MS Mincho" w:hAnsi="@MS Mincho" w:hint="default"/>
      </w:rPr>
    </w:lvl>
    <w:lvl w:ilvl="6" w:tplc="763448EE">
      <w:start w:val="1"/>
      <w:numFmt w:val="bullet"/>
      <w:lvlText w:val=""/>
      <w:lvlJc w:val="left"/>
      <w:pPr>
        <w:ind w:left="5040" w:hanging="360"/>
      </w:pPr>
      <w:rPr>
        <w:rFonts w:ascii="Times New Roman félkövér" w:hAnsi="Times New Roman félkövér" w:hint="default"/>
      </w:rPr>
    </w:lvl>
    <w:lvl w:ilvl="7" w:tplc="6ADE6886">
      <w:start w:val="1"/>
      <w:numFmt w:val="bullet"/>
      <w:lvlText w:val="o"/>
      <w:lvlJc w:val="left"/>
      <w:pPr>
        <w:ind w:left="5760" w:hanging="360"/>
      </w:pPr>
      <w:rPr>
        <w:rFonts w:ascii="Segoe UI Emoji" w:hAnsi="Segoe UI Emoji" w:hint="default"/>
      </w:rPr>
    </w:lvl>
    <w:lvl w:ilvl="8" w:tplc="68446ED0">
      <w:start w:val="1"/>
      <w:numFmt w:val="bullet"/>
      <w:lvlText w:val=""/>
      <w:lvlJc w:val="left"/>
      <w:pPr>
        <w:ind w:left="6480" w:hanging="360"/>
      </w:pPr>
      <w:rPr>
        <w:rFonts w:ascii="@MS Mincho" w:hAnsi="@MS Mincho" w:hint="default"/>
      </w:rPr>
    </w:lvl>
  </w:abstractNum>
  <w:abstractNum w:abstractNumId="41" w15:restartNumberingAfterBreak="0">
    <w:nsid w:val="2D560457"/>
    <w:multiLevelType w:val="hybridMultilevel"/>
    <w:tmpl w:val="41DE5612"/>
    <w:lvl w:ilvl="0" w:tplc="F9B0982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AB5CF0"/>
    <w:multiLevelType w:val="hybridMultilevel"/>
    <w:tmpl w:val="4C7238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0253F47"/>
    <w:multiLevelType w:val="hybridMultilevel"/>
    <w:tmpl w:val="CF8809A4"/>
    <w:lvl w:ilvl="0" w:tplc="5948B726">
      <w:start w:val="1"/>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320A6796"/>
    <w:multiLevelType w:val="hybridMultilevel"/>
    <w:tmpl w:val="7C288002"/>
    <w:lvl w:ilvl="0" w:tplc="991C3E1E">
      <w:start w:val="1"/>
      <w:numFmt w:val="bullet"/>
      <w:lvlText w:val="-"/>
      <w:lvlJc w:val="left"/>
      <w:pPr>
        <w:ind w:left="1080" w:hanging="72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32E83EEB"/>
    <w:multiLevelType w:val="hybridMultilevel"/>
    <w:tmpl w:val="DBDC485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374D93"/>
    <w:multiLevelType w:val="hybridMultilevel"/>
    <w:tmpl w:val="1ADE3B4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47" w15:restartNumberingAfterBreak="0">
    <w:nsid w:val="39A060BB"/>
    <w:multiLevelType w:val="hybridMultilevel"/>
    <w:tmpl w:val="6F16191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423A5"/>
    <w:multiLevelType w:val="hybridMultilevel"/>
    <w:tmpl w:val="604E2C64"/>
    <w:lvl w:ilvl="0" w:tplc="991C3E1E">
      <w:start w:val="1"/>
      <w:numFmt w:val="bullet"/>
      <w:lvlText w:val="-"/>
      <w:lvlJc w:val="left"/>
      <w:pPr>
        <w:ind w:left="1080" w:hanging="72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3C1FBB88"/>
    <w:multiLevelType w:val="hybridMultilevel"/>
    <w:tmpl w:val="FFFFFFFF"/>
    <w:lvl w:ilvl="0" w:tplc="D6EEFA86">
      <w:start w:val="1"/>
      <w:numFmt w:val="bullet"/>
      <w:lvlText w:val=""/>
      <w:lvlJc w:val="left"/>
      <w:pPr>
        <w:ind w:left="720" w:hanging="360"/>
      </w:pPr>
      <w:rPr>
        <w:rFonts w:ascii="Symbol" w:hAnsi="Symbol" w:hint="default"/>
      </w:rPr>
    </w:lvl>
    <w:lvl w:ilvl="1" w:tplc="9A541C76">
      <w:start w:val="1"/>
      <w:numFmt w:val="bullet"/>
      <w:lvlText w:val="o"/>
      <w:lvlJc w:val="left"/>
      <w:pPr>
        <w:ind w:left="1440" w:hanging="360"/>
      </w:pPr>
      <w:rPr>
        <w:rFonts w:ascii="Courier New" w:hAnsi="Courier New" w:hint="default"/>
      </w:rPr>
    </w:lvl>
    <w:lvl w:ilvl="2" w:tplc="4B103328">
      <w:start w:val="1"/>
      <w:numFmt w:val="bullet"/>
      <w:lvlText w:val=""/>
      <w:lvlJc w:val="left"/>
      <w:pPr>
        <w:ind w:left="2160" w:hanging="360"/>
      </w:pPr>
      <w:rPr>
        <w:rFonts w:ascii="Wingdings" w:hAnsi="Wingdings" w:hint="default"/>
      </w:rPr>
    </w:lvl>
    <w:lvl w:ilvl="3" w:tplc="CEEE1B2E">
      <w:start w:val="1"/>
      <w:numFmt w:val="bullet"/>
      <w:lvlText w:val=""/>
      <w:lvlJc w:val="left"/>
      <w:pPr>
        <w:ind w:left="2880" w:hanging="360"/>
      </w:pPr>
      <w:rPr>
        <w:rFonts w:ascii="Symbol" w:hAnsi="Symbol" w:hint="default"/>
      </w:rPr>
    </w:lvl>
    <w:lvl w:ilvl="4" w:tplc="37C0319C">
      <w:start w:val="1"/>
      <w:numFmt w:val="bullet"/>
      <w:lvlText w:val="o"/>
      <w:lvlJc w:val="left"/>
      <w:pPr>
        <w:ind w:left="3600" w:hanging="360"/>
      </w:pPr>
      <w:rPr>
        <w:rFonts w:ascii="Courier New" w:hAnsi="Courier New" w:hint="default"/>
      </w:rPr>
    </w:lvl>
    <w:lvl w:ilvl="5" w:tplc="81704DB0">
      <w:start w:val="1"/>
      <w:numFmt w:val="bullet"/>
      <w:lvlText w:val=""/>
      <w:lvlJc w:val="left"/>
      <w:pPr>
        <w:ind w:left="4320" w:hanging="360"/>
      </w:pPr>
      <w:rPr>
        <w:rFonts w:ascii="Wingdings" w:hAnsi="Wingdings" w:hint="default"/>
      </w:rPr>
    </w:lvl>
    <w:lvl w:ilvl="6" w:tplc="CE0C449A">
      <w:start w:val="1"/>
      <w:numFmt w:val="bullet"/>
      <w:lvlText w:val=""/>
      <w:lvlJc w:val="left"/>
      <w:pPr>
        <w:ind w:left="5040" w:hanging="360"/>
      </w:pPr>
      <w:rPr>
        <w:rFonts w:ascii="Symbol" w:hAnsi="Symbol" w:hint="default"/>
      </w:rPr>
    </w:lvl>
    <w:lvl w:ilvl="7" w:tplc="567E876E">
      <w:start w:val="1"/>
      <w:numFmt w:val="bullet"/>
      <w:lvlText w:val="o"/>
      <w:lvlJc w:val="left"/>
      <w:pPr>
        <w:ind w:left="5760" w:hanging="360"/>
      </w:pPr>
      <w:rPr>
        <w:rFonts w:ascii="Courier New" w:hAnsi="Courier New" w:hint="default"/>
      </w:rPr>
    </w:lvl>
    <w:lvl w:ilvl="8" w:tplc="26F00DEC">
      <w:start w:val="1"/>
      <w:numFmt w:val="bullet"/>
      <w:lvlText w:val=""/>
      <w:lvlJc w:val="left"/>
      <w:pPr>
        <w:ind w:left="6480" w:hanging="360"/>
      </w:pPr>
      <w:rPr>
        <w:rFonts w:ascii="Wingdings" w:hAnsi="Wingdings" w:hint="default"/>
      </w:rPr>
    </w:lvl>
  </w:abstractNum>
  <w:abstractNum w:abstractNumId="50" w15:restartNumberingAfterBreak="0">
    <w:nsid w:val="3CFD68E5"/>
    <w:multiLevelType w:val="hybridMultilevel"/>
    <w:tmpl w:val="B650A786"/>
    <w:lvl w:ilvl="0" w:tplc="1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Yu Mincho Light" w:hAnsi="Yu Mincho Light" w:cs="Yu Mincho Light" w:hint="default"/>
      </w:rPr>
    </w:lvl>
    <w:lvl w:ilvl="2" w:tplc="FFFFFFFF" w:tentative="1">
      <w:start w:val="1"/>
      <w:numFmt w:val="bullet"/>
      <w:lvlText w:val=""/>
      <w:lvlJc w:val="left"/>
      <w:pPr>
        <w:ind w:left="2444" w:hanging="360"/>
      </w:pPr>
      <w:rPr>
        <w:rFonts w:ascii="MS Mincho" w:hAnsi="MS Mincho" w:hint="default"/>
      </w:rPr>
    </w:lvl>
    <w:lvl w:ilvl="3" w:tplc="FFFFFFFF" w:tentative="1">
      <w:start w:val="1"/>
      <w:numFmt w:val="bullet"/>
      <w:lvlText w:val=""/>
      <w:lvlJc w:val="left"/>
      <w:pPr>
        <w:ind w:left="3164" w:hanging="360"/>
      </w:pPr>
      <w:rPr>
        <w:rFonts w:ascii="MS Mincho" w:hAnsi="MS Mincho" w:hint="default"/>
      </w:rPr>
    </w:lvl>
    <w:lvl w:ilvl="4" w:tplc="FFFFFFFF" w:tentative="1">
      <w:start w:val="1"/>
      <w:numFmt w:val="bullet"/>
      <w:lvlText w:val="o"/>
      <w:lvlJc w:val="left"/>
      <w:pPr>
        <w:ind w:left="3884" w:hanging="360"/>
      </w:pPr>
      <w:rPr>
        <w:rFonts w:ascii="Yu Mincho Light" w:hAnsi="Yu Mincho Light" w:cs="Yu Mincho Light" w:hint="default"/>
      </w:rPr>
    </w:lvl>
    <w:lvl w:ilvl="5" w:tplc="FFFFFFFF" w:tentative="1">
      <w:start w:val="1"/>
      <w:numFmt w:val="bullet"/>
      <w:lvlText w:val=""/>
      <w:lvlJc w:val="left"/>
      <w:pPr>
        <w:ind w:left="4604" w:hanging="360"/>
      </w:pPr>
      <w:rPr>
        <w:rFonts w:ascii="MS Mincho" w:hAnsi="MS Mincho" w:hint="default"/>
      </w:rPr>
    </w:lvl>
    <w:lvl w:ilvl="6" w:tplc="FFFFFFFF" w:tentative="1">
      <w:start w:val="1"/>
      <w:numFmt w:val="bullet"/>
      <w:lvlText w:val=""/>
      <w:lvlJc w:val="left"/>
      <w:pPr>
        <w:ind w:left="5324" w:hanging="360"/>
      </w:pPr>
      <w:rPr>
        <w:rFonts w:ascii="MS Mincho" w:hAnsi="MS Mincho" w:hint="default"/>
      </w:rPr>
    </w:lvl>
    <w:lvl w:ilvl="7" w:tplc="FFFFFFFF" w:tentative="1">
      <w:start w:val="1"/>
      <w:numFmt w:val="bullet"/>
      <w:lvlText w:val="o"/>
      <w:lvlJc w:val="left"/>
      <w:pPr>
        <w:ind w:left="6044" w:hanging="360"/>
      </w:pPr>
      <w:rPr>
        <w:rFonts w:ascii="Yu Mincho Light" w:hAnsi="Yu Mincho Light" w:cs="Yu Mincho Light" w:hint="default"/>
      </w:rPr>
    </w:lvl>
    <w:lvl w:ilvl="8" w:tplc="FFFFFFFF" w:tentative="1">
      <w:start w:val="1"/>
      <w:numFmt w:val="bullet"/>
      <w:lvlText w:val=""/>
      <w:lvlJc w:val="left"/>
      <w:pPr>
        <w:ind w:left="6764" w:hanging="360"/>
      </w:pPr>
      <w:rPr>
        <w:rFonts w:ascii="MS Mincho" w:hAnsi="MS Mincho" w:hint="default"/>
      </w:rPr>
    </w:lvl>
  </w:abstractNum>
  <w:abstractNum w:abstractNumId="51" w15:restartNumberingAfterBreak="0">
    <w:nsid w:val="3F7249B6"/>
    <w:multiLevelType w:val="hybridMultilevel"/>
    <w:tmpl w:val="92646CC2"/>
    <w:lvl w:ilvl="0" w:tplc="7B9A618C">
      <w:start w:val="1"/>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400A7B18"/>
    <w:multiLevelType w:val="multilevel"/>
    <w:tmpl w:val="2F7AC3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1021A52"/>
    <w:multiLevelType w:val="hybridMultilevel"/>
    <w:tmpl w:val="D736BEA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E4070A"/>
    <w:multiLevelType w:val="hybridMultilevel"/>
    <w:tmpl w:val="59AC8B4E"/>
    <w:lvl w:ilvl="0" w:tplc="1430B2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38298B"/>
    <w:multiLevelType w:val="hybridMultilevel"/>
    <w:tmpl w:val="A2B23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8" w15:restartNumberingAfterBreak="0">
    <w:nsid w:val="432C32C9"/>
    <w:multiLevelType w:val="multilevel"/>
    <w:tmpl w:val="6136D4B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3A30E35"/>
    <w:multiLevelType w:val="hybridMultilevel"/>
    <w:tmpl w:val="541044B2"/>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3A72B3A"/>
    <w:multiLevelType w:val="hybridMultilevel"/>
    <w:tmpl w:val="AFCC963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3B1786A"/>
    <w:multiLevelType w:val="hybridMultilevel"/>
    <w:tmpl w:val="0AA84568"/>
    <w:lvl w:ilvl="0" w:tplc="18090001">
      <w:start w:val="1"/>
      <w:numFmt w:val="bullet"/>
      <w:lvlText w:val=""/>
      <w:lvlJc w:val="left"/>
      <w:pPr>
        <w:ind w:left="720" w:hanging="360"/>
      </w:pPr>
      <w:rPr>
        <w:rFonts w:ascii="Symbol" w:hAnsi="Symbol" w:hint="default"/>
        <w:sz w:val="20"/>
        <w:szCs w:val="20"/>
      </w:rPr>
    </w:lvl>
    <w:lvl w:ilvl="1" w:tplc="260E68B2">
      <w:start w:val="1"/>
      <w:numFmt w:val="bullet"/>
      <w:lvlText w:val="o"/>
      <w:lvlJc w:val="left"/>
      <w:pPr>
        <w:ind w:left="1440" w:hanging="360"/>
      </w:pPr>
      <w:rPr>
        <w:rFonts w:ascii="Segoe UI Emoji" w:hAnsi="Segoe UI Emoji" w:hint="default"/>
      </w:rPr>
    </w:lvl>
    <w:lvl w:ilvl="2" w:tplc="E0024634">
      <w:start w:val="1"/>
      <w:numFmt w:val="bullet"/>
      <w:lvlText w:val=""/>
      <w:lvlJc w:val="left"/>
      <w:pPr>
        <w:ind w:left="2160" w:hanging="360"/>
      </w:pPr>
      <w:rPr>
        <w:rFonts w:ascii="@MS Mincho" w:hAnsi="@MS Mincho" w:hint="default"/>
      </w:rPr>
    </w:lvl>
    <w:lvl w:ilvl="3" w:tplc="92FC7814">
      <w:start w:val="1"/>
      <w:numFmt w:val="bullet"/>
      <w:lvlText w:val=""/>
      <w:lvlJc w:val="left"/>
      <w:pPr>
        <w:ind w:left="2880" w:hanging="360"/>
      </w:pPr>
      <w:rPr>
        <w:rFonts w:ascii="Times New Roman félkövér" w:hAnsi="Times New Roman félkövér" w:hint="default"/>
      </w:rPr>
    </w:lvl>
    <w:lvl w:ilvl="4" w:tplc="0D4A42B8">
      <w:start w:val="1"/>
      <w:numFmt w:val="bullet"/>
      <w:lvlText w:val="o"/>
      <w:lvlJc w:val="left"/>
      <w:pPr>
        <w:ind w:left="3600" w:hanging="360"/>
      </w:pPr>
      <w:rPr>
        <w:rFonts w:ascii="Segoe UI Emoji" w:hAnsi="Segoe UI Emoji" w:hint="default"/>
      </w:rPr>
    </w:lvl>
    <w:lvl w:ilvl="5" w:tplc="E1DAE3B8">
      <w:start w:val="1"/>
      <w:numFmt w:val="bullet"/>
      <w:lvlText w:val=""/>
      <w:lvlJc w:val="left"/>
      <w:pPr>
        <w:ind w:left="4320" w:hanging="360"/>
      </w:pPr>
      <w:rPr>
        <w:rFonts w:ascii="@MS Mincho" w:hAnsi="@MS Mincho" w:hint="default"/>
      </w:rPr>
    </w:lvl>
    <w:lvl w:ilvl="6" w:tplc="8DB4CBD2">
      <w:start w:val="1"/>
      <w:numFmt w:val="bullet"/>
      <w:lvlText w:val=""/>
      <w:lvlJc w:val="left"/>
      <w:pPr>
        <w:ind w:left="5040" w:hanging="360"/>
      </w:pPr>
      <w:rPr>
        <w:rFonts w:ascii="Times New Roman félkövér" w:hAnsi="Times New Roman félkövér" w:hint="default"/>
      </w:rPr>
    </w:lvl>
    <w:lvl w:ilvl="7" w:tplc="BDBA31D6">
      <w:start w:val="1"/>
      <w:numFmt w:val="bullet"/>
      <w:lvlText w:val="o"/>
      <w:lvlJc w:val="left"/>
      <w:pPr>
        <w:ind w:left="5760" w:hanging="360"/>
      </w:pPr>
      <w:rPr>
        <w:rFonts w:ascii="Segoe UI Emoji" w:hAnsi="Segoe UI Emoji" w:hint="default"/>
      </w:rPr>
    </w:lvl>
    <w:lvl w:ilvl="8" w:tplc="270C7E80">
      <w:start w:val="1"/>
      <w:numFmt w:val="bullet"/>
      <w:lvlText w:val=""/>
      <w:lvlJc w:val="left"/>
      <w:pPr>
        <w:ind w:left="6480" w:hanging="360"/>
      </w:pPr>
      <w:rPr>
        <w:rFonts w:ascii="@MS Mincho" w:hAnsi="@MS Mincho" w:hint="default"/>
      </w:rPr>
    </w:lvl>
  </w:abstractNum>
  <w:abstractNum w:abstractNumId="62" w15:restartNumberingAfterBreak="0">
    <w:nsid w:val="44136177"/>
    <w:multiLevelType w:val="hybridMultilevel"/>
    <w:tmpl w:val="D31ECAFC"/>
    <w:lvl w:ilvl="0" w:tplc="991C3E1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4" w15:restartNumberingAfterBreak="0">
    <w:nsid w:val="456A440E"/>
    <w:multiLevelType w:val="hybridMultilevel"/>
    <w:tmpl w:val="193469B6"/>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6A236D"/>
    <w:multiLevelType w:val="hybridMultilevel"/>
    <w:tmpl w:val="DC487180"/>
    <w:lvl w:ilvl="0" w:tplc="991C3E1E">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48477D5B"/>
    <w:multiLevelType w:val="hybridMultilevel"/>
    <w:tmpl w:val="A41A242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5C3822"/>
    <w:multiLevelType w:val="hybridMultilevel"/>
    <w:tmpl w:val="4BB007BE"/>
    <w:lvl w:ilvl="0" w:tplc="08160001">
      <w:start w:val="1"/>
      <w:numFmt w:val="bullet"/>
      <w:lvlText w:val=""/>
      <w:lvlJc w:val="left"/>
      <w:pPr>
        <w:ind w:left="6881"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8" w15:restartNumberingAfterBreak="0">
    <w:nsid w:val="4A1837DC"/>
    <w:multiLevelType w:val="multilevel"/>
    <w:tmpl w:val="5ED821E4"/>
    <w:lvl w:ilvl="0">
      <w:start w:val="1"/>
      <w:numFmt w:val="bullet"/>
      <w:lvlText w:val="-"/>
      <w:lvlJc w:val="left"/>
      <w:rPr>
        <w:rFonts w:ascii="Calibri" w:hAnsi="Calibri" w:hint="default"/>
        <w:b w:val="0"/>
        <w:bCs w:val="0"/>
        <w:i w:val="0"/>
        <w:iCs w:val="0"/>
        <w:smallCaps w:val="0"/>
        <w:strike w:val="0"/>
        <w:color w:val="000000"/>
        <w:spacing w:val="0"/>
        <w:w w:val="100"/>
        <w:position w:val="0"/>
        <w:sz w:val="21"/>
        <w:szCs w:val="21"/>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BB3D79"/>
    <w:multiLevelType w:val="hybridMultilevel"/>
    <w:tmpl w:val="C06EC8F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MS Mincho" w:hAnsi="@MS Mincho"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MS Mincho" w:hAnsi="@MS Mincho"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MS Mincho" w:hAnsi="@MS Mincho" w:hint="default"/>
      </w:rPr>
    </w:lvl>
    <w:lvl w:ilvl="8" w:tplc="FFFFFFFF">
      <w:start w:val="1"/>
      <w:numFmt w:val="bullet"/>
      <w:lvlText w:val=""/>
      <w:lvlJc w:val="left"/>
      <w:pPr>
        <w:ind w:left="6480" w:hanging="360"/>
      </w:pPr>
      <w:rPr>
        <w:rFonts w:ascii="MS Mincho" w:hAnsi="MS Mincho" w:hint="default"/>
      </w:rPr>
    </w:lvl>
  </w:abstractNum>
  <w:abstractNum w:abstractNumId="70" w15:restartNumberingAfterBreak="0">
    <w:nsid w:val="4B1B1BD9"/>
    <w:multiLevelType w:val="hybridMultilevel"/>
    <w:tmpl w:val="30E29848"/>
    <w:lvl w:ilvl="0" w:tplc="B8D40F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9818A8"/>
    <w:multiLevelType w:val="hybridMultilevel"/>
    <w:tmpl w:val="2FD8C976"/>
    <w:lvl w:ilvl="0" w:tplc="991C3E1E">
      <w:start w:val="1"/>
      <w:numFmt w:val="bullet"/>
      <w:lvlText w:val="-"/>
      <w:lvlJc w:val="left"/>
      <w:pPr>
        <w:ind w:left="720" w:hanging="360"/>
      </w:pPr>
      <w:rPr>
        <w:rFonts w:ascii="Calibri" w:hAnsi="Calibri" w:hint="default"/>
      </w:rPr>
    </w:lvl>
    <w:lvl w:ilvl="1" w:tplc="991C3E1E">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B12C54"/>
    <w:multiLevelType w:val="hybridMultilevel"/>
    <w:tmpl w:val="FFFFFFFF"/>
    <w:lvl w:ilvl="0" w:tplc="67BE596E">
      <w:start w:val="1"/>
      <w:numFmt w:val="bullet"/>
      <w:lvlText w:val="-"/>
      <w:lvlJc w:val="left"/>
      <w:pPr>
        <w:ind w:left="720" w:hanging="360"/>
      </w:pPr>
      <w:rPr>
        <w:rFonts w:ascii="Calibri" w:hAnsi="Calibri" w:hint="default"/>
      </w:rPr>
    </w:lvl>
    <w:lvl w:ilvl="1" w:tplc="39DCF4AA">
      <w:start w:val="1"/>
      <w:numFmt w:val="bullet"/>
      <w:lvlText w:val="o"/>
      <w:lvlJc w:val="left"/>
      <w:pPr>
        <w:ind w:left="1440" w:hanging="360"/>
      </w:pPr>
      <w:rPr>
        <w:rFonts w:ascii="Courier New" w:hAnsi="Courier New" w:hint="default"/>
      </w:rPr>
    </w:lvl>
    <w:lvl w:ilvl="2" w:tplc="E71A66AE">
      <w:start w:val="1"/>
      <w:numFmt w:val="bullet"/>
      <w:lvlText w:val=""/>
      <w:lvlJc w:val="left"/>
      <w:pPr>
        <w:ind w:left="2160" w:hanging="360"/>
      </w:pPr>
      <w:rPr>
        <w:rFonts w:ascii="Wingdings" w:hAnsi="Wingdings" w:hint="default"/>
      </w:rPr>
    </w:lvl>
    <w:lvl w:ilvl="3" w:tplc="7D04A362">
      <w:start w:val="1"/>
      <w:numFmt w:val="bullet"/>
      <w:lvlText w:val=""/>
      <w:lvlJc w:val="left"/>
      <w:pPr>
        <w:ind w:left="2880" w:hanging="360"/>
      </w:pPr>
      <w:rPr>
        <w:rFonts w:ascii="Symbol" w:hAnsi="Symbol" w:hint="default"/>
      </w:rPr>
    </w:lvl>
    <w:lvl w:ilvl="4" w:tplc="6DBC2DA6">
      <w:start w:val="1"/>
      <w:numFmt w:val="bullet"/>
      <w:lvlText w:val="o"/>
      <w:lvlJc w:val="left"/>
      <w:pPr>
        <w:ind w:left="3600" w:hanging="360"/>
      </w:pPr>
      <w:rPr>
        <w:rFonts w:ascii="Courier New" w:hAnsi="Courier New" w:hint="default"/>
      </w:rPr>
    </w:lvl>
    <w:lvl w:ilvl="5" w:tplc="A5CCEC06">
      <w:start w:val="1"/>
      <w:numFmt w:val="bullet"/>
      <w:lvlText w:val=""/>
      <w:lvlJc w:val="left"/>
      <w:pPr>
        <w:ind w:left="4320" w:hanging="360"/>
      </w:pPr>
      <w:rPr>
        <w:rFonts w:ascii="Wingdings" w:hAnsi="Wingdings" w:hint="default"/>
      </w:rPr>
    </w:lvl>
    <w:lvl w:ilvl="6" w:tplc="2BEEA494">
      <w:start w:val="1"/>
      <w:numFmt w:val="bullet"/>
      <w:lvlText w:val=""/>
      <w:lvlJc w:val="left"/>
      <w:pPr>
        <w:ind w:left="5040" w:hanging="360"/>
      </w:pPr>
      <w:rPr>
        <w:rFonts w:ascii="Symbol" w:hAnsi="Symbol" w:hint="default"/>
      </w:rPr>
    </w:lvl>
    <w:lvl w:ilvl="7" w:tplc="5B7C1BD2">
      <w:start w:val="1"/>
      <w:numFmt w:val="bullet"/>
      <w:lvlText w:val="o"/>
      <w:lvlJc w:val="left"/>
      <w:pPr>
        <w:ind w:left="5760" w:hanging="360"/>
      </w:pPr>
      <w:rPr>
        <w:rFonts w:ascii="Courier New" w:hAnsi="Courier New" w:hint="default"/>
      </w:rPr>
    </w:lvl>
    <w:lvl w:ilvl="8" w:tplc="BE265C54">
      <w:start w:val="1"/>
      <w:numFmt w:val="bullet"/>
      <w:lvlText w:val=""/>
      <w:lvlJc w:val="left"/>
      <w:pPr>
        <w:ind w:left="6480" w:hanging="360"/>
      </w:pPr>
      <w:rPr>
        <w:rFonts w:ascii="Wingdings" w:hAnsi="Wingdings" w:hint="default"/>
      </w:rPr>
    </w:lvl>
  </w:abstractNum>
  <w:abstractNum w:abstractNumId="73" w15:restartNumberingAfterBreak="0">
    <w:nsid w:val="4ED0C028"/>
    <w:multiLevelType w:val="hybridMultilevel"/>
    <w:tmpl w:val="FFFFFFFF"/>
    <w:lvl w:ilvl="0" w:tplc="70B664EC">
      <w:start w:val="1"/>
      <w:numFmt w:val="bullet"/>
      <w:lvlText w:val=""/>
      <w:lvlJc w:val="left"/>
      <w:pPr>
        <w:ind w:left="720" w:hanging="360"/>
      </w:pPr>
      <w:rPr>
        <w:rFonts w:ascii="Symbol" w:hAnsi="Symbol" w:hint="default"/>
      </w:rPr>
    </w:lvl>
    <w:lvl w:ilvl="1" w:tplc="229C186A">
      <w:start w:val="1"/>
      <w:numFmt w:val="bullet"/>
      <w:lvlText w:val="o"/>
      <w:lvlJc w:val="left"/>
      <w:pPr>
        <w:ind w:left="1440" w:hanging="360"/>
      </w:pPr>
      <w:rPr>
        <w:rFonts w:ascii="Courier New" w:hAnsi="Courier New" w:hint="default"/>
      </w:rPr>
    </w:lvl>
    <w:lvl w:ilvl="2" w:tplc="DEAAE380">
      <w:start w:val="1"/>
      <w:numFmt w:val="bullet"/>
      <w:lvlText w:val=""/>
      <w:lvlJc w:val="left"/>
      <w:pPr>
        <w:ind w:left="2160" w:hanging="360"/>
      </w:pPr>
      <w:rPr>
        <w:rFonts w:ascii="Wingdings" w:hAnsi="Wingdings" w:hint="default"/>
      </w:rPr>
    </w:lvl>
    <w:lvl w:ilvl="3" w:tplc="3A6A8586">
      <w:start w:val="1"/>
      <w:numFmt w:val="bullet"/>
      <w:lvlText w:val=""/>
      <w:lvlJc w:val="left"/>
      <w:pPr>
        <w:ind w:left="2880" w:hanging="360"/>
      </w:pPr>
      <w:rPr>
        <w:rFonts w:ascii="Symbol" w:hAnsi="Symbol" w:hint="default"/>
      </w:rPr>
    </w:lvl>
    <w:lvl w:ilvl="4" w:tplc="0652EBEC">
      <w:start w:val="1"/>
      <w:numFmt w:val="bullet"/>
      <w:lvlText w:val="o"/>
      <w:lvlJc w:val="left"/>
      <w:pPr>
        <w:ind w:left="3600" w:hanging="360"/>
      </w:pPr>
      <w:rPr>
        <w:rFonts w:ascii="Courier New" w:hAnsi="Courier New" w:hint="default"/>
      </w:rPr>
    </w:lvl>
    <w:lvl w:ilvl="5" w:tplc="61A2DDD2">
      <w:start w:val="1"/>
      <w:numFmt w:val="bullet"/>
      <w:lvlText w:val=""/>
      <w:lvlJc w:val="left"/>
      <w:pPr>
        <w:ind w:left="4320" w:hanging="360"/>
      </w:pPr>
      <w:rPr>
        <w:rFonts w:ascii="Wingdings" w:hAnsi="Wingdings" w:hint="default"/>
      </w:rPr>
    </w:lvl>
    <w:lvl w:ilvl="6" w:tplc="53E013E6">
      <w:start w:val="1"/>
      <w:numFmt w:val="bullet"/>
      <w:lvlText w:val=""/>
      <w:lvlJc w:val="left"/>
      <w:pPr>
        <w:ind w:left="5040" w:hanging="360"/>
      </w:pPr>
      <w:rPr>
        <w:rFonts w:ascii="Symbol" w:hAnsi="Symbol" w:hint="default"/>
      </w:rPr>
    </w:lvl>
    <w:lvl w:ilvl="7" w:tplc="E646C87C">
      <w:start w:val="1"/>
      <w:numFmt w:val="bullet"/>
      <w:lvlText w:val="o"/>
      <w:lvlJc w:val="left"/>
      <w:pPr>
        <w:ind w:left="5760" w:hanging="360"/>
      </w:pPr>
      <w:rPr>
        <w:rFonts w:ascii="Courier New" w:hAnsi="Courier New" w:hint="default"/>
      </w:rPr>
    </w:lvl>
    <w:lvl w:ilvl="8" w:tplc="D16C9752">
      <w:start w:val="1"/>
      <w:numFmt w:val="bullet"/>
      <w:lvlText w:val=""/>
      <w:lvlJc w:val="left"/>
      <w:pPr>
        <w:ind w:left="6480" w:hanging="360"/>
      </w:pPr>
      <w:rPr>
        <w:rFonts w:ascii="Wingdings" w:hAnsi="Wingdings" w:hint="default"/>
      </w:rPr>
    </w:lvl>
  </w:abstractNum>
  <w:abstractNum w:abstractNumId="74" w15:restartNumberingAfterBreak="0">
    <w:nsid w:val="5193D5D3"/>
    <w:multiLevelType w:val="hybridMultilevel"/>
    <w:tmpl w:val="FFFFFFFF"/>
    <w:lvl w:ilvl="0" w:tplc="D2221486">
      <w:start w:val="1"/>
      <w:numFmt w:val="bullet"/>
      <w:lvlText w:val="-"/>
      <w:lvlJc w:val="left"/>
      <w:pPr>
        <w:ind w:left="720" w:hanging="360"/>
      </w:pPr>
      <w:rPr>
        <w:rFonts w:ascii="Calibri" w:hAnsi="Calibri" w:hint="default"/>
      </w:rPr>
    </w:lvl>
    <w:lvl w:ilvl="1" w:tplc="CB146F18">
      <w:start w:val="1"/>
      <w:numFmt w:val="bullet"/>
      <w:lvlText w:val="o"/>
      <w:lvlJc w:val="left"/>
      <w:pPr>
        <w:ind w:left="1440" w:hanging="360"/>
      </w:pPr>
      <w:rPr>
        <w:rFonts w:ascii="Courier New" w:hAnsi="Courier New" w:hint="default"/>
      </w:rPr>
    </w:lvl>
    <w:lvl w:ilvl="2" w:tplc="51661310">
      <w:start w:val="1"/>
      <w:numFmt w:val="bullet"/>
      <w:lvlText w:val=""/>
      <w:lvlJc w:val="left"/>
      <w:pPr>
        <w:ind w:left="2160" w:hanging="360"/>
      </w:pPr>
      <w:rPr>
        <w:rFonts w:ascii="Wingdings" w:hAnsi="Wingdings" w:hint="default"/>
      </w:rPr>
    </w:lvl>
    <w:lvl w:ilvl="3" w:tplc="906C137C">
      <w:start w:val="1"/>
      <w:numFmt w:val="bullet"/>
      <w:lvlText w:val=""/>
      <w:lvlJc w:val="left"/>
      <w:pPr>
        <w:ind w:left="2880" w:hanging="360"/>
      </w:pPr>
      <w:rPr>
        <w:rFonts w:ascii="Symbol" w:hAnsi="Symbol" w:hint="default"/>
      </w:rPr>
    </w:lvl>
    <w:lvl w:ilvl="4" w:tplc="EB9A1A44">
      <w:start w:val="1"/>
      <w:numFmt w:val="bullet"/>
      <w:lvlText w:val="o"/>
      <w:lvlJc w:val="left"/>
      <w:pPr>
        <w:ind w:left="3600" w:hanging="360"/>
      </w:pPr>
      <w:rPr>
        <w:rFonts w:ascii="Courier New" w:hAnsi="Courier New" w:hint="default"/>
      </w:rPr>
    </w:lvl>
    <w:lvl w:ilvl="5" w:tplc="F35E1ABE">
      <w:start w:val="1"/>
      <w:numFmt w:val="bullet"/>
      <w:lvlText w:val=""/>
      <w:lvlJc w:val="left"/>
      <w:pPr>
        <w:ind w:left="4320" w:hanging="360"/>
      </w:pPr>
      <w:rPr>
        <w:rFonts w:ascii="Wingdings" w:hAnsi="Wingdings" w:hint="default"/>
      </w:rPr>
    </w:lvl>
    <w:lvl w:ilvl="6" w:tplc="2EFE484C">
      <w:start w:val="1"/>
      <w:numFmt w:val="bullet"/>
      <w:lvlText w:val=""/>
      <w:lvlJc w:val="left"/>
      <w:pPr>
        <w:ind w:left="5040" w:hanging="360"/>
      </w:pPr>
      <w:rPr>
        <w:rFonts w:ascii="Symbol" w:hAnsi="Symbol" w:hint="default"/>
      </w:rPr>
    </w:lvl>
    <w:lvl w:ilvl="7" w:tplc="FC420202">
      <w:start w:val="1"/>
      <w:numFmt w:val="bullet"/>
      <w:lvlText w:val="o"/>
      <w:lvlJc w:val="left"/>
      <w:pPr>
        <w:ind w:left="5760" w:hanging="360"/>
      </w:pPr>
      <w:rPr>
        <w:rFonts w:ascii="Courier New" w:hAnsi="Courier New" w:hint="default"/>
      </w:rPr>
    </w:lvl>
    <w:lvl w:ilvl="8" w:tplc="4B182AFA">
      <w:start w:val="1"/>
      <w:numFmt w:val="bullet"/>
      <w:lvlText w:val=""/>
      <w:lvlJc w:val="left"/>
      <w:pPr>
        <w:ind w:left="6480" w:hanging="360"/>
      </w:pPr>
      <w:rPr>
        <w:rFonts w:ascii="Wingdings" w:hAnsi="Wingdings" w:hint="default"/>
      </w:rPr>
    </w:lvl>
  </w:abstractNum>
  <w:abstractNum w:abstractNumId="75" w15:restartNumberingAfterBreak="0">
    <w:nsid w:val="546F43D9"/>
    <w:multiLevelType w:val="hybridMultilevel"/>
    <w:tmpl w:val="FFFFFFFF"/>
    <w:lvl w:ilvl="0" w:tplc="601C9C88">
      <w:start w:val="6"/>
      <w:numFmt w:val="decimal"/>
      <w:lvlText w:val="%1."/>
      <w:lvlJc w:val="left"/>
      <w:pPr>
        <w:ind w:left="720" w:hanging="360"/>
      </w:pPr>
      <w:rPr>
        <w:rFonts w:ascii="Arial" w:hAnsi="Arial" w:hint="default"/>
      </w:rPr>
    </w:lvl>
    <w:lvl w:ilvl="1" w:tplc="BC4A186E">
      <w:start w:val="1"/>
      <w:numFmt w:val="lowerLetter"/>
      <w:lvlText w:val="%2."/>
      <w:lvlJc w:val="left"/>
      <w:pPr>
        <w:ind w:left="1440" w:hanging="360"/>
      </w:pPr>
    </w:lvl>
    <w:lvl w:ilvl="2" w:tplc="98BA893C">
      <w:start w:val="1"/>
      <w:numFmt w:val="lowerRoman"/>
      <w:lvlText w:val="%3."/>
      <w:lvlJc w:val="right"/>
      <w:pPr>
        <w:ind w:left="2160" w:hanging="180"/>
      </w:pPr>
    </w:lvl>
    <w:lvl w:ilvl="3" w:tplc="6484B7FA">
      <w:start w:val="1"/>
      <w:numFmt w:val="decimal"/>
      <w:lvlText w:val="%4."/>
      <w:lvlJc w:val="left"/>
      <w:pPr>
        <w:ind w:left="2880" w:hanging="360"/>
      </w:pPr>
    </w:lvl>
    <w:lvl w:ilvl="4" w:tplc="7374820E">
      <w:start w:val="1"/>
      <w:numFmt w:val="lowerLetter"/>
      <w:lvlText w:val="%5."/>
      <w:lvlJc w:val="left"/>
      <w:pPr>
        <w:ind w:left="3600" w:hanging="360"/>
      </w:pPr>
    </w:lvl>
    <w:lvl w:ilvl="5" w:tplc="CEC29C34">
      <w:start w:val="1"/>
      <w:numFmt w:val="lowerRoman"/>
      <w:lvlText w:val="%6."/>
      <w:lvlJc w:val="right"/>
      <w:pPr>
        <w:ind w:left="4320" w:hanging="180"/>
      </w:pPr>
    </w:lvl>
    <w:lvl w:ilvl="6" w:tplc="23CA4A52">
      <w:start w:val="1"/>
      <w:numFmt w:val="decimal"/>
      <w:lvlText w:val="%7."/>
      <w:lvlJc w:val="left"/>
      <w:pPr>
        <w:ind w:left="5040" w:hanging="360"/>
      </w:pPr>
    </w:lvl>
    <w:lvl w:ilvl="7" w:tplc="B5A617FE">
      <w:start w:val="1"/>
      <w:numFmt w:val="lowerLetter"/>
      <w:lvlText w:val="%8."/>
      <w:lvlJc w:val="left"/>
      <w:pPr>
        <w:ind w:left="5760" w:hanging="360"/>
      </w:pPr>
    </w:lvl>
    <w:lvl w:ilvl="8" w:tplc="EF2CE8C4">
      <w:start w:val="1"/>
      <w:numFmt w:val="lowerRoman"/>
      <w:lvlText w:val="%9."/>
      <w:lvlJc w:val="right"/>
      <w:pPr>
        <w:ind w:left="6480" w:hanging="180"/>
      </w:pPr>
    </w:lvl>
  </w:abstractNum>
  <w:abstractNum w:abstractNumId="76" w15:restartNumberingAfterBreak="0">
    <w:nsid w:val="5562828A"/>
    <w:multiLevelType w:val="hybridMultilevel"/>
    <w:tmpl w:val="FFFFFFFF"/>
    <w:lvl w:ilvl="0" w:tplc="98AED4AE">
      <w:start w:val="1"/>
      <w:numFmt w:val="bullet"/>
      <w:lvlText w:val="-"/>
      <w:lvlJc w:val="left"/>
      <w:pPr>
        <w:ind w:left="720" w:hanging="360"/>
      </w:pPr>
      <w:rPr>
        <w:rFonts w:ascii="Calibri" w:hAnsi="Calibri" w:hint="default"/>
      </w:rPr>
    </w:lvl>
    <w:lvl w:ilvl="1" w:tplc="9184ECD6">
      <w:start w:val="1"/>
      <w:numFmt w:val="bullet"/>
      <w:lvlText w:val="o"/>
      <w:lvlJc w:val="left"/>
      <w:pPr>
        <w:ind w:left="1440" w:hanging="360"/>
      </w:pPr>
      <w:rPr>
        <w:rFonts w:ascii="Courier New" w:hAnsi="Courier New" w:hint="default"/>
      </w:rPr>
    </w:lvl>
    <w:lvl w:ilvl="2" w:tplc="5F6E988E">
      <w:start w:val="1"/>
      <w:numFmt w:val="bullet"/>
      <w:lvlText w:val=""/>
      <w:lvlJc w:val="left"/>
      <w:pPr>
        <w:ind w:left="2160" w:hanging="360"/>
      </w:pPr>
      <w:rPr>
        <w:rFonts w:ascii="Wingdings" w:hAnsi="Wingdings" w:hint="default"/>
      </w:rPr>
    </w:lvl>
    <w:lvl w:ilvl="3" w:tplc="180828B2">
      <w:start w:val="1"/>
      <w:numFmt w:val="bullet"/>
      <w:lvlText w:val=""/>
      <w:lvlJc w:val="left"/>
      <w:pPr>
        <w:ind w:left="2880" w:hanging="360"/>
      </w:pPr>
      <w:rPr>
        <w:rFonts w:ascii="Symbol" w:hAnsi="Symbol" w:hint="default"/>
      </w:rPr>
    </w:lvl>
    <w:lvl w:ilvl="4" w:tplc="90082408">
      <w:start w:val="1"/>
      <w:numFmt w:val="bullet"/>
      <w:lvlText w:val="o"/>
      <w:lvlJc w:val="left"/>
      <w:pPr>
        <w:ind w:left="3600" w:hanging="360"/>
      </w:pPr>
      <w:rPr>
        <w:rFonts w:ascii="Courier New" w:hAnsi="Courier New" w:hint="default"/>
      </w:rPr>
    </w:lvl>
    <w:lvl w:ilvl="5" w:tplc="BCE087CA">
      <w:start w:val="1"/>
      <w:numFmt w:val="bullet"/>
      <w:lvlText w:val=""/>
      <w:lvlJc w:val="left"/>
      <w:pPr>
        <w:ind w:left="4320" w:hanging="360"/>
      </w:pPr>
      <w:rPr>
        <w:rFonts w:ascii="Wingdings" w:hAnsi="Wingdings" w:hint="default"/>
      </w:rPr>
    </w:lvl>
    <w:lvl w:ilvl="6" w:tplc="EEC8FCD8">
      <w:start w:val="1"/>
      <w:numFmt w:val="bullet"/>
      <w:lvlText w:val=""/>
      <w:lvlJc w:val="left"/>
      <w:pPr>
        <w:ind w:left="5040" w:hanging="360"/>
      </w:pPr>
      <w:rPr>
        <w:rFonts w:ascii="Symbol" w:hAnsi="Symbol" w:hint="default"/>
      </w:rPr>
    </w:lvl>
    <w:lvl w:ilvl="7" w:tplc="A46C5D0E">
      <w:start w:val="1"/>
      <w:numFmt w:val="bullet"/>
      <w:lvlText w:val="o"/>
      <w:lvlJc w:val="left"/>
      <w:pPr>
        <w:ind w:left="5760" w:hanging="360"/>
      </w:pPr>
      <w:rPr>
        <w:rFonts w:ascii="Courier New" w:hAnsi="Courier New" w:hint="default"/>
      </w:rPr>
    </w:lvl>
    <w:lvl w:ilvl="8" w:tplc="3E50D7EC">
      <w:start w:val="1"/>
      <w:numFmt w:val="bullet"/>
      <w:lvlText w:val=""/>
      <w:lvlJc w:val="left"/>
      <w:pPr>
        <w:ind w:left="6480" w:hanging="360"/>
      </w:pPr>
      <w:rPr>
        <w:rFonts w:ascii="Wingdings" w:hAnsi="Wingdings" w:hint="default"/>
      </w:rPr>
    </w:lvl>
  </w:abstractNum>
  <w:abstractNum w:abstractNumId="7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8" w15:restartNumberingAfterBreak="0">
    <w:nsid w:val="55722B6B"/>
    <w:multiLevelType w:val="hybridMultilevel"/>
    <w:tmpl w:val="B8C4C9B2"/>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6C806B2"/>
    <w:multiLevelType w:val="hybridMultilevel"/>
    <w:tmpl w:val="29FE3B06"/>
    <w:lvl w:ilvl="0" w:tplc="FFFFFFFF">
      <w:start w:val="1"/>
      <w:numFmt w:val="bullet"/>
      <w:lvlText w:val="-"/>
      <w:lvlJc w:val="left"/>
      <w:pPr>
        <w:ind w:left="720" w:hanging="360"/>
      </w:pPr>
      <w:rPr>
        <w:rFonts w:ascii="Times New Roman" w:hAnsi="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1" w15:restartNumberingAfterBreak="0">
    <w:nsid w:val="5B61650C"/>
    <w:multiLevelType w:val="hybridMultilevel"/>
    <w:tmpl w:val="3BAED582"/>
    <w:lvl w:ilvl="0" w:tplc="18090001">
      <w:start w:val="1"/>
      <w:numFmt w:val="bullet"/>
      <w:lvlText w:val=""/>
      <w:lvlJc w:val="left"/>
      <w:pPr>
        <w:ind w:left="720" w:hanging="360"/>
      </w:pPr>
      <w:rPr>
        <w:rFonts w:ascii="MS Mincho" w:hAnsi="MS Mincho"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82" w15:restartNumberingAfterBreak="0">
    <w:nsid w:val="5B7B4212"/>
    <w:multiLevelType w:val="hybridMultilevel"/>
    <w:tmpl w:val="FFFFFFFF"/>
    <w:lvl w:ilvl="0" w:tplc="5584427E">
      <w:start w:val="1"/>
      <w:numFmt w:val="bullet"/>
      <w:lvlText w:val="-"/>
      <w:lvlJc w:val="left"/>
      <w:pPr>
        <w:ind w:left="720" w:hanging="360"/>
      </w:pPr>
      <w:rPr>
        <w:rFonts w:ascii="Yu Mincho Light" w:hAnsi="Yu Mincho Light" w:hint="default"/>
      </w:rPr>
    </w:lvl>
    <w:lvl w:ilvl="1" w:tplc="70109100">
      <w:start w:val="1"/>
      <w:numFmt w:val="bullet"/>
      <w:lvlText w:val="o"/>
      <w:lvlJc w:val="left"/>
      <w:pPr>
        <w:ind w:left="1440" w:hanging="360"/>
      </w:pPr>
      <w:rPr>
        <w:rFonts w:ascii="@MS Mincho" w:hAnsi="@MS Mincho" w:hint="default"/>
      </w:rPr>
    </w:lvl>
    <w:lvl w:ilvl="2" w:tplc="530A15BE">
      <w:start w:val="1"/>
      <w:numFmt w:val="bullet"/>
      <w:lvlText w:val=""/>
      <w:lvlJc w:val="left"/>
      <w:pPr>
        <w:ind w:left="2160" w:hanging="360"/>
      </w:pPr>
      <w:rPr>
        <w:rFonts w:ascii="MS Mincho" w:hAnsi="MS Mincho" w:hint="default"/>
      </w:rPr>
    </w:lvl>
    <w:lvl w:ilvl="3" w:tplc="9E56B07C">
      <w:start w:val="1"/>
      <w:numFmt w:val="bullet"/>
      <w:lvlText w:val=""/>
      <w:lvlJc w:val="left"/>
      <w:pPr>
        <w:ind w:left="2880" w:hanging="360"/>
      </w:pPr>
      <w:rPr>
        <w:rFonts w:ascii="Times New Roman félkövér" w:hAnsi="Times New Roman félkövér" w:hint="default"/>
      </w:rPr>
    </w:lvl>
    <w:lvl w:ilvl="4" w:tplc="0D1AF1FA">
      <w:start w:val="1"/>
      <w:numFmt w:val="bullet"/>
      <w:lvlText w:val="o"/>
      <w:lvlJc w:val="left"/>
      <w:pPr>
        <w:ind w:left="3600" w:hanging="360"/>
      </w:pPr>
      <w:rPr>
        <w:rFonts w:ascii="@MS Mincho" w:hAnsi="@MS Mincho" w:hint="default"/>
      </w:rPr>
    </w:lvl>
    <w:lvl w:ilvl="5" w:tplc="ADC02602">
      <w:start w:val="1"/>
      <w:numFmt w:val="bullet"/>
      <w:lvlText w:val=""/>
      <w:lvlJc w:val="left"/>
      <w:pPr>
        <w:ind w:left="4320" w:hanging="360"/>
      </w:pPr>
      <w:rPr>
        <w:rFonts w:ascii="MS Mincho" w:hAnsi="MS Mincho" w:hint="default"/>
      </w:rPr>
    </w:lvl>
    <w:lvl w:ilvl="6" w:tplc="5EB4AE94">
      <w:start w:val="1"/>
      <w:numFmt w:val="bullet"/>
      <w:lvlText w:val=""/>
      <w:lvlJc w:val="left"/>
      <w:pPr>
        <w:ind w:left="5040" w:hanging="360"/>
      </w:pPr>
      <w:rPr>
        <w:rFonts w:ascii="Times New Roman félkövér" w:hAnsi="Times New Roman félkövér" w:hint="default"/>
      </w:rPr>
    </w:lvl>
    <w:lvl w:ilvl="7" w:tplc="02AAB518">
      <w:start w:val="1"/>
      <w:numFmt w:val="bullet"/>
      <w:lvlText w:val="o"/>
      <w:lvlJc w:val="left"/>
      <w:pPr>
        <w:ind w:left="5760" w:hanging="360"/>
      </w:pPr>
      <w:rPr>
        <w:rFonts w:ascii="@MS Mincho" w:hAnsi="@MS Mincho" w:hint="default"/>
      </w:rPr>
    </w:lvl>
    <w:lvl w:ilvl="8" w:tplc="F31AB2AC">
      <w:start w:val="1"/>
      <w:numFmt w:val="bullet"/>
      <w:lvlText w:val=""/>
      <w:lvlJc w:val="left"/>
      <w:pPr>
        <w:ind w:left="6480" w:hanging="360"/>
      </w:pPr>
      <w:rPr>
        <w:rFonts w:ascii="MS Mincho" w:hAnsi="MS Mincho" w:hint="default"/>
      </w:rPr>
    </w:lvl>
  </w:abstractNum>
  <w:abstractNum w:abstractNumId="8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15:restartNumberingAfterBreak="0">
    <w:nsid w:val="5D5670C0"/>
    <w:multiLevelType w:val="hybridMultilevel"/>
    <w:tmpl w:val="0B3074BC"/>
    <w:lvl w:ilvl="0" w:tplc="B2AC25C2">
      <w:numFmt w:val="bullet"/>
      <w:lvlText w:val=""/>
      <w:lvlJc w:val="left"/>
      <w:pPr>
        <w:ind w:left="787" w:hanging="360"/>
      </w:pPr>
      <w:rPr>
        <w:rFonts w:ascii="Symbol" w:eastAsiaTheme="minorEastAsia" w:hAnsi="Symbol" w:cs="Times New Roman" w:hint="default"/>
      </w:rPr>
    </w:lvl>
    <w:lvl w:ilvl="1" w:tplc="FFFFFFFF">
      <w:start w:val="1"/>
      <w:numFmt w:val="bullet"/>
      <w:lvlText w:val="o"/>
      <w:lvlJc w:val="left"/>
      <w:pPr>
        <w:ind w:left="1507" w:hanging="360"/>
      </w:pPr>
      <w:rPr>
        <w:rFonts w:ascii="@MS Mincho" w:eastAsia="Times New Roman" w:hAnsi="@MS Mincho" w:cs="@MS Mincho" w:hint="eastAsia"/>
      </w:rPr>
    </w:lvl>
    <w:lvl w:ilvl="2" w:tplc="FFFFFFFF">
      <w:start w:val="1"/>
      <w:numFmt w:val="bullet"/>
      <w:lvlText w:val=""/>
      <w:lvlJc w:val="left"/>
      <w:pPr>
        <w:ind w:left="2227" w:hanging="360"/>
      </w:pPr>
      <w:rPr>
        <w:rFonts w:ascii="MS Mincho" w:eastAsia="Times New Roman" w:hAnsi="MS Mincho" w:hint="eastAsia"/>
      </w:rPr>
    </w:lvl>
    <w:lvl w:ilvl="3" w:tplc="FFFFFFFF">
      <w:start w:val="1"/>
      <w:numFmt w:val="bullet"/>
      <w:lvlText w:val=""/>
      <w:lvlJc w:val="left"/>
      <w:pPr>
        <w:ind w:left="2947" w:hanging="360"/>
      </w:pPr>
      <w:rPr>
        <w:rFonts w:ascii="Times New Roman félkövér" w:hAnsi="Times New Roman félkövér" w:hint="default"/>
      </w:rPr>
    </w:lvl>
    <w:lvl w:ilvl="4" w:tplc="FFFFFFFF">
      <w:start w:val="1"/>
      <w:numFmt w:val="bullet"/>
      <w:lvlText w:val="o"/>
      <w:lvlJc w:val="left"/>
      <w:pPr>
        <w:ind w:left="3667" w:hanging="360"/>
      </w:pPr>
      <w:rPr>
        <w:rFonts w:ascii="@MS Mincho" w:eastAsia="Times New Roman" w:hAnsi="@MS Mincho" w:cs="@MS Mincho" w:hint="eastAsia"/>
      </w:rPr>
    </w:lvl>
    <w:lvl w:ilvl="5" w:tplc="FFFFFFFF">
      <w:start w:val="1"/>
      <w:numFmt w:val="bullet"/>
      <w:lvlText w:val=""/>
      <w:lvlJc w:val="left"/>
      <w:pPr>
        <w:ind w:left="4387" w:hanging="360"/>
      </w:pPr>
      <w:rPr>
        <w:rFonts w:ascii="MS Mincho" w:eastAsia="Times New Roman" w:hAnsi="MS Mincho" w:hint="eastAsia"/>
      </w:rPr>
    </w:lvl>
    <w:lvl w:ilvl="6" w:tplc="FFFFFFFF">
      <w:start w:val="1"/>
      <w:numFmt w:val="bullet"/>
      <w:lvlText w:val=""/>
      <w:lvlJc w:val="left"/>
      <w:pPr>
        <w:ind w:left="5107" w:hanging="360"/>
      </w:pPr>
      <w:rPr>
        <w:rFonts w:ascii="Times New Roman félkövér" w:hAnsi="Times New Roman félkövér" w:hint="default"/>
      </w:rPr>
    </w:lvl>
    <w:lvl w:ilvl="7" w:tplc="FFFFFFFF">
      <w:start w:val="1"/>
      <w:numFmt w:val="bullet"/>
      <w:lvlText w:val="o"/>
      <w:lvlJc w:val="left"/>
      <w:pPr>
        <w:ind w:left="5827" w:hanging="360"/>
      </w:pPr>
      <w:rPr>
        <w:rFonts w:ascii="@MS Mincho" w:eastAsia="Times New Roman" w:hAnsi="@MS Mincho" w:cs="@MS Mincho" w:hint="eastAsia"/>
      </w:rPr>
    </w:lvl>
    <w:lvl w:ilvl="8" w:tplc="FFFFFFFF">
      <w:start w:val="1"/>
      <w:numFmt w:val="bullet"/>
      <w:lvlText w:val=""/>
      <w:lvlJc w:val="left"/>
      <w:pPr>
        <w:ind w:left="6547" w:hanging="360"/>
      </w:pPr>
      <w:rPr>
        <w:rFonts w:ascii="MS Mincho" w:eastAsia="Times New Roman" w:hAnsi="MS Mincho" w:hint="eastAsia"/>
      </w:rPr>
    </w:lvl>
  </w:abstractNum>
  <w:abstractNum w:abstractNumId="86" w15:restartNumberingAfterBreak="0">
    <w:nsid w:val="5F42C4D7"/>
    <w:multiLevelType w:val="hybridMultilevel"/>
    <w:tmpl w:val="FFFFFFFF"/>
    <w:lvl w:ilvl="0" w:tplc="85908E40">
      <w:start w:val="5"/>
      <w:numFmt w:val="decimal"/>
      <w:lvlText w:val="%1."/>
      <w:lvlJc w:val="left"/>
      <w:pPr>
        <w:ind w:left="720" w:hanging="360"/>
      </w:pPr>
      <w:rPr>
        <w:rFonts w:ascii="Arial" w:hAnsi="Arial" w:hint="default"/>
      </w:rPr>
    </w:lvl>
    <w:lvl w:ilvl="1" w:tplc="9E30FE2E">
      <w:start w:val="1"/>
      <w:numFmt w:val="lowerLetter"/>
      <w:lvlText w:val="%2."/>
      <w:lvlJc w:val="left"/>
      <w:pPr>
        <w:ind w:left="1440" w:hanging="360"/>
      </w:pPr>
    </w:lvl>
    <w:lvl w:ilvl="2" w:tplc="CDF60808">
      <w:start w:val="1"/>
      <w:numFmt w:val="lowerRoman"/>
      <w:lvlText w:val="%3."/>
      <w:lvlJc w:val="right"/>
      <w:pPr>
        <w:ind w:left="2160" w:hanging="180"/>
      </w:pPr>
    </w:lvl>
    <w:lvl w:ilvl="3" w:tplc="570274F8">
      <w:start w:val="1"/>
      <w:numFmt w:val="decimal"/>
      <w:lvlText w:val="%4."/>
      <w:lvlJc w:val="left"/>
      <w:pPr>
        <w:ind w:left="2880" w:hanging="360"/>
      </w:pPr>
    </w:lvl>
    <w:lvl w:ilvl="4" w:tplc="BAE6A98E">
      <w:start w:val="1"/>
      <w:numFmt w:val="lowerLetter"/>
      <w:lvlText w:val="%5."/>
      <w:lvlJc w:val="left"/>
      <w:pPr>
        <w:ind w:left="3600" w:hanging="360"/>
      </w:pPr>
    </w:lvl>
    <w:lvl w:ilvl="5" w:tplc="3DB267C0">
      <w:start w:val="1"/>
      <w:numFmt w:val="lowerRoman"/>
      <w:lvlText w:val="%6."/>
      <w:lvlJc w:val="right"/>
      <w:pPr>
        <w:ind w:left="4320" w:hanging="180"/>
      </w:pPr>
    </w:lvl>
    <w:lvl w:ilvl="6" w:tplc="90FA4D30">
      <w:start w:val="1"/>
      <w:numFmt w:val="decimal"/>
      <w:lvlText w:val="%7."/>
      <w:lvlJc w:val="left"/>
      <w:pPr>
        <w:ind w:left="5040" w:hanging="360"/>
      </w:pPr>
    </w:lvl>
    <w:lvl w:ilvl="7" w:tplc="B61CC490">
      <w:start w:val="1"/>
      <w:numFmt w:val="lowerLetter"/>
      <w:lvlText w:val="%8."/>
      <w:lvlJc w:val="left"/>
      <w:pPr>
        <w:ind w:left="5760" w:hanging="360"/>
      </w:pPr>
    </w:lvl>
    <w:lvl w:ilvl="8" w:tplc="4BE2B3D2">
      <w:start w:val="1"/>
      <w:numFmt w:val="lowerRoman"/>
      <w:lvlText w:val="%9."/>
      <w:lvlJc w:val="right"/>
      <w:pPr>
        <w:ind w:left="6480" w:hanging="180"/>
      </w:pPr>
    </w:lvl>
  </w:abstractNum>
  <w:abstractNum w:abstractNumId="87" w15:restartNumberingAfterBreak="0">
    <w:nsid w:val="63FA6C6C"/>
    <w:multiLevelType w:val="hybridMultilevel"/>
    <w:tmpl w:val="FFFFFFFF"/>
    <w:lvl w:ilvl="0" w:tplc="BFE443FC">
      <w:start w:val="1"/>
      <w:numFmt w:val="decimal"/>
      <w:lvlText w:val="%1."/>
      <w:lvlJc w:val="left"/>
      <w:pPr>
        <w:ind w:left="720" w:hanging="360"/>
      </w:pPr>
      <w:rPr>
        <w:rFonts w:ascii="Arial" w:hAnsi="Arial" w:hint="default"/>
      </w:rPr>
    </w:lvl>
    <w:lvl w:ilvl="1" w:tplc="78AAB50E">
      <w:start w:val="1"/>
      <w:numFmt w:val="lowerLetter"/>
      <w:lvlText w:val="%2."/>
      <w:lvlJc w:val="left"/>
      <w:pPr>
        <w:ind w:left="1440" w:hanging="360"/>
      </w:pPr>
    </w:lvl>
    <w:lvl w:ilvl="2" w:tplc="4874DBE6">
      <w:start w:val="1"/>
      <w:numFmt w:val="lowerRoman"/>
      <w:lvlText w:val="%3."/>
      <w:lvlJc w:val="right"/>
      <w:pPr>
        <w:ind w:left="2160" w:hanging="180"/>
      </w:pPr>
    </w:lvl>
    <w:lvl w:ilvl="3" w:tplc="9C58804C">
      <w:start w:val="1"/>
      <w:numFmt w:val="decimal"/>
      <w:lvlText w:val="%4."/>
      <w:lvlJc w:val="left"/>
      <w:pPr>
        <w:ind w:left="2880" w:hanging="360"/>
      </w:pPr>
    </w:lvl>
    <w:lvl w:ilvl="4" w:tplc="54A484DA">
      <w:start w:val="1"/>
      <w:numFmt w:val="lowerLetter"/>
      <w:lvlText w:val="%5."/>
      <w:lvlJc w:val="left"/>
      <w:pPr>
        <w:ind w:left="3600" w:hanging="360"/>
      </w:pPr>
    </w:lvl>
    <w:lvl w:ilvl="5" w:tplc="3A1A5CD2">
      <w:start w:val="1"/>
      <w:numFmt w:val="lowerRoman"/>
      <w:lvlText w:val="%6."/>
      <w:lvlJc w:val="right"/>
      <w:pPr>
        <w:ind w:left="4320" w:hanging="180"/>
      </w:pPr>
    </w:lvl>
    <w:lvl w:ilvl="6" w:tplc="5FF49A50">
      <w:start w:val="1"/>
      <w:numFmt w:val="decimal"/>
      <w:lvlText w:val="%7."/>
      <w:lvlJc w:val="left"/>
      <w:pPr>
        <w:ind w:left="5040" w:hanging="360"/>
      </w:pPr>
    </w:lvl>
    <w:lvl w:ilvl="7" w:tplc="7E62052A">
      <w:start w:val="1"/>
      <w:numFmt w:val="lowerLetter"/>
      <w:lvlText w:val="%8."/>
      <w:lvlJc w:val="left"/>
      <w:pPr>
        <w:ind w:left="5760" w:hanging="360"/>
      </w:pPr>
    </w:lvl>
    <w:lvl w:ilvl="8" w:tplc="5AB6589C">
      <w:start w:val="1"/>
      <w:numFmt w:val="lowerRoman"/>
      <w:lvlText w:val="%9."/>
      <w:lvlJc w:val="right"/>
      <w:pPr>
        <w:ind w:left="6480" w:hanging="180"/>
      </w:pPr>
    </w:lvl>
  </w:abstractNum>
  <w:abstractNum w:abstractNumId="88" w15:restartNumberingAfterBreak="0">
    <w:nsid w:val="647B00E9"/>
    <w:multiLevelType w:val="hybridMultilevel"/>
    <w:tmpl w:val="4E965456"/>
    <w:lvl w:ilvl="0" w:tplc="1430B29A">
      <w:start w:val="1"/>
      <w:numFmt w:val="bullet"/>
      <w:lvlText w:val="-"/>
      <w:lvlJc w:val="left"/>
      <w:pPr>
        <w:ind w:left="720" w:hanging="360"/>
      </w:pPr>
      <w:rPr>
        <w:rFonts w:ascii="Times New Roman" w:eastAsiaTheme="minorEastAsia"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9" w15:restartNumberingAfterBreak="0">
    <w:nsid w:val="64A12FA4"/>
    <w:multiLevelType w:val="multilevel"/>
    <w:tmpl w:val="BC1C158C"/>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5F29AB7"/>
    <w:multiLevelType w:val="hybridMultilevel"/>
    <w:tmpl w:val="FFFFFFFF"/>
    <w:lvl w:ilvl="0" w:tplc="58201CB0">
      <w:start w:val="1"/>
      <w:numFmt w:val="bullet"/>
      <w:lvlText w:val="·"/>
      <w:lvlJc w:val="left"/>
      <w:pPr>
        <w:ind w:left="720" w:hanging="360"/>
      </w:pPr>
      <w:rPr>
        <w:rFonts w:ascii="Symbol" w:hAnsi="Symbol" w:hint="default"/>
      </w:rPr>
    </w:lvl>
    <w:lvl w:ilvl="1" w:tplc="F21CCB48">
      <w:start w:val="1"/>
      <w:numFmt w:val="bullet"/>
      <w:lvlText w:val="o"/>
      <w:lvlJc w:val="left"/>
      <w:pPr>
        <w:ind w:left="1440" w:hanging="360"/>
      </w:pPr>
      <w:rPr>
        <w:rFonts w:ascii="Courier New" w:hAnsi="Courier New" w:hint="default"/>
      </w:rPr>
    </w:lvl>
    <w:lvl w:ilvl="2" w:tplc="FFCE4578">
      <w:start w:val="1"/>
      <w:numFmt w:val="bullet"/>
      <w:lvlText w:val=""/>
      <w:lvlJc w:val="left"/>
      <w:pPr>
        <w:ind w:left="2160" w:hanging="360"/>
      </w:pPr>
      <w:rPr>
        <w:rFonts w:ascii="Wingdings" w:hAnsi="Wingdings" w:hint="default"/>
      </w:rPr>
    </w:lvl>
    <w:lvl w:ilvl="3" w:tplc="7CAA1FD6">
      <w:start w:val="1"/>
      <w:numFmt w:val="bullet"/>
      <w:lvlText w:val=""/>
      <w:lvlJc w:val="left"/>
      <w:pPr>
        <w:ind w:left="2880" w:hanging="360"/>
      </w:pPr>
      <w:rPr>
        <w:rFonts w:ascii="Symbol" w:hAnsi="Symbol" w:hint="default"/>
      </w:rPr>
    </w:lvl>
    <w:lvl w:ilvl="4" w:tplc="AF8E51E4">
      <w:start w:val="1"/>
      <w:numFmt w:val="bullet"/>
      <w:lvlText w:val="o"/>
      <w:lvlJc w:val="left"/>
      <w:pPr>
        <w:ind w:left="3600" w:hanging="360"/>
      </w:pPr>
      <w:rPr>
        <w:rFonts w:ascii="Courier New" w:hAnsi="Courier New" w:hint="default"/>
      </w:rPr>
    </w:lvl>
    <w:lvl w:ilvl="5" w:tplc="EFFE6B0C">
      <w:start w:val="1"/>
      <w:numFmt w:val="bullet"/>
      <w:lvlText w:val=""/>
      <w:lvlJc w:val="left"/>
      <w:pPr>
        <w:ind w:left="4320" w:hanging="360"/>
      </w:pPr>
      <w:rPr>
        <w:rFonts w:ascii="Wingdings" w:hAnsi="Wingdings" w:hint="default"/>
      </w:rPr>
    </w:lvl>
    <w:lvl w:ilvl="6" w:tplc="29447762">
      <w:start w:val="1"/>
      <w:numFmt w:val="bullet"/>
      <w:lvlText w:val=""/>
      <w:lvlJc w:val="left"/>
      <w:pPr>
        <w:ind w:left="5040" w:hanging="360"/>
      </w:pPr>
      <w:rPr>
        <w:rFonts w:ascii="Symbol" w:hAnsi="Symbol" w:hint="default"/>
      </w:rPr>
    </w:lvl>
    <w:lvl w:ilvl="7" w:tplc="6E262278">
      <w:start w:val="1"/>
      <w:numFmt w:val="bullet"/>
      <w:lvlText w:val="o"/>
      <w:lvlJc w:val="left"/>
      <w:pPr>
        <w:ind w:left="5760" w:hanging="360"/>
      </w:pPr>
      <w:rPr>
        <w:rFonts w:ascii="Courier New" w:hAnsi="Courier New" w:hint="default"/>
      </w:rPr>
    </w:lvl>
    <w:lvl w:ilvl="8" w:tplc="DAA0A588">
      <w:start w:val="1"/>
      <w:numFmt w:val="bullet"/>
      <w:lvlText w:val=""/>
      <w:lvlJc w:val="left"/>
      <w:pPr>
        <w:ind w:left="6480" w:hanging="360"/>
      </w:pPr>
      <w:rPr>
        <w:rFonts w:ascii="Wingdings" w:hAnsi="Wingdings" w:hint="default"/>
      </w:rPr>
    </w:lvl>
  </w:abstractNum>
  <w:abstractNum w:abstractNumId="91" w15:restartNumberingAfterBreak="0">
    <w:nsid w:val="6611570F"/>
    <w:multiLevelType w:val="hybridMultilevel"/>
    <w:tmpl w:val="3EA0F0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92" w15:restartNumberingAfterBreak="0">
    <w:nsid w:val="664D70F5"/>
    <w:multiLevelType w:val="hybridMultilevel"/>
    <w:tmpl w:val="7926427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E5F2B"/>
    <w:multiLevelType w:val="hybridMultilevel"/>
    <w:tmpl w:val="A07C5026"/>
    <w:lvl w:ilvl="0" w:tplc="1430B29A">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5E550A"/>
    <w:multiLevelType w:val="hybridMultilevel"/>
    <w:tmpl w:val="19BCB606"/>
    <w:lvl w:ilvl="0" w:tplc="7E86793A">
      <w:start w:val="18"/>
      <w:numFmt w:val="decimal"/>
      <w:lvlText w:val="%1"/>
      <w:lvlJc w:val="left"/>
      <w:pPr>
        <w:ind w:left="720" w:hanging="360"/>
      </w:pPr>
      <w:rPr>
        <w:rFonts w:eastAsiaTheme="minorHAns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6" w15:restartNumberingAfterBreak="0">
    <w:nsid w:val="693606FA"/>
    <w:multiLevelType w:val="hybridMultilevel"/>
    <w:tmpl w:val="8D6280A4"/>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B46E49"/>
    <w:multiLevelType w:val="hybridMultilevel"/>
    <w:tmpl w:val="71CE6D68"/>
    <w:lvl w:ilvl="0" w:tplc="991C3E1E">
      <w:start w:val="1"/>
      <w:numFmt w:val="bullet"/>
      <w:lvlText w:val="-"/>
      <w:lvlJc w:val="left"/>
      <w:pPr>
        <w:ind w:left="776" w:hanging="360"/>
      </w:pPr>
      <w:rPr>
        <w:rFonts w:ascii="Calibri" w:hAnsi="Calibr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8" w15:restartNumberingAfterBreak="0">
    <w:nsid w:val="6A9F1F71"/>
    <w:multiLevelType w:val="hybridMultilevel"/>
    <w:tmpl w:val="BBD8C89C"/>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B65415B"/>
    <w:multiLevelType w:val="hybridMultilevel"/>
    <w:tmpl w:val="E76CD6BE"/>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7957C5"/>
    <w:multiLevelType w:val="hybridMultilevel"/>
    <w:tmpl w:val="CB48133E"/>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A97145"/>
    <w:multiLevelType w:val="hybridMultilevel"/>
    <w:tmpl w:val="4A84F69C"/>
    <w:lvl w:ilvl="0" w:tplc="B8D40F1C">
      <w:start w:val="1"/>
      <w:numFmt w:val="bullet"/>
      <w:lvlText w:val="-"/>
      <w:lvlJc w:val="left"/>
      <w:pPr>
        <w:ind w:left="1080" w:hanging="72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CD3309"/>
    <w:multiLevelType w:val="hybridMultilevel"/>
    <w:tmpl w:val="4A983824"/>
    <w:lvl w:ilvl="0" w:tplc="991C3E1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E050C4A"/>
    <w:multiLevelType w:val="hybridMultilevel"/>
    <w:tmpl w:val="505EAFF8"/>
    <w:lvl w:ilvl="0" w:tplc="991C3E1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5E64AD"/>
    <w:multiLevelType w:val="hybridMultilevel"/>
    <w:tmpl w:val="300A349C"/>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477B84"/>
    <w:multiLevelType w:val="hybridMultilevel"/>
    <w:tmpl w:val="4692BC9C"/>
    <w:lvl w:ilvl="0" w:tplc="78643290">
      <w:start w:val="1"/>
      <w:numFmt w:val="decimal"/>
      <w:lvlText w:val="%1."/>
      <w:lvlJc w:val="left"/>
      <w:pPr>
        <w:ind w:left="1210" w:hanging="360"/>
      </w:pPr>
      <w:rPr>
        <w:rFonts w:eastAsiaTheme="minorHAnsi" w:cstheme="minorBidi"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106" w15:restartNumberingAfterBreak="0">
    <w:nsid w:val="721726FF"/>
    <w:multiLevelType w:val="hybridMultilevel"/>
    <w:tmpl w:val="FFFFFFFF"/>
    <w:lvl w:ilvl="0" w:tplc="98380C30">
      <w:start w:val="3"/>
      <w:numFmt w:val="decimal"/>
      <w:lvlText w:val="%1."/>
      <w:lvlJc w:val="left"/>
      <w:pPr>
        <w:ind w:left="720" w:hanging="360"/>
      </w:pPr>
      <w:rPr>
        <w:rFonts w:ascii="Arial" w:hAnsi="Arial" w:hint="default"/>
      </w:rPr>
    </w:lvl>
    <w:lvl w:ilvl="1" w:tplc="DD021EF2">
      <w:start w:val="1"/>
      <w:numFmt w:val="lowerLetter"/>
      <w:lvlText w:val="%2."/>
      <w:lvlJc w:val="left"/>
      <w:pPr>
        <w:ind w:left="1440" w:hanging="360"/>
      </w:pPr>
    </w:lvl>
    <w:lvl w:ilvl="2" w:tplc="AC98F804">
      <w:start w:val="1"/>
      <w:numFmt w:val="lowerRoman"/>
      <w:lvlText w:val="%3."/>
      <w:lvlJc w:val="right"/>
      <w:pPr>
        <w:ind w:left="2160" w:hanging="180"/>
      </w:pPr>
    </w:lvl>
    <w:lvl w:ilvl="3" w:tplc="389E5DE2">
      <w:start w:val="1"/>
      <w:numFmt w:val="decimal"/>
      <w:lvlText w:val="%4."/>
      <w:lvlJc w:val="left"/>
      <w:pPr>
        <w:ind w:left="2880" w:hanging="360"/>
      </w:pPr>
    </w:lvl>
    <w:lvl w:ilvl="4" w:tplc="365EFD8C">
      <w:start w:val="1"/>
      <w:numFmt w:val="lowerLetter"/>
      <w:lvlText w:val="%5."/>
      <w:lvlJc w:val="left"/>
      <w:pPr>
        <w:ind w:left="3600" w:hanging="360"/>
      </w:pPr>
    </w:lvl>
    <w:lvl w:ilvl="5" w:tplc="A1AE07A0">
      <w:start w:val="1"/>
      <w:numFmt w:val="lowerRoman"/>
      <w:lvlText w:val="%6."/>
      <w:lvlJc w:val="right"/>
      <w:pPr>
        <w:ind w:left="4320" w:hanging="180"/>
      </w:pPr>
    </w:lvl>
    <w:lvl w:ilvl="6" w:tplc="D096CB8E">
      <w:start w:val="1"/>
      <w:numFmt w:val="decimal"/>
      <w:lvlText w:val="%7."/>
      <w:lvlJc w:val="left"/>
      <w:pPr>
        <w:ind w:left="5040" w:hanging="360"/>
      </w:pPr>
    </w:lvl>
    <w:lvl w:ilvl="7" w:tplc="9BDCC560">
      <w:start w:val="1"/>
      <w:numFmt w:val="lowerLetter"/>
      <w:lvlText w:val="%8."/>
      <w:lvlJc w:val="left"/>
      <w:pPr>
        <w:ind w:left="5760" w:hanging="360"/>
      </w:pPr>
    </w:lvl>
    <w:lvl w:ilvl="8" w:tplc="8C92628C">
      <w:start w:val="1"/>
      <w:numFmt w:val="lowerRoman"/>
      <w:lvlText w:val="%9."/>
      <w:lvlJc w:val="right"/>
      <w:pPr>
        <w:ind w:left="6480" w:hanging="180"/>
      </w:pPr>
    </w:lvl>
  </w:abstractNum>
  <w:abstractNum w:abstractNumId="107" w15:restartNumberingAfterBreak="0">
    <w:nsid w:val="72770BB9"/>
    <w:multiLevelType w:val="hybridMultilevel"/>
    <w:tmpl w:val="B61263DC"/>
    <w:lvl w:ilvl="0" w:tplc="CDB2D0AC">
      <w:start w:val="1"/>
      <w:numFmt w:val="lowerRoman"/>
      <w:lvlText w:val="%1)"/>
      <w:lvlJc w:val="left"/>
      <w:pPr>
        <w:ind w:left="720" w:hanging="360"/>
      </w:pPr>
      <w:rPr>
        <w:rFont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8" w15:restartNumberingAfterBreak="0">
    <w:nsid w:val="72AE595F"/>
    <w:multiLevelType w:val="hybridMultilevel"/>
    <w:tmpl w:val="11FA201C"/>
    <w:lvl w:ilvl="0" w:tplc="3B1621C6">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9" w15:restartNumberingAfterBreak="0">
    <w:nsid w:val="73DE680C"/>
    <w:multiLevelType w:val="hybridMultilevel"/>
    <w:tmpl w:val="E2D254FE"/>
    <w:lvl w:ilvl="0" w:tplc="786419CC">
      <w:start w:val="1"/>
      <w:numFmt w:val="bullet"/>
      <w:lvlText w:val="-"/>
      <w:lvlJc w:val="left"/>
      <w:pPr>
        <w:ind w:left="720" w:hanging="360"/>
      </w:pPr>
      <w:rPr>
        <w:rFonts w:ascii="MS Mincho" w:eastAsiaTheme="minorHAnsi" w:hAnsi="MS Mincho" w:cs="MS Mincho" w:hint="default"/>
      </w:rPr>
    </w:lvl>
    <w:lvl w:ilvl="1" w:tplc="18090003">
      <w:start w:val="1"/>
      <w:numFmt w:val="bullet"/>
      <w:lvlText w:val="o"/>
      <w:lvlJc w:val="left"/>
      <w:pPr>
        <w:ind w:left="1440" w:hanging="360"/>
      </w:pPr>
      <w:rPr>
        <w:rFonts w:ascii="Segoe UI Emoji" w:hAnsi="Segoe UI Emoji" w:cs="Segoe UI Emoji" w:hint="default"/>
      </w:rPr>
    </w:lvl>
    <w:lvl w:ilvl="2" w:tplc="18090005" w:tentative="1">
      <w:start w:val="1"/>
      <w:numFmt w:val="bullet"/>
      <w:lvlText w:val=""/>
      <w:lvlJc w:val="left"/>
      <w:pPr>
        <w:ind w:left="2160" w:hanging="360"/>
      </w:pPr>
      <w:rPr>
        <w:rFonts w:ascii="@MS Mincho" w:hAnsi="@MS Mincho" w:hint="default"/>
      </w:rPr>
    </w:lvl>
    <w:lvl w:ilvl="3" w:tplc="18090001" w:tentative="1">
      <w:start w:val="1"/>
      <w:numFmt w:val="bullet"/>
      <w:lvlText w:val=""/>
      <w:lvlJc w:val="left"/>
      <w:pPr>
        <w:ind w:left="2880" w:hanging="360"/>
      </w:pPr>
      <w:rPr>
        <w:rFonts w:ascii="Times New Roman félkövér" w:hAnsi="Times New Roman félkövér" w:hint="default"/>
      </w:rPr>
    </w:lvl>
    <w:lvl w:ilvl="4" w:tplc="18090003" w:tentative="1">
      <w:start w:val="1"/>
      <w:numFmt w:val="bullet"/>
      <w:lvlText w:val="o"/>
      <w:lvlJc w:val="left"/>
      <w:pPr>
        <w:ind w:left="3600" w:hanging="360"/>
      </w:pPr>
      <w:rPr>
        <w:rFonts w:ascii="Segoe UI Emoji" w:hAnsi="Segoe UI Emoji" w:cs="Segoe UI Emoji" w:hint="default"/>
      </w:rPr>
    </w:lvl>
    <w:lvl w:ilvl="5" w:tplc="18090005" w:tentative="1">
      <w:start w:val="1"/>
      <w:numFmt w:val="bullet"/>
      <w:lvlText w:val=""/>
      <w:lvlJc w:val="left"/>
      <w:pPr>
        <w:ind w:left="4320" w:hanging="360"/>
      </w:pPr>
      <w:rPr>
        <w:rFonts w:ascii="@MS Mincho" w:hAnsi="@MS Mincho" w:hint="default"/>
      </w:rPr>
    </w:lvl>
    <w:lvl w:ilvl="6" w:tplc="18090001" w:tentative="1">
      <w:start w:val="1"/>
      <w:numFmt w:val="bullet"/>
      <w:lvlText w:val=""/>
      <w:lvlJc w:val="left"/>
      <w:pPr>
        <w:ind w:left="5040" w:hanging="360"/>
      </w:pPr>
      <w:rPr>
        <w:rFonts w:ascii="Times New Roman félkövér" w:hAnsi="Times New Roman félkövér" w:hint="default"/>
      </w:rPr>
    </w:lvl>
    <w:lvl w:ilvl="7" w:tplc="18090003" w:tentative="1">
      <w:start w:val="1"/>
      <w:numFmt w:val="bullet"/>
      <w:lvlText w:val="o"/>
      <w:lvlJc w:val="left"/>
      <w:pPr>
        <w:ind w:left="5760" w:hanging="360"/>
      </w:pPr>
      <w:rPr>
        <w:rFonts w:ascii="Segoe UI Emoji" w:hAnsi="Segoe UI Emoji" w:cs="Segoe UI Emoji" w:hint="default"/>
      </w:rPr>
    </w:lvl>
    <w:lvl w:ilvl="8" w:tplc="18090005" w:tentative="1">
      <w:start w:val="1"/>
      <w:numFmt w:val="bullet"/>
      <w:lvlText w:val=""/>
      <w:lvlJc w:val="left"/>
      <w:pPr>
        <w:ind w:left="6480" w:hanging="360"/>
      </w:pPr>
      <w:rPr>
        <w:rFonts w:ascii="@MS Mincho" w:hAnsi="@MS Mincho" w:hint="default"/>
      </w:rPr>
    </w:lvl>
  </w:abstractNum>
  <w:abstractNum w:abstractNumId="110" w15:restartNumberingAfterBreak="0">
    <w:nsid w:val="743FC4E8"/>
    <w:multiLevelType w:val="hybridMultilevel"/>
    <w:tmpl w:val="FFFFFFFF"/>
    <w:lvl w:ilvl="0" w:tplc="68E0B802">
      <w:start w:val="7"/>
      <w:numFmt w:val="decimal"/>
      <w:lvlText w:val="%1."/>
      <w:lvlJc w:val="left"/>
      <w:pPr>
        <w:ind w:left="720" w:hanging="360"/>
      </w:pPr>
      <w:rPr>
        <w:rFonts w:ascii="Arial" w:hAnsi="Arial" w:hint="default"/>
      </w:rPr>
    </w:lvl>
    <w:lvl w:ilvl="1" w:tplc="95AEC662">
      <w:start w:val="1"/>
      <w:numFmt w:val="lowerLetter"/>
      <w:lvlText w:val="%2."/>
      <w:lvlJc w:val="left"/>
      <w:pPr>
        <w:ind w:left="1440" w:hanging="360"/>
      </w:pPr>
    </w:lvl>
    <w:lvl w:ilvl="2" w:tplc="298A1246">
      <w:start w:val="1"/>
      <w:numFmt w:val="lowerRoman"/>
      <w:lvlText w:val="%3."/>
      <w:lvlJc w:val="right"/>
      <w:pPr>
        <w:ind w:left="2160" w:hanging="180"/>
      </w:pPr>
    </w:lvl>
    <w:lvl w:ilvl="3" w:tplc="73F03BEA">
      <w:start w:val="1"/>
      <w:numFmt w:val="decimal"/>
      <w:lvlText w:val="%4."/>
      <w:lvlJc w:val="left"/>
      <w:pPr>
        <w:ind w:left="2880" w:hanging="360"/>
      </w:pPr>
    </w:lvl>
    <w:lvl w:ilvl="4" w:tplc="0FE29DB2">
      <w:start w:val="1"/>
      <w:numFmt w:val="lowerLetter"/>
      <w:lvlText w:val="%5."/>
      <w:lvlJc w:val="left"/>
      <w:pPr>
        <w:ind w:left="3600" w:hanging="360"/>
      </w:pPr>
    </w:lvl>
    <w:lvl w:ilvl="5" w:tplc="5A98CA7C">
      <w:start w:val="1"/>
      <w:numFmt w:val="lowerRoman"/>
      <w:lvlText w:val="%6."/>
      <w:lvlJc w:val="right"/>
      <w:pPr>
        <w:ind w:left="4320" w:hanging="180"/>
      </w:pPr>
    </w:lvl>
    <w:lvl w:ilvl="6" w:tplc="A2B0AE06">
      <w:start w:val="1"/>
      <w:numFmt w:val="decimal"/>
      <w:lvlText w:val="%7."/>
      <w:lvlJc w:val="left"/>
      <w:pPr>
        <w:ind w:left="5040" w:hanging="360"/>
      </w:pPr>
    </w:lvl>
    <w:lvl w:ilvl="7" w:tplc="94F03984">
      <w:start w:val="1"/>
      <w:numFmt w:val="lowerLetter"/>
      <w:lvlText w:val="%8."/>
      <w:lvlJc w:val="left"/>
      <w:pPr>
        <w:ind w:left="5760" w:hanging="360"/>
      </w:pPr>
    </w:lvl>
    <w:lvl w:ilvl="8" w:tplc="F01E3496">
      <w:start w:val="1"/>
      <w:numFmt w:val="lowerRoman"/>
      <w:lvlText w:val="%9."/>
      <w:lvlJc w:val="right"/>
      <w:pPr>
        <w:ind w:left="6480" w:hanging="180"/>
      </w:pPr>
    </w:lvl>
  </w:abstractNum>
  <w:abstractNum w:abstractNumId="111" w15:restartNumberingAfterBreak="0">
    <w:nsid w:val="74C36343"/>
    <w:multiLevelType w:val="hybridMultilevel"/>
    <w:tmpl w:val="FFFFFFFF"/>
    <w:lvl w:ilvl="0" w:tplc="18FE0878">
      <w:start w:val="1"/>
      <w:numFmt w:val="decimal"/>
      <w:lvlText w:val="%1."/>
      <w:lvlJc w:val="left"/>
      <w:pPr>
        <w:ind w:left="720" w:hanging="360"/>
      </w:pPr>
    </w:lvl>
    <w:lvl w:ilvl="1" w:tplc="30F481D2">
      <w:start w:val="1"/>
      <w:numFmt w:val="lowerLetter"/>
      <w:lvlText w:val="%2."/>
      <w:lvlJc w:val="left"/>
      <w:pPr>
        <w:ind w:left="1440" w:hanging="360"/>
      </w:pPr>
    </w:lvl>
    <w:lvl w:ilvl="2" w:tplc="BC2A330E">
      <w:start w:val="1"/>
      <w:numFmt w:val="lowerRoman"/>
      <w:lvlText w:val="%3."/>
      <w:lvlJc w:val="right"/>
      <w:pPr>
        <w:ind w:left="2160" w:hanging="180"/>
      </w:pPr>
    </w:lvl>
    <w:lvl w:ilvl="3" w:tplc="0AD85EA2">
      <w:start w:val="1"/>
      <w:numFmt w:val="decimal"/>
      <w:lvlText w:val="%4."/>
      <w:lvlJc w:val="left"/>
      <w:pPr>
        <w:ind w:left="2880" w:hanging="360"/>
      </w:pPr>
    </w:lvl>
    <w:lvl w:ilvl="4" w:tplc="EFE821FA">
      <w:start w:val="1"/>
      <w:numFmt w:val="lowerLetter"/>
      <w:lvlText w:val="%5."/>
      <w:lvlJc w:val="left"/>
      <w:pPr>
        <w:ind w:left="3600" w:hanging="360"/>
      </w:pPr>
    </w:lvl>
    <w:lvl w:ilvl="5" w:tplc="EF6A7952">
      <w:start w:val="1"/>
      <w:numFmt w:val="lowerRoman"/>
      <w:lvlText w:val="%6."/>
      <w:lvlJc w:val="right"/>
      <w:pPr>
        <w:ind w:left="4320" w:hanging="180"/>
      </w:pPr>
    </w:lvl>
    <w:lvl w:ilvl="6" w:tplc="AA54EB3A">
      <w:start w:val="1"/>
      <w:numFmt w:val="decimal"/>
      <w:lvlText w:val="%7."/>
      <w:lvlJc w:val="left"/>
      <w:pPr>
        <w:ind w:left="5040" w:hanging="360"/>
      </w:pPr>
    </w:lvl>
    <w:lvl w:ilvl="7" w:tplc="A3E27F76">
      <w:start w:val="1"/>
      <w:numFmt w:val="lowerLetter"/>
      <w:lvlText w:val="%8."/>
      <w:lvlJc w:val="left"/>
      <w:pPr>
        <w:ind w:left="5760" w:hanging="360"/>
      </w:pPr>
    </w:lvl>
    <w:lvl w:ilvl="8" w:tplc="715AFDE4">
      <w:start w:val="1"/>
      <w:numFmt w:val="lowerRoman"/>
      <w:lvlText w:val="%9."/>
      <w:lvlJc w:val="right"/>
      <w:pPr>
        <w:ind w:left="6480" w:hanging="180"/>
      </w:pPr>
    </w:lvl>
  </w:abstractNum>
  <w:abstractNum w:abstractNumId="112" w15:restartNumberingAfterBreak="0">
    <w:nsid w:val="74EFE3A3"/>
    <w:multiLevelType w:val="hybridMultilevel"/>
    <w:tmpl w:val="FFFFFFFF"/>
    <w:lvl w:ilvl="0" w:tplc="D40AFDD8">
      <w:start w:val="1"/>
      <w:numFmt w:val="bullet"/>
      <w:lvlText w:val="-"/>
      <w:lvlJc w:val="left"/>
      <w:pPr>
        <w:ind w:left="720" w:hanging="360"/>
      </w:pPr>
      <w:rPr>
        <w:rFonts w:ascii="Calibri" w:hAnsi="Calibri" w:hint="default"/>
      </w:rPr>
    </w:lvl>
    <w:lvl w:ilvl="1" w:tplc="D1B00D96">
      <w:start w:val="1"/>
      <w:numFmt w:val="bullet"/>
      <w:lvlText w:val="o"/>
      <w:lvlJc w:val="left"/>
      <w:pPr>
        <w:ind w:left="1440" w:hanging="360"/>
      </w:pPr>
      <w:rPr>
        <w:rFonts w:ascii="Courier New" w:hAnsi="Courier New" w:hint="default"/>
      </w:rPr>
    </w:lvl>
    <w:lvl w:ilvl="2" w:tplc="A9468258">
      <w:start w:val="1"/>
      <w:numFmt w:val="bullet"/>
      <w:lvlText w:val=""/>
      <w:lvlJc w:val="left"/>
      <w:pPr>
        <w:ind w:left="2160" w:hanging="360"/>
      </w:pPr>
      <w:rPr>
        <w:rFonts w:ascii="Wingdings" w:hAnsi="Wingdings" w:hint="default"/>
      </w:rPr>
    </w:lvl>
    <w:lvl w:ilvl="3" w:tplc="017AF1BE">
      <w:start w:val="1"/>
      <w:numFmt w:val="bullet"/>
      <w:lvlText w:val=""/>
      <w:lvlJc w:val="left"/>
      <w:pPr>
        <w:ind w:left="2880" w:hanging="360"/>
      </w:pPr>
      <w:rPr>
        <w:rFonts w:ascii="Symbol" w:hAnsi="Symbol" w:hint="default"/>
      </w:rPr>
    </w:lvl>
    <w:lvl w:ilvl="4" w:tplc="C460106C">
      <w:start w:val="1"/>
      <w:numFmt w:val="bullet"/>
      <w:lvlText w:val="o"/>
      <w:lvlJc w:val="left"/>
      <w:pPr>
        <w:ind w:left="3600" w:hanging="360"/>
      </w:pPr>
      <w:rPr>
        <w:rFonts w:ascii="Courier New" w:hAnsi="Courier New" w:hint="default"/>
      </w:rPr>
    </w:lvl>
    <w:lvl w:ilvl="5" w:tplc="7AF2F49E">
      <w:start w:val="1"/>
      <w:numFmt w:val="bullet"/>
      <w:lvlText w:val=""/>
      <w:lvlJc w:val="left"/>
      <w:pPr>
        <w:ind w:left="4320" w:hanging="360"/>
      </w:pPr>
      <w:rPr>
        <w:rFonts w:ascii="Wingdings" w:hAnsi="Wingdings" w:hint="default"/>
      </w:rPr>
    </w:lvl>
    <w:lvl w:ilvl="6" w:tplc="0A64F4B2">
      <w:start w:val="1"/>
      <w:numFmt w:val="bullet"/>
      <w:lvlText w:val=""/>
      <w:lvlJc w:val="left"/>
      <w:pPr>
        <w:ind w:left="5040" w:hanging="360"/>
      </w:pPr>
      <w:rPr>
        <w:rFonts w:ascii="Symbol" w:hAnsi="Symbol" w:hint="default"/>
      </w:rPr>
    </w:lvl>
    <w:lvl w:ilvl="7" w:tplc="1B526E5E">
      <w:start w:val="1"/>
      <w:numFmt w:val="bullet"/>
      <w:lvlText w:val="o"/>
      <w:lvlJc w:val="left"/>
      <w:pPr>
        <w:ind w:left="5760" w:hanging="360"/>
      </w:pPr>
      <w:rPr>
        <w:rFonts w:ascii="Courier New" w:hAnsi="Courier New" w:hint="default"/>
      </w:rPr>
    </w:lvl>
    <w:lvl w:ilvl="8" w:tplc="A08E0D68">
      <w:start w:val="1"/>
      <w:numFmt w:val="bullet"/>
      <w:lvlText w:val=""/>
      <w:lvlJc w:val="left"/>
      <w:pPr>
        <w:ind w:left="6480" w:hanging="360"/>
      </w:pPr>
      <w:rPr>
        <w:rFonts w:ascii="Wingdings" w:hAnsi="Wingdings" w:hint="default"/>
      </w:rPr>
    </w:lvl>
  </w:abstractNum>
  <w:abstractNum w:abstractNumId="113" w15:restartNumberingAfterBreak="0">
    <w:nsid w:val="760233E5"/>
    <w:multiLevelType w:val="hybridMultilevel"/>
    <w:tmpl w:val="FFFFFFFF"/>
    <w:lvl w:ilvl="0" w:tplc="7C04136C">
      <w:start w:val="4"/>
      <w:numFmt w:val="decimal"/>
      <w:lvlText w:val="%1."/>
      <w:lvlJc w:val="left"/>
      <w:pPr>
        <w:ind w:left="720" w:hanging="360"/>
      </w:pPr>
      <w:rPr>
        <w:rFonts w:ascii="Arial" w:hAnsi="Arial" w:hint="default"/>
      </w:rPr>
    </w:lvl>
    <w:lvl w:ilvl="1" w:tplc="62AA8E5E">
      <w:start w:val="1"/>
      <w:numFmt w:val="lowerLetter"/>
      <w:lvlText w:val="%2."/>
      <w:lvlJc w:val="left"/>
      <w:pPr>
        <w:ind w:left="1440" w:hanging="360"/>
      </w:pPr>
    </w:lvl>
    <w:lvl w:ilvl="2" w:tplc="1632CA88">
      <w:start w:val="1"/>
      <w:numFmt w:val="lowerRoman"/>
      <w:lvlText w:val="%3."/>
      <w:lvlJc w:val="right"/>
      <w:pPr>
        <w:ind w:left="2160" w:hanging="180"/>
      </w:pPr>
    </w:lvl>
    <w:lvl w:ilvl="3" w:tplc="5394B2C6">
      <w:start w:val="1"/>
      <w:numFmt w:val="decimal"/>
      <w:lvlText w:val="%4."/>
      <w:lvlJc w:val="left"/>
      <w:pPr>
        <w:ind w:left="2880" w:hanging="360"/>
      </w:pPr>
    </w:lvl>
    <w:lvl w:ilvl="4" w:tplc="C2E20A78">
      <w:start w:val="1"/>
      <w:numFmt w:val="lowerLetter"/>
      <w:lvlText w:val="%5."/>
      <w:lvlJc w:val="left"/>
      <w:pPr>
        <w:ind w:left="3600" w:hanging="360"/>
      </w:pPr>
    </w:lvl>
    <w:lvl w:ilvl="5" w:tplc="EEDE72C8">
      <w:start w:val="1"/>
      <w:numFmt w:val="lowerRoman"/>
      <w:lvlText w:val="%6."/>
      <w:lvlJc w:val="right"/>
      <w:pPr>
        <w:ind w:left="4320" w:hanging="180"/>
      </w:pPr>
    </w:lvl>
    <w:lvl w:ilvl="6" w:tplc="F2F8A98C">
      <w:start w:val="1"/>
      <w:numFmt w:val="decimal"/>
      <w:lvlText w:val="%7."/>
      <w:lvlJc w:val="left"/>
      <w:pPr>
        <w:ind w:left="5040" w:hanging="360"/>
      </w:pPr>
    </w:lvl>
    <w:lvl w:ilvl="7" w:tplc="015C6054">
      <w:start w:val="1"/>
      <w:numFmt w:val="lowerLetter"/>
      <w:lvlText w:val="%8."/>
      <w:lvlJc w:val="left"/>
      <w:pPr>
        <w:ind w:left="5760" w:hanging="360"/>
      </w:pPr>
    </w:lvl>
    <w:lvl w:ilvl="8" w:tplc="E7A68F56">
      <w:start w:val="1"/>
      <w:numFmt w:val="lowerRoman"/>
      <w:lvlText w:val="%9."/>
      <w:lvlJc w:val="right"/>
      <w:pPr>
        <w:ind w:left="6480" w:hanging="180"/>
      </w:pPr>
    </w:lvl>
  </w:abstractNum>
  <w:abstractNum w:abstractNumId="114" w15:restartNumberingAfterBreak="0">
    <w:nsid w:val="76D06977"/>
    <w:multiLevelType w:val="hybridMultilevel"/>
    <w:tmpl w:val="42E4798A"/>
    <w:lvl w:ilvl="0" w:tplc="991C3E1E">
      <w:start w:val="1"/>
      <w:numFmt w:val="bullet"/>
      <w:lvlText w:val="-"/>
      <w:lvlJc w:val="left"/>
      <w:pPr>
        <w:ind w:left="1080" w:hanging="720"/>
      </w:pPr>
      <w:rPr>
        <w:rFonts w:ascii="Calibri" w:hAnsi="Calibri" w:hint="default"/>
      </w:rPr>
    </w:lvl>
    <w:lvl w:ilvl="1" w:tplc="548ABFEE">
      <w:start w:val="1"/>
      <w:numFmt w:val="decimal"/>
      <w:lvlText w:val="%2."/>
      <w:lvlJc w:val="left"/>
      <w:pPr>
        <w:ind w:left="1440" w:hanging="360"/>
      </w:pPr>
      <w:rPr>
        <w:rFonts w:hint="default"/>
      </w:rPr>
    </w:lvl>
    <w:lvl w:ilvl="2" w:tplc="450EA25E">
      <w:start w:val="1"/>
      <w:numFmt w:val="lowerRoman"/>
      <w:lvlText w:val="(%3)"/>
      <w:lvlJc w:val="left"/>
      <w:pPr>
        <w:ind w:left="2700" w:hanging="72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5" w15:restartNumberingAfterBreak="0">
    <w:nsid w:val="775F47F8"/>
    <w:multiLevelType w:val="hybridMultilevel"/>
    <w:tmpl w:val="6E3A0784"/>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6" w15:restartNumberingAfterBreak="0">
    <w:nsid w:val="779C80A7"/>
    <w:multiLevelType w:val="hybridMultilevel"/>
    <w:tmpl w:val="FFFFFFFF"/>
    <w:lvl w:ilvl="0" w:tplc="54163D2E">
      <w:start w:val="1"/>
      <w:numFmt w:val="bullet"/>
      <w:lvlText w:val=""/>
      <w:lvlJc w:val="left"/>
      <w:pPr>
        <w:ind w:left="720" w:hanging="360"/>
      </w:pPr>
      <w:rPr>
        <w:rFonts w:ascii="Times New Roman félkövér" w:hAnsi="Times New Roman félkövér" w:hint="default"/>
      </w:rPr>
    </w:lvl>
    <w:lvl w:ilvl="1" w:tplc="59C8D084">
      <w:start w:val="1"/>
      <w:numFmt w:val="bullet"/>
      <w:lvlText w:val="o"/>
      <w:lvlJc w:val="left"/>
      <w:pPr>
        <w:ind w:left="1440" w:hanging="360"/>
      </w:pPr>
      <w:rPr>
        <w:rFonts w:ascii="@MS Mincho" w:hAnsi="@MS Mincho" w:hint="default"/>
      </w:rPr>
    </w:lvl>
    <w:lvl w:ilvl="2" w:tplc="F878DE84">
      <w:start w:val="1"/>
      <w:numFmt w:val="bullet"/>
      <w:lvlText w:val=""/>
      <w:lvlJc w:val="left"/>
      <w:pPr>
        <w:ind w:left="2160" w:hanging="360"/>
      </w:pPr>
      <w:rPr>
        <w:rFonts w:ascii="MS Mincho" w:hAnsi="MS Mincho" w:hint="default"/>
      </w:rPr>
    </w:lvl>
    <w:lvl w:ilvl="3" w:tplc="02A253C2">
      <w:start w:val="1"/>
      <w:numFmt w:val="bullet"/>
      <w:lvlText w:val=""/>
      <w:lvlJc w:val="left"/>
      <w:pPr>
        <w:ind w:left="2880" w:hanging="360"/>
      </w:pPr>
      <w:rPr>
        <w:rFonts w:ascii="Times New Roman félkövér" w:hAnsi="Times New Roman félkövér" w:hint="default"/>
      </w:rPr>
    </w:lvl>
    <w:lvl w:ilvl="4" w:tplc="9AFC300C">
      <w:start w:val="1"/>
      <w:numFmt w:val="bullet"/>
      <w:lvlText w:val="o"/>
      <w:lvlJc w:val="left"/>
      <w:pPr>
        <w:ind w:left="3600" w:hanging="360"/>
      </w:pPr>
      <w:rPr>
        <w:rFonts w:ascii="@MS Mincho" w:hAnsi="@MS Mincho" w:hint="default"/>
      </w:rPr>
    </w:lvl>
    <w:lvl w:ilvl="5" w:tplc="C7EC5E7C">
      <w:start w:val="1"/>
      <w:numFmt w:val="bullet"/>
      <w:lvlText w:val=""/>
      <w:lvlJc w:val="left"/>
      <w:pPr>
        <w:ind w:left="4320" w:hanging="360"/>
      </w:pPr>
      <w:rPr>
        <w:rFonts w:ascii="MS Mincho" w:hAnsi="MS Mincho" w:hint="default"/>
      </w:rPr>
    </w:lvl>
    <w:lvl w:ilvl="6" w:tplc="3A4CF30A">
      <w:start w:val="1"/>
      <w:numFmt w:val="bullet"/>
      <w:lvlText w:val=""/>
      <w:lvlJc w:val="left"/>
      <w:pPr>
        <w:ind w:left="5040" w:hanging="360"/>
      </w:pPr>
      <w:rPr>
        <w:rFonts w:ascii="Times New Roman félkövér" w:hAnsi="Times New Roman félkövér" w:hint="default"/>
      </w:rPr>
    </w:lvl>
    <w:lvl w:ilvl="7" w:tplc="541E8A4E">
      <w:start w:val="1"/>
      <w:numFmt w:val="bullet"/>
      <w:lvlText w:val="o"/>
      <w:lvlJc w:val="left"/>
      <w:pPr>
        <w:ind w:left="5760" w:hanging="360"/>
      </w:pPr>
      <w:rPr>
        <w:rFonts w:ascii="@MS Mincho" w:hAnsi="@MS Mincho" w:hint="default"/>
      </w:rPr>
    </w:lvl>
    <w:lvl w:ilvl="8" w:tplc="4D926666">
      <w:start w:val="1"/>
      <w:numFmt w:val="bullet"/>
      <w:lvlText w:val=""/>
      <w:lvlJc w:val="left"/>
      <w:pPr>
        <w:ind w:left="6480" w:hanging="360"/>
      </w:pPr>
      <w:rPr>
        <w:rFonts w:ascii="MS Mincho" w:hAnsi="MS Mincho" w:hint="default"/>
      </w:rPr>
    </w:lvl>
  </w:abstractNum>
  <w:abstractNum w:abstractNumId="117" w15:restartNumberingAfterBreak="0">
    <w:nsid w:val="78262A7E"/>
    <w:multiLevelType w:val="hybridMultilevel"/>
    <w:tmpl w:val="9CA2A382"/>
    <w:lvl w:ilvl="0" w:tplc="991C3E1E">
      <w:start w:val="1"/>
      <w:numFmt w:val="bullet"/>
      <w:lvlText w:val="-"/>
      <w:lvlJc w:val="left"/>
      <w:pPr>
        <w:ind w:left="720" w:hanging="360"/>
      </w:pPr>
      <w:rPr>
        <w:rFonts w:ascii="Calibri" w:hAnsi="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8" w15:restartNumberingAfterBreak="0">
    <w:nsid w:val="793F767C"/>
    <w:multiLevelType w:val="hybridMultilevel"/>
    <w:tmpl w:val="FFFFFFFF"/>
    <w:lvl w:ilvl="0" w:tplc="B324EFFE">
      <w:start w:val="1"/>
      <w:numFmt w:val="bullet"/>
      <w:lvlText w:val=""/>
      <w:lvlJc w:val="left"/>
      <w:pPr>
        <w:ind w:left="720" w:hanging="360"/>
      </w:pPr>
      <w:rPr>
        <w:rFonts w:ascii="Symbol" w:hAnsi="Symbol" w:hint="default"/>
      </w:rPr>
    </w:lvl>
    <w:lvl w:ilvl="1" w:tplc="756C3CEE">
      <w:start w:val="1"/>
      <w:numFmt w:val="bullet"/>
      <w:lvlText w:val="o"/>
      <w:lvlJc w:val="left"/>
      <w:pPr>
        <w:ind w:left="1440" w:hanging="360"/>
      </w:pPr>
      <w:rPr>
        <w:rFonts w:ascii="Courier New" w:hAnsi="Courier New" w:hint="default"/>
      </w:rPr>
    </w:lvl>
    <w:lvl w:ilvl="2" w:tplc="01FEDD98">
      <w:start w:val="1"/>
      <w:numFmt w:val="bullet"/>
      <w:lvlText w:val=""/>
      <w:lvlJc w:val="left"/>
      <w:pPr>
        <w:ind w:left="2160" w:hanging="360"/>
      </w:pPr>
      <w:rPr>
        <w:rFonts w:ascii="Wingdings" w:hAnsi="Wingdings" w:hint="default"/>
      </w:rPr>
    </w:lvl>
    <w:lvl w:ilvl="3" w:tplc="A0069A78">
      <w:start w:val="1"/>
      <w:numFmt w:val="bullet"/>
      <w:lvlText w:val=""/>
      <w:lvlJc w:val="left"/>
      <w:pPr>
        <w:ind w:left="2880" w:hanging="360"/>
      </w:pPr>
      <w:rPr>
        <w:rFonts w:ascii="Symbol" w:hAnsi="Symbol" w:hint="default"/>
      </w:rPr>
    </w:lvl>
    <w:lvl w:ilvl="4" w:tplc="732A6CD8">
      <w:start w:val="1"/>
      <w:numFmt w:val="bullet"/>
      <w:lvlText w:val="o"/>
      <w:lvlJc w:val="left"/>
      <w:pPr>
        <w:ind w:left="3600" w:hanging="360"/>
      </w:pPr>
      <w:rPr>
        <w:rFonts w:ascii="Courier New" w:hAnsi="Courier New" w:hint="default"/>
      </w:rPr>
    </w:lvl>
    <w:lvl w:ilvl="5" w:tplc="113801C8">
      <w:start w:val="1"/>
      <w:numFmt w:val="bullet"/>
      <w:lvlText w:val=""/>
      <w:lvlJc w:val="left"/>
      <w:pPr>
        <w:ind w:left="4320" w:hanging="360"/>
      </w:pPr>
      <w:rPr>
        <w:rFonts w:ascii="Wingdings" w:hAnsi="Wingdings" w:hint="default"/>
      </w:rPr>
    </w:lvl>
    <w:lvl w:ilvl="6" w:tplc="A3DEF026">
      <w:start w:val="1"/>
      <w:numFmt w:val="bullet"/>
      <w:lvlText w:val=""/>
      <w:lvlJc w:val="left"/>
      <w:pPr>
        <w:ind w:left="5040" w:hanging="360"/>
      </w:pPr>
      <w:rPr>
        <w:rFonts w:ascii="Symbol" w:hAnsi="Symbol" w:hint="default"/>
      </w:rPr>
    </w:lvl>
    <w:lvl w:ilvl="7" w:tplc="71180BE6">
      <w:start w:val="1"/>
      <w:numFmt w:val="bullet"/>
      <w:lvlText w:val="o"/>
      <w:lvlJc w:val="left"/>
      <w:pPr>
        <w:ind w:left="5760" w:hanging="360"/>
      </w:pPr>
      <w:rPr>
        <w:rFonts w:ascii="Courier New" w:hAnsi="Courier New" w:hint="default"/>
      </w:rPr>
    </w:lvl>
    <w:lvl w:ilvl="8" w:tplc="D84EC670">
      <w:start w:val="1"/>
      <w:numFmt w:val="bullet"/>
      <w:lvlText w:val=""/>
      <w:lvlJc w:val="left"/>
      <w:pPr>
        <w:ind w:left="6480" w:hanging="360"/>
      </w:pPr>
      <w:rPr>
        <w:rFonts w:ascii="Wingdings" w:hAnsi="Wingdings" w:hint="default"/>
      </w:rPr>
    </w:lvl>
  </w:abstractNum>
  <w:abstractNum w:abstractNumId="119" w15:restartNumberingAfterBreak="0">
    <w:nsid w:val="7AE7528F"/>
    <w:multiLevelType w:val="hybridMultilevel"/>
    <w:tmpl w:val="DE7489B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egoe UI Emoji" w:hAnsi="Segoe UI Emoji" w:hint="default"/>
      </w:rPr>
    </w:lvl>
    <w:lvl w:ilvl="2" w:tplc="FFFFFFFF">
      <w:start w:val="1"/>
      <w:numFmt w:val="bullet"/>
      <w:lvlText w:val=""/>
      <w:lvlJc w:val="left"/>
      <w:pPr>
        <w:ind w:left="2160" w:hanging="360"/>
      </w:pPr>
      <w:rPr>
        <w:rFonts w:ascii="@MS Mincho" w:hAnsi="@MS Mincho" w:hint="default"/>
      </w:rPr>
    </w:lvl>
    <w:lvl w:ilvl="3" w:tplc="FFFFFFFF">
      <w:start w:val="1"/>
      <w:numFmt w:val="bullet"/>
      <w:lvlText w:val=""/>
      <w:lvlJc w:val="left"/>
      <w:pPr>
        <w:ind w:left="2880" w:hanging="360"/>
      </w:pPr>
      <w:rPr>
        <w:rFonts w:ascii="Times New Roman félkövér" w:hAnsi="Times New Roman félkövér" w:hint="default"/>
      </w:rPr>
    </w:lvl>
    <w:lvl w:ilvl="4" w:tplc="FFFFFFFF">
      <w:start w:val="1"/>
      <w:numFmt w:val="bullet"/>
      <w:lvlText w:val="o"/>
      <w:lvlJc w:val="left"/>
      <w:pPr>
        <w:ind w:left="3600" w:hanging="360"/>
      </w:pPr>
      <w:rPr>
        <w:rFonts w:ascii="Segoe UI Emoji" w:hAnsi="Segoe UI Emoji" w:hint="default"/>
      </w:rPr>
    </w:lvl>
    <w:lvl w:ilvl="5" w:tplc="FFFFFFFF">
      <w:start w:val="1"/>
      <w:numFmt w:val="bullet"/>
      <w:lvlText w:val=""/>
      <w:lvlJc w:val="left"/>
      <w:pPr>
        <w:ind w:left="4320" w:hanging="360"/>
      </w:pPr>
      <w:rPr>
        <w:rFonts w:ascii="@MS Mincho" w:hAnsi="@MS Mincho" w:hint="default"/>
      </w:rPr>
    </w:lvl>
    <w:lvl w:ilvl="6" w:tplc="FFFFFFFF">
      <w:start w:val="1"/>
      <w:numFmt w:val="bullet"/>
      <w:lvlText w:val=""/>
      <w:lvlJc w:val="left"/>
      <w:pPr>
        <w:ind w:left="5040" w:hanging="360"/>
      </w:pPr>
      <w:rPr>
        <w:rFonts w:ascii="Times New Roman félkövér" w:hAnsi="Times New Roman félkövér" w:hint="default"/>
      </w:rPr>
    </w:lvl>
    <w:lvl w:ilvl="7" w:tplc="FFFFFFFF">
      <w:start w:val="1"/>
      <w:numFmt w:val="bullet"/>
      <w:lvlText w:val="o"/>
      <w:lvlJc w:val="left"/>
      <w:pPr>
        <w:ind w:left="5760" w:hanging="360"/>
      </w:pPr>
      <w:rPr>
        <w:rFonts w:ascii="Segoe UI Emoji" w:hAnsi="Segoe UI Emoji" w:hint="default"/>
      </w:rPr>
    </w:lvl>
    <w:lvl w:ilvl="8" w:tplc="FFFFFFFF">
      <w:start w:val="1"/>
      <w:numFmt w:val="bullet"/>
      <w:lvlText w:val=""/>
      <w:lvlJc w:val="left"/>
      <w:pPr>
        <w:ind w:left="6480" w:hanging="360"/>
      </w:pPr>
      <w:rPr>
        <w:rFonts w:ascii="@MS Mincho" w:hAnsi="@MS Mincho" w:hint="default"/>
      </w:rPr>
    </w:lvl>
  </w:abstractNum>
  <w:abstractNum w:abstractNumId="1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21" w15:restartNumberingAfterBreak="0">
    <w:nsid w:val="7E3501D0"/>
    <w:multiLevelType w:val="hybridMultilevel"/>
    <w:tmpl w:val="6ADE2398"/>
    <w:lvl w:ilvl="0" w:tplc="991C3E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5E2960"/>
    <w:multiLevelType w:val="hybridMultilevel"/>
    <w:tmpl w:val="071658B8"/>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23" w15:restartNumberingAfterBreak="0">
    <w:nsid w:val="7EC4DE57"/>
    <w:multiLevelType w:val="hybridMultilevel"/>
    <w:tmpl w:val="FFFFFFFF"/>
    <w:lvl w:ilvl="0" w:tplc="D4F209E8">
      <w:start w:val="1"/>
      <w:numFmt w:val="decimal"/>
      <w:lvlText w:val="%1."/>
      <w:lvlJc w:val="left"/>
      <w:pPr>
        <w:ind w:left="720" w:hanging="360"/>
      </w:pPr>
    </w:lvl>
    <w:lvl w:ilvl="1" w:tplc="62467640">
      <w:start w:val="1"/>
      <w:numFmt w:val="lowerLetter"/>
      <w:lvlText w:val="%2."/>
      <w:lvlJc w:val="left"/>
      <w:pPr>
        <w:ind w:left="1440" w:hanging="360"/>
      </w:pPr>
    </w:lvl>
    <w:lvl w:ilvl="2" w:tplc="F086DE0E">
      <w:start w:val="1"/>
      <w:numFmt w:val="lowerRoman"/>
      <w:lvlText w:val="%3."/>
      <w:lvlJc w:val="right"/>
      <w:pPr>
        <w:ind w:left="2160" w:hanging="180"/>
      </w:pPr>
    </w:lvl>
    <w:lvl w:ilvl="3" w:tplc="7512D428">
      <w:start w:val="1"/>
      <w:numFmt w:val="decimal"/>
      <w:lvlText w:val="%4."/>
      <w:lvlJc w:val="left"/>
      <w:pPr>
        <w:ind w:left="2880" w:hanging="360"/>
      </w:pPr>
    </w:lvl>
    <w:lvl w:ilvl="4" w:tplc="A4003B70">
      <w:start w:val="1"/>
      <w:numFmt w:val="lowerLetter"/>
      <w:lvlText w:val="%5."/>
      <w:lvlJc w:val="left"/>
      <w:pPr>
        <w:ind w:left="3600" w:hanging="360"/>
      </w:pPr>
    </w:lvl>
    <w:lvl w:ilvl="5" w:tplc="ADD0A6B6">
      <w:start w:val="1"/>
      <w:numFmt w:val="lowerRoman"/>
      <w:lvlText w:val="%6."/>
      <w:lvlJc w:val="right"/>
      <w:pPr>
        <w:ind w:left="4320" w:hanging="180"/>
      </w:pPr>
    </w:lvl>
    <w:lvl w:ilvl="6" w:tplc="3F4220BC">
      <w:start w:val="1"/>
      <w:numFmt w:val="decimal"/>
      <w:lvlText w:val="%7."/>
      <w:lvlJc w:val="left"/>
      <w:pPr>
        <w:ind w:left="5040" w:hanging="360"/>
      </w:pPr>
    </w:lvl>
    <w:lvl w:ilvl="7" w:tplc="1968FFC4">
      <w:start w:val="1"/>
      <w:numFmt w:val="lowerLetter"/>
      <w:lvlText w:val="%8."/>
      <w:lvlJc w:val="left"/>
      <w:pPr>
        <w:ind w:left="5760" w:hanging="360"/>
      </w:pPr>
    </w:lvl>
    <w:lvl w:ilvl="8" w:tplc="9730985E">
      <w:start w:val="1"/>
      <w:numFmt w:val="lowerRoman"/>
      <w:lvlText w:val="%9."/>
      <w:lvlJc w:val="right"/>
      <w:pPr>
        <w:ind w:left="6480" w:hanging="180"/>
      </w:pPr>
    </w:lvl>
  </w:abstractNum>
  <w:num w:numId="1">
    <w:abstractNumId w:val="84"/>
  </w:num>
  <w:num w:numId="2">
    <w:abstractNumId w:val="56"/>
  </w:num>
  <w:num w:numId="3">
    <w:abstractNumId w:val="95"/>
  </w:num>
  <w:num w:numId="4">
    <w:abstractNumId w:val="39"/>
  </w:num>
  <w:num w:numId="5">
    <w:abstractNumId w:val="57"/>
  </w:num>
  <w:num w:numId="6">
    <w:abstractNumId w:val="30"/>
  </w:num>
  <w:num w:numId="7">
    <w:abstractNumId w:val="89"/>
  </w:num>
  <w:num w:numId="8">
    <w:abstractNumId w:val="26"/>
  </w:num>
  <w:num w:numId="9">
    <w:abstractNumId w:val="63"/>
  </w:num>
  <w:num w:numId="10">
    <w:abstractNumId w:val="80"/>
  </w:num>
  <w:num w:numId="11">
    <w:abstractNumId w:val="83"/>
  </w:num>
  <w:num w:numId="12">
    <w:abstractNumId w:val="38"/>
  </w:num>
  <w:num w:numId="13">
    <w:abstractNumId w:val="77"/>
  </w:num>
  <w:num w:numId="14">
    <w:abstractNumId w:val="120"/>
  </w:num>
  <w:num w:numId="15">
    <w:abstractNumId w:val="3"/>
  </w:num>
  <w:num w:numId="16">
    <w:abstractNumId w:val="2"/>
  </w:num>
  <w:num w:numId="17">
    <w:abstractNumId w:val="1"/>
  </w:num>
  <w:num w:numId="18">
    <w:abstractNumId w:val="0"/>
  </w:num>
  <w:num w:numId="19">
    <w:abstractNumId w:val="52"/>
  </w:num>
  <w:num w:numId="20">
    <w:abstractNumId w:val="13"/>
  </w:num>
  <w:num w:numId="21">
    <w:abstractNumId w:val="54"/>
  </w:num>
  <w:num w:numId="22">
    <w:abstractNumId w:val="11"/>
  </w:num>
  <w:num w:numId="23">
    <w:abstractNumId w:val="28"/>
  </w:num>
  <w:num w:numId="24">
    <w:abstractNumId w:val="88"/>
  </w:num>
  <w:num w:numId="25">
    <w:abstractNumId w:val="93"/>
  </w:num>
  <w:num w:numId="26">
    <w:abstractNumId w:val="47"/>
  </w:num>
  <w:num w:numId="27">
    <w:abstractNumId w:val="29"/>
  </w:num>
  <w:num w:numId="28">
    <w:abstractNumId w:val="121"/>
  </w:num>
  <w:num w:numId="29">
    <w:abstractNumId w:val="25"/>
  </w:num>
  <w:num w:numId="30">
    <w:abstractNumId w:val="68"/>
  </w:num>
  <w:num w:numId="31">
    <w:abstractNumId w:val="104"/>
  </w:num>
  <w:num w:numId="32">
    <w:abstractNumId w:val="5"/>
  </w:num>
  <w:num w:numId="33">
    <w:abstractNumId w:val="100"/>
  </w:num>
  <w:num w:numId="34">
    <w:abstractNumId w:val="97"/>
  </w:num>
  <w:num w:numId="35">
    <w:abstractNumId w:val="96"/>
  </w:num>
  <w:num w:numId="36">
    <w:abstractNumId w:val="92"/>
  </w:num>
  <w:num w:numId="37">
    <w:abstractNumId w:val="45"/>
  </w:num>
  <w:num w:numId="38">
    <w:abstractNumId w:val="35"/>
  </w:num>
  <w:num w:numId="39">
    <w:abstractNumId w:val="98"/>
  </w:num>
  <w:num w:numId="40">
    <w:abstractNumId w:val="66"/>
  </w:num>
  <w:num w:numId="41">
    <w:abstractNumId w:val="117"/>
  </w:num>
  <w:num w:numId="42">
    <w:abstractNumId w:val="107"/>
  </w:num>
  <w:num w:numId="43">
    <w:abstractNumId w:val="19"/>
  </w:num>
  <w:num w:numId="44">
    <w:abstractNumId w:val="115"/>
  </w:num>
  <w:num w:numId="45">
    <w:abstractNumId w:val="10"/>
  </w:num>
  <w:num w:numId="46">
    <w:abstractNumId w:val="114"/>
  </w:num>
  <w:num w:numId="47">
    <w:abstractNumId w:val="48"/>
  </w:num>
  <w:num w:numId="48">
    <w:abstractNumId w:val="53"/>
  </w:num>
  <w:num w:numId="49">
    <w:abstractNumId w:val="58"/>
  </w:num>
  <w:num w:numId="50">
    <w:abstractNumId w:val="64"/>
  </w:num>
  <w:num w:numId="51">
    <w:abstractNumId w:val="79"/>
  </w:num>
  <w:num w:numId="52">
    <w:abstractNumId w:val="6"/>
  </w:num>
  <w:num w:numId="53">
    <w:abstractNumId w:val="4"/>
  </w:num>
  <w:num w:numId="54">
    <w:abstractNumId w:val="22"/>
  </w:num>
  <w:num w:numId="55">
    <w:abstractNumId w:val="103"/>
  </w:num>
  <w:num w:numId="56">
    <w:abstractNumId w:val="102"/>
  </w:num>
  <w:num w:numId="57">
    <w:abstractNumId w:val="59"/>
  </w:num>
  <w:num w:numId="58">
    <w:abstractNumId w:val="62"/>
  </w:num>
  <w:num w:numId="59">
    <w:abstractNumId w:val="36"/>
  </w:num>
  <w:num w:numId="60">
    <w:abstractNumId w:val="42"/>
  </w:num>
  <w:num w:numId="61">
    <w:abstractNumId w:val="78"/>
  </w:num>
  <w:num w:numId="62">
    <w:abstractNumId w:val="101"/>
  </w:num>
  <w:num w:numId="63">
    <w:abstractNumId w:val="70"/>
  </w:num>
  <w:num w:numId="64">
    <w:abstractNumId w:val="71"/>
  </w:num>
  <w:num w:numId="65">
    <w:abstractNumId w:val="60"/>
  </w:num>
  <w:num w:numId="66">
    <w:abstractNumId w:val="44"/>
  </w:num>
  <w:num w:numId="67">
    <w:abstractNumId w:val="41"/>
  </w:num>
  <w:num w:numId="68">
    <w:abstractNumId w:val="23"/>
  </w:num>
  <w:num w:numId="69">
    <w:abstractNumId w:val="99"/>
  </w:num>
  <w:num w:numId="70">
    <w:abstractNumId w:val="17"/>
  </w:num>
  <w:num w:numId="71">
    <w:abstractNumId w:val="34"/>
  </w:num>
  <w:num w:numId="72">
    <w:abstractNumId w:val="91"/>
  </w:num>
  <w:num w:numId="73">
    <w:abstractNumId w:val="16"/>
  </w:num>
  <w:num w:numId="74">
    <w:abstractNumId w:val="109"/>
  </w:num>
  <w:num w:numId="75">
    <w:abstractNumId w:val="85"/>
  </w:num>
  <w:num w:numId="76">
    <w:abstractNumId w:val="12"/>
  </w:num>
  <w:num w:numId="77">
    <w:abstractNumId w:val="37"/>
  </w:num>
  <w:num w:numId="78">
    <w:abstractNumId w:val="15"/>
  </w:num>
  <w:num w:numId="79">
    <w:abstractNumId w:val="24"/>
  </w:num>
  <w:num w:numId="80">
    <w:abstractNumId w:val="20"/>
  </w:num>
  <w:num w:numId="81">
    <w:abstractNumId w:val="50"/>
  </w:num>
  <w:num w:numId="82">
    <w:abstractNumId w:val="8"/>
  </w:num>
  <w:num w:numId="83">
    <w:abstractNumId w:val="40"/>
  </w:num>
  <w:num w:numId="84">
    <w:abstractNumId w:val="122"/>
  </w:num>
  <w:num w:numId="85">
    <w:abstractNumId w:val="81"/>
  </w:num>
  <w:num w:numId="86">
    <w:abstractNumId w:val="46"/>
  </w:num>
  <w:num w:numId="87">
    <w:abstractNumId w:val="119"/>
  </w:num>
  <w:num w:numId="88">
    <w:abstractNumId w:val="9"/>
  </w:num>
  <w:num w:numId="89">
    <w:abstractNumId w:val="61"/>
  </w:num>
  <w:num w:numId="90">
    <w:abstractNumId w:val="116"/>
  </w:num>
  <w:num w:numId="91">
    <w:abstractNumId w:val="82"/>
  </w:num>
  <w:num w:numId="92">
    <w:abstractNumId w:val="69"/>
  </w:num>
  <w:num w:numId="93">
    <w:abstractNumId w:val="32"/>
  </w:num>
  <w:num w:numId="94">
    <w:abstractNumId w:val="67"/>
  </w:num>
  <w:num w:numId="95">
    <w:abstractNumId w:val="108"/>
  </w:num>
  <w:num w:numId="96">
    <w:abstractNumId w:val="31"/>
  </w:num>
  <w:num w:numId="97">
    <w:abstractNumId w:val="123"/>
  </w:num>
  <w:num w:numId="98">
    <w:abstractNumId w:val="90"/>
  </w:num>
  <w:num w:numId="99">
    <w:abstractNumId w:val="21"/>
  </w:num>
  <w:num w:numId="100">
    <w:abstractNumId w:val="7"/>
  </w:num>
  <w:num w:numId="101">
    <w:abstractNumId w:val="110"/>
  </w:num>
  <w:num w:numId="102">
    <w:abstractNumId w:val="75"/>
  </w:num>
  <w:num w:numId="103">
    <w:abstractNumId w:val="86"/>
  </w:num>
  <w:num w:numId="104">
    <w:abstractNumId w:val="113"/>
  </w:num>
  <w:num w:numId="105">
    <w:abstractNumId w:val="106"/>
  </w:num>
  <w:num w:numId="106">
    <w:abstractNumId w:val="18"/>
  </w:num>
  <w:num w:numId="107">
    <w:abstractNumId w:val="87"/>
  </w:num>
  <w:num w:numId="108">
    <w:abstractNumId w:val="74"/>
  </w:num>
  <w:num w:numId="109">
    <w:abstractNumId w:val="112"/>
  </w:num>
  <w:num w:numId="110">
    <w:abstractNumId w:val="33"/>
  </w:num>
  <w:num w:numId="111">
    <w:abstractNumId w:val="72"/>
  </w:num>
  <w:num w:numId="112">
    <w:abstractNumId w:val="76"/>
  </w:num>
  <w:num w:numId="113">
    <w:abstractNumId w:val="118"/>
  </w:num>
  <w:num w:numId="114">
    <w:abstractNumId w:val="49"/>
  </w:num>
  <w:num w:numId="115">
    <w:abstractNumId w:val="14"/>
  </w:num>
  <w:num w:numId="116">
    <w:abstractNumId w:val="73"/>
  </w:num>
  <w:num w:numId="117">
    <w:abstractNumId w:val="111"/>
  </w:num>
  <w:num w:numId="118">
    <w:abstractNumId w:val="65"/>
  </w:num>
  <w:num w:numId="119">
    <w:abstractNumId w:val="51"/>
  </w:num>
  <w:num w:numId="120">
    <w:abstractNumId w:val="55"/>
  </w:num>
  <w:num w:numId="121">
    <w:abstractNumId w:val="43"/>
  </w:num>
  <w:num w:numId="122">
    <w:abstractNumId w:val="27"/>
  </w:num>
  <w:num w:numId="123">
    <w:abstractNumId w:val="94"/>
  </w:num>
  <w:num w:numId="124">
    <w:abstractNumId w:val="10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oNotTrackFormatting/>
  <w:documentProtection w:edit="trackedChanges"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5.2&quot; technicalblockguid=&quot;465543694134879200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7-07&lt;/text&gt;_x000d__x000a_  &lt;/metadata&gt;_x000d__x000a_  &lt;metadata key=&quot;md_Prefix&quot;&gt;_x000d__x000a_    &lt;text&gt;&lt;/text&gt;_x000d__x000a_  &lt;/metadata&gt;_x000d__x000a_  &lt;metadata key=&quot;md_DocumentNumber&quot;&gt;_x000d__x000a_    &lt;text&gt;10149&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COFIN 636&lt;/text&gt;_x000d__x000a_      &lt;text&gt;CADREFIN 331&lt;/text&gt;_x000d__x000a_      &lt;text&gt;UEM 171&lt;/text&gt;_x000d__x000a_      &lt;text&gt;FIN 5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1/0154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VISED ANNEX to the Council Implementing Decision on the approval of the assessment of the recovery and resilience plan for Portugal&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fr-be&quot; xml:space=&quot;preserve&quot;&amp;gt;REVISED &amp;lt;/Run&amp;gt;ANNEX to the Council Implementing Decision on the approval of the assessment of the recovery and resilience plan for &amp;lt;Run xml:lang=&quot;fr-be&quot;&amp;gt;Portugal&amp;lt;/Run&amp;gt;&amp;lt;/Paragraph&amp;gt;&amp;lt;/FlowDocument&amp;gt;&lt;/xaml&gt;_x000d__x000a_  &lt;/metadata&gt;_x000d__x000a_  &lt;metadata key=&quot;md_SubjectFootnote&quot; /&gt;_x000d__x000a_  &lt;metadata key=&quot;md_DG&quot;&gt;_x000d__x000a_    &lt;text&gt;ECOMP 1A&lt;/text&gt;_x000d__x000a_  &lt;/metadata&gt;_x000d__x000a_  &lt;metadata key=&quot;md_Initials&quot;&gt;_x000d__x000a_    &lt;text&gt;FDC/s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Normal"/>
    <w:docVar w:name="LW_ACCOMPAGNANT.CP" w:val="a következőhöz:"/>
    <w:docVar w:name="LW_ANNEX_NBR_FIRST" w:val="1"/>
    <w:docVar w:name="LW_ANNEX_NBR_LAST" w:val="1"/>
    <w:docVar w:name="LW_ANNEX_UNIQUE" w:val="1"/>
    <w:docVar w:name="LW_CORRIGENDUM" w:val="&lt;UNUSED&gt;"/>
    <w:docVar w:name="LW_COVERPAGE_EXISTS" w:val="True"/>
    <w:docVar w:name="LW_COVERPAGE_GUID" w:val="ED4961F0-A9C6-4702-93A6-7F15C380ACB3"/>
    <w:docVar w:name="LW_COVERPAGE_TYPE" w:val="1"/>
    <w:docVar w:name="LW_CROSSREFERENCE" w:val="{SWD(2023) 318 final}"/>
    <w:docVar w:name="LW_DocType" w:val="NORMAL"/>
    <w:docVar w:name="LW_EMISSION" w:val="2023.9.22."/>
    <w:docVar w:name="LW_EMISSION_ISODATE" w:val="2023-09-22"/>
    <w:docVar w:name="LW_EMISSION_LOCATION" w:val="BRX"/>
    <w:docVar w:name="LW_EMISSION_PREFIX" w:val="Brüsszel, "/>
    <w:docVar w:name="LW_EMISSION_SUFFIX" w:val=" "/>
    <w:docVar w:name="LW_ID_DOCTYPE_NONLW" w:val="CP-036"/>
    <w:docVar w:name="LW_LANGUE" w:val="HU"/>
    <w:docVar w:name="LW_LEVEL_OF_SENSITIVITY" w:val="Standard treatment"/>
    <w:docVar w:name="LW_NOM.INST" w:val="EURÓPAI BIZOTTSÁG"/>
    <w:docVar w:name="LW_NOM.INST_JOINTDOC" w:val="&lt;EMPTY&gt;"/>
    <w:docVar w:name="LW_OBJETACTEPRINCIPAL.CP" w:val="a Portugália helyreállítási és rezilienciaépítési terve értékelésének jóváhagyásáról szóló, 2021. július 6-i (EU) (ST 10149/2021; ST 10149/2021 ADD 1) végrehajtási határozat módosításáról"/>
    <w:docVar w:name="LW_PART_NBR" w:val="1"/>
    <w:docVar w:name="LW_PART_NBR_TOTAL" w:val="1"/>
    <w:docVar w:name="LW_REF.INST.NEW" w:val="COM"/>
    <w:docVar w:name="LW_REF.INST.NEW_ADOPTED" w:val="final"/>
    <w:docVar w:name="LW_REF.INST.NEW_TEXT" w:val="(2023) 5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MELLÉKLET_x000b_"/>
    <w:docVar w:name="LW_TYPEACTEPRINCIPAL.CP" w:val="Javaslat_x000b_ A TANÁCS VÉGREHAJTÁSI HATÁROZATA"/>
    <w:docVar w:name="LwApiVersions" w:val="LW4CoDe 1.23.2.0; LW 8.0, Build 20211117"/>
  </w:docVars>
  <w:rsids>
    <w:rsidRoot w:val="007C40E9"/>
    <w:rsid w:val="0000008D"/>
    <w:rsid w:val="000000F3"/>
    <w:rsid w:val="00000323"/>
    <w:rsid w:val="00000529"/>
    <w:rsid w:val="00000576"/>
    <w:rsid w:val="000005FF"/>
    <w:rsid w:val="0000064E"/>
    <w:rsid w:val="0000080C"/>
    <w:rsid w:val="00000B7F"/>
    <w:rsid w:val="00000CCC"/>
    <w:rsid w:val="00000F6D"/>
    <w:rsid w:val="00001142"/>
    <w:rsid w:val="0000116B"/>
    <w:rsid w:val="00001258"/>
    <w:rsid w:val="000012F4"/>
    <w:rsid w:val="000013F2"/>
    <w:rsid w:val="000017E6"/>
    <w:rsid w:val="000018CD"/>
    <w:rsid w:val="00001A21"/>
    <w:rsid w:val="00001A89"/>
    <w:rsid w:val="00001CE9"/>
    <w:rsid w:val="00001FC9"/>
    <w:rsid w:val="000022F5"/>
    <w:rsid w:val="00002316"/>
    <w:rsid w:val="00002337"/>
    <w:rsid w:val="00002741"/>
    <w:rsid w:val="000028A2"/>
    <w:rsid w:val="000028FF"/>
    <w:rsid w:val="00002959"/>
    <w:rsid w:val="00002AB9"/>
    <w:rsid w:val="00002C7B"/>
    <w:rsid w:val="00002C97"/>
    <w:rsid w:val="00002E5B"/>
    <w:rsid w:val="00002F2C"/>
    <w:rsid w:val="00002F5B"/>
    <w:rsid w:val="000032C5"/>
    <w:rsid w:val="00003796"/>
    <w:rsid w:val="00003874"/>
    <w:rsid w:val="00003B17"/>
    <w:rsid w:val="00003B4B"/>
    <w:rsid w:val="00003C25"/>
    <w:rsid w:val="00003F3B"/>
    <w:rsid w:val="00003FE2"/>
    <w:rsid w:val="00003FFC"/>
    <w:rsid w:val="000042A7"/>
    <w:rsid w:val="0000438B"/>
    <w:rsid w:val="00004412"/>
    <w:rsid w:val="000044DE"/>
    <w:rsid w:val="0000482A"/>
    <w:rsid w:val="00004B18"/>
    <w:rsid w:val="00004FD8"/>
    <w:rsid w:val="000050B9"/>
    <w:rsid w:val="000052CD"/>
    <w:rsid w:val="000053ED"/>
    <w:rsid w:val="000054BD"/>
    <w:rsid w:val="0000568D"/>
    <w:rsid w:val="00005986"/>
    <w:rsid w:val="00005999"/>
    <w:rsid w:val="00005A0C"/>
    <w:rsid w:val="00005D5F"/>
    <w:rsid w:val="00005F39"/>
    <w:rsid w:val="00005FB6"/>
    <w:rsid w:val="00006158"/>
    <w:rsid w:val="000062DE"/>
    <w:rsid w:val="000062DF"/>
    <w:rsid w:val="000065B4"/>
    <w:rsid w:val="0000698A"/>
    <w:rsid w:val="00006C1A"/>
    <w:rsid w:val="00006E3C"/>
    <w:rsid w:val="00006F8A"/>
    <w:rsid w:val="00007332"/>
    <w:rsid w:val="00007373"/>
    <w:rsid w:val="000073D5"/>
    <w:rsid w:val="0000755D"/>
    <w:rsid w:val="00007596"/>
    <w:rsid w:val="0000780B"/>
    <w:rsid w:val="00007C47"/>
    <w:rsid w:val="00007C62"/>
    <w:rsid w:val="00007F4E"/>
    <w:rsid w:val="00007FCE"/>
    <w:rsid w:val="00010248"/>
    <w:rsid w:val="000102FE"/>
    <w:rsid w:val="000103B1"/>
    <w:rsid w:val="000104AF"/>
    <w:rsid w:val="00010611"/>
    <w:rsid w:val="00010933"/>
    <w:rsid w:val="00010A55"/>
    <w:rsid w:val="00010F64"/>
    <w:rsid w:val="00010F99"/>
    <w:rsid w:val="00011021"/>
    <w:rsid w:val="00011253"/>
    <w:rsid w:val="0001160D"/>
    <w:rsid w:val="000116CA"/>
    <w:rsid w:val="00011BDB"/>
    <w:rsid w:val="00011F18"/>
    <w:rsid w:val="00011F94"/>
    <w:rsid w:val="000120CC"/>
    <w:rsid w:val="000126BC"/>
    <w:rsid w:val="0001273B"/>
    <w:rsid w:val="0001279B"/>
    <w:rsid w:val="000129ED"/>
    <w:rsid w:val="00012A6B"/>
    <w:rsid w:val="00012A7E"/>
    <w:rsid w:val="00012BF1"/>
    <w:rsid w:val="00012D15"/>
    <w:rsid w:val="00012DAD"/>
    <w:rsid w:val="00012DBA"/>
    <w:rsid w:val="00012E77"/>
    <w:rsid w:val="000139A8"/>
    <w:rsid w:val="00013BEA"/>
    <w:rsid w:val="00013DDC"/>
    <w:rsid w:val="00013FC3"/>
    <w:rsid w:val="000141A4"/>
    <w:rsid w:val="000142FD"/>
    <w:rsid w:val="0001434E"/>
    <w:rsid w:val="000143B3"/>
    <w:rsid w:val="000143D8"/>
    <w:rsid w:val="00014454"/>
    <w:rsid w:val="00014B22"/>
    <w:rsid w:val="00014E11"/>
    <w:rsid w:val="000150DC"/>
    <w:rsid w:val="000151C2"/>
    <w:rsid w:val="0001520F"/>
    <w:rsid w:val="00015504"/>
    <w:rsid w:val="000155EB"/>
    <w:rsid w:val="000156C2"/>
    <w:rsid w:val="00015848"/>
    <w:rsid w:val="000159B2"/>
    <w:rsid w:val="00015B23"/>
    <w:rsid w:val="00015F0B"/>
    <w:rsid w:val="00015F77"/>
    <w:rsid w:val="0001602C"/>
    <w:rsid w:val="00016058"/>
    <w:rsid w:val="000161D9"/>
    <w:rsid w:val="00016237"/>
    <w:rsid w:val="000162B9"/>
    <w:rsid w:val="000162BA"/>
    <w:rsid w:val="000163A1"/>
    <w:rsid w:val="000165A4"/>
    <w:rsid w:val="000166C7"/>
    <w:rsid w:val="0001684A"/>
    <w:rsid w:val="00016A1C"/>
    <w:rsid w:val="00016BD5"/>
    <w:rsid w:val="00016E25"/>
    <w:rsid w:val="00016E8B"/>
    <w:rsid w:val="00017178"/>
    <w:rsid w:val="00017186"/>
    <w:rsid w:val="000174C2"/>
    <w:rsid w:val="00017531"/>
    <w:rsid w:val="000175AB"/>
    <w:rsid w:val="000176AD"/>
    <w:rsid w:val="000177CB"/>
    <w:rsid w:val="0001782F"/>
    <w:rsid w:val="00017831"/>
    <w:rsid w:val="00017A10"/>
    <w:rsid w:val="00017E46"/>
    <w:rsid w:val="00020052"/>
    <w:rsid w:val="0002037E"/>
    <w:rsid w:val="00020594"/>
    <w:rsid w:val="000206B9"/>
    <w:rsid w:val="0002082E"/>
    <w:rsid w:val="000209A5"/>
    <w:rsid w:val="000209B0"/>
    <w:rsid w:val="00020A61"/>
    <w:rsid w:val="00020A8F"/>
    <w:rsid w:val="00020B0F"/>
    <w:rsid w:val="00020EBA"/>
    <w:rsid w:val="00021016"/>
    <w:rsid w:val="0002101C"/>
    <w:rsid w:val="0002134D"/>
    <w:rsid w:val="00021A62"/>
    <w:rsid w:val="00021BE8"/>
    <w:rsid w:val="00021F53"/>
    <w:rsid w:val="0002235D"/>
    <w:rsid w:val="00022425"/>
    <w:rsid w:val="0002274E"/>
    <w:rsid w:val="0002276F"/>
    <w:rsid w:val="0002294E"/>
    <w:rsid w:val="0002296D"/>
    <w:rsid w:val="000229DA"/>
    <w:rsid w:val="00022B95"/>
    <w:rsid w:val="00022CED"/>
    <w:rsid w:val="00022EAA"/>
    <w:rsid w:val="00023183"/>
    <w:rsid w:val="000239E6"/>
    <w:rsid w:val="00023DE2"/>
    <w:rsid w:val="00024228"/>
    <w:rsid w:val="000244AC"/>
    <w:rsid w:val="000245BC"/>
    <w:rsid w:val="000245D1"/>
    <w:rsid w:val="000247EC"/>
    <w:rsid w:val="000248C2"/>
    <w:rsid w:val="00024AC2"/>
    <w:rsid w:val="00024C45"/>
    <w:rsid w:val="00024CFC"/>
    <w:rsid w:val="0002515F"/>
    <w:rsid w:val="000252D5"/>
    <w:rsid w:val="0002561B"/>
    <w:rsid w:val="00025657"/>
    <w:rsid w:val="0002590D"/>
    <w:rsid w:val="0002592B"/>
    <w:rsid w:val="00025A76"/>
    <w:rsid w:val="00025BD0"/>
    <w:rsid w:val="00025F02"/>
    <w:rsid w:val="00025F3C"/>
    <w:rsid w:val="0002636A"/>
    <w:rsid w:val="00026389"/>
    <w:rsid w:val="000263C6"/>
    <w:rsid w:val="000265CF"/>
    <w:rsid w:val="00026A33"/>
    <w:rsid w:val="00026C22"/>
    <w:rsid w:val="00026C64"/>
    <w:rsid w:val="00026C9A"/>
    <w:rsid w:val="0002712C"/>
    <w:rsid w:val="00027334"/>
    <w:rsid w:val="000273F4"/>
    <w:rsid w:val="00027476"/>
    <w:rsid w:val="0002754A"/>
    <w:rsid w:val="0002783C"/>
    <w:rsid w:val="000278F2"/>
    <w:rsid w:val="00027A5D"/>
    <w:rsid w:val="00027CAF"/>
    <w:rsid w:val="00027E1A"/>
    <w:rsid w:val="00027F14"/>
    <w:rsid w:val="000300AA"/>
    <w:rsid w:val="00030797"/>
    <w:rsid w:val="00030830"/>
    <w:rsid w:val="00030993"/>
    <w:rsid w:val="000309C1"/>
    <w:rsid w:val="00030A32"/>
    <w:rsid w:val="00030DA3"/>
    <w:rsid w:val="00031175"/>
    <w:rsid w:val="0003127E"/>
    <w:rsid w:val="000312CA"/>
    <w:rsid w:val="00031472"/>
    <w:rsid w:val="0003164A"/>
    <w:rsid w:val="0003191A"/>
    <w:rsid w:val="00031962"/>
    <w:rsid w:val="00031B5A"/>
    <w:rsid w:val="00031C47"/>
    <w:rsid w:val="00031D07"/>
    <w:rsid w:val="00032124"/>
    <w:rsid w:val="0003225D"/>
    <w:rsid w:val="00032335"/>
    <w:rsid w:val="00032B36"/>
    <w:rsid w:val="00032CA7"/>
    <w:rsid w:val="00032DB5"/>
    <w:rsid w:val="00032E9D"/>
    <w:rsid w:val="00032EE4"/>
    <w:rsid w:val="0003306E"/>
    <w:rsid w:val="00033234"/>
    <w:rsid w:val="0003335C"/>
    <w:rsid w:val="00033373"/>
    <w:rsid w:val="000335CA"/>
    <w:rsid w:val="000336B3"/>
    <w:rsid w:val="00033A00"/>
    <w:rsid w:val="00033A0D"/>
    <w:rsid w:val="00033DB2"/>
    <w:rsid w:val="00033EE3"/>
    <w:rsid w:val="0003449C"/>
    <w:rsid w:val="000344B0"/>
    <w:rsid w:val="000345DC"/>
    <w:rsid w:val="00034AE0"/>
    <w:rsid w:val="00034C14"/>
    <w:rsid w:val="00035116"/>
    <w:rsid w:val="00035230"/>
    <w:rsid w:val="00035587"/>
    <w:rsid w:val="00035940"/>
    <w:rsid w:val="00035B66"/>
    <w:rsid w:val="00035C66"/>
    <w:rsid w:val="00035FA6"/>
    <w:rsid w:val="0003601E"/>
    <w:rsid w:val="000365E2"/>
    <w:rsid w:val="00036893"/>
    <w:rsid w:val="00036C14"/>
    <w:rsid w:val="00037239"/>
    <w:rsid w:val="00037286"/>
    <w:rsid w:val="00037322"/>
    <w:rsid w:val="0003775E"/>
    <w:rsid w:val="000378E7"/>
    <w:rsid w:val="00037D94"/>
    <w:rsid w:val="00037E65"/>
    <w:rsid w:val="000401F5"/>
    <w:rsid w:val="0004034C"/>
    <w:rsid w:val="000404C8"/>
    <w:rsid w:val="000404E1"/>
    <w:rsid w:val="00040500"/>
    <w:rsid w:val="000405A6"/>
    <w:rsid w:val="000409CB"/>
    <w:rsid w:val="00040A25"/>
    <w:rsid w:val="00041384"/>
    <w:rsid w:val="000419FF"/>
    <w:rsid w:val="00041D91"/>
    <w:rsid w:val="00041DE6"/>
    <w:rsid w:val="000421E6"/>
    <w:rsid w:val="0004235E"/>
    <w:rsid w:val="000423D9"/>
    <w:rsid w:val="00042D28"/>
    <w:rsid w:val="00043129"/>
    <w:rsid w:val="000432C2"/>
    <w:rsid w:val="00043783"/>
    <w:rsid w:val="00043BF1"/>
    <w:rsid w:val="00043E76"/>
    <w:rsid w:val="00043EE0"/>
    <w:rsid w:val="00043F66"/>
    <w:rsid w:val="0004409A"/>
    <w:rsid w:val="0004425F"/>
    <w:rsid w:val="00044841"/>
    <w:rsid w:val="0004486D"/>
    <w:rsid w:val="00044AAF"/>
    <w:rsid w:val="00044ABA"/>
    <w:rsid w:val="00044C45"/>
    <w:rsid w:val="00044CF5"/>
    <w:rsid w:val="00044F87"/>
    <w:rsid w:val="0004511C"/>
    <w:rsid w:val="00045136"/>
    <w:rsid w:val="00045359"/>
    <w:rsid w:val="0004552F"/>
    <w:rsid w:val="000455CD"/>
    <w:rsid w:val="000459BC"/>
    <w:rsid w:val="00045E5C"/>
    <w:rsid w:val="000462AC"/>
    <w:rsid w:val="000466F4"/>
    <w:rsid w:val="00046806"/>
    <w:rsid w:val="00046929"/>
    <w:rsid w:val="000469FA"/>
    <w:rsid w:val="00046AAC"/>
    <w:rsid w:val="00046B3F"/>
    <w:rsid w:val="00046BBE"/>
    <w:rsid w:val="00046CF0"/>
    <w:rsid w:val="00046DB4"/>
    <w:rsid w:val="00046E7B"/>
    <w:rsid w:val="000476E1"/>
    <w:rsid w:val="00047C3A"/>
    <w:rsid w:val="00047CF7"/>
    <w:rsid w:val="0005027F"/>
    <w:rsid w:val="00050287"/>
    <w:rsid w:val="00050546"/>
    <w:rsid w:val="000506CE"/>
    <w:rsid w:val="00050705"/>
    <w:rsid w:val="00050712"/>
    <w:rsid w:val="00050935"/>
    <w:rsid w:val="00050B2A"/>
    <w:rsid w:val="00050B5C"/>
    <w:rsid w:val="00050CAD"/>
    <w:rsid w:val="00050E8B"/>
    <w:rsid w:val="000512F2"/>
    <w:rsid w:val="00051544"/>
    <w:rsid w:val="0005160B"/>
    <w:rsid w:val="00051A70"/>
    <w:rsid w:val="00051B2F"/>
    <w:rsid w:val="00051B5A"/>
    <w:rsid w:val="00051C0A"/>
    <w:rsid w:val="00051D8D"/>
    <w:rsid w:val="00051E2D"/>
    <w:rsid w:val="00051F8A"/>
    <w:rsid w:val="00051FE3"/>
    <w:rsid w:val="00052752"/>
    <w:rsid w:val="00052867"/>
    <w:rsid w:val="00052898"/>
    <w:rsid w:val="00052CBF"/>
    <w:rsid w:val="00052F48"/>
    <w:rsid w:val="000531BD"/>
    <w:rsid w:val="000531DB"/>
    <w:rsid w:val="0005329F"/>
    <w:rsid w:val="00053646"/>
    <w:rsid w:val="00053725"/>
    <w:rsid w:val="000538CE"/>
    <w:rsid w:val="00053A55"/>
    <w:rsid w:val="00053AB3"/>
    <w:rsid w:val="00053AC9"/>
    <w:rsid w:val="00053C04"/>
    <w:rsid w:val="00053F51"/>
    <w:rsid w:val="00054067"/>
    <w:rsid w:val="00054186"/>
    <w:rsid w:val="00054320"/>
    <w:rsid w:val="000543D1"/>
    <w:rsid w:val="000543EE"/>
    <w:rsid w:val="000545ED"/>
    <w:rsid w:val="00054682"/>
    <w:rsid w:val="0005476B"/>
    <w:rsid w:val="00054AD7"/>
    <w:rsid w:val="00054BC9"/>
    <w:rsid w:val="00054D49"/>
    <w:rsid w:val="00054D5F"/>
    <w:rsid w:val="00054EBF"/>
    <w:rsid w:val="00054FDB"/>
    <w:rsid w:val="0005503B"/>
    <w:rsid w:val="00055834"/>
    <w:rsid w:val="00055E73"/>
    <w:rsid w:val="000564B1"/>
    <w:rsid w:val="000565BB"/>
    <w:rsid w:val="00056771"/>
    <w:rsid w:val="000568E5"/>
    <w:rsid w:val="00056CFC"/>
    <w:rsid w:val="00056DB8"/>
    <w:rsid w:val="00056E01"/>
    <w:rsid w:val="00056E8F"/>
    <w:rsid w:val="00056FA2"/>
    <w:rsid w:val="00057027"/>
    <w:rsid w:val="00057069"/>
    <w:rsid w:val="000570D7"/>
    <w:rsid w:val="00057161"/>
    <w:rsid w:val="000575C1"/>
    <w:rsid w:val="00057683"/>
    <w:rsid w:val="000578EA"/>
    <w:rsid w:val="000578EF"/>
    <w:rsid w:val="00057D64"/>
    <w:rsid w:val="00057DF4"/>
    <w:rsid w:val="000600AC"/>
    <w:rsid w:val="000600BE"/>
    <w:rsid w:val="0006027B"/>
    <w:rsid w:val="000603A3"/>
    <w:rsid w:val="000605EC"/>
    <w:rsid w:val="000605FB"/>
    <w:rsid w:val="00060610"/>
    <w:rsid w:val="00060682"/>
    <w:rsid w:val="000606D8"/>
    <w:rsid w:val="00060AB3"/>
    <w:rsid w:val="00060ADF"/>
    <w:rsid w:val="00060DD8"/>
    <w:rsid w:val="00060DDD"/>
    <w:rsid w:val="000614A6"/>
    <w:rsid w:val="00061621"/>
    <w:rsid w:val="0006171B"/>
    <w:rsid w:val="00061922"/>
    <w:rsid w:val="00061AF4"/>
    <w:rsid w:val="00061C49"/>
    <w:rsid w:val="00061CA2"/>
    <w:rsid w:val="0006201A"/>
    <w:rsid w:val="000620D0"/>
    <w:rsid w:val="000623C6"/>
    <w:rsid w:val="000624DF"/>
    <w:rsid w:val="00062845"/>
    <w:rsid w:val="00062A35"/>
    <w:rsid w:val="00062B47"/>
    <w:rsid w:val="00062DF0"/>
    <w:rsid w:val="00062F37"/>
    <w:rsid w:val="00062F89"/>
    <w:rsid w:val="00062F9C"/>
    <w:rsid w:val="0006301D"/>
    <w:rsid w:val="000631FE"/>
    <w:rsid w:val="00063572"/>
    <w:rsid w:val="0006361B"/>
    <w:rsid w:val="000637D1"/>
    <w:rsid w:val="00063ECB"/>
    <w:rsid w:val="00064078"/>
    <w:rsid w:val="00064098"/>
    <w:rsid w:val="00064269"/>
    <w:rsid w:val="0006443D"/>
    <w:rsid w:val="00064557"/>
    <w:rsid w:val="0006461E"/>
    <w:rsid w:val="00064829"/>
    <w:rsid w:val="000648FB"/>
    <w:rsid w:val="00064BBA"/>
    <w:rsid w:val="00064E24"/>
    <w:rsid w:val="00064F9F"/>
    <w:rsid w:val="000651B6"/>
    <w:rsid w:val="000653CE"/>
    <w:rsid w:val="000654C9"/>
    <w:rsid w:val="00065710"/>
    <w:rsid w:val="00065C38"/>
    <w:rsid w:val="000661A4"/>
    <w:rsid w:val="00066501"/>
    <w:rsid w:val="00066574"/>
    <w:rsid w:val="00066998"/>
    <w:rsid w:val="00066B30"/>
    <w:rsid w:val="00066BBC"/>
    <w:rsid w:val="00066C0E"/>
    <w:rsid w:val="00066ECD"/>
    <w:rsid w:val="00066ED3"/>
    <w:rsid w:val="00067180"/>
    <w:rsid w:val="000673B3"/>
    <w:rsid w:val="0006750F"/>
    <w:rsid w:val="00067597"/>
    <w:rsid w:val="00067EA8"/>
    <w:rsid w:val="00067F71"/>
    <w:rsid w:val="00070447"/>
    <w:rsid w:val="00070C41"/>
    <w:rsid w:val="00070C75"/>
    <w:rsid w:val="00070C76"/>
    <w:rsid w:val="000710EB"/>
    <w:rsid w:val="0007125B"/>
    <w:rsid w:val="00071539"/>
    <w:rsid w:val="000715B5"/>
    <w:rsid w:val="00071806"/>
    <w:rsid w:val="0007191E"/>
    <w:rsid w:val="0007198C"/>
    <w:rsid w:val="000719B3"/>
    <w:rsid w:val="000719BC"/>
    <w:rsid w:val="000719DD"/>
    <w:rsid w:val="00071B8E"/>
    <w:rsid w:val="00071BBF"/>
    <w:rsid w:val="00071C48"/>
    <w:rsid w:val="00072405"/>
    <w:rsid w:val="000724C1"/>
    <w:rsid w:val="0007259E"/>
    <w:rsid w:val="000727CC"/>
    <w:rsid w:val="0007293A"/>
    <w:rsid w:val="00072AAD"/>
    <w:rsid w:val="00072B01"/>
    <w:rsid w:val="00072D67"/>
    <w:rsid w:val="00072DEE"/>
    <w:rsid w:val="00072E4A"/>
    <w:rsid w:val="0007330F"/>
    <w:rsid w:val="00073C88"/>
    <w:rsid w:val="00073D1E"/>
    <w:rsid w:val="00073E34"/>
    <w:rsid w:val="00073F5A"/>
    <w:rsid w:val="00073F62"/>
    <w:rsid w:val="00073FA7"/>
    <w:rsid w:val="0007437F"/>
    <w:rsid w:val="00074444"/>
    <w:rsid w:val="000747D7"/>
    <w:rsid w:val="00074E9A"/>
    <w:rsid w:val="00074F29"/>
    <w:rsid w:val="00074F6A"/>
    <w:rsid w:val="00074F8E"/>
    <w:rsid w:val="00075040"/>
    <w:rsid w:val="0007535B"/>
    <w:rsid w:val="0007591D"/>
    <w:rsid w:val="00075D71"/>
    <w:rsid w:val="00076018"/>
    <w:rsid w:val="000760F3"/>
    <w:rsid w:val="00076316"/>
    <w:rsid w:val="00076378"/>
    <w:rsid w:val="00076409"/>
    <w:rsid w:val="00076486"/>
    <w:rsid w:val="00076728"/>
    <w:rsid w:val="00076B57"/>
    <w:rsid w:val="00076C54"/>
    <w:rsid w:val="00076F37"/>
    <w:rsid w:val="00077411"/>
    <w:rsid w:val="000776D0"/>
    <w:rsid w:val="00077A66"/>
    <w:rsid w:val="00077B54"/>
    <w:rsid w:val="00077C0F"/>
    <w:rsid w:val="00077D82"/>
    <w:rsid w:val="00077DCB"/>
    <w:rsid w:val="00077FBC"/>
    <w:rsid w:val="000801DF"/>
    <w:rsid w:val="00080639"/>
    <w:rsid w:val="0008063A"/>
    <w:rsid w:val="00080959"/>
    <w:rsid w:val="00080C21"/>
    <w:rsid w:val="00080EF9"/>
    <w:rsid w:val="00081170"/>
    <w:rsid w:val="00081398"/>
    <w:rsid w:val="00081695"/>
    <w:rsid w:val="000818F7"/>
    <w:rsid w:val="00081D8E"/>
    <w:rsid w:val="000820B9"/>
    <w:rsid w:val="0008241F"/>
    <w:rsid w:val="00082469"/>
    <w:rsid w:val="00082679"/>
    <w:rsid w:val="0008277E"/>
    <w:rsid w:val="00082816"/>
    <w:rsid w:val="00082A44"/>
    <w:rsid w:val="00082B45"/>
    <w:rsid w:val="00082B4A"/>
    <w:rsid w:val="00082C33"/>
    <w:rsid w:val="000832C9"/>
    <w:rsid w:val="000832FD"/>
    <w:rsid w:val="000833E3"/>
    <w:rsid w:val="00083486"/>
    <w:rsid w:val="000834C3"/>
    <w:rsid w:val="00083602"/>
    <w:rsid w:val="0008361A"/>
    <w:rsid w:val="0008392A"/>
    <w:rsid w:val="00083A9A"/>
    <w:rsid w:val="00083E05"/>
    <w:rsid w:val="00084028"/>
    <w:rsid w:val="00084115"/>
    <w:rsid w:val="00084459"/>
    <w:rsid w:val="000844DF"/>
    <w:rsid w:val="000844F1"/>
    <w:rsid w:val="00084551"/>
    <w:rsid w:val="0008469D"/>
    <w:rsid w:val="0008471E"/>
    <w:rsid w:val="00084962"/>
    <w:rsid w:val="00084C26"/>
    <w:rsid w:val="00084C9F"/>
    <w:rsid w:val="00084FFA"/>
    <w:rsid w:val="00085053"/>
    <w:rsid w:val="0008509A"/>
    <w:rsid w:val="0008534D"/>
    <w:rsid w:val="000853B1"/>
    <w:rsid w:val="00085495"/>
    <w:rsid w:val="00085844"/>
    <w:rsid w:val="0008590A"/>
    <w:rsid w:val="000860AE"/>
    <w:rsid w:val="000864BE"/>
    <w:rsid w:val="00086630"/>
    <w:rsid w:val="000866A8"/>
    <w:rsid w:val="0008691F"/>
    <w:rsid w:val="00086D26"/>
    <w:rsid w:val="00086E2D"/>
    <w:rsid w:val="00086EED"/>
    <w:rsid w:val="00086FFD"/>
    <w:rsid w:val="000874F1"/>
    <w:rsid w:val="000876A8"/>
    <w:rsid w:val="00087B08"/>
    <w:rsid w:val="00087B54"/>
    <w:rsid w:val="00087FF2"/>
    <w:rsid w:val="000903E5"/>
    <w:rsid w:val="0009053D"/>
    <w:rsid w:val="000905CA"/>
    <w:rsid w:val="00090906"/>
    <w:rsid w:val="00090ED6"/>
    <w:rsid w:val="00091024"/>
    <w:rsid w:val="00091456"/>
    <w:rsid w:val="00091503"/>
    <w:rsid w:val="00091AC8"/>
    <w:rsid w:val="00091B62"/>
    <w:rsid w:val="00091B84"/>
    <w:rsid w:val="00091C05"/>
    <w:rsid w:val="00091F1C"/>
    <w:rsid w:val="00091FEE"/>
    <w:rsid w:val="000925E6"/>
    <w:rsid w:val="000928CE"/>
    <w:rsid w:val="00092ADF"/>
    <w:rsid w:val="00092BF5"/>
    <w:rsid w:val="00092C29"/>
    <w:rsid w:val="0009305B"/>
    <w:rsid w:val="00093130"/>
    <w:rsid w:val="00093219"/>
    <w:rsid w:val="0009322E"/>
    <w:rsid w:val="0009355C"/>
    <w:rsid w:val="000935D7"/>
    <w:rsid w:val="000936EC"/>
    <w:rsid w:val="000937C2"/>
    <w:rsid w:val="000938FC"/>
    <w:rsid w:val="0009395E"/>
    <w:rsid w:val="00093B66"/>
    <w:rsid w:val="00093BC0"/>
    <w:rsid w:val="00093C08"/>
    <w:rsid w:val="00093D01"/>
    <w:rsid w:val="000940D1"/>
    <w:rsid w:val="0009444F"/>
    <w:rsid w:val="00094616"/>
    <w:rsid w:val="00094C75"/>
    <w:rsid w:val="00094F14"/>
    <w:rsid w:val="00094FAD"/>
    <w:rsid w:val="00094FD9"/>
    <w:rsid w:val="00095003"/>
    <w:rsid w:val="000952E9"/>
    <w:rsid w:val="00095304"/>
    <w:rsid w:val="00095536"/>
    <w:rsid w:val="000959BF"/>
    <w:rsid w:val="00095A22"/>
    <w:rsid w:val="00095B44"/>
    <w:rsid w:val="00095BF7"/>
    <w:rsid w:val="00095D00"/>
    <w:rsid w:val="00096105"/>
    <w:rsid w:val="0009678E"/>
    <w:rsid w:val="0009681E"/>
    <w:rsid w:val="00096A6F"/>
    <w:rsid w:val="00096CA7"/>
    <w:rsid w:val="00096E63"/>
    <w:rsid w:val="00096F5E"/>
    <w:rsid w:val="00096F60"/>
    <w:rsid w:val="0009799D"/>
    <w:rsid w:val="00097A12"/>
    <w:rsid w:val="00097C91"/>
    <w:rsid w:val="00097DD2"/>
    <w:rsid w:val="00097FDA"/>
    <w:rsid w:val="000A0565"/>
    <w:rsid w:val="000A0810"/>
    <w:rsid w:val="000A092D"/>
    <w:rsid w:val="000A0ECE"/>
    <w:rsid w:val="000A0F8A"/>
    <w:rsid w:val="000A114E"/>
    <w:rsid w:val="000A1278"/>
    <w:rsid w:val="000A1841"/>
    <w:rsid w:val="000A19CA"/>
    <w:rsid w:val="000A1A2D"/>
    <w:rsid w:val="000A1B9A"/>
    <w:rsid w:val="000A1D84"/>
    <w:rsid w:val="000A1E0A"/>
    <w:rsid w:val="000A1E79"/>
    <w:rsid w:val="000A1ED0"/>
    <w:rsid w:val="000A201A"/>
    <w:rsid w:val="000A2200"/>
    <w:rsid w:val="000A2379"/>
    <w:rsid w:val="000A23A2"/>
    <w:rsid w:val="000A2751"/>
    <w:rsid w:val="000A2A07"/>
    <w:rsid w:val="000A2B7E"/>
    <w:rsid w:val="000A2BB7"/>
    <w:rsid w:val="000A2BF5"/>
    <w:rsid w:val="000A2C41"/>
    <w:rsid w:val="000A2CB3"/>
    <w:rsid w:val="000A2CBB"/>
    <w:rsid w:val="000A2DB2"/>
    <w:rsid w:val="000A3285"/>
    <w:rsid w:val="000A358B"/>
    <w:rsid w:val="000A37EB"/>
    <w:rsid w:val="000A3DD0"/>
    <w:rsid w:val="000A3F07"/>
    <w:rsid w:val="000A4094"/>
    <w:rsid w:val="000A40E2"/>
    <w:rsid w:val="000A4137"/>
    <w:rsid w:val="000A4182"/>
    <w:rsid w:val="000A42B8"/>
    <w:rsid w:val="000A445C"/>
    <w:rsid w:val="000A45B1"/>
    <w:rsid w:val="000A45EB"/>
    <w:rsid w:val="000A4654"/>
    <w:rsid w:val="000A4690"/>
    <w:rsid w:val="000A493B"/>
    <w:rsid w:val="000A4E90"/>
    <w:rsid w:val="000A50E5"/>
    <w:rsid w:val="000A5130"/>
    <w:rsid w:val="000A5500"/>
    <w:rsid w:val="000A5586"/>
    <w:rsid w:val="000A5745"/>
    <w:rsid w:val="000A5861"/>
    <w:rsid w:val="000A5DF4"/>
    <w:rsid w:val="000A5E45"/>
    <w:rsid w:val="000A5E57"/>
    <w:rsid w:val="000A6110"/>
    <w:rsid w:val="000A63C8"/>
    <w:rsid w:val="000A6513"/>
    <w:rsid w:val="000A66D2"/>
    <w:rsid w:val="000A692E"/>
    <w:rsid w:val="000A6C57"/>
    <w:rsid w:val="000A6CCF"/>
    <w:rsid w:val="000A6D10"/>
    <w:rsid w:val="000A6D92"/>
    <w:rsid w:val="000A6FFE"/>
    <w:rsid w:val="000A707B"/>
    <w:rsid w:val="000A7165"/>
    <w:rsid w:val="000A734B"/>
    <w:rsid w:val="000A7757"/>
    <w:rsid w:val="000A77B4"/>
    <w:rsid w:val="000A77F5"/>
    <w:rsid w:val="000A7BD6"/>
    <w:rsid w:val="000A7E75"/>
    <w:rsid w:val="000A7E84"/>
    <w:rsid w:val="000A7EC7"/>
    <w:rsid w:val="000B0089"/>
    <w:rsid w:val="000B0254"/>
    <w:rsid w:val="000B0328"/>
    <w:rsid w:val="000B0516"/>
    <w:rsid w:val="000B06AC"/>
    <w:rsid w:val="000B06AF"/>
    <w:rsid w:val="000B09CE"/>
    <w:rsid w:val="000B0A73"/>
    <w:rsid w:val="000B0BDD"/>
    <w:rsid w:val="000B0CAD"/>
    <w:rsid w:val="000B1030"/>
    <w:rsid w:val="000B123B"/>
    <w:rsid w:val="000B13A3"/>
    <w:rsid w:val="000B13CA"/>
    <w:rsid w:val="000B14BA"/>
    <w:rsid w:val="000B179A"/>
    <w:rsid w:val="000B1988"/>
    <w:rsid w:val="000B1B59"/>
    <w:rsid w:val="000B1D80"/>
    <w:rsid w:val="000B1EBB"/>
    <w:rsid w:val="000B204C"/>
    <w:rsid w:val="000B2266"/>
    <w:rsid w:val="000B242D"/>
    <w:rsid w:val="000B26E2"/>
    <w:rsid w:val="000B2828"/>
    <w:rsid w:val="000B28DA"/>
    <w:rsid w:val="000B2A7D"/>
    <w:rsid w:val="000B30F9"/>
    <w:rsid w:val="000B314B"/>
    <w:rsid w:val="000B3279"/>
    <w:rsid w:val="000B34AC"/>
    <w:rsid w:val="000B379B"/>
    <w:rsid w:val="000B37A3"/>
    <w:rsid w:val="000B37EB"/>
    <w:rsid w:val="000B38D1"/>
    <w:rsid w:val="000B3B7D"/>
    <w:rsid w:val="000B3C5D"/>
    <w:rsid w:val="000B3EC7"/>
    <w:rsid w:val="000B3FE8"/>
    <w:rsid w:val="000B4077"/>
    <w:rsid w:val="000B43FB"/>
    <w:rsid w:val="000B454F"/>
    <w:rsid w:val="000B45A4"/>
    <w:rsid w:val="000B45C2"/>
    <w:rsid w:val="000B4707"/>
    <w:rsid w:val="000B4875"/>
    <w:rsid w:val="000B48C8"/>
    <w:rsid w:val="000B4937"/>
    <w:rsid w:val="000B4ACF"/>
    <w:rsid w:val="000B4D66"/>
    <w:rsid w:val="000B5093"/>
    <w:rsid w:val="000B514A"/>
    <w:rsid w:val="000B5189"/>
    <w:rsid w:val="000B51D6"/>
    <w:rsid w:val="000B52D9"/>
    <w:rsid w:val="000B5488"/>
    <w:rsid w:val="000B54B0"/>
    <w:rsid w:val="000B54C0"/>
    <w:rsid w:val="000B56CE"/>
    <w:rsid w:val="000B5719"/>
    <w:rsid w:val="000B5B13"/>
    <w:rsid w:val="000B5E37"/>
    <w:rsid w:val="000B5E5B"/>
    <w:rsid w:val="000B5EEC"/>
    <w:rsid w:val="000B636D"/>
    <w:rsid w:val="000B643D"/>
    <w:rsid w:val="000B653E"/>
    <w:rsid w:val="000B657D"/>
    <w:rsid w:val="000B65F3"/>
    <w:rsid w:val="000B68AC"/>
    <w:rsid w:val="000B6A9D"/>
    <w:rsid w:val="000B7258"/>
    <w:rsid w:val="000B73EF"/>
    <w:rsid w:val="000B7485"/>
    <w:rsid w:val="000B79C4"/>
    <w:rsid w:val="000B7BDF"/>
    <w:rsid w:val="000C02A1"/>
    <w:rsid w:val="000C0558"/>
    <w:rsid w:val="000C0786"/>
    <w:rsid w:val="000C0A6F"/>
    <w:rsid w:val="000C0BD4"/>
    <w:rsid w:val="000C10F3"/>
    <w:rsid w:val="000C1117"/>
    <w:rsid w:val="000C1211"/>
    <w:rsid w:val="000C1261"/>
    <w:rsid w:val="000C1285"/>
    <w:rsid w:val="000C1F5D"/>
    <w:rsid w:val="000C211E"/>
    <w:rsid w:val="000C232A"/>
    <w:rsid w:val="000C239B"/>
    <w:rsid w:val="000C2626"/>
    <w:rsid w:val="000C26FA"/>
    <w:rsid w:val="000C2A2D"/>
    <w:rsid w:val="000C2D8B"/>
    <w:rsid w:val="000C2DCB"/>
    <w:rsid w:val="000C2E33"/>
    <w:rsid w:val="000C2E88"/>
    <w:rsid w:val="000C2EB7"/>
    <w:rsid w:val="000C300C"/>
    <w:rsid w:val="000C300E"/>
    <w:rsid w:val="000C30BE"/>
    <w:rsid w:val="000C326A"/>
    <w:rsid w:val="000C34A5"/>
    <w:rsid w:val="000C3794"/>
    <w:rsid w:val="000C3A19"/>
    <w:rsid w:val="000C3CE5"/>
    <w:rsid w:val="000C3D21"/>
    <w:rsid w:val="000C3D5B"/>
    <w:rsid w:val="000C4089"/>
    <w:rsid w:val="000C4095"/>
    <w:rsid w:val="000C449E"/>
    <w:rsid w:val="000C457B"/>
    <w:rsid w:val="000C46D4"/>
    <w:rsid w:val="000C4831"/>
    <w:rsid w:val="000C496E"/>
    <w:rsid w:val="000C49B7"/>
    <w:rsid w:val="000C4A41"/>
    <w:rsid w:val="000C4A6E"/>
    <w:rsid w:val="000C4BF5"/>
    <w:rsid w:val="000C50F4"/>
    <w:rsid w:val="000C5245"/>
    <w:rsid w:val="000C52D4"/>
    <w:rsid w:val="000C531D"/>
    <w:rsid w:val="000C5350"/>
    <w:rsid w:val="000C54D5"/>
    <w:rsid w:val="000C54DC"/>
    <w:rsid w:val="000C5504"/>
    <w:rsid w:val="000C55C5"/>
    <w:rsid w:val="000C56A4"/>
    <w:rsid w:val="000C585E"/>
    <w:rsid w:val="000C5A45"/>
    <w:rsid w:val="000C5A79"/>
    <w:rsid w:val="000C5ADA"/>
    <w:rsid w:val="000C5B23"/>
    <w:rsid w:val="000C5DBB"/>
    <w:rsid w:val="000C61AC"/>
    <w:rsid w:val="000C6203"/>
    <w:rsid w:val="000C6220"/>
    <w:rsid w:val="000C63A6"/>
    <w:rsid w:val="000C6C86"/>
    <w:rsid w:val="000C735F"/>
    <w:rsid w:val="000C73EA"/>
    <w:rsid w:val="000C7420"/>
    <w:rsid w:val="000C74D4"/>
    <w:rsid w:val="000C76E0"/>
    <w:rsid w:val="000C7B7B"/>
    <w:rsid w:val="000C7BDB"/>
    <w:rsid w:val="000D024B"/>
    <w:rsid w:val="000D054F"/>
    <w:rsid w:val="000D05C9"/>
    <w:rsid w:val="000D0BC0"/>
    <w:rsid w:val="000D117B"/>
    <w:rsid w:val="000D15AA"/>
    <w:rsid w:val="000D16CA"/>
    <w:rsid w:val="000D176C"/>
    <w:rsid w:val="000D1BC5"/>
    <w:rsid w:val="000D1C28"/>
    <w:rsid w:val="000D1E5E"/>
    <w:rsid w:val="000D2040"/>
    <w:rsid w:val="000D2063"/>
    <w:rsid w:val="000D20F8"/>
    <w:rsid w:val="000D228B"/>
    <w:rsid w:val="000D290A"/>
    <w:rsid w:val="000D2AC8"/>
    <w:rsid w:val="000D2B3B"/>
    <w:rsid w:val="000D2D81"/>
    <w:rsid w:val="000D2D9E"/>
    <w:rsid w:val="000D2E69"/>
    <w:rsid w:val="000D2FCA"/>
    <w:rsid w:val="000D30C9"/>
    <w:rsid w:val="000D32A8"/>
    <w:rsid w:val="000D3EC8"/>
    <w:rsid w:val="000D400B"/>
    <w:rsid w:val="000D44A1"/>
    <w:rsid w:val="000D46B1"/>
    <w:rsid w:val="000D477C"/>
    <w:rsid w:val="000D49A0"/>
    <w:rsid w:val="000D4A6B"/>
    <w:rsid w:val="000D4B6F"/>
    <w:rsid w:val="000D4B95"/>
    <w:rsid w:val="000D4DE9"/>
    <w:rsid w:val="000D4F77"/>
    <w:rsid w:val="000D5129"/>
    <w:rsid w:val="000D5214"/>
    <w:rsid w:val="000D5353"/>
    <w:rsid w:val="000D53CF"/>
    <w:rsid w:val="000D54AD"/>
    <w:rsid w:val="000D55D6"/>
    <w:rsid w:val="000D5602"/>
    <w:rsid w:val="000D5A01"/>
    <w:rsid w:val="000D5AA2"/>
    <w:rsid w:val="000D5C65"/>
    <w:rsid w:val="000D5C9D"/>
    <w:rsid w:val="000D5F96"/>
    <w:rsid w:val="000D66AB"/>
    <w:rsid w:val="000D697B"/>
    <w:rsid w:val="000D69C7"/>
    <w:rsid w:val="000D6F90"/>
    <w:rsid w:val="000D71F1"/>
    <w:rsid w:val="000D7321"/>
    <w:rsid w:val="000D7518"/>
    <w:rsid w:val="000D7595"/>
    <w:rsid w:val="000D77B0"/>
    <w:rsid w:val="000D77EF"/>
    <w:rsid w:val="000D780B"/>
    <w:rsid w:val="000D785C"/>
    <w:rsid w:val="000D7929"/>
    <w:rsid w:val="000D79C5"/>
    <w:rsid w:val="000D7ACC"/>
    <w:rsid w:val="000D7CEB"/>
    <w:rsid w:val="000D7FE9"/>
    <w:rsid w:val="000E01D5"/>
    <w:rsid w:val="000E026F"/>
    <w:rsid w:val="000E0674"/>
    <w:rsid w:val="000E0945"/>
    <w:rsid w:val="000E0A40"/>
    <w:rsid w:val="000E0BA9"/>
    <w:rsid w:val="000E0EE0"/>
    <w:rsid w:val="000E0F7A"/>
    <w:rsid w:val="000E1233"/>
    <w:rsid w:val="000E1329"/>
    <w:rsid w:val="000E13B8"/>
    <w:rsid w:val="000E15BA"/>
    <w:rsid w:val="000E1863"/>
    <w:rsid w:val="000E195B"/>
    <w:rsid w:val="000E1A10"/>
    <w:rsid w:val="000E1E9D"/>
    <w:rsid w:val="000E226F"/>
    <w:rsid w:val="000E233C"/>
    <w:rsid w:val="000E2400"/>
    <w:rsid w:val="000E2F42"/>
    <w:rsid w:val="000E3267"/>
    <w:rsid w:val="000E32F8"/>
    <w:rsid w:val="000E331A"/>
    <w:rsid w:val="000E35AE"/>
    <w:rsid w:val="000E3FAA"/>
    <w:rsid w:val="000E41C8"/>
    <w:rsid w:val="000E43B6"/>
    <w:rsid w:val="000E43BF"/>
    <w:rsid w:val="000E43C1"/>
    <w:rsid w:val="000E448A"/>
    <w:rsid w:val="000E45E5"/>
    <w:rsid w:val="000E46C0"/>
    <w:rsid w:val="000E47BA"/>
    <w:rsid w:val="000E4802"/>
    <w:rsid w:val="000E4817"/>
    <w:rsid w:val="000E4B3C"/>
    <w:rsid w:val="000E4BEA"/>
    <w:rsid w:val="000E4EB6"/>
    <w:rsid w:val="000E5120"/>
    <w:rsid w:val="000E52E2"/>
    <w:rsid w:val="000E5345"/>
    <w:rsid w:val="000E5412"/>
    <w:rsid w:val="000E541D"/>
    <w:rsid w:val="000E5476"/>
    <w:rsid w:val="000E5644"/>
    <w:rsid w:val="000E5907"/>
    <w:rsid w:val="000E5C1B"/>
    <w:rsid w:val="000E5CBE"/>
    <w:rsid w:val="000E6006"/>
    <w:rsid w:val="000E62EE"/>
    <w:rsid w:val="000E678D"/>
    <w:rsid w:val="000E6844"/>
    <w:rsid w:val="000E695F"/>
    <w:rsid w:val="000E69F2"/>
    <w:rsid w:val="000E6BC5"/>
    <w:rsid w:val="000E6F44"/>
    <w:rsid w:val="000E6F5C"/>
    <w:rsid w:val="000E7025"/>
    <w:rsid w:val="000E7066"/>
    <w:rsid w:val="000E7387"/>
    <w:rsid w:val="000E7445"/>
    <w:rsid w:val="000E749E"/>
    <w:rsid w:val="000E7868"/>
    <w:rsid w:val="000E7970"/>
    <w:rsid w:val="000E7CCA"/>
    <w:rsid w:val="000E7F59"/>
    <w:rsid w:val="000E7F7F"/>
    <w:rsid w:val="000E7FCB"/>
    <w:rsid w:val="000F0466"/>
    <w:rsid w:val="000F0681"/>
    <w:rsid w:val="000F09AF"/>
    <w:rsid w:val="000F0C95"/>
    <w:rsid w:val="000F0DAB"/>
    <w:rsid w:val="000F0DC7"/>
    <w:rsid w:val="000F11DF"/>
    <w:rsid w:val="000F1409"/>
    <w:rsid w:val="000F174E"/>
    <w:rsid w:val="000F1821"/>
    <w:rsid w:val="000F1BA0"/>
    <w:rsid w:val="000F1D84"/>
    <w:rsid w:val="000F1E9E"/>
    <w:rsid w:val="000F2069"/>
    <w:rsid w:val="000F2210"/>
    <w:rsid w:val="000F228C"/>
    <w:rsid w:val="000F24B0"/>
    <w:rsid w:val="000F2B2C"/>
    <w:rsid w:val="000F2B78"/>
    <w:rsid w:val="000F2C34"/>
    <w:rsid w:val="000F2ECB"/>
    <w:rsid w:val="000F33CE"/>
    <w:rsid w:val="000F349A"/>
    <w:rsid w:val="000F3515"/>
    <w:rsid w:val="000F35BA"/>
    <w:rsid w:val="000F3613"/>
    <w:rsid w:val="000F387B"/>
    <w:rsid w:val="000F3C48"/>
    <w:rsid w:val="000F3CC8"/>
    <w:rsid w:val="000F3DA8"/>
    <w:rsid w:val="000F3F93"/>
    <w:rsid w:val="000F4055"/>
    <w:rsid w:val="000F4312"/>
    <w:rsid w:val="000F45AD"/>
    <w:rsid w:val="000F464F"/>
    <w:rsid w:val="000F49A6"/>
    <w:rsid w:val="000F513C"/>
    <w:rsid w:val="000F530A"/>
    <w:rsid w:val="000F56A7"/>
    <w:rsid w:val="000F5A19"/>
    <w:rsid w:val="000F5C0B"/>
    <w:rsid w:val="000F60A6"/>
    <w:rsid w:val="000F61BB"/>
    <w:rsid w:val="000F64D6"/>
    <w:rsid w:val="000F65EE"/>
    <w:rsid w:val="000F66B1"/>
    <w:rsid w:val="000F676F"/>
    <w:rsid w:val="000F6951"/>
    <w:rsid w:val="000F6D23"/>
    <w:rsid w:val="000F6F5B"/>
    <w:rsid w:val="000F708C"/>
    <w:rsid w:val="000F717B"/>
    <w:rsid w:val="000F74CC"/>
    <w:rsid w:val="000F7743"/>
    <w:rsid w:val="000F788C"/>
    <w:rsid w:val="000F78CC"/>
    <w:rsid w:val="000F79D5"/>
    <w:rsid w:val="000F7FC8"/>
    <w:rsid w:val="0010014F"/>
    <w:rsid w:val="0010016F"/>
    <w:rsid w:val="00100303"/>
    <w:rsid w:val="001003EE"/>
    <w:rsid w:val="001003F7"/>
    <w:rsid w:val="00100592"/>
    <w:rsid w:val="00100630"/>
    <w:rsid w:val="001006E4"/>
    <w:rsid w:val="001008A2"/>
    <w:rsid w:val="00100BFD"/>
    <w:rsid w:val="00100C79"/>
    <w:rsid w:val="00100DBB"/>
    <w:rsid w:val="00100F6B"/>
    <w:rsid w:val="00101142"/>
    <w:rsid w:val="001012D5"/>
    <w:rsid w:val="00101324"/>
    <w:rsid w:val="0010147F"/>
    <w:rsid w:val="0010194F"/>
    <w:rsid w:val="001019F4"/>
    <w:rsid w:val="00101A7B"/>
    <w:rsid w:val="00101D60"/>
    <w:rsid w:val="00101FFA"/>
    <w:rsid w:val="00102163"/>
    <w:rsid w:val="001021B7"/>
    <w:rsid w:val="0010224E"/>
    <w:rsid w:val="001023C1"/>
    <w:rsid w:val="001025FE"/>
    <w:rsid w:val="001028A4"/>
    <w:rsid w:val="00102A3E"/>
    <w:rsid w:val="00102AF1"/>
    <w:rsid w:val="00102B7D"/>
    <w:rsid w:val="00102BCC"/>
    <w:rsid w:val="00102D3C"/>
    <w:rsid w:val="00102F62"/>
    <w:rsid w:val="001033C9"/>
    <w:rsid w:val="00103481"/>
    <w:rsid w:val="001034C4"/>
    <w:rsid w:val="00103510"/>
    <w:rsid w:val="00103567"/>
    <w:rsid w:val="00103583"/>
    <w:rsid w:val="00103609"/>
    <w:rsid w:val="00103614"/>
    <w:rsid w:val="001036C0"/>
    <w:rsid w:val="0010398C"/>
    <w:rsid w:val="00103A74"/>
    <w:rsid w:val="00103C10"/>
    <w:rsid w:val="00103D36"/>
    <w:rsid w:val="00103ED5"/>
    <w:rsid w:val="00104372"/>
    <w:rsid w:val="001044DD"/>
    <w:rsid w:val="001045F3"/>
    <w:rsid w:val="0010469B"/>
    <w:rsid w:val="001048AA"/>
    <w:rsid w:val="00104B39"/>
    <w:rsid w:val="00104BC2"/>
    <w:rsid w:val="00104D8D"/>
    <w:rsid w:val="00104DAB"/>
    <w:rsid w:val="0010500C"/>
    <w:rsid w:val="001051A5"/>
    <w:rsid w:val="001053D4"/>
    <w:rsid w:val="0010543D"/>
    <w:rsid w:val="0010569D"/>
    <w:rsid w:val="001057D0"/>
    <w:rsid w:val="00105948"/>
    <w:rsid w:val="00105B33"/>
    <w:rsid w:val="00105F4D"/>
    <w:rsid w:val="00105F5F"/>
    <w:rsid w:val="00105FB9"/>
    <w:rsid w:val="00106113"/>
    <w:rsid w:val="00106164"/>
    <w:rsid w:val="00106176"/>
    <w:rsid w:val="001061BD"/>
    <w:rsid w:val="001064DF"/>
    <w:rsid w:val="001068CB"/>
    <w:rsid w:val="00106AAA"/>
    <w:rsid w:val="00106B22"/>
    <w:rsid w:val="00106D68"/>
    <w:rsid w:val="00107916"/>
    <w:rsid w:val="00107D39"/>
    <w:rsid w:val="00107EA0"/>
    <w:rsid w:val="00110096"/>
    <w:rsid w:val="001100FA"/>
    <w:rsid w:val="001101EB"/>
    <w:rsid w:val="0011034E"/>
    <w:rsid w:val="001109FF"/>
    <w:rsid w:val="00110C5C"/>
    <w:rsid w:val="00110C77"/>
    <w:rsid w:val="00110D17"/>
    <w:rsid w:val="00110F39"/>
    <w:rsid w:val="0011104A"/>
    <w:rsid w:val="0011119F"/>
    <w:rsid w:val="00111285"/>
    <w:rsid w:val="001113EE"/>
    <w:rsid w:val="001114D1"/>
    <w:rsid w:val="001117EC"/>
    <w:rsid w:val="00111A73"/>
    <w:rsid w:val="00112130"/>
    <w:rsid w:val="00112285"/>
    <w:rsid w:val="001124E5"/>
    <w:rsid w:val="00112625"/>
    <w:rsid w:val="0011266D"/>
    <w:rsid w:val="001126D7"/>
    <w:rsid w:val="001128FA"/>
    <w:rsid w:val="00112A3C"/>
    <w:rsid w:val="00112A46"/>
    <w:rsid w:val="00112AD2"/>
    <w:rsid w:val="00112D72"/>
    <w:rsid w:val="00112DCA"/>
    <w:rsid w:val="00112E6E"/>
    <w:rsid w:val="001131A9"/>
    <w:rsid w:val="001132CB"/>
    <w:rsid w:val="00113618"/>
    <w:rsid w:val="00113636"/>
    <w:rsid w:val="0011381B"/>
    <w:rsid w:val="00113ABB"/>
    <w:rsid w:val="00113B08"/>
    <w:rsid w:val="00113E72"/>
    <w:rsid w:val="00113F64"/>
    <w:rsid w:val="00114403"/>
    <w:rsid w:val="00114410"/>
    <w:rsid w:val="001149A3"/>
    <w:rsid w:val="00114E15"/>
    <w:rsid w:val="00115104"/>
    <w:rsid w:val="001151AB"/>
    <w:rsid w:val="00115491"/>
    <w:rsid w:val="00115676"/>
    <w:rsid w:val="001156BE"/>
    <w:rsid w:val="001156F0"/>
    <w:rsid w:val="00115839"/>
    <w:rsid w:val="001158A5"/>
    <w:rsid w:val="0011592B"/>
    <w:rsid w:val="001159AB"/>
    <w:rsid w:val="00115A9B"/>
    <w:rsid w:val="00115DE6"/>
    <w:rsid w:val="00115DF6"/>
    <w:rsid w:val="001163F5"/>
    <w:rsid w:val="001164ED"/>
    <w:rsid w:val="001166AE"/>
    <w:rsid w:val="00116CA0"/>
    <w:rsid w:val="00116E2B"/>
    <w:rsid w:val="00116FAF"/>
    <w:rsid w:val="0011725E"/>
    <w:rsid w:val="0011769F"/>
    <w:rsid w:val="001176D9"/>
    <w:rsid w:val="001178FD"/>
    <w:rsid w:val="00117B32"/>
    <w:rsid w:val="00117C75"/>
    <w:rsid w:val="00117FB9"/>
    <w:rsid w:val="00117FD2"/>
    <w:rsid w:val="001201DC"/>
    <w:rsid w:val="00120200"/>
    <w:rsid w:val="001203E4"/>
    <w:rsid w:val="00120496"/>
    <w:rsid w:val="00120924"/>
    <w:rsid w:val="0012094D"/>
    <w:rsid w:val="0012097E"/>
    <w:rsid w:val="00120BCB"/>
    <w:rsid w:val="00120CF7"/>
    <w:rsid w:val="00120E81"/>
    <w:rsid w:val="00120EA0"/>
    <w:rsid w:val="0012106B"/>
    <w:rsid w:val="00121383"/>
    <w:rsid w:val="001218BA"/>
    <w:rsid w:val="001218E3"/>
    <w:rsid w:val="00121F05"/>
    <w:rsid w:val="001220D5"/>
    <w:rsid w:val="0012210E"/>
    <w:rsid w:val="0012212F"/>
    <w:rsid w:val="00122621"/>
    <w:rsid w:val="00122720"/>
    <w:rsid w:val="00122976"/>
    <w:rsid w:val="00122C43"/>
    <w:rsid w:val="00122DA3"/>
    <w:rsid w:val="00122E66"/>
    <w:rsid w:val="00122E7A"/>
    <w:rsid w:val="00122EAA"/>
    <w:rsid w:val="0012331D"/>
    <w:rsid w:val="0012335A"/>
    <w:rsid w:val="0012340D"/>
    <w:rsid w:val="001234B4"/>
    <w:rsid w:val="00123513"/>
    <w:rsid w:val="0012360B"/>
    <w:rsid w:val="001236F1"/>
    <w:rsid w:val="0012377D"/>
    <w:rsid w:val="00123984"/>
    <w:rsid w:val="00123B1A"/>
    <w:rsid w:val="00123CAE"/>
    <w:rsid w:val="00123CB5"/>
    <w:rsid w:val="00123F80"/>
    <w:rsid w:val="001241B5"/>
    <w:rsid w:val="00124233"/>
    <w:rsid w:val="0012424A"/>
    <w:rsid w:val="0012466D"/>
    <w:rsid w:val="00124A5B"/>
    <w:rsid w:val="00124AB1"/>
    <w:rsid w:val="00124ED5"/>
    <w:rsid w:val="001250EF"/>
    <w:rsid w:val="00125436"/>
    <w:rsid w:val="00125560"/>
    <w:rsid w:val="0012564F"/>
    <w:rsid w:val="00125871"/>
    <w:rsid w:val="00125987"/>
    <w:rsid w:val="001259FB"/>
    <w:rsid w:val="00125ADE"/>
    <w:rsid w:val="00125D7C"/>
    <w:rsid w:val="00125F15"/>
    <w:rsid w:val="00126092"/>
    <w:rsid w:val="00126155"/>
    <w:rsid w:val="001264FA"/>
    <w:rsid w:val="001266A7"/>
    <w:rsid w:val="0012679E"/>
    <w:rsid w:val="00126863"/>
    <w:rsid w:val="0012692A"/>
    <w:rsid w:val="00126A2E"/>
    <w:rsid w:val="00126C95"/>
    <w:rsid w:val="00126CEB"/>
    <w:rsid w:val="00126D8C"/>
    <w:rsid w:val="00126E15"/>
    <w:rsid w:val="00126EC5"/>
    <w:rsid w:val="001270BD"/>
    <w:rsid w:val="0012719F"/>
    <w:rsid w:val="00127226"/>
    <w:rsid w:val="001273EA"/>
    <w:rsid w:val="0012790D"/>
    <w:rsid w:val="00127981"/>
    <w:rsid w:val="00127B2C"/>
    <w:rsid w:val="001306B1"/>
    <w:rsid w:val="00130773"/>
    <w:rsid w:val="001307CC"/>
    <w:rsid w:val="0013107C"/>
    <w:rsid w:val="0013126A"/>
    <w:rsid w:val="00131546"/>
    <w:rsid w:val="00131646"/>
    <w:rsid w:val="00131875"/>
    <w:rsid w:val="00131A90"/>
    <w:rsid w:val="00131C63"/>
    <w:rsid w:val="001320FE"/>
    <w:rsid w:val="001323A5"/>
    <w:rsid w:val="00132CDF"/>
    <w:rsid w:val="00132D61"/>
    <w:rsid w:val="001331A9"/>
    <w:rsid w:val="001331FF"/>
    <w:rsid w:val="00133275"/>
    <w:rsid w:val="001334D0"/>
    <w:rsid w:val="001335AE"/>
    <w:rsid w:val="0013367B"/>
    <w:rsid w:val="001336F9"/>
    <w:rsid w:val="00133712"/>
    <w:rsid w:val="0013380C"/>
    <w:rsid w:val="001338B6"/>
    <w:rsid w:val="00133964"/>
    <w:rsid w:val="00133A6D"/>
    <w:rsid w:val="00133CB6"/>
    <w:rsid w:val="00133D23"/>
    <w:rsid w:val="00133E45"/>
    <w:rsid w:val="0013418E"/>
    <w:rsid w:val="00134283"/>
    <w:rsid w:val="00134410"/>
    <w:rsid w:val="00134505"/>
    <w:rsid w:val="001346C2"/>
    <w:rsid w:val="00134883"/>
    <w:rsid w:val="00134953"/>
    <w:rsid w:val="001349D8"/>
    <w:rsid w:val="00134FC9"/>
    <w:rsid w:val="00135345"/>
    <w:rsid w:val="0013542F"/>
    <w:rsid w:val="00135532"/>
    <w:rsid w:val="001355C1"/>
    <w:rsid w:val="00135776"/>
    <w:rsid w:val="001357D2"/>
    <w:rsid w:val="00135993"/>
    <w:rsid w:val="00135A2E"/>
    <w:rsid w:val="00135AAF"/>
    <w:rsid w:val="00135C23"/>
    <w:rsid w:val="00135D99"/>
    <w:rsid w:val="00136391"/>
    <w:rsid w:val="001367AB"/>
    <w:rsid w:val="0013689E"/>
    <w:rsid w:val="001368A3"/>
    <w:rsid w:val="00136B9D"/>
    <w:rsid w:val="00136DC1"/>
    <w:rsid w:val="00136EF5"/>
    <w:rsid w:val="00136FE5"/>
    <w:rsid w:val="001370D4"/>
    <w:rsid w:val="0013727D"/>
    <w:rsid w:val="0013757D"/>
    <w:rsid w:val="0013764E"/>
    <w:rsid w:val="0013785E"/>
    <w:rsid w:val="00137ADB"/>
    <w:rsid w:val="00137B36"/>
    <w:rsid w:val="00137B85"/>
    <w:rsid w:val="00140094"/>
    <w:rsid w:val="001402C9"/>
    <w:rsid w:val="001402D6"/>
    <w:rsid w:val="001407BE"/>
    <w:rsid w:val="001407C0"/>
    <w:rsid w:val="001408C4"/>
    <w:rsid w:val="00140933"/>
    <w:rsid w:val="00140D79"/>
    <w:rsid w:val="00140E0F"/>
    <w:rsid w:val="00140F2E"/>
    <w:rsid w:val="0014110A"/>
    <w:rsid w:val="0014113E"/>
    <w:rsid w:val="00141661"/>
    <w:rsid w:val="00141673"/>
    <w:rsid w:val="0014179D"/>
    <w:rsid w:val="00141842"/>
    <w:rsid w:val="00141E65"/>
    <w:rsid w:val="00141F91"/>
    <w:rsid w:val="00142100"/>
    <w:rsid w:val="00142306"/>
    <w:rsid w:val="001423FC"/>
    <w:rsid w:val="00142AE8"/>
    <w:rsid w:val="00142C1B"/>
    <w:rsid w:val="00142C3F"/>
    <w:rsid w:val="00142CB7"/>
    <w:rsid w:val="00142D02"/>
    <w:rsid w:val="00142E09"/>
    <w:rsid w:val="00142FCD"/>
    <w:rsid w:val="0014344C"/>
    <w:rsid w:val="0014353F"/>
    <w:rsid w:val="001435E3"/>
    <w:rsid w:val="00143AF8"/>
    <w:rsid w:val="00144047"/>
    <w:rsid w:val="00144523"/>
    <w:rsid w:val="00144835"/>
    <w:rsid w:val="00144A57"/>
    <w:rsid w:val="00144C2A"/>
    <w:rsid w:val="00144E67"/>
    <w:rsid w:val="00145088"/>
    <w:rsid w:val="0014510D"/>
    <w:rsid w:val="00145249"/>
    <w:rsid w:val="00145331"/>
    <w:rsid w:val="001456DF"/>
    <w:rsid w:val="001457FA"/>
    <w:rsid w:val="001459D0"/>
    <w:rsid w:val="0014600F"/>
    <w:rsid w:val="00146062"/>
    <w:rsid w:val="00146086"/>
    <w:rsid w:val="001460CC"/>
    <w:rsid w:val="00146110"/>
    <w:rsid w:val="001464C9"/>
    <w:rsid w:val="001465FF"/>
    <w:rsid w:val="00146AED"/>
    <w:rsid w:val="00146BEF"/>
    <w:rsid w:val="00146E1B"/>
    <w:rsid w:val="001473C1"/>
    <w:rsid w:val="0014780E"/>
    <w:rsid w:val="00147B60"/>
    <w:rsid w:val="00147DD8"/>
    <w:rsid w:val="00147ECC"/>
    <w:rsid w:val="0015023C"/>
    <w:rsid w:val="001505EB"/>
    <w:rsid w:val="001507DE"/>
    <w:rsid w:val="0015089D"/>
    <w:rsid w:val="00150D09"/>
    <w:rsid w:val="00150E56"/>
    <w:rsid w:val="00150E93"/>
    <w:rsid w:val="00150F8A"/>
    <w:rsid w:val="00150FF0"/>
    <w:rsid w:val="00151328"/>
    <w:rsid w:val="001513AE"/>
    <w:rsid w:val="001513E2"/>
    <w:rsid w:val="001514CC"/>
    <w:rsid w:val="00151562"/>
    <w:rsid w:val="00151861"/>
    <w:rsid w:val="0015188A"/>
    <w:rsid w:val="001519B0"/>
    <w:rsid w:val="00151B37"/>
    <w:rsid w:val="00151CC6"/>
    <w:rsid w:val="0015205C"/>
    <w:rsid w:val="00152063"/>
    <w:rsid w:val="0015228C"/>
    <w:rsid w:val="001522FA"/>
    <w:rsid w:val="001524CE"/>
    <w:rsid w:val="0015253F"/>
    <w:rsid w:val="001525BC"/>
    <w:rsid w:val="001525C3"/>
    <w:rsid w:val="00152604"/>
    <w:rsid w:val="001526CD"/>
    <w:rsid w:val="00152D74"/>
    <w:rsid w:val="00152D8C"/>
    <w:rsid w:val="00152E18"/>
    <w:rsid w:val="001530BA"/>
    <w:rsid w:val="00153340"/>
    <w:rsid w:val="00153816"/>
    <w:rsid w:val="00153A31"/>
    <w:rsid w:val="00153AA0"/>
    <w:rsid w:val="00153D43"/>
    <w:rsid w:val="0015410A"/>
    <w:rsid w:val="0015419B"/>
    <w:rsid w:val="001546DB"/>
    <w:rsid w:val="001547C5"/>
    <w:rsid w:val="001548C1"/>
    <w:rsid w:val="00154909"/>
    <w:rsid w:val="001549E5"/>
    <w:rsid w:val="00154A75"/>
    <w:rsid w:val="00154AF1"/>
    <w:rsid w:val="00154E38"/>
    <w:rsid w:val="00154ED5"/>
    <w:rsid w:val="0015514E"/>
    <w:rsid w:val="00155226"/>
    <w:rsid w:val="001552EE"/>
    <w:rsid w:val="001552F0"/>
    <w:rsid w:val="00155385"/>
    <w:rsid w:val="001555C5"/>
    <w:rsid w:val="0015593D"/>
    <w:rsid w:val="00155AD1"/>
    <w:rsid w:val="00155B9C"/>
    <w:rsid w:val="00155F87"/>
    <w:rsid w:val="001563AC"/>
    <w:rsid w:val="00156469"/>
    <w:rsid w:val="00156606"/>
    <w:rsid w:val="00156896"/>
    <w:rsid w:val="00156988"/>
    <w:rsid w:val="00156D18"/>
    <w:rsid w:val="00156F9D"/>
    <w:rsid w:val="001573F9"/>
    <w:rsid w:val="0015740C"/>
    <w:rsid w:val="00157615"/>
    <w:rsid w:val="00157C6C"/>
    <w:rsid w:val="0016073E"/>
    <w:rsid w:val="00160802"/>
    <w:rsid w:val="00160A0F"/>
    <w:rsid w:val="00160B31"/>
    <w:rsid w:val="00160C4C"/>
    <w:rsid w:val="00160C8E"/>
    <w:rsid w:val="00160C97"/>
    <w:rsid w:val="00160C9E"/>
    <w:rsid w:val="00160CBB"/>
    <w:rsid w:val="001610BE"/>
    <w:rsid w:val="001610FB"/>
    <w:rsid w:val="001611DE"/>
    <w:rsid w:val="001613FB"/>
    <w:rsid w:val="0016147F"/>
    <w:rsid w:val="00161488"/>
    <w:rsid w:val="001614E1"/>
    <w:rsid w:val="0016163B"/>
    <w:rsid w:val="0016164D"/>
    <w:rsid w:val="0016167F"/>
    <w:rsid w:val="0016191F"/>
    <w:rsid w:val="0016195A"/>
    <w:rsid w:val="00161AD2"/>
    <w:rsid w:val="001621E0"/>
    <w:rsid w:val="0016237B"/>
    <w:rsid w:val="001626B7"/>
    <w:rsid w:val="001627A9"/>
    <w:rsid w:val="001627D5"/>
    <w:rsid w:val="001629E0"/>
    <w:rsid w:val="00162EE0"/>
    <w:rsid w:val="00163138"/>
    <w:rsid w:val="0016324A"/>
    <w:rsid w:val="001635C5"/>
    <w:rsid w:val="00163639"/>
    <w:rsid w:val="0016369C"/>
    <w:rsid w:val="001637CA"/>
    <w:rsid w:val="001638DD"/>
    <w:rsid w:val="001638F7"/>
    <w:rsid w:val="00163C88"/>
    <w:rsid w:val="00163FD4"/>
    <w:rsid w:val="0016411F"/>
    <w:rsid w:val="00164697"/>
    <w:rsid w:val="001647D0"/>
    <w:rsid w:val="00164BCE"/>
    <w:rsid w:val="00164D4F"/>
    <w:rsid w:val="00164EA4"/>
    <w:rsid w:val="00164EC1"/>
    <w:rsid w:val="00165784"/>
    <w:rsid w:val="001658BC"/>
    <w:rsid w:val="001658FC"/>
    <w:rsid w:val="001659C2"/>
    <w:rsid w:val="00165BBF"/>
    <w:rsid w:val="00165BED"/>
    <w:rsid w:val="00165C5C"/>
    <w:rsid w:val="00165CD1"/>
    <w:rsid w:val="0016619C"/>
    <w:rsid w:val="0016629F"/>
    <w:rsid w:val="00166456"/>
    <w:rsid w:val="001666B9"/>
    <w:rsid w:val="00166803"/>
    <w:rsid w:val="0016681C"/>
    <w:rsid w:val="00166BBF"/>
    <w:rsid w:val="001670C5"/>
    <w:rsid w:val="0016766F"/>
    <w:rsid w:val="001676B2"/>
    <w:rsid w:val="00167EDA"/>
    <w:rsid w:val="00170061"/>
    <w:rsid w:val="00170494"/>
    <w:rsid w:val="0017060D"/>
    <w:rsid w:val="001707B2"/>
    <w:rsid w:val="001707D4"/>
    <w:rsid w:val="001709E6"/>
    <w:rsid w:val="00170A30"/>
    <w:rsid w:val="00170B0F"/>
    <w:rsid w:val="00170E70"/>
    <w:rsid w:val="001710C0"/>
    <w:rsid w:val="00171242"/>
    <w:rsid w:val="00171380"/>
    <w:rsid w:val="001714DE"/>
    <w:rsid w:val="0017170C"/>
    <w:rsid w:val="001717F9"/>
    <w:rsid w:val="00171A12"/>
    <w:rsid w:val="00171C06"/>
    <w:rsid w:val="00171C71"/>
    <w:rsid w:val="00171E47"/>
    <w:rsid w:val="0017207C"/>
    <w:rsid w:val="001729F1"/>
    <w:rsid w:val="00172BBE"/>
    <w:rsid w:val="00172C04"/>
    <w:rsid w:val="00172CA3"/>
    <w:rsid w:val="00172CF6"/>
    <w:rsid w:val="00172D14"/>
    <w:rsid w:val="00172D64"/>
    <w:rsid w:val="00172EAD"/>
    <w:rsid w:val="00172F0E"/>
    <w:rsid w:val="00172F62"/>
    <w:rsid w:val="00173130"/>
    <w:rsid w:val="00173480"/>
    <w:rsid w:val="0017359A"/>
    <w:rsid w:val="001736AD"/>
    <w:rsid w:val="00173906"/>
    <w:rsid w:val="00173EC4"/>
    <w:rsid w:val="001740CB"/>
    <w:rsid w:val="0017463A"/>
    <w:rsid w:val="001747BA"/>
    <w:rsid w:val="00174A2F"/>
    <w:rsid w:val="00174D72"/>
    <w:rsid w:val="00174D8E"/>
    <w:rsid w:val="00175341"/>
    <w:rsid w:val="001757BE"/>
    <w:rsid w:val="001757D8"/>
    <w:rsid w:val="001758A1"/>
    <w:rsid w:val="00175AB4"/>
    <w:rsid w:val="00175D63"/>
    <w:rsid w:val="00175DE2"/>
    <w:rsid w:val="00176329"/>
    <w:rsid w:val="0017635D"/>
    <w:rsid w:val="00176437"/>
    <w:rsid w:val="0017678A"/>
    <w:rsid w:val="00176B5C"/>
    <w:rsid w:val="00176BCC"/>
    <w:rsid w:val="00176BFC"/>
    <w:rsid w:val="00176D5C"/>
    <w:rsid w:val="00177119"/>
    <w:rsid w:val="0017716C"/>
    <w:rsid w:val="00177362"/>
    <w:rsid w:val="0017737A"/>
    <w:rsid w:val="001773BF"/>
    <w:rsid w:val="00177434"/>
    <w:rsid w:val="001778F2"/>
    <w:rsid w:val="00177BB7"/>
    <w:rsid w:val="00177D47"/>
    <w:rsid w:val="00177E76"/>
    <w:rsid w:val="00177F4A"/>
    <w:rsid w:val="001800E3"/>
    <w:rsid w:val="001801DC"/>
    <w:rsid w:val="001804F7"/>
    <w:rsid w:val="00180808"/>
    <w:rsid w:val="00180876"/>
    <w:rsid w:val="00180A88"/>
    <w:rsid w:val="00180BEA"/>
    <w:rsid w:val="00180CD6"/>
    <w:rsid w:val="00180CF4"/>
    <w:rsid w:val="00180EB3"/>
    <w:rsid w:val="00180F2B"/>
    <w:rsid w:val="00181249"/>
    <w:rsid w:val="00181397"/>
    <w:rsid w:val="0018146E"/>
    <w:rsid w:val="00181633"/>
    <w:rsid w:val="00181828"/>
    <w:rsid w:val="00181C2F"/>
    <w:rsid w:val="00181F2D"/>
    <w:rsid w:val="00181F4C"/>
    <w:rsid w:val="0018254E"/>
    <w:rsid w:val="0018258D"/>
    <w:rsid w:val="00182677"/>
    <w:rsid w:val="001828E4"/>
    <w:rsid w:val="00182B15"/>
    <w:rsid w:val="00182CF9"/>
    <w:rsid w:val="001832B5"/>
    <w:rsid w:val="00183323"/>
    <w:rsid w:val="001833E9"/>
    <w:rsid w:val="001833EF"/>
    <w:rsid w:val="0018356D"/>
    <w:rsid w:val="001835BB"/>
    <w:rsid w:val="00183682"/>
    <w:rsid w:val="001836E2"/>
    <w:rsid w:val="0018373D"/>
    <w:rsid w:val="00183859"/>
    <w:rsid w:val="001839F0"/>
    <w:rsid w:val="00183A15"/>
    <w:rsid w:val="00183A48"/>
    <w:rsid w:val="00183A78"/>
    <w:rsid w:val="00183B40"/>
    <w:rsid w:val="00183BA9"/>
    <w:rsid w:val="00183D30"/>
    <w:rsid w:val="00183D58"/>
    <w:rsid w:val="00183DEA"/>
    <w:rsid w:val="00183E5D"/>
    <w:rsid w:val="00184373"/>
    <w:rsid w:val="001846D5"/>
    <w:rsid w:val="0018477B"/>
    <w:rsid w:val="00184AB8"/>
    <w:rsid w:val="00184BF9"/>
    <w:rsid w:val="00184D52"/>
    <w:rsid w:val="0018504E"/>
    <w:rsid w:val="001854DC"/>
    <w:rsid w:val="00185684"/>
    <w:rsid w:val="00185F02"/>
    <w:rsid w:val="001864C8"/>
    <w:rsid w:val="00186537"/>
    <w:rsid w:val="001865C7"/>
    <w:rsid w:val="00186BCB"/>
    <w:rsid w:val="00186DC4"/>
    <w:rsid w:val="00186F22"/>
    <w:rsid w:val="001870D8"/>
    <w:rsid w:val="0018715E"/>
    <w:rsid w:val="0018723F"/>
    <w:rsid w:val="0018782A"/>
    <w:rsid w:val="00187A5C"/>
    <w:rsid w:val="00187CB8"/>
    <w:rsid w:val="00187D0D"/>
    <w:rsid w:val="00187F20"/>
    <w:rsid w:val="00190001"/>
    <w:rsid w:val="0019008C"/>
    <w:rsid w:val="00190127"/>
    <w:rsid w:val="001904D2"/>
    <w:rsid w:val="00190770"/>
    <w:rsid w:val="0019088B"/>
    <w:rsid w:val="00190C35"/>
    <w:rsid w:val="00190C5F"/>
    <w:rsid w:val="00190CAF"/>
    <w:rsid w:val="00190CBF"/>
    <w:rsid w:val="00190FA2"/>
    <w:rsid w:val="00191020"/>
    <w:rsid w:val="0019111F"/>
    <w:rsid w:val="00191294"/>
    <w:rsid w:val="001913B2"/>
    <w:rsid w:val="001916DD"/>
    <w:rsid w:val="00191A2C"/>
    <w:rsid w:val="00191B69"/>
    <w:rsid w:val="00191D86"/>
    <w:rsid w:val="00191D88"/>
    <w:rsid w:val="001920E3"/>
    <w:rsid w:val="001922C8"/>
    <w:rsid w:val="001925DE"/>
    <w:rsid w:val="0019269A"/>
    <w:rsid w:val="00192826"/>
    <w:rsid w:val="001929A7"/>
    <w:rsid w:val="001929CF"/>
    <w:rsid w:val="00192B7B"/>
    <w:rsid w:val="00192D31"/>
    <w:rsid w:val="00192D38"/>
    <w:rsid w:val="0019300E"/>
    <w:rsid w:val="001931BB"/>
    <w:rsid w:val="00193280"/>
    <w:rsid w:val="001932A3"/>
    <w:rsid w:val="00193327"/>
    <w:rsid w:val="001936A8"/>
    <w:rsid w:val="001936E7"/>
    <w:rsid w:val="00193889"/>
    <w:rsid w:val="00193980"/>
    <w:rsid w:val="00193B20"/>
    <w:rsid w:val="00193C0E"/>
    <w:rsid w:val="00193C1E"/>
    <w:rsid w:val="00193C5D"/>
    <w:rsid w:val="00193D30"/>
    <w:rsid w:val="00193EE6"/>
    <w:rsid w:val="00193F44"/>
    <w:rsid w:val="001943E3"/>
    <w:rsid w:val="0019441A"/>
    <w:rsid w:val="0019441F"/>
    <w:rsid w:val="00194566"/>
    <w:rsid w:val="00194860"/>
    <w:rsid w:val="00194E57"/>
    <w:rsid w:val="00194FD1"/>
    <w:rsid w:val="00195114"/>
    <w:rsid w:val="00195205"/>
    <w:rsid w:val="00195317"/>
    <w:rsid w:val="001954F7"/>
    <w:rsid w:val="0019566D"/>
    <w:rsid w:val="001956CB"/>
    <w:rsid w:val="00195CCF"/>
    <w:rsid w:val="00195FB5"/>
    <w:rsid w:val="001960C8"/>
    <w:rsid w:val="0019616E"/>
    <w:rsid w:val="001963DB"/>
    <w:rsid w:val="001963F4"/>
    <w:rsid w:val="00196570"/>
    <w:rsid w:val="00196689"/>
    <w:rsid w:val="00196ADB"/>
    <w:rsid w:val="00196C33"/>
    <w:rsid w:val="00196D36"/>
    <w:rsid w:val="00196F75"/>
    <w:rsid w:val="0019713C"/>
    <w:rsid w:val="00197309"/>
    <w:rsid w:val="001974D1"/>
    <w:rsid w:val="0019790F"/>
    <w:rsid w:val="00197AF2"/>
    <w:rsid w:val="001A008D"/>
    <w:rsid w:val="001A02D2"/>
    <w:rsid w:val="001A064C"/>
    <w:rsid w:val="001A07A4"/>
    <w:rsid w:val="001A07AB"/>
    <w:rsid w:val="001A07F6"/>
    <w:rsid w:val="001A089B"/>
    <w:rsid w:val="001A095D"/>
    <w:rsid w:val="001A0AD4"/>
    <w:rsid w:val="001A0D26"/>
    <w:rsid w:val="001A130F"/>
    <w:rsid w:val="001A136A"/>
    <w:rsid w:val="001A137A"/>
    <w:rsid w:val="001A1380"/>
    <w:rsid w:val="001A13FC"/>
    <w:rsid w:val="001A14A1"/>
    <w:rsid w:val="001A17B2"/>
    <w:rsid w:val="001A1835"/>
    <w:rsid w:val="001A18C7"/>
    <w:rsid w:val="001A19DC"/>
    <w:rsid w:val="001A1F33"/>
    <w:rsid w:val="001A1FB7"/>
    <w:rsid w:val="001A2077"/>
    <w:rsid w:val="001A214E"/>
    <w:rsid w:val="001A21E8"/>
    <w:rsid w:val="001A2223"/>
    <w:rsid w:val="001A2263"/>
    <w:rsid w:val="001A23AC"/>
    <w:rsid w:val="001A246F"/>
    <w:rsid w:val="001A259B"/>
    <w:rsid w:val="001A2611"/>
    <w:rsid w:val="001A28CF"/>
    <w:rsid w:val="001A28D7"/>
    <w:rsid w:val="001A2D2E"/>
    <w:rsid w:val="001A2E3D"/>
    <w:rsid w:val="001A3148"/>
    <w:rsid w:val="001A3497"/>
    <w:rsid w:val="001A35F8"/>
    <w:rsid w:val="001A374F"/>
    <w:rsid w:val="001A3986"/>
    <w:rsid w:val="001A3C7F"/>
    <w:rsid w:val="001A418D"/>
    <w:rsid w:val="001A41C7"/>
    <w:rsid w:val="001A4259"/>
    <w:rsid w:val="001A4307"/>
    <w:rsid w:val="001A4426"/>
    <w:rsid w:val="001A468E"/>
    <w:rsid w:val="001A478D"/>
    <w:rsid w:val="001A489B"/>
    <w:rsid w:val="001A4A29"/>
    <w:rsid w:val="001A4A9A"/>
    <w:rsid w:val="001A4CC9"/>
    <w:rsid w:val="001A4DB2"/>
    <w:rsid w:val="001A4FF3"/>
    <w:rsid w:val="001A504E"/>
    <w:rsid w:val="001A5137"/>
    <w:rsid w:val="001A51F8"/>
    <w:rsid w:val="001A5366"/>
    <w:rsid w:val="001A55A8"/>
    <w:rsid w:val="001A56DB"/>
    <w:rsid w:val="001A5B86"/>
    <w:rsid w:val="001A5C2F"/>
    <w:rsid w:val="001A5D50"/>
    <w:rsid w:val="001A5F4D"/>
    <w:rsid w:val="001A641C"/>
    <w:rsid w:val="001A65AC"/>
    <w:rsid w:val="001A68D2"/>
    <w:rsid w:val="001A6A44"/>
    <w:rsid w:val="001A6AFA"/>
    <w:rsid w:val="001A6DA9"/>
    <w:rsid w:val="001A7198"/>
    <w:rsid w:val="001A71CA"/>
    <w:rsid w:val="001A7211"/>
    <w:rsid w:val="001A7232"/>
    <w:rsid w:val="001A7488"/>
    <w:rsid w:val="001A77D2"/>
    <w:rsid w:val="001A79E8"/>
    <w:rsid w:val="001A7B3A"/>
    <w:rsid w:val="001A7C06"/>
    <w:rsid w:val="001A7C6A"/>
    <w:rsid w:val="001B016F"/>
    <w:rsid w:val="001B035D"/>
    <w:rsid w:val="001B04DC"/>
    <w:rsid w:val="001B051A"/>
    <w:rsid w:val="001B0556"/>
    <w:rsid w:val="001B0830"/>
    <w:rsid w:val="001B087B"/>
    <w:rsid w:val="001B0A3F"/>
    <w:rsid w:val="001B0B1F"/>
    <w:rsid w:val="001B0C8F"/>
    <w:rsid w:val="001B0D67"/>
    <w:rsid w:val="001B0DE3"/>
    <w:rsid w:val="001B1106"/>
    <w:rsid w:val="001B1842"/>
    <w:rsid w:val="001B1A79"/>
    <w:rsid w:val="001B1C40"/>
    <w:rsid w:val="001B1DDF"/>
    <w:rsid w:val="001B2061"/>
    <w:rsid w:val="001B2194"/>
    <w:rsid w:val="001B2362"/>
    <w:rsid w:val="001B23B4"/>
    <w:rsid w:val="001B23E7"/>
    <w:rsid w:val="001B244B"/>
    <w:rsid w:val="001B2953"/>
    <w:rsid w:val="001B29B6"/>
    <w:rsid w:val="001B2AAA"/>
    <w:rsid w:val="001B2AFE"/>
    <w:rsid w:val="001B2DBF"/>
    <w:rsid w:val="001B2E9D"/>
    <w:rsid w:val="001B320F"/>
    <w:rsid w:val="001B32D2"/>
    <w:rsid w:val="001B33E1"/>
    <w:rsid w:val="001B3584"/>
    <w:rsid w:val="001B37CF"/>
    <w:rsid w:val="001B3AE3"/>
    <w:rsid w:val="001B3EF2"/>
    <w:rsid w:val="001B426C"/>
    <w:rsid w:val="001B428E"/>
    <w:rsid w:val="001B46B8"/>
    <w:rsid w:val="001B4C56"/>
    <w:rsid w:val="001B4DD7"/>
    <w:rsid w:val="001B4F21"/>
    <w:rsid w:val="001B507C"/>
    <w:rsid w:val="001B50B5"/>
    <w:rsid w:val="001B50C6"/>
    <w:rsid w:val="001B50F3"/>
    <w:rsid w:val="001B584C"/>
    <w:rsid w:val="001B6071"/>
    <w:rsid w:val="001B621A"/>
    <w:rsid w:val="001B657D"/>
    <w:rsid w:val="001B65D7"/>
    <w:rsid w:val="001B71CF"/>
    <w:rsid w:val="001B749D"/>
    <w:rsid w:val="001B76CD"/>
    <w:rsid w:val="001B777E"/>
    <w:rsid w:val="001B77AD"/>
    <w:rsid w:val="001B7B32"/>
    <w:rsid w:val="001B7D69"/>
    <w:rsid w:val="001B7D95"/>
    <w:rsid w:val="001C0181"/>
    <w:rsid w:val="001C02E2"/>
    <w:rsid w:val="001C03FB"/>
    <w:rsid w:val="001C1298"/>
    <w:rsid w:val="001C13A9"/>
    <w:rsid w:val="001C178F"/>
    <w:rsid w:val="001C1A09"/>
    <w:rsid w:val="001C1B5E"/>
    <w:rsid w:val="001C1C72"/>
    <w:rsid w:val="001C1CBD"/>
    <w:rsid w:val="001C1FF2"/>
    <w:rsid w:val="001C21E2"/>
    <w:rsid w:val="001C2723"/>
    <w:rsid w:val="001C2A19"/>
    <w:rsid w:val="001C2B95"/>
    <w:rsid w:val="001C2CAC"/>
    <w:rsid w:val="001C2E25"/>
    <w:rsid w:val="001C2EA3"/>
    <w:rsid w:val="001C2F28"/>
    <w:rsid w:val="001C329C"/>
    <w:rsid w:val="001C330D"/>
    <w:rsid w:val="001C3645"/>
    <w:rsid w:val="001C36D8"/>
    <w:rsid w:val="001C3DCE"/>
    <w:rsid w:val="001C3ECD"/>
    <w:rsid w:val="001C417F"/>
    <w:rsid w:val="001C4476"/>
    <w:rsid w:val="001C44A7"/>
    <w:rsid w:val="001C45EA"/>
    <w:rsid w:val="001C466B"/>
    <w:rsid w:val="001C48E5"/>
    <w:rsid w:val="001C4B7F"/>
    <w:rsid w:val="001C4FB5"/>
    <w:rsid w:val="001C4FD4"/>
    <w:rsid w:val="001C516D"/>
    <w:rsid w:val="001C53C9"/>
    <w:rsid w:val="001C548F"/>
    <w:rsid w:val="001C5588"/>
    <w:rsid w:val="001C59DF"/>
    <w:rsid w:val="001C5A48"/>
    <w:rsid w:val="001C5D02"/>
    <w:rsid w:val="001C5E08"/>
    <w:rsid w:val="001C5FCA"/>
    <w:rsid w:val="001C615F"/>
    <w:rsid w:val="001C6196"/>
    <w:rsid w:val="001C61F0"/>
    <w:rsid w:val="001C62A0"/>
    <w:rsid w:val="001C635B"/>
    <w:rsid w:val="001C6ADA"/>
    <w:rsid w:val="001C70B4"/>
    <w:rsid w:val="001C712A"/>
    <w:rsid w:val="001C73DB"/>
    <w:rsid w:val="001C7404"/>
    <w:rsid w:val="001C789B"/>
    <w:rsid w:val="001C791B"/>
    <w:rsid w:val="001C79A6"/>
    <w:rsid w:val="001C7C44"/>
    <w:rsid w:val="001C7EE4"/>
    <w:rsid w:val="001D01DC"/>
    <w:rsid w:val="001D025E"/>
    <w:rsid w:val="001D02B8"/>
    <w:rsid w:val="001D05AF"/>
    <w:rsid w:val="001D06C1"/>
    <w:rsid w:val="001D0897"/>
    <w:rsid w:val="001D08B0"/>
    <w:rsid w:val="001D08ED"/>
    <w:rsid w:val="001D0ACF"/>
    <w:rsid w:val="001D0B7E"/>
    <w:rsid w:val="001D10C8"/>
    <w:rsid w:val="001D135B"/>
    <w:rsid w:val="001D1691"/>
    <w:rsid w:val="001D193F"/>
    <w:rsid w:val="001D1A2C"/>
    <w:rsid w:val="001D1B28"/>
    <w:rsid w:val="001D1D60"/>
    <w:rsid w:val="001D1D77"/>
    <w:rsid w:val="001D2041"/>
    <w:rsid w:val="001D23A4"/>
    <w:rsid w:val="001D2964"/>
    <w:rsid w:val="001D2A29"/>
    <w:rsid w:val="001D2A31"/>
    <w:rsid w:val="001D2C05"/>
    <w:rsid w:val="001D3383"/>
    <w:rsid w:val="001D34D5"/>
    <w:rsid w:val="001D3539"/>
    <w:rsid w:val="001D363D"/>
    <w:rsid w:val="001D3964"/>
    <w:rsid w:val="001D3CB8"/>
    <w:rsid w:val="001D3D5F"/>
    <w:rsid w:val="001D3E9C"/>
    <w:rsid w:val="001D41DE"/>
    <w:rsid w:val="001D429A"/>
    <w:rsid w:val="001D42D6"/>
    <w:rsid w:val="001D436E"/>
    <w:rsid w:val="001D4414"/>
    <w:rsid w:val="001D446B"/>
    <w:rsid w:val="001D4484"/>
    <w:rsid w:val="001D4569"/>
    <w:rsid w:val="001D4670"/>
    <w:rsid w:val="001D475C"/>
    <w:rsid w:val="001D4CCD"/>
    <w:rsid w:val="001D4F25"/>
    <w:rsid w:val="001D517E"/>
    <w:rsid w:val="001D523F"/>
    <w:rsid w:val="001D52E8"/>
    <w:rsid w:val="001D530A"/>
    <w:rsid w:val="001D5834"/>
    <w:rsid w:val="001D595A"/>
    <w:rsid w:val="001D5B62"/>
    <w:rsid w:val="001D5C4F"/>
    <w:rsid w:val="001D5CCE"/>
    <w:rsid w:val="001D605E"/>
    <w:rsid w:val="001D60E6"/>
    <w:rsid w:val="001D664B"/>
    <w:rsid w:val="001D6701"/>
    <w:rsid w:val="001D67DA"/>
    <w:rsid w:val="001D6993"/>
    <w:rsid w:val="001D6B97"/>
    <w:rsid w:val="001D6E26"/>
    <w:rsid w:val="001D6EC8"/>
    <w:rsid w:val="001D7264"/>
    <w:rsid w:val="001D7286"/>
    <w:rsid w:val="001D7584"/>
    <w:rsid w:val="001D7873"/>
    <w:rsid w:val="001D794B"/>
    <w:rsid w:val="001D7C38"/>
    <w:rsid w:val="001D7C63"/>
    <w:rsid w:val="001D7C7D"/>
    <w:rsid w:val="001D7CE7"/>
    <w:rsid w:val="001D7FC8"/>
    <w:rsid w:val="001E0216"/>
    <w:rsid w:val="001E037F"/>
    <w:rsid w:val="001E03EB"/>
    <w:rsid w:val="001E0806"/>
    <w:rsid w:val="001E0827"/>
    <w:rsid w:val="001E0926"/>
    <w:rsid w:val="001E0C83"/>
    <w:rsid w:val="001E0EB6"/>
    <w:rsid w:val="001E0EC2"/>
    <w:rsid w:val="001E1393"/>
    <w:rsid w:val="001E157C"/>
    <w:rsid w:val="001E15FF"/>
    <w:rsid w:val="001E16C5"/>
    <w:rsid w:val="001E1709"/>
    <w:rsid w:val="001E1A29"/>
    <w:rsid w:val="001E1BB4"/>
    <w:rsid w:val="001E1F13"/>
    <w:rsid w:val="001E2254"/>
    <w:rsid w:val="001E241E"/>
    <w:rsid w:val="001E243D"/>
    <w:rsid w:val="001E25E7"/>
    <w:rsid w:val="001E29E5"/>
    <w:rsid w:val="001E32A5"/>
    <w:rsid w:val="001E330C"/>
    <w:rsid w:val="001E343D"/>
    <w:rsid w:val="001E34E0"/>
    <w:rsid w:val="001E361E"/>
    <w:rsid w:val="001E3625"/>
    <w:rsid w:val="001E3F36"/>
    <w:rsid w:val="001E3F61"/>
    <w:rsid w:val="001E4404"/>
    <w:rsid w:val="001E45DC"/>
    <w:rsid w:val="001E47D1"/>
    <w:rsid w:val="001E47D9"/>
    <w:rsid w:val="001E47FA"/>
    <w:rsid w:val="001E48D7"/>
    <w:rsid w:val="001E4AE8"/>
    <w:rsid w:val="001E4C6B"/>
    <w:rsid w:val="001E5410"/>
    <w:rsid w:val="001E5479"/>
    <w:rsid w:val="001E5777"/>
    <w:rsid w:val="001E5C89"/>
    <w:rsid w:val="001E5C8F"/>
    <w:rsid w:val="001E5CAA"/>
    <w:rsid w:val="001E5E90"/>
    <w:rsid w:val="001E6276"/>
    <w:rsid w:val="001E6395"/>
    <w:rsid w:val="001E651B"/>
    <w:rsid w:val="001E69C1"/>
    <w:rsid w:val="001E6A95"/>
    <w:rsid w:val="001E6C07"/>
    <w:rsid w:val="001E6D45"/>
    <w:rsid w:val="001E70BF"/>
    <w:rsid w:val="001E70FC"/>
    <w:rsid w:val="001E73BF"/>
    <w:rsid w:val="001E7415"/>
    <w:rsid w:val="001E77C9"/>
    <w:rsid w:val="001E7AF3"/>
    <w:rsid w:val="001E7CFD"/>
    <w:rsid w:val="001E7DC9"/>
    <w:rsid w:val="001E7E77"/>
    <w:rsid w:val="001E7EDE"/>
    <w:rsid w:val="001E7FB6"/>
    <w:rsid w:val="001F04DC"/>
    <w:rsid w:val="001F0511"/>
    <w:rsid w:val="001F05B7"/>
    <w:rsid w:val="001F0809"/>
    <w:rsid w:val="001F0E2B"/>
    <w:rsid w:val="001F0E88"/>
    <w:rsid w:val="001F0F0F"/>
    <w:rsid w:val="001F10F7"/>
    <w:rsid w:val="001F1316"/>
    <w:rsid w:val="001F1750"/>
    <w:rsid w:val="001F1AD4"/>
    <w:rsid w:val="001F1D04"/>
    <w:rsid w:val="001F1D4D"/>
    <w:rsid w:val="001F1FF4"/>
    <w:rsid w:val="001F2250"/>
    <w:rsid w:val="001F23D7"/>
    <w:rsid w:val="001F250B"/>
    <w:rsid w:val="001F25B1"/>
    <w:rsid w:val="001F2987"/>
    <w:rsid w:val="001F2B19"/>
    <w:rsid w:val="001F2B8A"/>
    <w:rsid w:val="001F2C04"/>
    <w:rsid w:val="001F2F53"/>
    <w:rsid w:val="001F3070"/>
    <w:rsid w:val="001F31F8"/>
    <w:rsid w:val="001F3291"/>
    <w:rsid w:val="001F32F9"/>
    <w:rsid w:val="001F37D6"/>
    <w:rsid w:val="001F3DFD"/>
    <w:rsid w:val="001F3EF2"/>
    <w:rsid w:val="001F3F95"/>
    <w:rsid w:val="001F403E"/>
    <w:rsid w:val="001F411F"/>
    <w:rsid w:val="001F4492"/>
    <w:rsid w:val="001F470B"/>
    <w:rsid w:val="001F4723"/>
    <w:rsid w:val="001F47A6"/>
    <w:rsid w:val="001F47F1"/>
    <w:rsid w:val="001F4805"/>
    <w:rsid w:val="001F4A2A"/>
    <w:rsid w:val="001F4A3F"/>
    <w:rsid w:val="001F4E3E"/>
    <w:rsid w:val="001F5002"/>
    <w:rsid w:val="001F512E"/>
    <w:rsid w:val="001F51F8"/>
    <w:rsid w:val="001F5231"/>
    <w:rsid w:val="001F531C"/>
    <w:rsid w:val="001F570C"/>
    <w:rsid w:val="001F5CD7"/>
    <w:rsid w:val="001F5D2D"/>
    <w:rsid w:val="001F5D44"/>
    <w:rsid w:val="001F5F8D"/>
    <w:rsid w:val="001F5FA6"/>
    <w:rsid w:val="001F61DC"/>
    <w:rsid w:val="001F62DC"/>
    <w:rsid w:val="001F648B"/>
    <w:rsid w:val="001F64AE"/>
    <w:rsid w:val="001F64F9"/>
    <w:rsid w:val="001F67FA"/>
    <w:rsid w:val="001F6AFF"/>
    <w:rsid w:val="001F6C3E"/>
    <w:rsid w:val="001F6E33"/>
    <w:rsid w:val="001F6F92"/>
    <w:rsid w:val="001F73D1"/>
    <w:rsid w:val="001F76D9"/>
    <w:rsid w:val="001F78BA"/>
    <w:rsid w:val="001F7989"/>
    <w:rsid w:val="001F798F"/>
    <w:rsid w:val="001F7D5C"/>
    <w:rsid w:val="001F7E39"/>
    <w:rsid w:val="001F7E82"/>
    <w:rsid w:val="001F7FF7"/>
    <w:rsid w:val="001FC45A"/>
    <w:rsid w:val="00200173"/>
    <w:rsid w:val="00200373"/>
    <w:rsid w:val="002004C7"/>
    <w:rsid w:val="00200548"/>
    <w:rsid w:val="00200621"/>
    <w:rsid w:val="00200B02"/>
    <w:rsid w:val="00200D5E"/>
    <w:rsid w:val="00200D79"/>
    <w:rsid w:val="00201164"/>
    <w:rsid w:val="002015D1"/>
    <w:rsid w:val="0020177C"/>
    <w:rsid w:val="0020188E"/>
    <w:rsid w:val="00201900"/>
    <w:rsid w:val="00201A09"/>
    <w:rsid w:val="00201BA0"/>
    <w:rsid w:val="00201EE5"/>
    <w:rsid w:val="002021E9"/>
    <w:rsid w:val="002022D3"/>
    <w:rsid w:val="0020242D"/>
    <w:rsid w:val="002024BC"/>
    <w:rsid w:val="002029CB"/>
    <w:rsid w:val="00202A3F"/>
    <w:rsid w:val="00202A7A"/>
    <w:rsid w:val="00202D2A"/>
    <w:rsid w:val="00202E11"/>
    <w:rsid w:val="00202E45"/>
    <w:rsid w:val="0020321C"/>
    <w:rsid w:val="0020340B"/>
    <w:rsid w:val="00203414"/>
    <w:rsid w:val="00203513"/>
    <w:rsid w:val="00203639"/>
    <w:rsid w:val="002036D3"/>
    <w:rsid w:val="00203714"/>
    <w:rsid w:val="00203967"/>
    <w:rsid w:val="00203BFD"/>
    <w:rsid w:val="00203CDB"/>
    <w:rsid w:val="00203D10"/>
    <w:rsid w:val="00203EE1"/>
    <w:rsid w:val="00204062"/>
    <w:rsid w:val="0020406A"/>
    <w:rsid w:val="0020407F"/>
    <w:rsid w:val="002040CB"/>
    <w:rsid w:val="002043B8"/>
    <w:rsid w:val="002044AC"/>
    <w:rsid w:val="00204699"/>
    <w:rsid w:val="00204A7A"/>
    <w:rsid w:val="00204C39"/>
    <w:rsid w:val="00204C63"/>
    <w:rsid w:val="00204CF0"/>
    <w:rsid w:val="00204D38"/>
    <w:rsid w:val="00204DBB"/>
    <w:rsid w:val="00204FFD"/>
    <w:rsid w:val="002053BA"/>
    <w:rsid w:val="0020554D"/>
    <w:rsid w:val="00205C44"/>
    <w:rsid w:val="00205FCF"/>
    <w:rsid w:val="00206112"/>
    <w:rsid w:val="0020613A"/>
    <w:rsid w:val="00206201"/>
    <w:rsid w:val="00206506"/>
    <w:rsid w:val="00206555"/>
    <w:rsid w:val="002067D4"/>
    <w:rsid w:val="00206906"/>
    <w:rsid w:val="0020697F"/>
    <w:rsid w:val="00206C6D"/>
    <w:rsid w:val="00206D1A"/>
    <w:rsid w:val="00206DF2"/>
    <w:rsid w:val="002071C9"/>
    <w:rsid w:val="00207361"/>
    <w:rsid w:val="0020741E"/>
    <w:rsid w:val="00207561"/>
    <w:rsid w:val="00207568"/>
    <w:rsid w:val="00207633"/>
    <w:rsid w:val="00207968"/>
    <w:rsid w:val="00207E72"/>
    <w:rsid w:val="00207EA6"/>
    <w:rsid w:val="002102C1"/>
    <w:rsid w:val="00210442"/>
    <w:rsid w:val="002106FA"/>
    <w:rsid w:val="00210B97"/>
    <w:rsid w:val="00210CFA"/>
    <w:rsid w:val="00210F64"/>
    <w:rsid w:val="002110CF"/>
    <w:rsid w:val="002110F7"/>
    <w:rsid w:val="0021136F"/>
    <w:rsid w:val="00211390"/>
    <w:rsid w:val="00211787"/>
    <w:rsid w:val="00211959"/>
    <w:rsid w:val="00211D2F"/>
    <w:rsid w:val="00211D49"/>
    <w:rsid w:val="00211FAA"/>
    <w:rsid w:val="0021209F"/>
    <w:rsid w:val="00212211"/>
    <w:rsid w:val="002122DC"/>
    <w:rsid w:val="002124D1"/>
    <w:rsid w:val="002127D9"/>
    <w:rsid w:val="00212833"/>
    <w:rsid w:val="00212A68"/>
    <w:rsid w:val="00212AA8"/>
    <w:rsid w:val="002133E6"/>
    <w:rsid w:val="002134B9"/>
    <w:rsid w:val="00213560"/>
    <w:rsid w:val="002136E4"/>
    <w:rsid w:val="00213947"/>
    <w:rsid w:val="00213ED7"/>
    <w:rsid w:val="00214552"/>
    <w:rsid w:val="00214686"/>
    <w:rsid w:val="002147B8"/>
    <w:rsid w:val="00214A65"/>
    <w:rsid w:val="00214ADC"/>
    <w:rsid w:val="00214B16"/>
    <w:rsid w:val="00214C9D"/>
    <w:rsid w:val="00214DF1"/>
    <w:rsid w:val="00214FA1"/>
    <w:rsid w:val="00214FF6"/>
    <w:rsid w:val="002150F7"/>
    <w:rsid w:val="0021512C"/>
    <w:rsid w:val="0021531F"/>
    <w:rsid w:val="00215525"/>
    <w:rsid w:val="0021556B"/>
    <w:rsid w:val="0021564C"/>
    <w:rsid w:val="002156D0"/>
    <w:rsid w:val="00215BA5"/>
    <w:rsid w:val="00215E91"/>
    <w:rsid w:val="00215F86"/>
    <w:rsid w:val="00216312"/>
    <w:rsid w:val="00216407"/>
    <w:rsid w:val="0021645F"/>
    <w:rsid w:val="00216679"/>
    <w:rsid w:val="00216948"/>
    <w:rsid w:val="002169B0"/>
    <w:rsid w:val="00216C6A"/>
    <w:rsid w:val="00217100"/>
    <w:rsid w:val="00217517"/>
    <w:rsid w:val="00217743"/>
    <w:rsid w:val="00217A78"/>
    <w:rsid w:val="00217AA1"/>
    <w:rsid w:val="00217B78"/>
    <w:rsid w:val="00217CC3"/>
    <w:rsid w:val="00217D88"/>
    <w:rsid w:val="00220482"/>
    <w:rsid w:val="00220597"/>
    <w:rsid w:val="00220FB8"/>
    <w:rsid w:val="0022102C"/>
    <w:rsid w:val="0022119E"/>
    <w:rsid w:val="00221274"/>
    <w:rsid w:val="00221332"/>
    <w:rsid w:val="00221409"/>
    <w:rsid w:val="00221581"/>
    <w:rsid w:val="002215F4"/>
    <w:rsid w:val="0022167D"/>
    <w:rsid w:val="00221822"/>
    <w:rsid w:val="00221991"/>
    <w:rsid w:val="00221A66"/>
    <w:rsid w:val="00221A9A"/>
    <w:rsid w:val="00221CB7"/>
    <w:rsid w:val="00222001"/>
    <w:rsid w:val="00222130"/>
    <w:rsid w:val="002223EB"/>
    <w:rsid w:val="0022256E"/>
    <w:rsid w:val="002226D6"/>
    <w:rsid w:val="002227A6"/>
    <w:rsid w:val="0022284F"/>
    <w:rsid w:val="00222B71"/>
    <w:rsid w:val="00222BBD"/>
    <w:rsid w:val="00222C13"/>
    <w:rsid w:val="00222C66"/>
    <w:rsid w:val="00222DF5"/>
    <w:rsid w:val="00222FF4"/>
    <w:rsid w:val="002233F2"/>
    <w:rsid w:val="0022353C"/>
    <w:rsid w:val="00223639"/>
    <w:rsid w:val="002238A8"/>
    <w:rsid w:val="0022391C"/>
    <w:rsid w:val="00223B10"/>
    <w:rsid w:val="00223C10"/>
    <w:rsid w:val="00223E0D"/>
    <w:rsid w:val="00224165"/>
    <w:rsid w:val="00224181"/>
    <w:rsid w:val="0022421E"/>
    <w:rsid w:val="00224263"/>
    <w:rsid w:val="0022436F"/>
    <w:rsid w:val="002246E0"/>
    <w:rsid w:val="0022475D"/>
    <w:rsid w:val="0022485B"/>
    <w:rsid w:val="00224878"/>
    <w:rsid w:val="00224A64"/>
    <w:rsid w:val="00224EE4"/>
    <w:rsid w:val="002250CC"/>
    <w:rsid w:val="002253AA"/>
    <w:rsid w:val="0022547A"/>
    <w:rsid w:val="0022556B"/>
    <w:rsid w:val="002257D4"/>
    <w:rsid w:val="0022582E"/>
    <w:rsid w:val="00225CAF"/>
    <w:rsid w:val="00225DD4"/>
    <w:rsid w:val="00225FF8"/>
    <w:rsid w:val="002263BD"/>
    <w:rsid w:val="0022643A"/>
    <w:rsid w:val="002264AA"/>
    <w:rsid w:val="00226891"/>
    <w:rsid w:val="00226A19"/>
    <w:rsid w:val="00226C26"/>
    <w:rsid w:val="00227115"/>
    <w:rsid w:val="00227264"/>
    <w:rsid w:val="00227C23"/>
    <w:rsid w:val="00227DDF"/>
    <w:rsid w:val="00230763"/>
    <w:rsid w:val="00230978"/>
    <w:rsid w:val="00230ADB"/>
    <w:rsid w:val="00230B76"/>
    <w:rsid w:val="00230C45"/>
    <w:rsid w:val="00230CEF"/>
    <w:rsid w:val="00230F95"/>
    <w:rsid w:val="00231049"/>
    <w:rsid w:val="0023108D"/>
    <w:rsid w:val="002311ED"/>
    <w:rsid w:val="0023122A"/>
    <w:rsid w:val="002312B1"/>
    <w:rsid w:val="002312C2"/>
    <w:rsid w:val="0023140D"/>
    <w:rsid w:val="00231471"/>
    <w:rsid w:val="00231B05"/>
    <w:rsid w:val="00231FC1"/>
    <w:rsid w:val="00232185"/>
    <w:rsid w:val="002321FD"/>
    <w:rsid w:val="0023225E"/>
    <w:rsid w:val="00232428"/>
    <w:rsid w:val="0023259F"/>
    <w:rsid w:val="002325B4"/>
    <w:rsid w:val="002326E9"/>
    <w:rsid w:val="002327DD"/>
    <w:rsid w:val="00232B37"/>
    <w:rsid w:val="00232BF3"/>
    <w:rsid w:val="00232E22"/>
    <w:rsid w:val="00232F9D"/>
    <w:rsid w:val="00233154"/>
    <w:rsid w:val="0023318A"/>
    <w:rsid w:val="002332F0"/>
    <w:rsid w:val="00233384"/>
    <w:rsid w:val="00233849"/>
    <w:rsid w:val="002340E8"/>
    <w:rsid w:val="002341B4"/>
    <w:rsid w:val="002341C0"/>
    <w:rsid w:val="002341C4"/>
    <w:rsid w:val="0023445A"/>
    <w:rsid w:val="0023464E"/>
    <w:rsid w:val="00234664"/>
    <w:rsid w:val="00234720"/>
    <w:rsid w:val="0023489B"/>
    <w:rsid w:val="00234935"/>
    <w:rsid w:val="00234B3F"/>
    <w:rsid w:val="00234BD4"/>
    <w:rsid w:val="00234E86"/>
    <w:rsid w:val="00234EC0"/>
    <w:rsid w:val="00234FDC"/>
    <w:rsid w:val="002353F3"/>
    <w:rsid w:val="0023570F"/>
    <w:rsid w:val="0023595B"/>
    <w:rsid w:val="00235A09"/>
    <w:rsid w:val="00235E55"/>
    <w:rsid w:val="00235F74"/>
    <w:rsid w:val="00235FA3"/>
    <w:rsid w:val="0023601D"/>
    <w:rsid w:val="00236147"/>
    <w:rsid w:val="002362C7"/>
    <w:rsid w:val="002362E7"/>
    <w:rsid w:val="0023632F"/>
    <w:rsid w:val="0023633A"/>
    <w:rsid w:val="00236391"/>
    <w:rsid w:val="002364F4"/>
    <w:rsid w:val="00236626"/>
    <w:rsid w:val="00236650"/>
    <w:rsid w:val="0023673C"/>
    <w:rsid w:val="0023683B"/>
    <w:rsid w:val="002368AF"/>
    <w:rsid w:val="00236D90"/>
    <w:rsid w:val="0023740C"/>
    <w:rsid w:val="0023754F"/>
    <w:rsid w:val="002379D8"/>
    <w:rsid w:val="00237B38"/>
    <w:rsid w:val="00237C33"/>
    <w:rsid w:val="00237E82"/>
    <w:rsid w:val="00240296"/>
    <w:rsid w:val="002404C4"/>
    <w:rsid w:val="002407D6"/>
    <w:rsid w:val="00240B02"/>
    <w:rsid w:val="00240B0A"/>
    <w:rsid w:val="0024114E"/>
    <w:rsid w:val="00241201"/>
    <w:rsid w:val="002415F9"/>
    <w:rsid w:val="00241878"/>
    <w:rsid w:val="002418F5"/>
    <w:rsid w:val="0024197F"/>
    <w:rsid w:val="00241A6B"/>
    <w:rsid w:val="00242748"/>
    <w:rsid w:val="002427C3"/>
    <w:rsid w:val="002428B2"/>
    <w:rsid w:val="00242978"/>
    <w:rsid w:val="00242AEE"/>
    <w:rsid w:val="00242AF9"/>
    <w:rsid w:val="00242D46"/>
    <w:rsid w:val="0024300C"/>
    <w:rsid w:val="002431DF"/>
    <w:rsid w:val="002432C2"/>
    <w:rsid w:val="00243423"/>
    <w:rsid w:val="0024369E"/>
    <w:rsid w:val="002436E7"/>
    <w:rsid w:val="00243A7D"/>
    <w:rsid w:val="00243C7B"/>
    <w:rsid w:val="00243CF2"/>
    <w:rsid w:val="002440A1"/>
    <w:rsid w:val="00244215"/>
    <w:rsid w:val="002442AA"/>
    <w:rsid w:val="002446B7"/>
    <w:rsid w:val="00244796"/>
    <w:rsid w:val="00244917"/>
    <w:rsid w:val="00244960"/>
    <w:rsid w:val="00244A18"/>
    <w:rsid w:val="00244BA0"/>
    <w:rsid w:val="00244CA8"/>
    <w:rsid w:val="00245202"/>
    <w:rsid w:val="002452BC"/>
    <w:rsid w:val="00245BBE"/>
    <w:rsid w:val="00245D41"/>
    <w:rsid w:val="00245D66"/>
    <w:rsid w:val="00245E71"/>
    <w:rsid w:val="00245F15"/>
    <w:rsid w:val="00246280"/>
    <w:rsid w:val="0024629E"/>
    <w:rsid w:val="00246364"/>
    <w:rsid w:val="0024641A"/>
    <w:rsid w:val="00246507"/>
    <w:rsid w:val="00246673"/>
    <w:rsid w:val="00246869"/>
    <w:rsid w:val="00246B27"/>
    <w:rsid w:val="00246B52"/>
    <w:rsid w:val="00247102"/>
    <w:rsid w:val="0024713A"/>
    <w:rsid w:val="0024723F"/>
    <w:rsid w:val="002474BB"/>
    <w:rsid w:val="002474EE"/>
    <w:rsid w:val="002475B9"/>
    <w:rsid w:val="002476F8"/>
    <w:rsid w:val="00247783"/>
    <w:rsid w:val="0024790D"/>
    <w:rsid w:val="00247AB7"/>
    <w:rsid w:val="00247C62"/>
    <w:rsid w:val="00247CF1"/>
    <w:rsid w:val="00247D2F"/>
    <w:rsid w:val="00247D90"/>
    <w:rsid w:val="00250200"/>
    <w:rsid w:val="00250359"/>
    <w:rsid w:val="00250529"/>
    <w:rsid w:val="0025058F"/>
    <w:rsid w:val="00250638"/>
    <w:rsid w:val="00250AFB"/>
    <w:rsid w:val="00250BE3"/>
    <w:rsid w:val="00250BF7"/>
    <w:rsid w:val="002512BA"/>
    <w:rsid w:val="002513D0"/>
    <w:rsid w:val="00251614"/>
    <w:rsid w:val="00251760"/>
    <w:rsid w:val="00251939"/>
    <w:rsid w:val="00251BFB"/>
    <w:rsid w:val="00251EFC"/>
    <w:rsid w:val="00251F80"/>
    <w:rsid w:val="00252198"/>
    <w:rsid w:val="002523DA"/>
    <w:rsid w:val="00252418"/>
    <w:rsid w:val="002524AB"/>
    <w:rsid w:val="0025282E"/>
    <w:rsid w:val="00252855"/>
    <w:rsid w:val="00252903"/>
    <w:rsid w:val="00252C01"/>
    <w:rsid w:val="00252CFD"/>
    <w:rsid w:val="00252D80"/>
    <w:rsid w:val="00252EDE"/>
    <w:rsid w:val="00252FAB"/>
    <w:rsid w:val="002530D0"/>
    <w:rsid w:val="002533D8"/>
    <w:rsid w:val="00253525"/>
    <w:rsid w:val="00253688"/>
    <w:rsid w:val="002539CC"/>
    <w:rsid w:val="00253B0B"/>
    <w:rsid w:val="00253CEA"/>
    <w:rsid w:val="00253CFA"/>
    <w:rsid w:val="00253E29"/>
    <w:rsid w:val="00253EC8"/>
    <w:rsid w:val="00253FAF"/>
    <w:rsid w:val="002540C3"/>
    <w:rsid w:val="002541A0"/>
    <w:rsid w:val="00254392"/>
    <w:rsid w:val="002543B8"/>
    <w:rsid w:val="002545CE"/>
    <w:rsid w:val="002546DB"/>
    <w:rsid w:val="002548DE"/>
    <w:rsid w:val="00254A03"/>
    <w:rsid w:val="00254CE4"/>
    <w:rsid w:val="00255977"/>
    <w:rsid w:val="00255B6B"/>
    <w:rsid w:val="00255FB0"/>
    <w:rsid w:val="00256010"/>
    <w:rsid w:val="002564AF"/>
    <w:rsid w:val="00256784"/>
    <w:rsid w:val="00256DCA"/>
    <w:rsid w:val="002571B2"/>
    <w:rsid w:val="00257313"/>
    <w:rsid w:val="00257424"/>
    <w:rsid w:val="002576F7"/>
    <w:rsid w:val="002579C5"/>
    <w:rsid w:val="00257A76"/>
    <w:rsid w:val="00257B3A"/>
    <w:rsid w:val="00257CFE"/>
    <w:rsid w:val="002600DE"/>
    <w:rsid w:val="00260252"/>
    <w:rsid w:val="00260526"/>
    <w:rsid w:val="00260B0B"/>
    <w:rsid w:val="00260E01"/>
    <w:rsid w:val="00261121"/>
    <w:rsid w:val="00261231"/>
    <w:rsid w:val="002614FC"/>
    <w:rsid w:val="002616D4"/>
    <w:rsid w:val="00261E16"/>
    <w:rsid w:val="00262088"/>
    <w:rsid w:val="00262491"/>
    <w:rsid w:val="00262911"/>
    <w:rsid w:val="00262AB6"/>
    <w:rsid w:val="00262D03"/>
    <w:rsid w:val="00262E00"/>
    <w:rsid w:val="00262EB2"/>
    <w:rsid w:val="0026314F"/>
    <w:rsid w:val="002631C7"/>
    <w:rsid w:val="00263258"/>
    <w:rsid w:val="00263736"/>
    <w:rsid w:val="00264241"/>
    <w:rsid w:val="0026428B"/>
    <w:rsid w:val="002643C0"/>
    <w:rsid w:val="002648E5"/>
    <w:rsid w:val="00264A40"/>
    <w:rsid w:val="00264A81"/>
    <w:rsid w:val="00264B59"/>
    <w:rsid w:val="00264D2B"/>
    <w:rsid w:val="00264F2B"/>
    <w:rsid w:val="00264F4A"/>
    <w:rsid w:val="00265224"/>
    <w:rsid w:val="00265510"/>
    <w:rsid w:val="0026576B"/>
    <w:rsid w:val="002658E3"/>
    <w:rsid w:val="00265CBB"/>
    <w:rsid w:val="00265D3A"/>
    <w:rsid w:val="0026607B"/>
    <w:rsid w:val="0026611D"/>
    <w:rsid w:val="0026696E"/>
    <w:rsid w:val="00266B06"/>
    <w:rsid w:val="00266B15"/>
    <w:rsid w:val="00266CAC"/>
    <w:rsid w:val="00266E4E"/>
    <w:rsid w:val="00266EBE"/>
    <w:rsid w:val="00266F81"/>
    <w:rsid w:val="00267040"/>
    <w:rsid w:val="00267074"/>
    <w:rsid w:val="0026714A"/>
    <w:rsid w:val="002671B2"/>
    <w:rsid w:val="002671FB"/>
    <w:rsid w:val="0026782F"/>
    <w:rsid w:val="00267988"/>
    <w:rsid w:val="00267CC5"/>
    <w:rsid w:val="00267FA9"/>
    <w:rsid w:val="00270388"/>
    <w:rsid w:val="00270471"/>
    <w:rsid w:val="00270B26"/>
    <w:rsid w:val="00271130"/>
    <w:rsid w:val="00271199"/>
    <w:rsid w:val="002714DC"/>
    <w:rsid w:val="00271824"/>
    <w:rsid w:val="002718A8"/>
    <w:rsid w:val="00271926"/>
    <w:rsid w:val="00271FAE"/>
    <w:rsid w:val="00272106"/>
    <w:rsid w:val="0027220B"/>
    <w:rsid w:val="00272354"/>
    <w:rsid w:val="00272443"/>
    <w:rsid w:val="00272533"/>
    <w:rsid w:val="002726D7"/>
    <w:rsid w:val="002726F0"/>
    <w:rsid w:val="0027292F"/>
    <w:rsid w:val="00272F01"/>
    <w:rsid w:val="002730F4"/>
    <w:rsid w:val="002731A0"/>
    <w:rsid w:val="00273228"/>
    <w:rsid w:val="0027322D"/>
    <w:rsid w:val="002732D6"/>
    <w:rsid w:val="0027333D"/>
    <w:rsid w:val="0027334A"/>
    <w:rsid w:val="002735DE"/>
    <w:rsid w:val="0027368E"/>
    <w:rsid w:val="002736EF"/>
    <w:rsid w:val="002737ED"/>
    <w:rsid w:val="00273B1C"/>
    <w:rsid w:val="00273CC6"/>
    <w:rsid w:val="00273CFA"/>
    <w:rsid w:val="00273DE0"/>
    <w:rsid w:val="00274156"/>
    <w:rsid w:val="00274292"/>
    <w:rsid w:val="002743D1"/>
    <w:rsid w:val="0027444D"/>
    <w:rsid w:val="002744F8"/>
    <w:rsid w:val="0027478C"/>
    <w:rsid w:val="00274B55"/>
    <w:rsid w:val="00274B85"/>
    <w:rsid w:val="00274CA1"/>
    <w:rsid w:val="00274F47"/>
    <w:rsid w:val="00275019"/>
    <w:rsid w:val="00275021"/>
    <w:rsid w:val="0027595D"/>
    <w:rsid w:val="0027599C"/>
    <w:rsid w:val="00275A00"/>
    <w:rsid w:val="00275A3D"/>
    <w:rsid w:val="00275A57"/>
    <w:rsid w:val="00275BEB"/>
    <w:rsid w:val="00275CB4"/>
    <w:rsid w:val="00275F01"/>
    <w:rsid w:val="00276020"/>
    <w:rsid w:val="0027622F"/>
    <w:rsid w:val="00276306"/>
    <w:rsid w:val="00276330"/>
    <w:rsid w:val="00276474"/>
    <w:rsid w:val="002764B2"/>
    <w:rsid w:val="00276506"/>
    <w:rsid w:val="00276665"/>
    <w:rsid w:val="002766CC"/>
    <w:rsid w:val="002768C1"/>
    <w:rsid w:val="002768CA"/>
    <w:rsid w:val="002769FF"/>
    <w:rsid w:val="00276CB1"/>
    <w:rsid w:val="00276CF4"/>
    <w:rsid w:val="00276DF4"/>
    <w:rsid w:val="00276EA1"/>
    <w:rsid w:val="00276F15"/>
    <w:rsid w:val="00277368"/>
    <w:rsid w:val="0027749E"/>
    <w:rsid w:val="0027768E"/>
    <w:rsid w:val="0027789E"/>
    <w:rsid w:val="002800A4"/>
    <w:rsid w:val="0028070E"/>
    <w:rsid w:val="002807AA"/>
    <w:rsid w:val="00280829"/>
    <w:rsid w:val="00280948"/>
    <w:rsid w:val="00280A32"/>
    <w:rsid w:val="00280F75"/>
    <w:rsid w:val="00281159"/>
    <w:rsid w:val="002811F9"/>
    <w:rsid w:val="00281293"/>
    <w:rsid w:val="002817EF"/>
    <w:rsid w:val="0028180F"/>
    <w:rsid w:val="00281D45"/>
    <w:rsid w:val="002821C9"/>
    <w:rsid w:val="00282940"/>
    <w:rsid w:val="00282E02"/>
    <w:rsid w:val="00282F47"/>
    <w:rsid w:val="002832A4"/>
    <w:rsid w:val="0028349B"/>
    <w:rsid w:val="0028353B"/>
    <w:rsid w:val="00283741"/>
    <w:rsid w:val="00283A0F"/>
    <w:rsid w:val="00283E45"/>
    <w:rsid w:val="0028413D"/>
    <w:rsid w:val="00284405"/>
    <w:rsid w:val="00284856"/>
    <w:rsid w:val="00284F76"/>
    <w:rsid w:val="00284FCE"/>
    <w:rsid w:val="00285498"/>
    <w:rsid w:val="00285543"/>
    <w:rsid w:val="002857FA"/>
    <w:rsid w:val="00285822"/>
    <w:rsid w:val="002859B0"/>
    <w:rsid w:val="00285B80"/>
    <w:rsid w:val="00285C71"/>
    <w:rsid w:val="00286326"/>
    <w:rsid w:val="002864EF"/>
    <w:rsid w:val="0028654B"/>
    <w:rsid w:val="002866E5"/>
    <w:rsid w:val="002867D4"/>
    <w:rsid w:val="00286A88"/>
    <w:rsid w:val="00286D07"/>
    <w:rsid w:val="00286DB3"/>
    <w:rsid w:val="00286FF6"/>
    <w:rsid w:val="00287090"/>
    <w:rsid w:val="002870A0"/>
    <w:rsid w:val="00287381"/>
    <w:rsid w:val="00287ACF"/>
    <w:rsid w:val="00287C26"/>
    <w:rsid w:val="00287D67"/>
    <w:rsid w:val="00287D96"/>
    <w:rsid w:val="00287DEB"/>
    <w:rsid w:val="0029001B"/>
    <w:rsid w:val="0029002E"/>
    <w:rsid w:val="0029013C"/>
    <w:rsid w:val="00290372"/>
    <w:rsid w:val="0029076B"/>
    <w:rsid w:val="0029080C"/>
    <w:rsid w:val="00290862"/>
    <w:rsid w:val="002908EF"/>
    <w:rsid w:val="00290AF3"/>
    <w:rsid w:val="00290B37"/>
    <w:rsid w:val="00290E1B"/>
    <w:rsid w:val="00290F35"/>
    <w:rsid w:val="00291232"/>
    <w:rsid w:val="002912AF"/>
    <w:rsid w:val="00291AB2"/>
    <w:rsid w:val="00291CC9"/>
    <w:rsid w:val="00291F90"/>
    <w:rsid w:val="00292663"/>
    <w:rsid w:val="00292822"/>
    <w:rsid w:val="00292BB1"/>
    <w:rsid w:val="00292C41"/>
    <w:rsid w:val="00292CAB"/>
    <w:rsid w:val="00292CFF"/>
    <w:rsid w:val="00292DA6"/>
    <w:rsid w:val="0029330E"/>
    <w:rsid w:val="00293384"/>
    <w:rsid w:val="00293D08"/>
    <w:rsid w:val="00293F17"/>
    <w:rsid w:val="00294175"/>
    <w:rsid w:val="00294368"/>
    <w:rsid w:val="002943AB"/>
    <w:rsid w:val="002943AD"/>
    <w:rsid w:val="0029441B"/>
    <w:rsid w:val="0029450B"/>
    <w:rsid w:val="0029454F"/>
    <w:rsid w:val="00294590"/>
    <w:rsid w:val="0029485E"/>
    <w:rsid w:val="00294898"/>
    <w:rsid w:val="00294ACD"/>
    <w:rsid w:val="00294B71"/>
    <w:rsid w:val="00294BB5"/>
    <w:rsid w:val="00294DCA"/>
    <w:rsid w:val="00294E2C"/>
    <w:rsid w:val="0029506E"/>
    <w:rsid w:val="00295336"/>
    <w:rsid w:val="0029590A"/>
    <w:rsid w:val="00295B5A"/>
    <w:rsid w:val="00295BED"/>
    <w:rsid w:val="00295E60"/>
    <w:rsid w:val="002960CC"/>
    <w:rsid w:val="002961CC"/>
    <w:rsid w:val="0029635E"/>
    <w:rsid w:val="002964D2"/>
    <w:rsid w:val="00296932"/>
    <w:rsid w:val="00296E4A"/>
    <w:rsid w:val="00297116"/>
    <w:rsid w:val="0029755D"/>
    <w:rsid w:val="002975F3"/>
    <w:rsid w:val="002977FA"/>
    <w:rsid w:val="00297830"/>
    <w:rsid w:val="0029786A"/>
    <w:rsid w:val="00297A7E"/>
    <w:rsid w:val="00297C18"/>
    <w:rsid w:val="00297D72"/>
    <w:rsid w:val="00297DA0"/>
    <w:rsid w:val="00297DC3"/>
    <w:rsid w:val="00297DDD"/>
    <w:rsid w:val="002A0131"/>
    <w:rsid w:val="002A028C"/>
    <w:rsid w:val="002A0326"/>
    <w:rsid w:val="002A0340"/>
    <w:rsid w:val="002A0544"/>
    <w:rsid w:val="002A0AE6"/>
    <w:rsid w:val="002A0CFE"/>
    <w:rsid w:val="002A0D4A"/>
    <w:rsid w:val="002A0D79"/>
    <w:rsid w:val="002A116D"/>
    <w:rsid w:val="002A1199"/>
    <w:rsid w:val="002A160C"/>
    <w:rsid w:val="002A17D0"/>
    <w:rsid w:val="002A1972"/>
    <w:rsid w:val="002A19AD"/>
    <w:rsid w:val="002A1A09"/>
    <w:rsid w:val="002A1A85"/>
    <w:rsid w:val="002A1D5B"/>
    <w:rsid w:val="002A1D80"/>
    <w:rsid w:val="002A22D9"/>
    <w:rsid w:val="002A2926"/>
    <w:rsid w:val="002A2B8D"/>
    <w:rsid w:val="002A3321"/>
    <w:rsid w:val="002A3460"/>
    <w:rsid w:val="002A3667"/>
    <w:rsid w:val="002A375E"/>
    <w:rsid w:val="002A3872"/>
    <w:rsid w:val="002A389F"/>
    <w:rsid w:val="002A3AEA"/>
    <w:rsid w:val="002A3CAC"/>
    <w:rsid w:val="002A3D13"/>
    <w:rsid w:val="002A3D32"/>
    <w:rsid w:val="002A3EFC"/>
    <w:rsid w:val="002A4000"/>
    <w:rsid w:val="002A4018"/>
    <w:rsid w:val="002A41DC"/>
    <w:rsid w:val="002A4456"/>
    <w:rsid w:val="002A4633"/>
    <w:rsid w:val="002A465C"/>
    <w:rsid w:val="002A46B9"/>
    <w:rsid w:val="002A46DD"/>
    <w:rsid w:val="002A46F3"/>
    <w:rsid w:val="002A4724"/>
    <w:rsid w:val="002A4739"/>
    <w:rsid w:val="002A4C7A"/>
    <w:rsid w:val="002A4CD1"/>
    <w:rsid w:val="002A4D6D"/>
    <w:rsid w:val="002A4EE1"/>
    <w:rsid w:val="002A5100"/>
    <w:rsid w:val="002A5193"/>
    <w:rsid w:val="002A5402"/>
    <w:rsid w:val="002A56CC"/>
    <w:rsid w:val="002A5964"/>
    <w:rsid w:val="002A5975"/>
    <w:rsid w:val="002A5B49"/>
    <w:rsid w:val="002A5CC7"/>
    <w:rsid w:val="002A5D4D"/>
    <w:rsid w:val="002A60EC"/>
    <w:rsid w:val="002A6200"/>
    <w:rsid w:val="002A6215"/>
    <w:rsid w:val="002A674D"/>
    <w:rsid w:val="002A6AA4"/>
    <w:rsid w:val="002A7360"/>
    <w:rsid w:val="002A7509"/>
    <w:rsid w:val="002A76EF"/>
    <w:rsid w:val="002A7714"/>
    <w:rsid w:val="002A7DD2"/>
    <w:rsid w:val="002A7EA9"/>
    <w:rsid w:val="002A7F22"/>
    <w:rsid w:val="002A7FB9"/>
    <w:rsid w:val="002B011C"/>
    <w:rsid w:val="002B0734"/>
    <w:rsid w:val="002B0930"/>
    <w:rsid w:val="002B0951"/>
    <w:rsid w:val="002B0A50"/>
    <w:rsid w:val="002B0E78"/>
    <w:rsid w:val="002B1006"/>
    <w:rsid w:val="002B10BF"/>
    <w:rsid w:val="002B1142"/>
    <w:rsid w:val="002B116A"/>
    <w:rsid w:val="002B1429"/>
    <w:rsid w:val="002B184C"/>
    <w:rsid w:val="002B18AA"/>
    <w:rsid w:val="002B18B1"/>
    <w:rsid w:val="002B1BFB"/>
    <w:rsid w:val="002B1D5E"/>
    <w:rsid w:val="002B2117"/>
    <w:rsid w:val="002B2174"/>
    <w:rsid w:val="002B2928"/>
    <w:rsid w:val="002B2D1D"/>
    <w:rsid w:val="002B2FC3"/>
    <w:rsid w:val="002B370B"/>
    <w:rsid w:val="002B3C5B"/>
    <w:rsid w:val="002B3CC3"/>
    <w:rsid w:val="002B3F0D"/>
    <w:rsid w:val="002B3F21"/>
    <w:rsid w:val="002B40D0"/>
    <w:rsid w:val="002B4185"/>
    <w:rsid w:val="002B43A3"/>
    <w:rsid w:val="002B4572"/>
    <w:rsid w:val="002B464E"/>
    <w:rsid w:val="002B47E3"/>
    <w:rsid w:val="002B4804"/>
    <w:rsid w:val="002B4A24"/>
    <w:rsid w:val="002B4C8E"/>
    <w:rsid w:val="002B4D4A"/>
    <w:rsid w:val="002B4DA1"/>
    <w:rsid w:val="002B4DC0"/>
    <w:rsid w:val="002B4F5F"/>
    <w:rsid w:val="002B504A"/>
    <w:rsid w:val="002B504E"/>
    <w:rsid w:val="002B512B"/>
    <w:rsid w:val="002B5C17"/>
    <w:rsid w:val="002B5C60"/>
    <w:rsid w:val="002B5D9F"/>
    <w:rsid w:val="002B5DD4"/>
    <w:rsid w:val="002B5E25"/>
    <w:rsid w:val="002B6135"/>
    <w:rsid w:val="002B61C2"/>
    <w:rsid w:val="002B6502"/>
    <w:rsid w:val="002B6C25"/>
    <w:rsid w:val="002B6D44"/>
    <w:rsid w:val="002B6E92"/>
    <w:rsid w:val="002B7085"/>
    <w:rsid w:val="002B70B2"/>
    <w:rsid w:val="002B7220"/>
    <w:rsid w:val="002B731B"/>
    <w:rsid w:val="002B731C"/>
    <w:rsid w:val="002B75FE"/>
    <w:rsid w:val="002B76A2"/>
    <w:rsid w:val="002B7F3B"/>
    <w:rsid w:val="002C00AC"/>
    <w:rsid w:val="002C00BF"/>
    <w:rsid w:val="002C0375"/>
    <w:rsid w:val="002C05AE"/>
    <w:rsid w:val="002C0927"/>
    <w:rsid w:val="002C0BD0"/>
    <w:rsid w:val="002C0BFF"/>
    <w:rsid w:val="002C0CE7"/>
    <w:rsid w:val="002C0EB1"/>
    <w:rsid w:val="002C115E"/>
    <w:rsid w:val="002C12AE"/>
    <w:rsid w:val="002C12C8"/>
    <w:rsid w:val="002C1365"/>
    <w:rsid w:val="002C1477"/>
    <w:rsid w:val="002C152F"/>
    <w:rsid w:val="002C1700"/>
    <w:rsid w:val="002C1DA7"/>
    <w:rsid w:val="002C1F8A"/>
    <w:rsid w:val="002C1F90"/>
    <w:rsid w:val="002C21E7"/>
    <w:rsid w:val="002C2273"/>
    <w:rsid w:val="002C23D5"/>
    <w:rsid w:val="002C2465"/>
    <w:rsid w:val="002C2717"/>
    <w:rsid w:val="002C2893"/>
    <w:rsid w:val="002C29B2"/>
    <w:rsid w:val="002C2AFC"/>
    <w:rsid w:val="002C2E05"/>
    <w:rsid w:val="002C2E8B"/>
    <w:rsid w:val="002C30B3"/>
    <w:rsid w:val="002C31C0"/>
    <w:rsid w:val="002C3209"/>
    <w:rsid w:val="002C3289"/>
    <w:rsid w:val="002C361B"/>
    <w:rsid w:val="002C36C0"/>
    <w:rsid w:val="002C3769"/>
    <w:rsid w:val="002C37C2"/>
    <w:rsid w:val="002C3B71"/>
    <w:rsid w:val="002C3CDD"/>
    <w:rsid w:val="002C3F40"/>
    <w:rsid w:val="002C41A2"/>
    <w:rsid w:val="002C4483"/>
    <w:rsid w:val="002C4808"/>
    <w:rsid w:val="002C480C"/>
    <w:rsid w:val="002C4CBB"/>
    <w:rsid w:val="002C4D32"/>
    <w:rsid w:val="002C5156"/>
    <w:rsid w:val="002C5595"/>
    <w:rsid w:val="002C5620"/>
    <w:rsid w:val="002C58DA"/>
    <w:rsid w:val="002C5B89"/>
    <w:rsid w:val="002C5C53"/>
    <w:rsid w:val="002C5C5C"/>
    <w:rsid w:val="002C5D7D"/>
    <w:rsid w:val="002C5DA2"/>
    <w:rsid w:val="002C61CE"/>
    <w:rsid w:val="002C65EB"/>
    <w:rsid w:val="002C6832"/>
    <w:rsid w:val="002C6886"/>
    <w:rsid w:val="002C6CF6"/>
    <w:rsid w:val="002C6E52"/>
    <w:rsid w:val="002C7045"/>
    <w:rsid w:val="002C7123"/>
    <w:rsid w:val="002C7283"/>
    <w:rsid w:val="002C72A2"/>
    <w:rsid w:val="002C7356"/>
    <w:rsid w:val="002C73A4"/>
    <w:rsid w:val="002C75F5"/>
    <w:rsid w:val="002C76C2"/>
    <w:rsid w:val="002C7708"/>
    <w:rsid w:val="002C7C61"/>
    <w:rsid w:val="002C7CC0"/>
    <w:rsid w:val="002C7CC4"/>
    <w:rsid w:val="002C7E22"/>
    <w:rsid w:val="002C7E60"/>
    <w:rsid w:val="002C7E74"/>
    <w:rsid w:val="002C7F63"/>
    <w:rsid w:val="002D009B"/>
    <w:rsid w:val="002D00D2"/>
    <w:rsid w:val="002D034F"/>
    <w:rsid w:val="002D0820"/>
    <w:rsid w:val="002D0869"/>
    <w:rsid w:val="002D095C"/>
    <w:rsid w:val="002D09D4"/>
    <w:rsid w:val="002D1046"/>
    <w:rsid w:val="002D1086"/>
    <w:rsid w:val="002D122B"/>
    <w:rsid w:val="002D1AE4"/>
    <w:rsid w:val="002D1C0B"/>
    <w:rsid w:val="002D1E31"/>
    <w:rsid w:val="002D1ECD"/>
    <w:rsid w:val="002D207C"/>
    <w:rsid w:val="002D215A"/>
    <w:rsid w:val="002D2252"/>
    <w:rsid w:val="002D226C"/>
    <w:rsid w:val="002D23C8"/>
    <w:rsid w:val="002D259B"/>
    <w:rsid w:val="002D26EF"/>
    <w:rsid w:val="002D2915"/>
    <w:rsid w:val="002D29D0"/>
    <w:rsid w:val="002D2CA2"/>
    <w:rsid w:val="002D3077"/>
    <w:rsid w:val="002D3096"/>
    <w:rsid w:val="002D3398"/>
    <w:rsid w:val="002D3431"/>
    <w:rsid w:val="002D35CA"/>
    <w:rsid w:val="002D3755"/>
    <w:rsid w:val="002D3C06"/>
    <w:rsid w:val="002D3C55"/>
    <w:rsid w:val="002D407E"/>
    <w:rsid w:val="002D42A6"/>
    <w:rsid w:val="002D45EA"/>
    <w:rsid w:val="002D4826"/>
    <w:rsid w:val="002D492E"/>
    <w:rsid w:val="002D4A6D"/>
    <w:rsid w:val="002D4B0D"/>
    <w:rsid w:val="002D4C0C"/>
    <w:rsid w:val="002D4E8A"/>
    <w:rsid w:val="002D5064"/>
    <w:rsid w:val="002D50F3"/>
    <w:rsid w:val="002D533F"/>
    <w:rsid w:val="002D535C"/>
    <w:rsid w:val="002D5465"/>
    <w:rsid w:val="002D5591"/>
    <w:rsid w:val="002D57A0"/>
    <w:rsid w:val="002D5880"/>
    <w:rsid w:val="002D5A19"/>
    <w:rsid w:val="002D5AC6"/>
    <w:rsid w:val="002D5AD9"/>
    <w:rsid w:val="002D5D45"/>
    <w:rsid w:val="002D5D4A"/>
    <w:rsid w:val="002D5EFF"/>
    <w:rsid w:val="002D5F6B"/>
    <w:rsid w:val="002D61C8"/>
    <w:rsid w:val="002D61FF"/>
    <w:rsid w:val="002D621F"/>
    <w:rsid w:val="002D633C"/>
    <w:rsid w:val="002D66D1"/>
    <w:rsid w:val="002D6A02"/>
    <w:rsid w:val="002D6AB8"/>
    <w:rsid w:val="002D6AEE"/>
    <w:rsid w:val="002D6D0C"/>
    <w:rsid w:val="002D7394"/>
    <w:rsid w:val="002D7402"/>
    <w:rsid w:val="002D7492"/>
    <w:rsid w:val="002D78CD"/>
    <w:rsid w:val="002D79B2"/>
    <w:rsid w:val="002D7A70"/>
    <w:rsid w:val="002D7BC5"/>
    <w:rsid w:val="002D7C7F"/>
    <w:rsid w:val="002D7D27"/>
    <w:rsid w:val="002D7D93"/>
    <w:rsid w:val="002D7FA3"/>
    <w:rsid w:val="002E05F6"/>
    <w:rsid w:val="002E0620"/>
    <w:rsid w:val="002E0928"/>
    <w:rsid w:val="002E097B"/>
    <w:rsid w:val="002E0C5E"/>
    <w:rsid w:val="002E0E9F"/>
    <w:rsid w:val="002E1041"/>
    <w:rsid w:val="002E10E6"/>
    <w:rsid w:val="002E1102"/>
    <w:rsid w:val="002E11E5"/>
    <w:rsid w:val="002E11EA"/>
    <w:rsid w:val="002E129E"/>
    <w:rsid w:val="002E12D0"/>
    <w:rsid w:val="002E1350"/>
    <w:rsid w:val="002E171F"/>
    <w:rsid w:val="002E19BB"/>
    <w:rsid w:val="002E1A14"/>
    <w:rsid w:val="002E1A72"/>
    <w:rsid w:val="002E1C05"/>
    <w:rsid w:val="002E1EF8"/>
    <w:rsid w:val="002E2301"/>
    <w:rsid w:val="002E23A4"/>
    <w:rsid w:val="002E244C"/>
    <w:rsid w:val="002E253C"/>
    <w:rsid w:val="002E2611"/>
    <w:rsid w:val="002E2856"/>
    <w:rsid w:val="002E2AA3"/>
    <w:rsid w:val="002E2DA1"/>
    <w:rsid w:val="002E2F4F"/>
    <w:rsid w:val="002E2FCA"/>
    <w:rsid w:val="002E3001"/>
    <w:rsid w:val="002E3145"/>
    <w:rsid w:val="002E31C9"/>
    <w:rsid w:val="002E3366"/>
    <w:rsid w:val="002E3FF0"/>
    <w:rsid w:val="002E442A"/>
    <w:rsid w:val="002E448A"/>
    <w:rsid w:val="002E4786"/>
    <w:rsid w:val="002E4A39"/>
    <w:rsid w:val="002E4B99"/>
    <w:rsid w:val="002E506B"/>
    <w:rsid w:val="002E5350"/>
    <w:rsid w:val="002E5375"/>
    <w:rsid w:val="002E559D"/>
    <w:rsid w:val="002E5912"/>
    <w:rsid w:val="002E5C8F"/>
    <w:rsid w:val="002E5CD4"/>
    <w:rsid w:val="002E5D3C"/>
    <w:rsid w:val="002E60B6"/>
    <w:rsid w:val="002E64CB"/>
    <w:rsid w:val="002E6581"/>
    <w:rsid w:val="002E690E"/>
    <w:rsid w:val="002E690F"/>
    <w:rsid w:val="002E6BBA"/>
    <w:rsid w:val="002E6DE3"/>
    <w:rsid w:val="002E6EF6"/>
    <w:rsid w:val="002E6FDA"/>
    <w:rsid w:val="002E704B"/>
    <w:rsid w:val="002E712A"/>
    <w:rsid w:val="002E71D2"/>
    <w:rsid w:val="002E7637"/>
    <w:rsid w:val="002E76D6"/>
    <w:rsid w:val="002E7D29"/>
    <w:rsid w:val="002E7EA4"/>
    <w:rsid w:val="002F0072"/>
    <w:rsid w:val="002F00D1"/>
    <w:rsid w:val="002F02E8"/>
    <w:rsid w:val="002F032A"/>
    <w:rsid w:val="002F03F1"/>
    <w:rsid w:val="002F04F5"/>
    <w:rsid w:val="002F0663"/>
    <w:rsid w:val="002F09ED"/>
    <w:rsid w:val="002F0C49"/>
    <w:rsid w:val="002F0CF0"/>
    <w:rsid w:val="002F0EF1"/>
    <w:rsid w:val="002F0F17"/>
    <w:rsid w:val="002F0F40"/>
    <w:rsid w:val="002F0FEA"/>
    <w:rsid w:val="002F10D5"/>
    <w:rsid w:val="002F1267"/>
    <w:rsid w:val="002F135D"/>
    <w:rsid w:val="002F1492"/>
    <w:rsid w:val="002F1684"/>
    <w:rsid w:val="002F179B"/>
    <w:rsid w:val="002F1DE1"/>
    <w:rsid w:val="002F1FE3"/>
    <w:rsid w:val="002F224E"/>
    <w:rsid w:val="002F2772"/>
    <w:rsid w:val="002F2815"/>
    <w:rsid w:val="002F2D38"/>
    <w:rsid w:val="002F32BB"/>
    <w:rsid w:val="002F334A"/>
    <w:rsid w:val="002F3474"/>
    <w:rsid w:val="002F3642"/>
    <w:rsid w:val="002F4535"/>
    <w:rsid w:val="002F461D"/>
    <w:rsid w:val="002F47C6"/>
    <w:rsid w:val="002F47E1"/>
    <w:rsid w:val="002F4BBD"/>
    <w:rsid w:val="002F50E7"/>
    <w:rsid w:val="002F5664"/>
    <w:rsid w:val="002F56EC"/>
    <w:rsid w:val="002F6037"/>
    <w:rsid w:val="002F63E3"/>
    <w:rsid w:val="002F65B7"/>
    <w:rsid w:val="002F6715"/>
    <w:rsid w:val="002F6762"/>
    <w:rsid w:val="002F6873"/>
    <w:rsid w:val="002F6A8A"/>
    <w:rsid w:val="002F6ABA"/>
    <w:rsid w:val="002F6B80"/>
    <w:rsid w:val="002F6BA9"/>
    <w:rsid w:val="002F6CFD"/>
    <w:rsid w:val="002F6F43"/>
    <w:rsid w:val="002F7076"/>
    <w:rsid w:val="002F7123"/>
    <w:rsid w:val="002F7374"/>
    <w:rsid w:val="002F7569"/>
    <w:rsid w:val="002F7B1C"/>
    <w:rsid w:val="002F7C10"/>
    <w:rsid w:val="0030011C"/>
    <w:rsid w:val="00300280"/>
    <w:rsid w:val="003005B0"/>
    <w:rsid w:val="0030093B"/>
    <w:rsid w:val="00300CE3"/>
    <w:rsid w:val="00300DAE"/>
    <w:rsid w:val="003011D8"/>
    <w:rsid w:val="00301223"/>
    <w:rsid w:val="00301242"/>
    <w:rsid w:val="0030124D"/>
    <w:rsid w:val="00301259"/>
    <w:rsid w:val="00301427"/>
    <w:rsid w:val="003014C6"/>
    <w:rsid w:val="003016B1"/>
    <w:rsid w:val="00301846"/>
    <w:rsid w:val="003018F7"/>
    <w:rsid w:val="00301986"/>
    <w:rsid w:val="00301BDD"/>
    <w:rsid w:val="00301C58"/>
    <w:rsid w:val="00301D66"/>
    <w:rsid w:val="00301E61"/>
    <w:rsid w:val="003022D1"/>
    <w:rsid w:val="003025A2"/>
    <w:rsid w:val="003025C0"/>
    <w:rsid w:val="00302701"/>
    <w:rsid w:val="003028A5"/>
    <w:rsid w:val="0030294C"/>
    <w:rsid w:val="003029A5"/>
    <w:rsid w:val="00302CAD"/>
    <w:rsid w:val="00302DBD"/>
    <w:rsid w:val="003030C8"/>
    <w:rsid w:val="00303126"/>
    <w:rsid w:val="0030322B"/>
    <w:rsid w:val="00303368"/>
    <w:rsid w:val="003034A7"/>
    <w:rsid w:val="00303642"/>
    <w:rsid w:val="003036F8"/>
    <w:rsid w:val="003038F1"/>
    <w:rsid w:val="00303A7D"/>
    <w:rsid w:val="00303C30"/>
    <w:rsid w:val="00303C88"/>
    <w:rsid w:val="00303D84"/>
    <w:rsid w:val="00303F0B"/>
    <w:rsid w:val="00303F0F"/>
    <w:rsid w:val="0030460E"/>
    <w:rsid w:val="0030477F"/>
    <w:rsid w:val="003048F3"/>
    <w:rsid w:val="0030498E"/>
    <w:rsid w:val="003049A2"/>
    <w:rsid w:val="00304CF7"/>
    <w:rsid w:val="003051C1"/>
    <w:rsid w:val="003053F5"/>
    <w:rsid w:val="003055D8"/>
    <w:rsid w:val="0030563D"/>
    <w:rsid w:val="00305690"/>
    <w:rsid w:val="003056F8"/>
    <w:rsid w:val="0030594D"/>
    <w:rsid w:val="00305CEC"/>
    <w:rsid w:val="00305E72"/>
    <w:rsid w:val="00305EE4"/>
    <w:rsid w:val="00306067"/>
    <w:rsid w:val="003063AC"/>
    <w:rsid w:val="00306718"/>
    <w:rsid w:val="00306953"/>
    <w:rsid w:val="00306A40"/>
    <w:rsid w:val="00306BA5"/>
    <w:rsid w:val="00306C7F"/>
    <w:rsid w:val="00306CA8"/>
    <w:rsid w:val="00307029"/>
    <w:rsid w:val="0030708F"/>
    <w:rsid w:val="00307338"/>
    <w:rsid w:val="00307BD5"/>
    <w:rsid w:val="00307C6E"/>
    <w:rsid w:val="00307F68"/>
    <w:rsid w:val="0031006A"/>
    <w:rsid w:val="00310172"/>
    <w:rsid w:val="00310386"/>
    <w:rsid w:val="00310938"/>
    <w:rsid w:val="00310A25"/>
    <w:rsid w:val="00310C40"/>
    <w:rsid w:val="00310CB9"/>
    <w:rsid w:val="00310D10"/>
    <w:rsid w:val="00310D77"/>
    <w:rsid w:val="00310DA1"/>
    <w:rsid w:val="00310FBA"/>
    <w:rsid w:val="003114F7"/>
    <w:rsid w:val="00311597"/>
    <w:rsid w:val="00311599"/>
    <w:rsid w:val="00311916"/>
    <w:rsid w:val="0031195E"/>
    <w:rsid w:val="00311C4C"/>
    <w:rsid w:val="00311D17"/>
    <w:rsid w:val="00311D3F"/>
    <w:rsid w:val="00311D63"/>
    <w:rsid w:val="0031206B"/>
    <w:rsid w:val="003120F8"/>
    <w:rsid w:val="003121F0"/>
    <w:rsid w:val="00312227"/>
    <w:rsid w:val="0031275E"/>
    <w:rsid w:val="00312C9C"/>
    <w:rsid w:val="00312E12"/>
    <w:rsid w:val="00313601"/>
    <w:rsid w:val="0031372D"/>
    <w:rsid w:val="0031372E"/>
    <w:rsid w:val="00313918"/>
    <w:rsid w:val="003140CE"/>
    <w:rsid w:val="00314735"/>
    <w:rsid w:val="00314B18"/>
    <w:rsid w:val="00314D8D"/>
    <w:rsid w:val="00314F11"/>
    <w:rsid w:val="00315114"/>
    <w:rsid w:val="003151D3"/>
    <w:rsid w:val="0031545C"/>
    <w:rsid w:val="00315BA4"/>
    <w:rsid w:val="00315CDD"/>
    <w:rsid w:val="00316151"/>
    <w:rsid w:val="00316333"/>
    <w:rsid w:val="003163DB"/>
    <w:rsid w:val="003164A3"/>
    <w:rsid w:val="003165CC"/>
    <w:rsid w:val="00316676"/>
    <w:rsid w:val="00316A55"/>
    <w:rsid w:val="00316A79"/>
    <w:rsid w:val="00316C71"/>
    <w:rsid w:val="00316F7D"/>
    <w:rsid w:val="00317404"/>
    <w:rsid w:val="00317437"/>
    <w:rsid w:val="003176AE"/>
    <w:rsid w:val="00317A41"/>
    <w:rsid w:val="00317D6E"/>
    <w:rsid w:val="00320674"/>
    <w:rsid w:val="0032070F"/>
    <w:rsid w:val="003208A1"/>
    <w:rsid w:val="00320A45"/>
    <w:rsid w:val="00320DE9"/>
    <w:rsid w:val="00321057"/>
    <w:rsid w:val="00321123"/>
    <w:rsid w:val="0032116C"/>
    <w:rsid w:val="00321426"/>
    <w:rsid w:val="0032149A"/>
    <w:rsid w:val="003218A9"/>
    <w:rsid w:val="00321A3B"/>
    <w:rsid w:val="00321A7A"/>
    <w:rsid w:val="00321AEE"/>
    <w:rsid w:val="003221A2"/>
    <w:rsid w:val="0032230F"/>
    <w:rsid w:val="00322381"/>
    <w:rsid w:val="0032254C"/>
    <w:rsid w:val="003225F6"/>
    <w:rsid w:val="0032268D"/>
    <w:rsid w:val="00322964"/>
    <w:rsid w:val="00322999"/>
    <w:rsid w:val="00322A46"/>
    <w:rsid w:val="00322F9C"/>
    <w:rsid w:val="0032312C"/>
    <w:rsid w:val="00323591"/>
    <w:rsid w:val="00323608"/>
    <w:rsid w:val="00323731"/>
    <w:rsid w:val="0032387D"/>
    <w:rsid w:val="00324164"/>
    <w:rsid w:val="003244EA"/>
    <w:rsid w:val="00324505"/>
    <w:rsid w:val="003245A4"/>
    <w:rsid w:val="0032489D"/>
    <w:rsid w:val="003248EE"/>
    <w:rsid w:val="003249FC"/>
    <w:rsid w:val="00324A8C"/>
    <w:rsid w:val="00324DEC"/>
    <w:rsid w:val="0032501F"/>
    <w:rsid w:val="003251DE"/>
    <w:rsid w:val="003254DC"/>
    <w:rsid w:val="00325708"/>
    <w:rsid w:val="00325949"/>
    <w:rsid w:val="003259A9"/>
    <w:rsid w:val="00325A03"/>
    <w:rsid w:val="0032605D"/>
    <w:rsid w:val="003261DD"/>
    <w:rsid w:val="00326376"/>
    <w:rsid w:val="00326703"/>
    <w:rsid w:val="0032676C"/>
    <w:rsid w:val="003267DC"/>
    <w:rsid w:val="00326C38"/>
    <w:rsid w:val="00327313"/>
    <w:rsid w:val="0032735B"/>
    <w:rsid w:val="003274CA"/>
    <w:rsid w:val="00327683"/>
    <w:rsid w:val="00327732"/>
    <w:rsid w:val="00327737"/>
    <w:rsid w:val="00327740"/>
    <w:rsid w:val="003277E9"/>
    <w:rsid w:val="00327888"/>
    <w:rsid w:val="003279FA"/>
    <w:rsid w:val="00330020"/>
    <w:rsid w:val="00330183"/>
    <w:rsid w:val="00330222"/>
    <w:rsid w:val="00330235"/>
    <w:rsid w:val="003302D5"/>
    <w:rsid w:val="00330389"/>
    <w:rsid w:val="0033044B"/>
    <w:rsid w:val="0033075F"/>
    <w:rsid w:val="003308C3"/>
    <w:rsid w:val="00330983"/>
    <w:rsid w:val="00330AEF"/>
    <w:rsid w:val="00330C44"/>
    <w:rsid w:val="00330D54"/>
    <w:rsid w:val="0033104E"/>
    <w:rsid w:val="003311E3"/>
    <w:rsid w:val="0033135C"/>
    <w:rsid w:val="0033159B"/>
    <w:rsid w:val="00331729"/>
    <w:rsid w:val="0033173D"/>
    <w:rsid w:val="00331771"/>
    <w:rsid w:val="00331B4B"/>
    <w:rsid w:val="00331B63"/>
    <w:rsid w:val="00331BB5"/>
    <w:rsid w:val="00331D48"/>
    <w:rsid w:val="00331E46"/>
    <w:rsid w:val="00332268"/>
    <w:rsid w:val="00332817"/>
    <w:rsid w:val="00332922"/>
    <w:rsid w:val="00332A6E"/>
    <w:rsid w:val="00332B26"/>
    <w:rsid w:val="00332B80"/>
    <w:rsid w:val="00332DA8"/>
    <w:rsid w:val="00333135"/>
    <w:rsid w:val="003335B7"/>
    <w:rsid w:val="003336F3"/>
    <w:rsid w:val="00333773"/>
    <w:rsid w:val="00333B1D"/>
    <w:rsid w:val="00333D01"/>
    <w:rsid w:val="00333FB4"/>
    <w:rsid w:val="00334014"/>
    <w:rsid w:val="003343AE"/>
    <w:rsid w:val="00334921"/>
    <w:rsid w:val="00334D5C"/>
    <w:rsid w:val="0033503E"/>
    <w:rsid w:val="003350C5"/>
    <w:rsid w:val="003351F0"/>
    <w:rsid w:val="003353A3"/>
    <w:rsid w:val="003354A3"/>
    <w:rsid w:val="003354E9"/>
    <w:rsid w:val="00335626"/>
    <w:rsid w:val="003359FB"/>
    <w:rsid w:val="00335A27"/>
    <w:rsid w:val="00335BC5"/>
    <w:rsid w:val="00335BF2"/>
    <w:rsid w:val="00335CFD"/>
    <w:rsid w:val="00335D56"/>
    <w:rsid w:val="00335EA4"/>
    <w:rsid w:val="00335EC4"/>
    <w:rsid w:val="00335F3A"/>
    <w:rsid w:val="003364AB"/>
    <w:rsid w:val="003365C5"/>
    <w:rsid w:val="003366D1"/>
    <w:rsid w:val="00336777"/>
    <w:rsid w:val="00336C32"/>
    <w:rsid w:val="00337249"/>
    <w:rsid w:val="003375C7"/>
    <w:rsid w:val="003376FD"/>
    <w:rsid w:val="003377A2"/>
    <w:rsid w:val="00337984"/>
    <w:rsid w:val="00337EAF"/>
    <w:rsid w:val="00337F9C"/>
    <w:rsid w:val="00340017"/>
    <w:rsid w:val="003402F6"/>
    <w:rsid w:val="0034030B"/>
    <w:rsid w:val="00340494"/>
    <w:rsid w:val="0034055B"/>
    <w:rsid w:val="00340914"/>
    <w:rsid w:val="00340C67"/>
    <w:rsid w:val="00340D20"/>
    <w:rsid w:val="003411D9"/>
    <w:rsid w:val="003414D3"/>
    <w:rsid w:val="00341A13"/>
    <w:rsid w:val="00341A4D"/>
    <w:rsid w:val="00341C2E"/>
    <w:rsid w:val="00341D45"/>
    <w:rsid w:val="00341EAA"/>
    <w:rsid w:val="00341ED1"/>
    <w:rsid w:val="003420A1"/>
    <w:rsid w:val="003420D7"/>
    <w:rsid w:val="00342229"/>
    <w:rsid w:val="003422F2"/>
    <w:rsid w:val="00342616"/>
    <w:rsid w:val="0034275A"/>
    <w:rsid w:val="00342793"/>
    <w:rsid w:val="00342815"/>
    <w:rsid w:val="00342AA2"/>
    <w:rsid w:val="0034347C"/>
    <w:rsid w:val="003442E8"/>
    <w:rsid w:val="00344352"/>
    <w:rsid w:val="003444CB"/>
    <w:rsid w:val="003444E5"/>
    <w:rsid w:val="0034462A"/>
    <w:rsid w:val="003447E6"/>
    <w:rsid w:val="00344A37"/>
    <w:rsid w:val="00344A7C"/>
    <w:rsid w:val="00344B1D"/>
    <w:rsid w:val="00344C04"/>
    <w:rsid w:val="00344C19"/>
    <w:rsid w:val="00344D8B"/>
    <w:rsid w:val="00344E8E"/>
    <w:rsid w:val="00344EB4"/>
    <w:rsid w:val="003451FC"/>
    <w:rsid w:val="00345409"/>
    <w:rsid w:val="003454B8"/>
    <w:rsid w:val="003454D5"/>
    <w:rsid w:val="0034568E"/>
    <w:rsid w:val="003459E6"/>
    <w:rsid w:val="00345F73"/>
    <w:rsid w:val="003465F0"/>
    <w:rsid w:val="00346713"/>
    <w:rsid w:val="00346D22"/>
    <w:rsid w:val="00346F8A"/>
    <w:rsid w:val="00347299"/>
    <w:rsid w:val="003473E2"/>
    <w:rsid w:val="00347682"/>
    <w:rsid w:val="003479F6"/>
    <w:rsid w:val="00347B37"/>
    <w:rsid w:val="00347B4F"/>
    <w:rsid w:val="00347BF2"/>
    <w:rsid w:val="00347CEB"/>
    <w:rsid w:val="00347D96"/>
    <w:rsid w:val="00347DCD"/>
    <w:rsid w:val="00347E3E"/>
    <w:rsid w:val="00350173"/>
    <w:rsid w:val="00350679"/>
    <w:rsid w:val="00350741"/>
    <w:rsid w:val="003509E9"/>
    <w:rsid w:val="00350F0A"/>
    <w:rsid w:val="00350FBE"/>
    <w:rsid w:val="00351543"/>
    <w:rsid w:val="003515EA"/>
    <w:rsid w:val="003516EA"/>
    <w:rsid w:val="00351714"/>
    <w:rsid w:val="003517CC"/>
    <w:rsid w:val="00351AAF"/>
    <w:rsid w:val="00351C1E"/>
    <w:rsid w:val="00351ED4"/>
    <w:rsid w:val="00351F8F"/>
    <w:rsid w:val="003524EC"/>
    <w:rsid w:val="0035257C"/>
    <w:rsid w:val="00352B8C"/>
    <w:rsid w:val="00352D3E"/>
    <w:rsid w:val="00352D4E"/>
    <w:rsid w:val="00352E30"/>
    <w:rsid w:val="00353443"/>
    <w:rsid w:val="003534F3"/>
    <w:rsid w:val="00353625"/>
    <w:rsid w:val="00353787"/>
    <w:rsid w:val="00353F63"/>
    <w:rsid w:val="003540E3"/>
    <w:rsid w:val="0035443B"/>
    <w:rsid w:val="00354A7E"/>
    <w:rsid w:val="00354F31"/>
    <w:rsid w:val="00355199"/>
    <w:rsid w:val="0035539B"/>
    <w:rsid w:val="00355882"/>
    <w:rsid w:val="003558F8"/>
    <w:rsid w:val="0035599E"/>
    <w:rsid w:val="00355C24"/>
    <w:rsid w:val="00355CAF"/>
    <w:rsid w:val="003560BA"/>
    <w:rsid w:val="00356264"/>
    <w:rsid w:val="003562F5"/>
    <w:rsid w:val="0035639F"/>
    <w:rsid w:val="003568F9"/>
    <w:rsid w:val="00356949"/>
    <w:rsid w:val="00356ADB"/>
    <w:rsid w:val="00356B3C"/>
    <w:rsid w:val="00356C9E"/>
    <w:rsid w:val="00356CC1"/>
    <w:rsid w:val="00356D28"/>
    <w:rsid w:val="00356D7C"/>
    <w:rsid w:val="00356E4C"/>
    <w:rsid w:val="00356F50"/>
    <w:rsid w:val="00356FEF"/>
    <w:rsid w:val="0035704A"/>
    <w:rsid w:val="003570DE"/>
    <w:rsid w:val="00357137"/>
    <w:rsid w:val="00357157"/>
    <w:rsid w:val="00357261"/>
    <w:rsid w:val="00357568"/>
    <w:rsid w:val="00357635"/>
    <w:rsid w:val="0035764A"/>
    <w:rsid w:val="003579AB"/>
    <w:rsid w:val="00357CA2"/>
    <w:rsid w:val="00360064"/>
    <w:rsid w:val="003601AB"/>
    <w:rsid w:val="00360290"/>
    <w:rsid w:val="003608F8"/>
    <w:rsid w:val="00360A3F"/>
    <w:rsid w:val="00360FB4"/>
    <w:rsid w:val="00360FF9"/>
    <w:rsid w:val="00361043"/>
    <w:rsid w:val="003619C8"/>
    <w:rsid w:val="00361A4F"/>
    <w:rsid w:val="00361C12"/>
    <w:rsid w:val="00361D57"/>
    <w:rsid w:val="00361E55"/>
    <w:rsid w:val="00362261"/>
    <w:rsid w:val="00362291"/>
    <w:rsid w:val="003624EA"/>
    <w:rsid w:val="003625A8"/>
    <w:rsid w:val="0036261D"/>
    <w:rsid w:val="00362716"/>
    <w:rsid w:val="00362A27"/>
    <w:rsid w:val="00362A38"/>
    <w:rsid w:val="00362CA3"/>
    <w:rsid w:val="00362CFE"/>
    <w:rsid w:val="00362D5F"/>
    <w:rsid w:val="00363266"/>
    <w:rsid w:val="00363361"/>
    <w:rsid w:val="0036356A"/>
    <w:rsid w:val="0036374A"/>
    <w:rsid w:val="00363764"/>
    <w:rsid w:val="00363895"/>
    <w:rsid w:val="00363A01"/>
    <w:rsid w:val="00363A7F"/>
    <w:rsid w:val="00363B3E"/>
    <w:rsid w:val="00363D62"/>
    <w:rsid w:val="00363EB6"/>
    <w:rsid w:val="0036433F"/>
    <w:rsid w:val="003647B6"/>
    <w:rsid w:val="00364CA4"/>
    <w:rsid w:val="00364E3F"/>
    <w:rsid w:val="00364E50"/>
    <w:rsid w:val="00364E84"/>
    <w:rsid w:val="0036519F"/>
    <w:rsid w:val="00365200"/>
    <w:rsid w:val="00365698"/>
    <w:rsid w:val="003656B8"/>
    <w:rsid w:val="003657E4"/>
    <w:rsid w:val="00365832"/>
    <w:rsid w:val="00365921"/>
    <w:rsid w:val="003659F2"/>
    <w:rsid w:val="00365C88"/>
    <w:rsid w:val="00365CAD"/>
    <w:rsid w:val="00365CAE"/>
    <w:rsid w:val="00365DC2"/>
    <w:rsid w:val="00366312"/>
    <w:rsid w:val="0036656B"/>
    <w:rsid w:val="003665AD"/>
    <w:rsid w:val="00366601"/>
    <w:rsid w:val="003666C8"/>
    <w:rsid w:val="00366970"/>
    <w:rsid w:val="00366B37"/>
    <w:rsid w:val="00366C68"/>
    <w:rsid w:val="00366E6D"/>
    <w:rsid w:val="00366FA4"/>
    <w:rsid w:val="00366FFE"/>
    <w:rsid w:val="003670B0"/>
    <w:rsid w:val="00367126"/>
    <w:rsid w:val="0036725B"/>
    <w:rsid w:val="00367481"/>
    <w:rsid w:val="00367773"/>
    <w:rsid w:val="00367921"/>
    <w:rsid w:val="003679B0"/>
    <w:rsid w:val="00367A32"/>
    <w:rsid w:val="00367A8C"/>
    <w:rsid w:val="00367D86"/>
    <w:rsid w:val="00367F7B"/>
    <w:rsid w:val="0037021F"/>
    <w:rsid w:val="00370704"/>
    <w:rsid w:val="00370C65"/>
    <w:rsid w:val="00370CB8"/>
    <w:rsid w:val="00370E84"/>
    <w:rsid w:val="0037124C"/>
    <w:rsid w:val="003713A2"/>
    <w:rsid w:val="003713AF"/>
    <w:rsid w:val="003713CD"/>
    <w:rsid w:val="003717DD"/>
    <w:rsid w:val="00371855"/>
    <w:rsid w:val="00371CC7"/>
    <w:rsid w:val="00371FF9"/>
    <w:rsid w:val="00372530"/>
    <w:rsid w:val="003725F5"/>
    <w:rsid w:val="003727A6"/>
    <w:rsid w:val="00372BA3"/>
    <w:rsid w:val="00372DAE"/>
    <w:rsid w:val="00372DFF"/>
    <w:rsid w:val="00373423"/>
    <w:rsid w:val="0037358F"/>
    <w:rsid w:val="00373AA5"/>
    <w:rsid w:val="00373C28"/>
    <w:rsid w:val="00373D11"/>
    <w:rsid w:val="00373D70"/>
    <w:rsid w:val="00373D7C"/>
    <w:rsid w:val="00373DC0"/>
    <w:rsid w:val="0037413E"/>
    <w:rsid w:val="00374364"/>
    <w:rsid w:val="0037474E"/>
    <w:rsid w:val="00374AAC"/>
    <w:rsid w:val="00374BE5"/>
    <w:rsid w:val="00374D16"/>
    <w:rsid w:val="003750CA"/>
    <w:rsid w:val="003754D2"/>
    <w:rsid w:val="003754E2"/>
    <w:rsid w:val="0037557D"/>
    <w:rsid w:val="0037582E"/>
    <w:rsid w:val="003758A1"/>
    <w:rsid w:val="00375D12"/>
    <w:rsid w:val="00375E9E"/>
    <w:rsid w:val="00375FF0"/>
    <w:rsid w:val="003767F4"/>
    <w:rsid w:val="00376E60"/>
    <w:rsid w:val="00376F0F"/>
    <w:rsid w:val="00377077"/>
    <w:rsid w:val="0037712C"/>
    <w:rsid w:val="0037728D"/>
    <w:rsid w:val="0037787F"/>
    <w:rsid w:val="003779D8"/>
    <w:rsid w:val="00380338"/>
    <w:rsid w:val="0038066D"/>
    <w:rsid w:val="003807DB"/>
    <w:rsid w:val="003809F9"/>
    <w:rsid w:val="00380A04"/>
    <w:rsid w:val="00380A52"/>
    <w:rsid w:val="00380B4B"/>
    <w:rsid w:val="00380BEA"/>
    <w:rsid w:val="00380C75"/>
    <w:rsid w:val="00380FB5"/>
    <w:rsid w:val="0038103F"/>
    <w:rsid w:val="0038105C"/>
    <w:rsid w:val="003812F6"/>
    <w:rsid w:val="0038136A"/>
    <w:rsid w:val="0038154D"/>
    <w:rsid w:val="00381A21"/>
    <w:rsid w:val="00381E7C"/>
    <w:rsid w:val="00382423"/>
    <w:rsid w:val="003824F6"/>
    <w:rsid w:val="00382711"/>
    <w:rsid w:val="003829A8"/>
    <w:rsid w:val="00382A7F"/>
    <w:rsid w:val="00382D58"/>
    <w:rsid w:val="00382E97"/>
    <w:rsid w:val="00383002"/>
    <w:rsid w:val="0038343D"/>
    <w:rsid w:val="003835D2"/>
    <w:rsid w:val="00383C82"/>
    <w:rsid w:val="00384028"/>
    <w:rsid w:val="00384092"/>
    <w:rsid w:val="0038418C"/>
    <w:rsid w:val="00384497"/>
    <w:rsid w:val="003846D0"/>
    <w:rsid w:val="003846FB"/>
    <w:rsid w:val="00384852"/>
    <w:rsid w:val="0038486B"/>
    <w:rsid w:val="003850B8"/>
    <w:rsid w:val="00385199"/>
    <w:rsid w:val="0038591E"/>
    <w:rsid w:val="00385FC3"/>
    <w:rsid w:val="00386054"/>
    <w:rsid w:val="003860F6"/>
    <w:rsid w:val="0038634D"/>
    <w:rsid w:val="00386525"/>
    <w:rsid w:val="00386856"/>
    <w:rsid w:val="00386A22"/>
    <w:rsid w:val="00386B97"/>
    <w:rsid w:val="00386C7A"/>
    <w:rsid w:val="00386DF4"/>
    <w:rsid w:val="00387350"/>
    <w:rsid w:val="00387403"/>
    <w:rsid w:val="0038760E"/>
    <w:rsid w:val="00387714"/>
    <w:rsid w:val="003877AA"/>
    <w:rsid w:val="00387856"/>
    <w:rsid w:val="003879AF"/>
    <w:rsid w:val="00387ABD"/>
    <w:rsid w:val="00387C54"/>
    <w:rsid w:val="00387DBD"/>
    <w:rsid w:val="0039001E"/>
    <w:rsid w:val="00390033"/>
    <w:rsid w:val="00390626"/>
    <w:rsid w:val="00390BF7"/>
    <w:rsid w:val="00390CE9"/>
    <w:rsid w:val="00390DF2"/>
    <w:rsid w:val="0039126E"/>
    <w:rsid w:val="00391466"/>
    <w:rsid w:val="0039170B"/>
    <w:rsid w:val="0039174B"/>
    <w:rsid w:val="003917DF"/>
    <w:rsid w:val="00391A1B"/>
    <w:rsid w:val="00391FFD"/>
    <w:rsid w:val="00392062"/>
    <w:rsid w:val="003923BF"/>
    <w:rsid w:val="0039270E"/>
    <w:rsid w:val="003928AA"/>
    <w:rsid w:val="003929F5"/>
    <w:rsid w:val="00392E06"/>
    <w:rsid w:val="003930AF"/>
    <w:rsid w:val="0039326E"/>
    <w:rsid w:val="00393597"/>
    <w:rsid w:val="00393703"/>
    <w:rsid w:val="00393782"/>
    <w:rsid w:val="00393822"/>
    <w:rsid w:val="00393982"/>
    <w:rsid w:val="00393A89"/>
    <w:rsid w:val="00393BE7"/>
    <w:rsid w:val="00393F10"/>
    <w:rsid w:val="00393FFC"/>
    <w:rsid w:val="0039407B"/>
    <w:rsid w:val="003941C3"/>
    <w:rsid w:val="003942A4"/>
    <w:rsid w:val="00394379"/>
    <w:rsid w:val="003944A3"/>
    <w:rsid w:val="0039456F"/>
    <w:rsid w:val="0039461E"/>
    <w:rsid w:val="0039468E"/>
    <w:rsid w:val="00394A7B"/>
    <w:rsid w:val="00394C3D"/>
    <w:rsid w:val="00394F14"/>
    <w:rsid w:val="00394F37"/>
    <w:rsid w:val="00395101"/>
    <w:rsid w:val="00395183"/>
    <w:rsid w:val="003951E4"/>
    <w:rsid w:val="003952A7"/>
    <w:rsid w:val="00395416"/>
    <w:rsid w:val="00395615"/>
    <w:rsid w:val="003958CC"/>
    <w:rsid w:val="00395962"/>
    <w:rsid w:val="00395B91"/>
    <w:rsid w:val="003960A9"/>
    <w:rsid w:val="0039654A"/>
    <w:rsid w:val="00396652"/>
    <w:rsid w:val="00396809"/>
    <w:rsid w:val="00396839"/>
    <w:rsid w:val="00396B50"/>
    <w:rsid w:val="00396BD2"/>
    <w:rsid w:val="00396E92"/>
    <w:rsid w:val="003970FD"/>
    <w:rsid w:val="003975E4"/>
    <w:rsid w:val="00397775"/>
    <w:rsid w:val="00397904"/>
    <w:rsid w:val="003A0032"/>
    <w:rsid w:val="003A01CC"/>
    <w:rsid w:val="003A027B"/>
    <w:rsid w:val="003A02EC"/>
    <w:rsid w:val="003A02F9"/>
    <w:rsid w:val="003A03EF"/>
    <w:rsid w:val="003A061D"/>
    <w:rsid w:val="003A065B"/>
    <w:rsid w:val="003A07CD"/>
    <w:rsid w:val="003A08B2"/>
    <w:rsid w:val="003A1378"/>
    <w:rsid w:val="003A1402"/>
    <w:rsid w:val="003A1785"/>
    <w:rsid w:val="003A18AF"/>
    <w:rsid w:val="003A1A8D"/>
    <w:rsid w:val="003A1E7E"/>
    <w:rsid w:val="003A1ED9"/>
    <w:rsid w:val="003A25D9"/>
    <w:rsid w:val="003A2610"/>
    <w:rsid w:val="003A265A"/>
    <w:rsid w:val="003A2816"/>
    <w:rsid w:val="003A2B45"/>
    <w:rsid w:val="003A2E29"/>
    <w:rsid w:val="003A2E41"/>
    <w:rsid w:val="003A30CF"/>
    <w:rsid w:val="003A30E6"/>
    <w:rsid w:val="003A3B2F"/>
    <w:rsid w:val="003A3B52"/>
    <w:rsid w:val="003A3C64"/>
    <w:rsid w:val="003A3D01"/>
    <w:rsid w:val="003A3FF9"/>
    <w:rsid w:val="003A413A"/>
    <w:rsid w:val="003A4C1A"/>
    <w:rsid w:val="003A5036"/>
    <w:rsid w:val="003A5863"/>
    <w:rsid w:val="003A5C33"/>
    <w:rsid w:val="003A6121"/>
    <w:rsid w:val="003A6132"/>
    <w:rsid w:val="003A6168"/>
    <w:rsid w:val="003A6237"/>
    <w:rsid w:val="003A664E"/>
    <w:rsid w:val="003A66FA"/>
    <w:rsid w:val="003A6899"/>
    <w:rsid w:val="003A69A3"/>
    <w:rsid w:val="003A6ACF"/>
    <w:rsid w:val="003A6C75"/>
    <w:rsid w:val="003A6FB1"/>
    <w:rsid w:val="003A713B"/>
    <w:rsid w:val="003A72ED"/>
    <w:rsid w:val="003A7398"/>
    <w:rsid w:val="003A7404"/>
    <w:rsid w:val="003A75AB"/>
    <w:rsid w:val="003A7618"/>
    <w:rsid w:val="003A79D0"/>
    <w:rsid w:val="003B00BD"/>
    <w:rsid w:val="003B0532"/>
    <w:rsid w:val="003B0847"/>
    <w:rsid w:val="003B09F7"/>
    <w:rsid w:val="003B0ACC"/>
    <w:rsid w:val="003B0E84"/>
    <w:rsid w:val="003B1151"/>
    <w:rsid w:val="003B123B"/>
    <w:rsid w:val="003B1294"/>
    <w:rsid w:val="003B12D2"/>
    <w:rsid w:val="003B1382"/>
    <w:rsid w:val="003B15BD"/>
    <w:rsid w:val="003B1975"/>
    <w:rsid w:val="003B1ADF"/>
    <w:rsid w:val="003B1C54"/>
    <w:rsid w:val="003B1F26"/>
    <w:rsid w:val="003B1F45"/>
    <w:rsid w:val="003B22D4"/>
    <w:rsid w:val="003B259B"/>
    <w:rsid w:val="003B26F9"/>
    <w:rsid w:val="003B2813"/>
    <w:rsid w:val="003B2A08"/>
    <w:rsid w:val="003B2CA0"/>
    <w:rsid w:val="003B2DA2"/>
    <w:rsid w:val="003B2EA7"/>
    <w:rsid w:val="003B2EC5"/>
    <w:rsid w:val="003B30E8"/>
    <w:rsid w:val="003B3208"/>
    <w:rsid w:val="003B34B4"/>
    <w:rsid w:val="003B3591"/>
    <w:rsid w:val="003B3603"/>
    <w:rsid w:val="003B3754"/>
    <w:rsid w:val="003B3833"/>
    <w:rsid w:val="003B3A0E"/>
    <w:rsid w:val="003B3A64"/>
    <w:rsid w:val="003B3B18"/>
    <w:rsid w:val="003B3B82"/>
    <w:rsid w:val="003B3E7A"/>
    <w:rsid w:val="003B3E99"/>
    <w:rsid w:val="003B4099"/>
    <w:rsid w:val="003B4300"/>
    <w:rsid w:val="003B433A"/>
    <w:rsid w:val="003B4419"/>
    <w:rsid w:val="003B459A"/>
    <w:rsid w:val="003B46EE"/>
    <w:rsid w:val="003B4706"/>
    <w:rsid w:val="003B5089"/>
    <w:rsid w:val="003B51BA"/>
    <w:rsid w:val="003B52A8"/>
    <w:rsid w:val="003B5435"/>
    <w:rsid w:val="003B59E0"/>
    <w:rsid w:val="003B5B41"/>
    <w:rsid w:val="003B5B85"/>
    <w:rsid w:val="003B5B8D"/>
    <w:rsid w:val="003B5DEA"/>
    <w:rsid w:val="003B5FA8"/>
    <w:rsid w:val="003B6100"/>
    <w:rsid w:val="003B63EB"/>
    <w:rsid w:val="003B6469"/>
    <w:rsid w:val="003B6864"/>
    <w:rsid w:val="003B694F"/>
    <w:rsid w:val="003B6BB4"/>
    <w:rsid w:val="003B6DB5"/>
    <w:rsid w:val="003B6F7C"/>
    <w:rsid w:val="003B70CC"/>
    <w:rsid w:val="003B7207"/>
    <w:rsid w:val="003B7473"/>
    <w:rsid w:val="003B7500"/>
    <w:rsid w:val="003B76E6"/>
    <w:rsid w:val="003B77BD"/>
    <w:rsid w:val="003B7944"/>
    <w:rsid w:val="003B7C5E"/>
    <w:rsid w:val="003B7D8D"/>
    <w:rsid w:val="003B7E34"/>
    <w:rsid w:val="003B7EEC"/>
    <w:rsid w:val="003C043C"/>
    <w:rsid w:val="003C0567"/>
    <w:rsid w:val="003C090B"/>
    <w:rsid w:val="003C0DEE"/>
    <w:rsid w:val="003C0F3B"/>
    <w:rsid w:val="003C100E"/>
    <w:rsid w:val="003C119B"/>
    <w:rsid w:val="003C1540"/>
    <w:rsid w:val="003C15B0"/>
    <w:rsid w:val="003C15F0"/>
    <w:rsid w:val="003C1748"/>
    <w:rsid w:val="003C18DE"/>
    <w:rsid w:val="003C1942"/>
    <w:rsid w:val="003C19D3"/>
    <w:rsid w:val="003C1A28"/>
    <w:rsid w:val="003C1AE7"/>
    <w:rsid w:val="003C1B22"/>
    <w:rsid w:val="003C1B92"/>
    <w:rsid w:val="003C1C54"/>
    <w:rsid w:val="003C1E03"/>
    <w:rsid w:val="003C2751"/>
    <w:rsid w:val="003C2832"/>
    <w:rsid w:val="003C286A"/>
    <w:rsid w:val="003C2A2D"/>
    <w:rsid w:val="003C2B6C"/>
    <w:rsid w:val="003C2BF2"/>
    <w:rsid w:val="003C2C1B"/>
    <w:rsid w:val="003C3072"/>
    <w:rsid w:val="003C30C8"/>
    <w:rsid w:val="003C350C"/>
    <w:rsid w:val="003C368C"/>
    <w:rsid w:val="003C39E1"/>
    <w:rsid w:val="003C3AE9"/>
    <w:rsid w:val="003C3B3B"/>
    <w:rsid w:val="003C3C04"/>
    <w:rsid w:val="003C3D2C"/>
    <w:rsid w:val="003C43D7"/>
    <w:rsid w:val="003C45A6"/>
    <w:rsid w:val="003C4862"/>
    <w:rsid w:val="003C4B5D"/>
    <w:rsid w:val="003C4DA6"/>
    <w:rsid w:val="003C4F0C"/>
    <w:rsid w:val="003C525D"/>
    <w:rsid w:val="003C596A"/>
    <w:rsid w:val="003C5B3A"/>
    <w:rsid w:val="003C5BC3"/>
    <w:rsid w:val="003C5D34"/>
    <w:rsid w:val="003C5E70"/>
    <w:rsid w:val="003C61C4"/>
    <w:rsid w:val="003C63FC"/>
    <w:rsid w:val="003C6511"/>
    <w:rsid w:val="003C6568"/>
    <w:rsid w:val="003C680C"/>
    <w:rsid w:val="003C690C"/>
    <w:rsid w:val="003C6A42"/>
    <w:rsid w:val="003C6ABB"/>
    <w:rsid w:val="003C709A"/>
    <w:rsid w:val="003C7138"/>
    <w:rsid w:val="003C72F9"/>
    <w:rsid w:val="003C7733"/>
    <w:rsid w:val="003C77E2"/>
    <w:rsid w:val="003C7906"/>
    <w:rsid w:val="003C79B0"/>
    <w:rsid w:val="003C7CC3"/>
    <w:rsid w:val="003C7E5C"/>
    <w:rsid w:val="003C7E9B"/>
    <w:rsid w:val="003D062B"/>
    <w:rsid w:val="003D079E"/>
    <w:rsid w:val="003D0A63"/>
    <w:rsid w:val="003D0B24"/>
    <w:rsid w:val="003D0DB2"/>
    <w:rsid w:val="003D0E3A"/>
    <w:rsid w:val="003D0F5E"/>
    <w:rsid w:val="003D0F64"/>
    <w:rsid w:val="003D1001"/>
    <w:rsid w:val="003D128F"/>
    <w:rsid w:val="003D169F"/>
    <w:rsid w:val="003D180B"/>
    <w:rsid w:val="003D2493"/>
    <w:rsid w:val="003D255E"/>
    <w:rsid w:val="003D25C9"/>
    <w:rsid w:val="003D2BB6"/>
    <w:rsid w:val="003D2BDE"/>
    <w:rsid w:val="003D300C"/>
    <w:rsid w:val="003D3179"/>
    <w:rsid w:val="003D323C"/>
    <w:rsid w:val="003D3512"/>
    <w:rsid w:val="003D368C"/>
    <w:rsid w:val="003D36C1"/>
    <w:rsid w:val="003D37A3"/>
    <w:rsid w:val="003D37FE"/>
    <w:rsid w:val="003D3892"/>
    <w:rsid w:val="003D3A88"/>
    <w:rsid w:val="003D3B96"/>
    <w:rsid w:val="003D3EB5"/>
    <w:rsid w:val="003D4089"/>
    <w:rsid w:val="003D41CE"/>
    <w:rsid w:val="003D4295"/>
    <w:rsid w:val="003D43B8"/>
    <w:rsid w:val="003D475B"/>
    <w:rsid w:val="003D4AAC"/>
    <w:rsid w:val="003D4BF8"/>
    <w:rsid w:val="003D4DEB"/>
    <w:rsid w:val="003D50FC"/>
    <w:rsid w:val="003D5102"/>
    <w:rsid w:val="003D51CB"/>
    <w:rsid w:val="003D563D"/>
    <w:rsid w:val="003D581D"/>
    <w:rsid w:val="003D59D0"/>
    <w:rsid w:val="003D5B3B"/>
    <w:rsid w:val="003D5B3D"/>
    <w:rsid w:val="003D5B91"/>
    <w:rsid w:val="003D5F87"/>
    <w:rsid w:val="003D64F0"/>
    <w:rsid w:val="003D6879"/>
    <w:rsid w:val="003D68B9"/>
    <w:rsid w:val="003D6A09"/>
    <w:rsid w:val="003D6B9D"/>
    <w:rsid w:val="003D6CE3"/>
    <w:rsid w:val="003D6D72"/>
    <w:rsid w:val="003D6EB0"/>
    <w:rsid w:val="003D70EC"/>
    <w:rsid w:val="003D72A7"/>
    <w:rsid w:val="003D779B"/>
    <w:rsid w:val="003D7887"/>
    <w:rsid w:val="003D7998"/>
    <w:rsid w:val="003D7A14"/>
    <w:rsid w:val="003D7D2B"/>
    <w:rsid w:val="003E011F"/>
    <w:rsid w:val="003E0146"/>
    <w:rsid w:val="003E014B"/>
    <w:rsid w:val="003E0205"/>
    <w:rsid w:val="003E0440"/>
    <w:rsid w:val="003E050A"/>
    <w:rsid w:val="003E0959"/>
    <w:rsid w:val="003E09A2"/>
    <w:rsid w:val="003E0AE6"/>
    <w:rsid w:val="003E0AEB"/>
    <w:rsid w:val="003E0C92"/>
    <w:rsid w:val="003E0DBC"/>
    <w:rsid w:val="003E1019"/>
    <w:rsid w:val="003E13C7"/>
    <w:rsid w:val="003E142E"/>
    <w:rsid w:val="003E1CBA"/>
    <w:rsid w:val="003E1D9D"/>
    <w:rsid w:val="003E1E1C"/>
    <w:rsid w:val="003E2221"/>
    <w:rsid w:val="003E22BC"/>
    <w:rsid w:val="003E2405"/>
    <w:rsid w:val="003E252E"/>
    <w:rsid w:val="003E2928"/>
    <w:rsid w:val="003E2948"/>
    <w:rsid w:val="003E2FAF"/>
    <w:rsid w:val="003E2FB1"/>
    <w:rsid w:val="003E330D"/>
    <w:rsid w:val="003E38DE"/>
    <w:rsid w:val="003E398B"/>
    <w:rsid w:val="003E3A98"/>
    <w:rsid w:val="003E3FF1"/>
    <w:rsid w:val="003E425A"/>
    <w:rsid w:val="003E4284"/>
    <w:rsid w:val="003E4374"/>
    <w:rsid w:val="003E4760"/>
    <w:rsid w:val="003E47E4"/>
    <w:rsid w:val="003E483F"/>
    <w:rsid w:val="003E49B9"/>
    <w:rsid w:val="003E4EBB"/>
    <w:rsid w:val="003E502F"/>
    <w:rsid w:val="003E518D"/>
    <w:rsid w:val="003E51D1"/>
    <w:rsid w:val="003E543F"/>
    <w:rsid w:val="003E5549"/>
    <w:rsid w:val="003E55DA"/>
    <w:rsid w:val="003E5669"/>
    <w:rsid w:val="003E5A8D"/>
    <w:rsid w:val="003E5AC8"/>
    <w:rsid w:val="003E5EF0"/>
    <w:rsid w:val="003E6329"/>
    <w:rsid w:val="003E63F6"/>
    <w:rsid w:val="003E65BC"/>
    <w:rsid w:val="003E6AB4"/>
    <w:rsid w:val="003E6B88"/>
    <w:rsid w:val="003E6C9B"/>
    <w:rsid w:val="003E6C9F"/>
    <w:rsid w:val="003E71B7"/>
    <w:rsid w:val="003E744C"/>
    <w:rsid w:val="003E7514"/>
    <w:rsid w:val="003E7CFE"/>
    <w:rsid w:val="003E7E69"/>
    <w:rsid w:val="003E7FFB"/>
    <w:rsid w:val="003F020D"/>
    <w:rsid w:val="003F05F9"/>
    <w:rsid w:val="003F0ABF"/>
    <w:rsid w:val="003F0AE7"/>
    <w:rsid w:val="003F0B15"/>
    <w:rsid w:val="003F0BB6"/>
    <w:rsid w:val="003F0CD8"/>
    <w:rsid w:val="003F0D41"/>
    <w:rsid w:val="003F1031"/>
    <w:rsid w:val="003F1518"/>
    <w:rsid w:val="003F157A"/>
    <w:rsid w:val="003F184F"/>
    <w:rsid w:val="003F1E12"/>
    <w:rsid w:val="003F2247"/>
    <w:rsid w:val="003F2296"/>
    <w:rsid w:val="003F2444"/>
    <w:rsid w:val="003F248C"/>
    <w:rsid w:val="003F2546"/>
    <w:rsid w:val="003F25CC"/>
    <w:rsid w:val="003F25E6"/>
    <w:rsid w:val="003F27B1"/>
    <w:rsid w:val="003F2B9C"/>
    <w:rsid w:val="003F2D0A"/>
    <w:rsid w:val="003F3207"/>
    <w:rsid w:val="003F3220"/>
    <w:rsid w:val="003F332F"/>
    <w:rsid w:val="003F3795"/>
    <w:rsid w:val="003F3C5F"/>
    <w:rsid w:val="003F3CFB"/>
    <w:rsid w:val="003F4B67"/>
    <w:rsid w:val="003F4FCD"/>
    <w:rsid w:val="003F53AE"/>
    <w:rsid w:val="003F5875"/>
    <w:rsid w:val="003F5B9F"/>
    <w:rsid w:val="003F5C95"/>
    <w:rsid w:val="003F5CF5"/>
    <w:rsid w:val="003F64E2"/>
    <w:rsid w:val="003F67F6"/>
    <w:rsid w:val="003F6A2F"/>
    <w:rsid w:val="003F6AE4"/>
    <w:rsid w:val="003F6D59"/>
    <w:rsid w:val="003F71D5"/>
    <w:rsid w:val="003F73C2"/>
    <w:rsid w:val="003F73C8"/>
    <w:rsid w:val="003F74A7"/>
    <w:rsid w:val="003F7703"/>
    <w:rsid w:val="003F7773"/>
    <w:rsid w:val="003F793D"/>
    <w:rsid w:val="003F7CA4"/>
    <w:rsid w:val="003F7E46"/>
    <w:rsid w:val="003F7EAC"/>
    <w:rsid w:val="00400143"/>
    <w:rsid w:val="00400273"/>
    <w:rsid w:val="0040063B"/>
    <w:rsid w:val="00400775"/>
    <w:rsid w:val="004008D0"/>
    <w:rsid w:val="00400A7F"/>
    <w:rsid w:val="00400BE3"/>
    <w:rsid w:val="00400C05"/>
    <w:rsid w:val="00400C2D"/>
    <w:rsid w:val="00400C8D"/>
    <w:rsid w:val="00400E37"/>
    <w:rsid w:val="0040117C"/>
    <w:rsid w:val="004011A2"/>
    <w:rsid w:val="0040140D"/>
    <w:rsid w:val="00401452"/>
    <w:rsid w:val="00401506"/>
    <w:rsid w:val="0040156B"/>
    <w:rsid w:val="00401607"/>
    <w:rsid w:val="00401800"/>
    <w:rsid w:val="0040193B"/>
    <w:rsid w:val="00401961"/>
    <w:rsid w:val="00401976"/>
    <w:rsid w:val="00401A99"/>
    <w:rsid w:val="00401BD0"/>
    <w:rsid w:val="00401D5E"/>
    <w:rsid w:val="00401E7A"/>
    <w:rsid w:val="00401E7B"/>
    <w:rsid w:val="00402195"/>
    <w:rsid w:val="00402481"/>
    <w:rsid w:val="0040251F"/>
    <w:rsid w:val="00402637"/>
    <w:rsid w:val="00402910"/>
    <w:rsid w:val="0040305B"/>
    <w:rsid w:val="00403377"/>
    <w:rsid w:val="004034B7"/>
    <w:rsid w:val="00403930"/>
    <w:rsid w:val="004039DB"/>
    <w:rsid w:val="004039F4"/>
    <w:rsid w:val="00403AC2"/>
    <w:rsid w:val="00404089"/>
    <w:rsid w:val="00404106"/>
    <w:rsid w:val="0040429B"/>
    <w:rsid w:val="004042BB"/>
    <w:rsid w:val="004042E9"/>
    <w:rsid w:val="00404510"/>
    <w:rsid w:val="004045D0"/>
    <w:rsid w:val="0040491E"/>
    <w:rsid w:val="00404B78"/>
    <w:rsid w:val="00404CAF"/>
    <w:rsid w:val="0040519E"/>
    <w:rsid w:val="00405236"/>
    <w:rsid w:val="00405433"/>
    <w:rsid w:val="004054CE"/>
    <w:rsid w:val="0040558F"/>
    <w:rsid w:val="004055E8"/>
    <w:rsid w:val="00405870"/>
    <w:rsid w:val="00405A11"/>
    <w:rsid w:val="00405B06"/>
    <w:rsid w:val="00405BAD"/>
    <w:rsid w:val="00405F76"/>
    <w:rsid w:val="00406036"/>
    <w:rsid w:val="00406278"/>
    <w:rsid w:val="0040661D"/>
    <w:rsid w:val="004068A7"/>
    <w:rsid w:val="00406A4C"/>
    <w:rsid w:val="00406A82"/>
    <w:rsid w:val="00406A88"/>
    <w:rsid w:val="00406C50"/>
    <w:rsid w:val="00406EBB"/>
    <w:rsid w:val="00406F27"/>
    <w:rsid w:val="004071DE"/>
    <w:rsid w:val="004075A4"/>
    <w:rsid w:val="0040767D"/>
    <w:rsid w:val="004077BC"/>
    <w:rsid w:val="00407EA7"/>
    <w:rsid w:val="00407ED2"/>
    <w:rsid w:val="00410157"/>
    <w:rsid w:val="0041031E"/>
    <w:rsid w:val="00410492"/>
    <w:rsid w:val="004104AD"/>
    <w:rsid w:val="004105F2"/>
    <w:rsid w:val="004106A2"/>
    <w:rsid w:val="00410710"/>
    <w:rsid w:val="00410771"/>
    <w:rsid w:val="004108AE"/>
    <w:rsid w:val="004108F0"/>
    <w:rsid w:val="004108FB"/>
    <w:rsid w:val="004109E3"/>
    <w:rsid w:val="00410D7C"/>
    <w:rsid w:val="00411012"/>
    <w:rsid w:val="00411170"/>
    <w:rsid w:val="00411574"/>
    <w:rsid w:val="004118A3"/>
    <w:rsid w:val="004119C7"/>
    <w:rsid w:val="00411A04"/>
    <w:rsid w:val="00411B32"/>
    <w:rsid w:val="00411DE8"/>
    <w:rsid w:val="00411F1F"/>
    <w:rsid w:val="00411F24"/>
    <w:rsid w:val="004120B6"/>
    <w:rsid w:val="00412281"/>
    <w:rsid w:val="00412365"/>
    <w:rsid w:val="00412673"/>
    <w:rsid w:val="00412791"/>
    <w:rsid w:val="004128F0"/>
    <w:rsid w:val="00412A32"/>
    <w:rsid w:val="00412C42"/>
    <w:rsid w:val="00412D8C"/>
    <w:rsid w:val="00412E6E"/>
    <w:rsid w:val="00412FBB"/>
    <w:rsid w:val="0041315D"/>
    <w:rsid w:val="0041359D"/>
    <w:rsid w:val="0041371C"/>
    <w:rsid w:val="004137F5"/>
    <w:rsid w:val="004141E0"/>
    <w:rsid w:val="004142DC"/>
    <w:rsid w:val="004142E7"/>
    <w:rsid w:val="0041447A"/>
    <w:rsid w:val="00414834"/>
    <w:rsid w:val="0041487B"/>
    <w:rsid w:val="0041489E"/>
    <w:rsid w:val="00414C88"/>
    <w:rsid w:val="00414CA2"/>
    <w:rsid w:val="00414D04"/>
    <w:rsid w:val="00414D1D"/>
    <w:rsid w:val="00414DB4"/>
    <w:rsid w:val="00414F6E"/>
    <w:rsid w:val="0041512B"/>
    <w:rsid w:val="0041538C"/>
    <w:rsid w:val="00415461"/>
    <w:rsid w:val="00415700"/>
    <w:rsid w:val="00415866"/>
    <w:rsid w:val="004159B0"/>
    <w:rsid w:val="00415A54"/>
    <w:rsid w:val="00415A56"/>
    <w:rsid w:val="00415ABF"/>
    <w:rsid w:val="00415C92"/>
    <w:rsid w:val="00415D15"/>
    <w:rsid w:val="00415D8A"/>
    <w:rsid w:val="00415E7D"/>
    <w:rsid w:val="00415E9F"/>
    <w:rsid w:val="00416660"/>
    <w:rsid w:val="00416809"/>
    <w:rsid w:val="00416829"/>
    <w:rsid w:val="004168D8"/>
    <w:rsid w:val="00416B88"/>
    <w:rsid w:val="00416BE7"/>
    <w:rsid w:val="0041728B"/>
    <w:rsid w:val="00417391"/>
    <w:rsid w:val="00417397"/>
    <w:rsid w:val="00417543"/>
    <w:rsid w:val="004175E8"/>
    <w:rsid w:val="00417670"/>
    <w:rsid w:val="00417881"/>
    <w:rsid w:val="0041FF37"/>
    <w:rsid w:val="004203D3"/>
    <w:rsid w:val="00420791"/>
    <w:rsid w:val="00420832"/>
    <w:rsid w:val="00420B02"/>
    <w:rsid w:val="00420F08"/>
    <w:rsid w:val="00420FD1"/>
    <w:rsid w:val="004212A0"/>
    <w:rsid w:val="0042130D"/>
    <w:rsid w:val="0042157D"/>
    <w:rsid w:val="00421A24"/>
    <w:rsid w:val="0042246E"/>
    <w:rsid w:val="004225E7"/>
    <w:rsid w:val="004229CD"/>
    <w:rsid w:val="00422A34"/>
    <w:rsid w:val="00422C6D"/>
    <w:rsid w:val="00422C95"/>
    <w:rsid w:val="0042357B"/>
    <w:rsid w:val="004235FE"/>
    <w:rsid w:val="0042388D"/>
    <w:rsid w:val="00423B89"/>
    <w:rsid w:val="00423E16"/>
    <w:rsid w:val="0042400C"/>
    <w:rsid w:val="004241C9"/>
    <w:rsid w:val="004243A1"/>
    <w:rsid w:val="004243C2"/>
    <w:rsid w:val="0042443E"/>
    <w:rsid w:val="00424D1D"/>
    <w:rsid w:val="00424EE2"/>
    <w:rsid w:val="004250AF"/>
    <w:rsid w:val="004250BF"/>
    <w:rsid w:val="0042519C"/>
    <w:rsid w:val="004257C8"/>
    <w:rsid w:val="0042588D"/>
    <w:rsid w:val="00425ADF"/>
    <w:rsid w:val="004261B3"/>
    <w:rsid w:val="004263EB"/>
    <w:rsid w:val="00426435"/>
    <w:rsid w:val="00426480"/>
    <w:rsid w:val="004264CA"/>
    <w:rsid w:val="004265B6"/>
    <w:rsid w:val="00426AAF"/>
    <w:rsid w:val="00426FDE"/>
    <w:rsid w:val="004272DD"/>
    <w:rsid w:val="004273C8"/>
    <w:rsid w:val="0042769D"/>
    <w:rsid w:val="0042794C"/>
    <w:rsid w:val="00427C4D"/>
    <w:rsid w:val="00427EF8"/>
    <w:rsid w:val="00427FAB"/>
    <w:rsid w:val="004303EF"/>
    <w:rsid w:val="00430808"/>
    <w:rsid w:val="004309BE"/>
    <w:rsid w:val="00430CC2"/>
    <w:rsid w:val="00430D53"/>
    <w:rsid w:val="00430DF6"/>
    <w:rsid w:val="00431187"/>
    <w:rsid w:val="0043166A"/>
    <w:rsid w:val="00431852"/>
    <w:rsid w:val="00431855"/>
    <w:rsid w:val="00431D0E"/>
    <w:rsid w:val="00431DC8"/>
    <w:rsid w:val="00431F3C"/>
    <w:rsid w:val="00432711"/>
    <w:rsid w:val="00432AE5"/>
    <w:rsid w:val="00432B4B"/>
    <w:rsid w:val="00432CE2"/>
    <w:rsid w:val="00432E41"/>
    <w:rsid w:val="00432ED7"/>
    <w:rsid w:val="00432F8F"/>
    <w:rsid w:val="0043386E"/>
    <w:rsid w:val="004338F9"/>
    <w:rsid w:val="00433B64"/>
    <w:rsid w:val="00433C4C"/>
    <w:rsid w:val="00433E58"/>
    <w:rsid w:val="00433F0F"/>
    <w:rsid w:val="00434103"/>
    <w:rsid w:val="00434859"/>
    <w:rsid w:val="00434E72"/>
    <w:rsid w:val="00434E93"/>
    <w:rsid w:val="00434F04"/>
    <w:rsid w:val="0043525C"/>
    <w:rsid w:val="004355FC"/>
    <w:rsid w:val="004356A6"/>
    <w:rsid w:val="004357AA"/>
    <w:rsid w:val="004357D6"/>
    <w:rsid w:val="00435978"/>
    <w:rsid w:val="00435A19"/>
    <w:rsid w:val="00435C76"/>
    <w:rsid w:val="00435F41"/>
    <w:rsid w:val="0043624D"/>
    <w:rsid w:val="004362C5"/>
    <w:rsid w:val="00436545"/>
    <w:rsid w:val="0043656C"/>
    <w:rsid w:val="004365A8"/>
    <w:rsid w:val="0043674B"/>
    <w:rsid w:val="00436AD1"/>
    <w:rsid w:val="00436AEA"/>
    <w:rsid w:val="00436AFF"/>
    <w:rsid w:val="00436C7C"/>
    <w:rsid w:val="00436D6F"/>
    <w:rsid w:val="00436F84"/>
    <w:rsid w:val="004374C8"/>
    <w:rsid w:val="00437E60"/>
    <w:rsid w:val="00440234"/>
    <w:rsid w:val="0044030D"/>
    <w:rsid w:val="004403B1"/>
    <w:rsid w:val="004404A3"/>
    <w:rsid w:val="004405FF"/>
    <w:rsid w:val="00440642"/>
    <w:rsid w:val="00440B61"/>
    <w:rsid w:val="00440C34"/>
    <w:rsid w:val="00440D28"/>
    <w:rsid w:val="00440E19"/>
    <w:rsid w:val="00440FA0"/>
    <w:rsid w:val="00441756"/>
    <w:rsid w:val="0044175C"/>
    <w:rsid w:val="00441895"/>
    <w:rsid w:val="00441B08"/>
    <w:rsid w:val="0044255A"/>
    <w:rsid w:val="004428A0"/>
    <w:rsid w:val="00442910"/>
    <w:rsid w:val="00442BC0"/>
    <w:rsid w:val="00442CE7"/>
    <w:rsid w:val="00442E0E"/>
    <w:rsid w:val="00443138"/>
    <w:rsid w:val="0044361E"/>
    <w:rsid w:val="004438E3"/>
    <w:rsid w:val="0044396A"/>
    <w:rsid w:val="00443AB0"/>
    <w:rsid w:val="00443F07"/>
    <w:rsid w:val="00443F0A"/>
    <w:rsid w:val="00443FF9"/>
    <w:rsid w:val="0044420D"/>
    <w:rsid w:val="004445D6"/>
    <w:rsid w:val="004446D9"/>
    <w:rsid w:val="00444958"/>
    <w:rsid w:val="00444A46"/>
    <w:rsid w:val="00444B1D"/>
    <w:rsid w:val="00444D0D"/>
    <w:rsid w:val="00444F29"/>
    <w:rsid w:val="00445074"/>
    <w:rsid w:val="0044523F"/>
    <w:rsid w:val="00445696"/>
    <w:rsid w:val="004457B3"/>
    <w:rsid w:val="004457EE"/>
    <w:rsid w:val="004458FE"/>
    <w:rsid w:val="004459E0"/>
    <w:rsid w:val="004459E7"/>
    <w:rsid w:val="00445ACA"/>
    <w:rsid w:val="00445E43"/>
    <w:rsid w:val="00445E58"/>
    <w:rsid w:val="00445F1B"/>
    <w:rsid w:val="0044612D"/>
    <w:rsid w:val="004464D0"/>
    <w:rsid w:val="004466FF"/>
    <w:rsid w:val="00446A74"/>
    <w:rsid w:val="00446C0C"/>
    <w:rsid w:val="00446EE6"/>
    <w:rsid w:val="0044719F"/>
    <w:rsid w:val="0044732F"/>
    <w:rsid w:val="00447481"/>
    <w:rsid w:val="004474B7"/>
    <w:rsid w:val="00447544"/>
    <w:rsid w:val="0044764A"/>
    <w:rsid w:val="004478EB"/>
    <w:rsid w:val="00447A84"/>
    <w:rsid w:val="00447AF9"/>
    <w:rsid w:val="00447D41"/>
    <w:rsid w:val="00447E03"/>
    <w:rsid w:val="00450581"/>
    <w:rsid w:val="004509F7"/>
    <w:rsid w:val="00450C5F"/>
    <w:rsid w:val="00450D7E"/>
    <w:rsid w:val="004510AE"/>
    <w:rsid w:val="00451305"/>
    <w:rsid w:val="004514A8"/>
    <w:rsid w:val="004514FE"/>
    <w:rsid w:val="004515A1"/>
    <w:rsid w:val="00451B45"/>
    <w:rsid w:val="00452551"/>
    <w:rsid w:val="00452574"/>
    <w:rsid w:val="0045268A"/>
    <w:rsid w:val="004526D7"/>
    <w:rsid w:val="004527C2"/>
    <w:rsid w:val="00452D3F"/>
    <w:rsid w:val="00452DE1"/>
    <w:rsid w:val="0045349F"/>
    <w:rsid w:val="00453659"/>
    <w:rsid w:val="00453783"/>
    <w:rsid w:val="00453837"/>
    <w:rsid w:val="00453A9C"/>
    <w:rsid w:val="00453E7A"/>
    <w:rsid w:val="00453E81"/>
    <w:rsid w:val="00453F31"/>
    <w:rsid w:val="004540EB"/>
    <w:rsid w:val="004543FD"/>
    <w:rsid w:val="0045466F"/>
    <w:rsid w:val="00454734"/>
    <w:rsid w:val="00454762"/>
    <w:rsid w:val="004548FF"/>
    <w:rsid w:val="00454915"/>
    <w:rsid w:val="0045494B"/>
    <w:rsid w:val="00454A52"/>
    <w:rsid w:val="00454A86"/>
    <w:rsid w:val="00454B73"/>
    <w:rsid w:val="00454B84"/>
    <w:rsid w:val="00454C20"/>
    <w:rsid w:val="00454CB6"/>
    <w:rsid w:val="00454DB9"/>
    <w:rsid w:val="00454EE3"/>
    <w:rsid w:val="00455066"/>
    <w:rsid w:val="00455C3F"/>
    <w:rsid w:val="00455C8A"/>
    <w:rsid w:val="00455DDC"/>
    <w:rsid w:val="004562B1"/>
    <w:rsid w:val="00456510"/>
    <w:rsid w:val="00456613"/>
    <w:rsid w:val="0045688D"/>
    <w:rsid w:val="00456D2E"/>
    <w:rsid w:val="00456E31"/>
    <w:rsid w:val="00456E7A"/>
    <w:rsid w:val="00456F1E"/>
    <w:rsid w:val="00456FB0"/>
    <w:rsid w:val="004570CC"/>
    <w:rsid w:val="00457284"/>
    <w:rsid w:val="00457371"/>
    <w:rsid w:val="00457CCD"/>
    <w:rsid w:val="00457E14"/>
    <w:rsid w:val="00457E56"/>
    <w:rsid w:val="00457F34"/>
    <w:rsid w:val="0046061E"/>
    <w:rsid w:val="00460992"/>
    <w:rsid w:val="00460B5D"/>
    <w:rsid w:val="00461357"/>
    <w:rsid w:val="004613AB"/>
    <w:rsid w:val="0046163D"/>
    <w:rsid w:val="00461674"/>
    <w:rsid w:val="00461707"/>
    <w:rsid w:val="00461779"/>
    <w:rsid w:val="00461964"/>
    <w:rsid w:val="004620CF"/>
    <w:rsid w:val="004620EE"/>
    <w:rsid w:val="0046221D"/>
    <w:rsid w:val="00462310"/>
    <w:rsid w:val="00462490"/>
    <w:rsid w:val="0046277A"/>
    <w:rsid w:val="004629DF"/>
    <w:rsid w:val="00462C4F"/>
    <w:rsid w:val="00462D51"/>
    <w:rsid w:val="00462DF9"/>
    <w:rsid w:val="004636D2"/>
    <w:rsid w:val="004639F5"/>
    <w:rsid w:val="00463A43"/>
    <w:rsid w:val="00463A7F"/>
    <w:rsid w:val="00463D59"/>
    <w:rsid w:val="00463DAE"/>
    <w:rsid w:val="00463FAC"/>
    <w:rsid w:val="004640E0"/>
    <w:rsid w:val="00464128"/>
    <w:rsid w:val="00464386"/>
    <w:rsid w:val="00464550"/>
    <w:rsid w:val="00464607"/>
    <w:rsid w:val="00464618"/>
    <w:rsid w:val="00464B41"/>
    <w:rsid w:val="00464C25"/>
    <w:rsid w:val="004650F6"/>
    <w:rsid w:val="004651B1"/>
    <w:rsid w:val="004656A3"/>
    <w:rsid w:val="00465856"/>
    <w:rsid w:val="0046595A"/>
    <w:rsid w:val="00465B4D"/>
    <w:rsid w:val="00465F47"/>
    <w:rsid w:val="0046618C"/>
    <w:rsid w:val="00466223"/>
    <w:rsid w:val="00466318"/>
    <w:rsid w:val="004664BC"/>
    <w:rsid w:val="00466BF0"/>
    <w:rsid w:val="00466D31"/>
    <w:rsid w:val="004672EE"/>
    <w:rsid w:val="004675DC"/>
    <w:rsid w:val="004678C6"/>
    <w:rsid w:val="00467A6D"/>
    <w:rsid w:val="00467D2C"/>
    <w:rsid w:val="00467D51"/>
    <w:rsid w:val="00467FE9"/>
    <w:rsid w:val="00470019"/>
    <w:rsid w:val="004700D2"/>
    <w:rsid w:val="004701BD"/>
    <w:rsid w:val="00470260"/>
    <w:rsid w:val="004704B5"/>
    <w:rsid w:val="004705D5"/>
    <w:rsid w:val="0047077D"/>
    <w:rsid w:val="004708FB"/>
    <w:rsid w:val="00470B6C"/>
    <w:rsid w:val="00470CBF"/>
    <w:rsid w:val="00470ED6"/>
    <w:rsid w:val="00470FC8"/>
    <w:rsid w:val="004715ED"/>
    <w:rsid w:val="0047167C"/>
    <w:rsid w:val="0047168B"/>
    <w:rsid w:val="0047179A"/>
    <w:rsid w:val="0047199D"/>
    <w:rsid w:val="00471D6F"/>
    <w:rsid w:val="00471F90"/>
    <w:rsid w:val="0047207E"/>
    <w:rsid w:val="00472098"/>
    <w:rsid w:val="004721A2"/>
    <w:rsid w:val="00472624"/>
    <w:rsid w:val="004729D7"/>
    <w:rsid w:val="00472AD3"/>
    <w:rsid w:val="00472D27"/>
    <w:rsid w:val="00472E94"/>
    <w:rsid w:val="00472F4A"/>
    <w:rsid w:val="00473421"/>
    <w:rsid w:val="00473AE7"/>
    <w:rsid w:val="00473C12"/>
    <w:rsid w:val="00473D6B"/>
    <w:rsid w:val="00474177"/>
    <w:rsid w:val="004744AE"/>
    <w:rsid w:val="004746EB"/>
    <w:rsid w:val="00474743"/>
    <w:rsid w:val="00474862"/>
    <w:rsid w:val="00474E3B"/>
    <w:rsid w:val="0047513C"/>
    <w:rsid w:val="00475327"/>
    <w:rsid w:val="00475467"/>
    <w:rsid w:val="00475801"/>
    <w:rsid w:val="0047596B"/>
    <w:rsid w:val="00475E06"/>
    <w:rsid w:val="00475F68"/>
    <w:rsid w:val="00475FBD"/>
    <w:rsid w:val="004765CA"/>
    <w:rsid w:val="00476830"/>
    <w:rsid w:val="00476C29"/>
    <w:rsid w:val="00477394"/>
    <w:rsid w:val="004774A8"/>
    <w:rsid w:val="0047786C"/>
    <w:rsid w:val="00477CF8"/>
    <w:rsid w:val="00477E56"/>
    <w:rsid w:val="00480325"/>
    <w:rsid w:val="00480407"/>
    <w:rsid w:val="004805CE"/>
    <w:rsid w:val="0048067D"/>
    <w:rsid w:val="004807B1"/>
    <w:rsid w:val="0048097A"/>
    <w:rsid w:val="00480BC0"/>
    <w:rsid w:val="00480C6E"/>
    <w:rsid w:val="00480FF2"/>
    <w:rsid w:val="004812BE"/>
    <w:rsid w:val="00481302"/>
    <w:rsid w:val="00481306"/>
    <w:rsid w:val="00481539"/>
    <w:rsid w:val="004819AE"/>
    <w:rsid w:val="004819ED"/>
    <w:rsid w:val="00481CC4"/>
    <w:rsid w:val="00481D42"/>
    <w:rsid w:val="00481DAD"/>
    <w:rsid w:val="0048205A"/>
    <w:rsid w:val="0048222E"/>
    <w:rsid w:val="0048251C"/>
    <w:rsid w:val="004827F3"/>
    <w:rsid w:val="00482AE1"/>
    <w:rsid w:val="00483537"/>
    <w:rsid w:val="0048366F"/>
    <w:rsid w:val="00483A6E"/>
    <w:rsid w:val="00483AA0"/>
    <w:rsid w:val="00483B87"/>
    <w:rsid w:val="00483B9F"/>
    <w:rsid w:val="00483DB0"/>
    <w:rsid w:val="00483EA5"/>
    <w:rsid w:val="00484090"/>
    <w:rsid w:val="004841BD"/>
    <w:rsid w:val="00484549"/>
    <w:rsid w:val="00484592"/>
    <w:rsid w:val="004846B4"/>
    <w:rsid w:val="00484912"/>
    <w:rsid w:val="00484E66"/>
    <w:rsid w:val="004850B2"/>
    <w:rsid w:val="004850E3"/>
    <w:rsid w:val="0048527E"/>
    <w:rsid w:val="004853CA"/>
    <w:rsid w:val="004853DE"/>
    <w:rsid w:val="00485429"/>
    <w:rsid w:val="004855E5"/>
    <w:rsid w:val="00485663"/>
    <w:rsid w:val="00485843"/>
    <w:rsid w:val="00485ACA"/>
    <w:rsid w:val="00485C90"/>
    <w:rsid w:val="00485DC0"/>
    <w:rsid w:val="00485F81"/>
    <w:rsid w:val="00486298"/>
    <w:rsid w:val="004863EC"/>
    <w:rsid w:val="00486763"/>
    <w:rsid w:val="004868B2"/>
    <w:rsid w:val="00486A8D"/>
    <w:rsid w:val="00486AEC"/>
    <w:rsid w:val="00486C9E"/>
    <w:rsid w:val="00486DF8"/>
    <w:rsid w:val="00486F89"/>
    <w:rsid w:val="0048700B"/>
    <w:rsid w:val="00487278"/>
    <w:rsid w:val="00487424"/>
    <w:rsid w:val="00487874"/>
    <w:rsid w:val="00487BAA"/>
    <w:rsid w:val="00487BC1"/>
    <w:rsid w:val="00487BED"/>
    <w:rsid w:val="00487F1B"/>
    <w:rsid w:val="00487F91"/>
    <w:rsid w:val="00487FA6"/>
    <w:rsid w:val="004904D4"/>
    <w:rsid w:val="004904EC"/>
    <w:rsid w:val="004905A6"/>
    <w:rsid w:val="00490846"/>
    <w:rsid w:val="0049090F"/>
    <w:rsid w:val="00490DBC"/>
    <w:rsid w:val="00491384"/>
    <w:rsid w:val="00491426"/>
    <w:rsid w:val="00491467"/>
    <w:rsid w:val="00491821"/>
    <w:rsid w:val="00491878"/>
    <w:rsid w:val="00491898"/>
    <w:rsid w:val="00491B52"/>
    <w:rsid w:val="00491E3E"/>
    <w:rsid w:val="00491F2D"/>
    <w:rsid w:val="0049238E"/>
    <w:rsid w:val="004923BE"/>
    <w:rsid w:val="004923C2"/>
    <w:rsid w:val="00492460"/>
    <w:rsid w:val="00492797"/>
    <w:rsid w:val="00492A95"/>
    <w:rsid w:val="00492B72"/>
    <w:rsid w:val="00492FAB"/>
    <w:rsid w:val="0049306C"/>
    <w:rsid w:val="004930A3"/>
    <w:rsid w:val="004934FF"/>
    <w:rsid w:val="00493678"/>
    <w:rsid w:val="00493AC9"/>
    <w:rsid w:val="00493B34"/>
    <w:rsid w:val="00493D56"/>
    <w:rsid w:val="004940F5"/>
    <w:rsid w:val="00494128"/>
    <w:rsid w:val="00494208"/>
    <w:rsid w:val="004946D9"/>
    <w:rsid w:val="004949A7"/>
    <w:rsid w:val="00494B1C"/>
    <w:rsid w:val="00494C16"/>
    <w:rsid w:val="00495264"/>
    <w:rsid w:val="00495443"/>
    <w:rsid w:val="00495444"/>
    <w:rsid w:val="00495490"/>
    <w:rsid w:val="004956ED"/>
    <w:rsid w:val="004959F0"/>
    <w:rsid w:val="00495C52"/>
    <w:rsid w:val="00495E29"/>
    <w:rsid w:val="00495FE9"/>
    <w:rsid w:val="004961DF"/>
    <w:rsid w:val="0049647D"/>
    <w:rsid w:val="00496675"/>
    <w:rsid w:val="004968A8"/>
    <w:rsid w:val="00496ACA"/>
    <w:rsid w:val="00496B4B"/>
    <w:rsid w:val="00496B53"/>
    <w:rsid w:val="00496C49"/>
    <w:rsid w:val="00496D7F"/>
    <w:rsid w:val="0049746A"/>
    <w:rsid w:val="004978ED"/>
    <w:rsid w:val="0049791B"/>
    <w:rsid w:val="00497988"/>
    <w:rsid w:val="00497C38"/>
    <w:rsid w:val="00497E3A"/>
    <w:rsid w:val="00497E67"/>
    <w:rsid w:val="00497F07"/>
    <w:rsid w:val="00497F5B"/>
    <w:rsid w:val="004A028F"/>
    <w:rsid w:val="004A0306"/>
    <w:rsid w:val="004A0651"/>
    <w:rsid w:val="004A0792"/>
    <w:rsid w:val="004A087F"/>
    <w:rsid w:val="004A0AFD"/>
    <w:rsid w:val="004A0B99"/>
    <w:rsid w:val="004A0D1C"/>
    <w:rsid w:val="004A128B"/>
    <w:rsid w:val="004A1328"/>
    <w:rsid w:val="004A1457"/>
    <w:rsid w:val="004A16C6"/>
    <w:rsid w:val="004A1711"/>
    <w:rsid w:val="004A1785"/>
    <w:rsid w:val="004A19A0"/>
    <w:rsid w:val="004A1E3A"/>
    <w:rsid w:val="004A24F7"/>
    <w:rsid w:val="004A2A28"/>
    <w:rsid w:val="004A2C1A"/>
    <w:rsid w:val="004A2C6A"/>
    <w:rsid w:val="004A2CE3"/>
    <w:rsid w:val="004A2E99"/>
    <w:rsid w:val="004A36D5"/>
    <w:rsid w:val="004A37DF"/>
    <w:rsid w:val="004A3927"/>
    <w:rsid w:val="004A3ACB"/>
    <w:rsid w:val="004A40DC"/>
    <w:rsid w:val="004A4258"/>
    <w:rsid w:val="004A443F"/>
    <w:rsid w:val="004A48A4"/>
    <w:rsid w:val="004A4997"/>
    <w:rsid w:val="004A49AE"/>
    <w:rsid w:val="004A49D3"/>
    <w:rsid w:val="004A4A80"/>
    <w:rsid w:val="004A4CE6"/>
    <w:rsid w:val="004A4F04"/>
    <w:rsid w:val="004A5105"/>
    <w:rsid w:val="004A5153"/>
    <w:rsid w:val="004A53D6"/>
    <w:rsid w:val="004A54BF"/>
    <w:rsid w:val="004A5A37"/>
    <w:rsid w:val="004A5B02"/>
    <w:rsid w:val="004A5D50"/>
    <w:rsid w:val="004A5F26"/>
    <w:rsid w:val="004A60C7"/>
    <w:rsid w:val="004A62B2"/>
    <w:rsid w:val="004A6587"/>
    <w:rsid w:val="004A68B9"/>
    <w:rsid w:val="004A6969"/>
    <w:rsid w:val="004A6AD8"/>
    <w:rsid w:val="004A6B37"/>
    <w:rsid w:val="004A7035"/>
    <w:rsid w:val="004A73E7"/>
    <w:rsid w:val="004A7446"/>
    <w:rsid w:val="004A74A9"/>
    <w:rsid w:val="004A7696"/>
    <w:rsid w:val="004A76E3"/>
    <w:rsid w:val="004A7A33"/>
    <w:rsid w:val="004A7A96"/>
    <w:rsid w:val="004A7BCC"/>
    <w:rsid w:val="004A7C58"/>
    <w:rsid w:val="004A7D50"/>
    <w:rsid w:val="004A7DCA"/>
    <w:rsid w:val="004A7F29"/>
    <w:rsid w:val="004B060D"/>
    <w:rsid w:val="004B0C43"/>
    <w:rsid w:val="004B13EB"/>
    <w:rsid w:val="004B1639"/>
    <w:rsid w:val="004B1753"/>
    <w:rsid w:val="004B1ABF"/>
    <w:rsid w:val="004B1D25"/>
    <w:rsid w:val="004B1D55"/>
    <w:rsid w:val="004B20FB"/>
    <w:rsid w:val="004B2208"/>
    <w:rsid w:val="004B25DD"/>
    <w:rsid w:val="004B28A9"/>
    <w:rsid w:val="004B2A1A"/>
    <w:rsid w:val="004B2A25"/>
    <w:rsid w:val="004B2B11"/>
    <w:rsid w:val="004B2BB3"/>
    <w:rsid w:val="004B2D21"/>
    <w:rsid w:val="004B2D3B"/>
    <w:rsid w:val="004B330D"/>
    <w:rsid w:val="004B3400"/>
    <w:rsid w:val="004B3489"/>
    <w:rsid w:val="004B3723"/>
    <w:rsid w:val="004B3766"/>
    <w:rsid w:val="004B376C"/>
    <w:rsid w:val="004B3803"/>
    <w:rsid w:val="004B3912"/>
    <w:rsid w:val="004B3962"/>
    <w:rsid w:val="004B3AF1"/>
    <w:rsid w:val="004B3B16"/>
    <w:rsid w:val="004B3C5B"/>
    <w:rsid w:val="004B3C78"/>
    <w:rsid w:val="004B3C93"/>
    <w:rsid w:val="004B46DE"/>
    <w:rsid w:val="004B4737"/>
    <w:rsid w:val="004B4AAF"/>
    <w:rsid w:val="004B4B5E"/>
    <w:rsid w:val="004B4F5D"/>
    <w:rsid w:val="004B51B9"/>
    <w:rsid w:val="004B5220"/>
    <w:rsid w:val="004B52C7"/>
    <w:rsid w:val="004B55C6"/>
    <w:rsid w:val="004B5693"/>
    <w:rsid w:val="004B5696"/>
    <w:rsid w:val="004B5737"/>
    <w:rsid w:val="004B5B9A"/>
    <w:rsid w:val="004B6081"/>
    <w:rsid w:val="004B6118"/>
    <w:rsid w:val="004B640A"/>
    <w:rsid w:val="004B692B"/>
    <w:rsid w:val="004B6D75"/>
    <w:rsid w:val="004B6E76"/>
    <w:rsid w:val="004B6FF7"/>
    <w:rsid w:val="004B7015"/>
    <w:rsid w:val="004B71FB"/>
    <w:rsid w:val="004B7223"/>
    <w:rsid w:val="004B763D"/>
    <w:rsid w:val="004B7758"/>
    <w:rsid w:val="004B7888"/>
    <w:rsid w:val="004B78F1"/>
    <w:rsid w:val="004B7939"/>
    <w:rsid w:val="004B796F"/>
    <w:rsid w:val="004B7A63"/>
    <w:rsid w:val="004B7B57"/>
    <w:rsid w:val="004C02F1"/>
    <w:rsid w:val="004C0798"/>
    <w:rsid w:val="004C0B81"/>
    <w:rsid w:val="004C0C41"/>
    <w:rsid w:val="004C0CC8"/>
    <w:rsid w:val="004C0F31"/>
    <w:rsid w:val="004C12C7"/>
    <w:rsid w:val="004C17FD"/>
    <w:rsid w:val="004C1BE6"/>
    <w:rsid w:val="004C1CEE"/>
    <w:rsid w:val="004C1D55"/>
    <w:rsid w:val="004C1EC3"/>
    <w:rsid w:val="004C2030"/>
    <w:rsid w:val="004C21A2"/>
    <w:rsid w:val="004C2252"/>
    <w:rsid w:val="004C27E6"/>
    <w:rsid w:val="004C290D"/>
    <w:rsid w:val="004C2B73"/>
    <w:rsid w:val="004C2C7E"/>
    <w:rsid w:val="004C2D7B"/>
    <w:rsid w:val="004C3050"/>
    <w:rsid w:val="004C31C5"/>
    <w:rsid w:val="004C32FB"/>
    <w:rsid w:val="004C33E1"/>
    <w:rsid w:val="004C34A8"/>
    <w:rsid w:val="004C3616"/>
    <w:rsid w:val="004C3682"/>
    <w:rsid w:val="004C3742"/>
    <w:rsid w:val="004C3762"/>
    <w:rsid w:val="004C37EA"/>
    <w:rsid w:val="004C3981"/>
    <w:rsid w:val="004C3C15"/>
    <w:rsid w:val="004C4001"/>
    <w:rsid w:val="004C4139"/>
    <w:rsid w:val="004C4304"/>
    <w:rsid w:val="004C4388"/>
    <w:rsid w:val="004C43A8"/>
    <w:rsid w:val="004C43FA"/>
    <w:rsid w:val="004C445B"/>
    <w:rsid w:val="004C45EC"/>
    <w:rsid w:val="004C469B"/>
    <w:rsid w:val="004C4872"/>
    <w:rsid w:val="004C4964"/>
    <w:rsid w:val="004C4976"/>
    <w:rsid w:val="004C4C3A"/>
    <w:rsid w:val="004C4FD0"/>
    <w:rsid w:val="004C5060"/>
    <w:rsid w:val="004C5091"/>
    <w:rsid w:val="004C50F4"/>
    <w:rsid w:val="004C51A2"/>
    <w:rsid w:val="004C5B03"/>
    <w:rsid w:val="004C5BC0"/>
    <w:rsid w:val="004C5C38"/>
    <w:rsid w:val="004C5D86"/>
    <w:rsid w:val="004C5EAD"/>
    <w:rsid w:val="004C5FF9"/>
    <w:rsid w:val="004C6114"/>
    <w:rsid w:val="004C614F"/>
    <w:rsid w:val="004C634A"/>
    <w:rsid w:val="004C6621"/>
    <w:rsid w:val="004C6BB9"/>
    <w:rsid w:val="004C6ECF"/>
    <w:rsid w:val="004C6F46"/>
    <w:rsid w:val="004C6F86"/>
    <w:rsid w:val="004C7128"/>
    <w:rsid w:val="004C7830"/>
    <w:rsid w:val="004C7A20"/>
    <w:rsid w:val="004C7B2F"/>
    <w:rsid w:val="004C7BC3"/>
    <w:rsid w:val="004C7C49"/>
    <w:rsid w:val="004C7FAE"/>
    <w:rsid w:val="004D01C1"/>
    <w:rsid w:val="004D05EC"/>
    <w:rsid w:val="004D0670"/>
    <w:rsid w:val="004D06C6"/>
    <w:rsid w:val="004D0B49"/>
    <w:rsid w:val="004D0CAD"/>
    <w:rsid w:val="004D0CF8"/>
    <w:rsid w:val="004D0E2A"/>
    <w:rsid w:val="004D1210"/>
    <w:rsid w:val="004D1239"/>
    <w:rsid w:val="004D13E2"/>
    <w:rsid w:val="004D17C5"/>
    <w:rsid w:val="004D19EC"/>
    <w:rsid w:val="004D1A77"/>
    <w:rsid w:val="004D1B14"/>
    <w:rsid w:val="004D1E32"/>
    <w:rsid w:val="004D21DB"/>
    <w:rsid w:val="004D2576"/>
    <w:rsid w:val="004D2868"/>
    <w:rsid w:val="004D2872"/>
    <w:rsid w:val="004D2A78"/>
    <w:rsid w:val="004D2B67"/>
    <w:rsid w:val="004D2E4C"/>
    <w:rsid w:val="004D34CA"/>
    <w:rsid w:val="004D354D"/>
    <w:rsid w:val="004D3D00"/>
    <w:rsid w:val="004D3D68"/>
    <w:rsid w:val="004D3D6B"/>
    <w:rsid w:val="004D3E57"/>
    <w:rsid w:val="004D4013"/>
    <w:rsid w:val="004D427B"/>
    <w:rsid w:val="004D459F"/>
    <w:rsid w:val="004D46BB"/>
    <w:rsid w:val="004D47C7"/>
    <w:rsid w:val="004D4D65"/>
    <w:rsid w:val="004D4D7A"/>
    <w:rsid w:val="004D4D7D"/>
    <w:rsid w:val="004D4E4A"/>
    <w:rsid w:val="004D5070"/>
    <w:rsid w:val="004D5140"/>
    <w:rsid w:val="004D5188"/>
    <w:rsid w:val="004D5247"/>
    <w:rsid w:val="004D5768"/>
    <w:rsid w:val="004D5781"/>
    <w:rsid w:val="004D5803"/>
    <w:rsid w:val="004D58A7"/>
    <w:rsid w:val="004D5B4E"/>
    <w:rsid w:val="004D5D88"/>
    <w:rsid w:val="004D5E0B"/>
    <w:rsid w:val="004D5F8B"/>
    <w:rsid w:val="004D6021"/>
    <w:rsid w:val="004D615F"/>
    <w:rsid w:val="004D67C2"/>
    <w:rsid w:val="004D68D4"/>
    <w:rsid w:val="004D6905"/>
    <w:rsid w:val="004D6EC6"/>
    <w:rsid w:val="004D731F"/>
    <w:rsid w:val="004D75ED"/>
    <w:rsid w:val="004D77E0"/>
    <w:rsid w:val="004D7984"/>
    <w:rsid w:val="004D7F37"/>
    <w:rsid w:val="004E03B3"/>
    <w:rsid w:val="004E03D3"/>
    <w:rsid w:val="004E04D2"/>
    <w:rsid w:val="004E0504"/>
    <w:rsid w:val="004E0578"/>
    <w:rsid w:val="004E0644"/>
    <w:rsid w:val="004E0882"/>
    <w:rsid w:val="004E088A"/>
    <w:rsid w:val="004E0A0F"/>
    <w:rsid w:val="004E0A9A"/>
    <w:rsid w:val="004E0A9F"/>
    <w:rsid w:val="004E0B90"/>
    <w:rsid w:val="004E0EFA"/>
    <w:rsid w:val="004E0F83"/>
    <w:rsid w:val="004E14F5"/>
    <w:rsid w:val="004E1783"/>
    <w:rsid w:val="004E18AD"/>
    <w:rsid w:val="004E1DBA"/>
    <w:rsid w:val="004E1DC4"/>
    <w:rsid w:val="004E1E02"/>
    <w:rsid w:val="004E23A6"/>
    <w:rsid w:val="004E24C2"/>
    <w:rsid w:val="004E251C"/>
    <w:rsid w:val="004E26C8"/>
    <w:rsid w:val="004E27E4"/>
    <w:rsid w:val="004E2D49"/>
    <w:rsid w:val="004E2D57"/>
    <w:rsid w:val="004E2D97"/>
    <w:rsid w:val="004E3024"/>
    <w:rsid w:val="004E323A"/>
    <w:rsid w:val="004E3275"/>
    <w:rsid w:val="004E32EA"/>
    <w:rsid w:val="004E32F9"/>
    <w:rsid w:val="004E3934"/>
    <w:rsid w:val="004E41E6"/>
    <w:rsid w:val="004E434B"/>
    <w:rsid w:val="004E4534"/>
    <w:rsid w:val="004E47FA"/>
    <w:rsid w:val="004E48A4"/>
    <w:rsid w:val="004E4971"/>
    <w:rsid w:val="004E4FD8"/>
    <w:rsid w:val="004E5965"/>
    <w:rsid w:val="004E5AE1"/>
    <w:rsid w:val="004E5BEB"/>
    <w:rsid w:val="004E5C45"/>
    <w:rsid w:val="004E5CD6"/>
    <w:rsid w:val="004E5F0E"/>
    <w:rsid w:val="004E60D0"/>
    <w:rsid w:val="004E6588"/>
    <w:rsid w:val="004E65E9"/>
    <w:rsid w:val="004E6A67"/>
    <w:rsid w:val="004E7100"/>
    <w:rsid w:val="004E7162"/>
    <w:rsid w:val="004E746C"/>
    <w:rsid w:val="004E759B"/>
    <w:rsid w:val="004E7817"/>
    <w:rsid w:val="004E78C2"/>
    <w:rsid w:val="004E7A55"/>
    <w:rsid w:val="004E7AE4"/>
    <w:rsid w:val="004E7BB7"/>
    <w:rsid w:val="004E7BED"/>
    <w:rsid w:val="004E7D2D"/>
    <w:rsid w:val="004E7E56"/>
    <w:rsid w:val="004E7E60"/>
    <w:rsid w:val="004E7E8D"/>
    <w:rsid w:val="004F045C"/>
    <w:rsid w:val="004F05C5"/>
    <w:rsid w:val="004F0650"/>
    <w:rsid w:val="004F0816"/>
    <w:rsid w:val="004F098D"/>
    <w:rsid w:val="004F0FA2"/>
    <w:rsid w:val="004F1076"/>
    <w:rsid w:val="004F13DF"/>
    <w:rsid w:val="004F176C"/>
    <w:rsid w:val="004F1AC3"/>
    <w:rsid w:val="004F1AE6"/>
    <w:rsid w:val="004F1B3C"/>
    <w:rsid w:val="004F1C3C"/>
    <w:rsid w:val="004F1D8F"/>
    <w:rsid w:val="004F1FA1"/>
    <w:rsid w:val="004F200F"/>
    <w:rsid w:val="004F2035"/>
    <w:rsid w:val="004F20CA"/>
    <w:rsid w:val="004F20FB"/>
    <w:rsid w:val="004F21EC"/>
    <w:rsid w:val="004F2241"/>
    <w:rsid w:val="004F230B"/>
    <w:rsid w:val="004F23B0"/>
    <w:rsid w:val="004F242E"/>
    <w:rsid w:val="004F24AB"/>
    <w:rsid w:val="004F2617"/>
    <w:rsid w:val="004F26F2"/>
    <w:rsid w:val="004F28CC"/>
    <w:rsid w:val="004F29BD"/>
    <w:rsid w:val="004F29C0"/>
    <w:rsid w:val="004F2BB1"/>
    <w:rsid w:val="004F2D38"/>
    <w:rsid w:val="004F2E45"/>
    <w:rsid w:val="004F2F98"/>
    <w:rsid w:val="004F34E3"/>
    <w:rsid w:val="004F3639"/>
    <w:rsid w:val="004F395A"/>
    <w:rsid w:val="004F3A0C"/>
    <w:rsid w:val="004F3B0F"/>
    <w:rsid w:val="004F3DD3"/>
    <w:rsid w:val="004F3F36"/>
    <w:rsid w:val="004F407C"/>
    <w:rsid w:val="004F4373"/>
    <w:rsid w:val="004F445F"/>
    <w:rsid w:val="004F44F3"/>
    <w:rsid w:val="004F4B51"/>
    <w:rsid w:val="004F4D0C"/>
    <w:rsid w:val="004F4DE6"/>
    <w:rsid w:val="004F4ED1"/>
    <w:rsid w:val="004F5040"/>
    <w:rsid w:val="004F52A5"/>
    <w:rsid w:val="004F542C"/>
    <w:rsid w:val="004F56B2"/>
    <w:rsid w:val="004F5750"/>
    <w:rsid w:val="004F57C2"/>
    <w:rsid w:val="004F5C7D"/>
    <w:rsid w:val="004F614F"/>
    <w:rsid w:val="004F6674"/>
    <w:rsid w:val="004F67AC"/>
    <w:rsid w:val="004F695A"/>
    <w:rsid w:val="004F6AE1"/>
    <w:rsid w:val="004F6C2E"/>
    <w:rsid w:val="004F6F6B"/>
    <w:rsid w:val="004F7102"/>
    <w:rsid w:val="004F7179"/>
    <w:rsid w:val="004F7270"/>
    <w:rsid w:val="004F72E7"/>
    <w:rsid w:val="004F75A7"/>
    <w:rsid w:val="004F76AB"/>
    <w:rsid w:val="004F77B6"/>
    <w:rsid w:val="004F77D7"/>
    <w:rsid w:val="004F7815"/>
    <w:rsid w:val="004F787E"/>
    <w:rsid w:val="004F7C30"/>
    <w:rsid w:val="004F7CBF"/>
    <w:rsid w:val="004F7F1E"/>
    <w:rsid w:val="00500270"/>
    <w:rsid w:val="00500481"/>
    <w:rsid w:val="005005A8"/>
    <w:rsid w:val="00500A64"/>
    <w:rsid w:val="00500B68"/>
    <w:rsid w:val="00500B83"/>
    <w:rsid w:val="00500BEC"/>
    <w:rsid w:val="00500C8B"/>
    <w:rsid w:val="00500CB6"/>
    <w:rsid w:val="00501250"/>
    <w:rsid w:val="005016A1"/>
    <w:rsid w:val="00501908"/>
    <w:rsid w:val="00501A80"/>
    <w:rsid w:val="00501B5D"/>
    <w:rsid w:val="00501F78"/>
    <w:rsid w:val="0050218C"/>
    <w:rsid w:val="005023C2"/>
    <w:rsid w:val="0050246C"/>
    <w:rsid w:val="005024CB"/>
    <w:rsid w:val="005027D2"/>
    <w:rsid w:val="00502CB5"/>
    <w:rsid w:val="00502CEB"/>
    <w:rsid w:val="00502D44"/>
    <w:rsid w:val="00502DF7"/>
    <w:rsid w:val="00502FA4"/>
    <w:rsid w:val="00503055"/>
    <w:rsid w:val="00503315"/>
    <w:rsid w:val="0050333C"/>
    <w:rsid w:val="005033C4"/>
    <w:rsid w:val="0050343A"/>
    <w:rsid w:val="00503887"/>
    <w:rsid w:val="005038DA"/>
    <w:rsid w:val="00503BB4"/>
    <w:rsid w:val="00503BEA"/>
    <w:rsid w:val="00503C2E"/>
    <w:rsid w:val="00503DCA"/>
    <w:rsid w:val="00503F9F"/>
    <w:rsid w:val="00504091"/>
    <w:rsid w:val="00504106"/>
    <w:rsid w:val="005044C2"/>
    <w:rsid w:val="005044D6"/>
    <w:rsid w:val="00504608"/>
    <w:rsid w:val="005047E6"/>
    <w:rsid w:val="0050490A"/>
    <w:rsid w:val="00504AAD"/>
    <w:rsid w:val="00504C74"/>
    <w:rsid w:val="00504C98"/>
    <w:rsid w:val="00504D60"/>
    <w:rsid w:val="0050544A"/>
    <w:rsid w:val="0050574D"/>
    <w:rsid w:val="0050593B"/>
    <w:rsid w:val="00505973"/>
    <w:rsid w:val="00505CBC"/>
    <w:rsid w:val="00505F47"/>
    <w:rsid w:val="00506283"/>
    <w:rsid w:val="005064BA"/>
    <w:rsid w:val="005066D2"/>
    <w:rsid w:val="00506C03"/>
    <w:rsid w:val="00506FC4"/>
    <w:rsid w:val="005070D9"/>
    <w:rsid w:val="005075DE"/>
    <w:rsid w:val="005077BC"/>
    <w:rsid w:val="005077DE"/>
    <w:rsid w:val="0050787F"/>
    <w:rsid w:val="00507887"/>
    <w:rsid w:val="0050788D"/>
    <w:rsid w:val="00507B68"/>
    <w:rsid w:val="005102B6"/>
    <w:rsid w:val="00510521"/>
    <w:rsid w:val="005105ED"/>
    <w:rsid w:val="005109BE"/>
    <w:rsid w:val="00510AE1"/>
    <w:rsid w:val="00510B5B"/>
    <w:rsid w:val="00510EB3"/>
    <w:rsid w:val="00510F1D"/>
    <w:rsid w:val="0051111E"/>
    <w:rsid w:val="0051117D"/>
    <w:rsid w:val="005111F0"/>
    <w:rsid w:val="00511257"/>
    <w:rsid w:val="005113CD"/>
    <w:rsid w:val="00511455"/>
    <w:rsid w:val="005117AB"/>
    <w:rsid w:val="00511F4E"/>
    <w:rsid w:val="00511F7E"/>
    <w:rsid w:val="005122B8"/>
    <w:rsid w:val="00512465"/>
    <w:rsid w:val="005126A1"/>
    <w:rsid w:val="00512A32"/>
    <w:rsid w:val="00512B26"/>
    <w:rsid w:val="00512CD9"/>
    <w:rsid w:val="00513090"/>
    <w:rsid w:val="00513118"/>
    <w:rsid w:val="0051312E"/>
    <w:rsid w:val="00513781"/>
    <w:rsid w:val="005138DA"/>
    <w:rsid w:val="00513969"/>
    <w:rsid w:val="00513B85"/>
    <w:rsid w:val="00513EA2"/>
    <w:rsid w:val="00513EDD"/>
    <w:rsid w:val="00513FF9"/>
    <w:rsid w:val="00514626"/>
    <w:rsid w:val="00514B3E"/>
    <w:rsid w:val="00514BAF"/>
    <w:rsid w:val="00514BCD"/>
    <w:rsid w:val="00514ED8"/>
    <w:rsid w:val="00514F87"/>
    <w:rsid w:val="00515026"/>
    <w:rsid w:val="00515085"/>
    <w:rsid w:val="00515211"/>
    <w:rsid w:val="005152B1"/>
    <w:rsid w:val="00515471"/>
    <w:rsid w:val="00515763"/>
    <w:rsid w:val="00515AE9"/>
    <w:rsid w:val="00515B5D"/>
    <w:rsid w:val="00515E04"/>
    <w:rsid w:val="005163BF"/>
    <w:rsid w:val="00516494"/>
    <w:rsid w:val="005164FB"/>
    <w:rsid w:val="005168AE"/>
    <w:rsid w:val="00516BA6"/>
    <w:rsid w:val="005173CA"/>
    <w:rsid w:val="005173E6"/>
    <w:rsid w:val="005175A3"/>
    <w:rsid w:val="0051794A"/>
    <w:rsid w:val="00517BF1"/>
    <w:rsid w:val="0052002C"/>
    <w:rsid w:val="00520052"/>
    <w:rsid w:val="0052040A"/>
    <w:rsid w:val="0052070D"/>
    <w:rsid w:val="005207F1"/>
    <w:rsid w:val="005207F4"/>
    <w:rsid w:val="00520AC7"/>
    <w:rsid w:val="00520CA8"/>
    <w:rsid w:val="00520CB9"/>
    <w:rsid w:val="00520EC5"/>
    <w:rsid w:val="00521223"/>
    <w:rsid w:val="00521284"/>
    <w:rsid w:val="005213B8"/>
    <w:rsid w:val="005214AD"/>
    <w:rsid w:val="0052155B"/>
    <w:rsid w:val="005219B5"/>
    <w:rsid w:val="00521C0A"/>
    <w:rsid w:val="00522317"/>
    <w:rsid w:val="00522F80"/>
    <w:rsid w:val="005230A0"/>
    <w:rsid w:val="00523179"/>
    <w:rsid w:val="005232D3"/>
    <w:rsid w:val="0052330F"/>
    <w:rsid w:val="00523396"/>
    <w:rsid w:val="0052342D"/>
    <w:rsid w:val="0052343E"/>
    <w:rsid w:val="005234CB"/>
    <w:rsid w:val="005234FA"/>
    <w:rsid w:val="0052381C"/>
    <w:rsid w:val="005238EF"/>
    <w:rsid w:val="00523C06"/>
    <w:rsid w:val="00523F56"/>
    <w:rsid w:val="00523F62"/>
    <w:rsid w:val="00523FCD"/>
    <w:rsid w:val="00524216"/>
    <w:rsid w:val="005243F7"/>
    <w:rsid w:val="00524515"/>
    <w:rsid w:val="00524656"/>
    <w:rsid w:val="0052486F"/>
    <w:rsid w:val="00524972"/>
    <w:rsid w:val="00524AC0"/>
    <w:rsid w:val="00524EF3"/>
    <w:rsid w:val="005250F4"/>
    <w:rsid w:val="005252ED"/>
    <w:rsid w:val="005254A8"/>
    <w:rsid w:val="00525506"/>
    <w:rsid w:val="005256BB"/>
    <w:rsid w:val="005257E1"/>
    <w:rsid w:val="005257EE"/>
    <w:rsid w:val="00525855"/>
    <w:rsid w:val="0052593D"/>
    <w:rsid w:val="005259E7"/>
    <w:rsid w:val="00525AFC"/>
    <w:rsid w:val="00525C61"/>
    <w:rsid w:val="00525E21"/>
    <w:rsid w:val="00526043"/>
    <w:rsid w:val="005261D3"/>
    <w:rsid w:val="00526277"/>
    <w:rsid w:val="005262A4"/>
    <w:rsid w:val="00526401"/>
    <w:rsid w:val="0052659F"/>
    <w:rsid w:val="0052667F"/>
    <w:rsid w:val="005267C8"/>
    <w:rsid w:val="00526978"/>
    <w:rsid w:val="00526A42"/>
    <w:rsid w:val="00526ABC"/>
    <w:rsid w:val="00526CDB"/>
    <w:rsid w:val="00526FF5"/>
    <w:rsid w:val="005271F0"/>
    <w:rsid w:val="00527289"/>
    <w:rsid w:val="0052734B"/>
    <w:rsid w:val="00527DF4"/>
    <w:rsid w:val="00527FEE"/>
    <w:rsid w:val="005300F2"/>
    <w:rsid w:val="00530133"/>
    <w:rsid w:val="005301C6"/>
    <w:rsid w:val="0053032A"/>
    <w:rsid w:val="005304E9"/>
    <w:rsid w:val="00530673"/>
    <w:rsid w:val="005306FC"/>
    <w:rsid w:val="0053086C"/>
    <w:rsid w:val="00530AFE"/>
    <w:rsid w:val="00530CE4"/>
    <w:rsid w:val="00530D42"/>
    <w:rsid w:val="00530FA2"/>
    <w:rsid w:val="00531425"/>
    <w:rsid w:val="0053160B"/>
    <w:rsid w:val="0053163E"/>
    <w:rsid w:val="005319F8"/>
    <w:rsid w:val="00531D8D"/>
    <w:rsid w:val="00531DF4"/>
    <w:rsid w:val="00531F69"/>
    <w:rsid w:val="00532110"/>
    <w:rsid w:val="0053219A"/>
    <w:rsid w:val="00532256"/>
    <w:rsid w:val="005322F9"/>
    <w:rsid w:val="005323CD"/>
    <w:rsid w:val="005329F4"/>
    <w:rsid w:val="00532E8D"/>
    <w:rsid w:val="00533742"/>
    <w:rsid w:val="00533764"/>
    <w:rsid w:val="00533787"/>
    <w:rsid w:val="005337C4"/>
    <w:rsid w:val="005337D2"/>
    <w:rsid w:val="005339FB"/>
    <w:rsid w:val="0053420F"/>
    <w:rsid w:val="005348A7"/>
    <w:rsid w:val="005348F0"/>
    <w:rsid w:val="00534B61"/>
    <w:rsid w:val="00534F7E"/>
    <w:rsid w:val="00535038"/>
    <w:rsid w:val="00535365"/>
    <w:rsid w:val="00535506"/>
    <w:rsid w:val="00535572"/>
    <w:rsid w:val="00535CAF"/>
    <w:rsid w:val="00535CBA"/>
    <w:rsid w:val="00535D44"/>
    <w:rsid w:val="00535E28"/>
    <w:rsid w:val="00536178"/>
    <w:rsid w:val="00536210"/>
    <w:rsid w:val="005366DD"/>
    <w:rsid w:val="00536755"/>
    <w:rsid w:val="005367B0"/>
    <w:rsid w:val="005367FA"/>
    <w:rsid w:val="00536854"/>
    <w:rsid w:val="00536870"/>
    <w:rsid w:val="00536B01"/>
    <w:rsid w:val="00536CFB"/>
    <w:rsid w:val="00536ECD"/>
    <w:rsid w:val="00536EF1"/>
    <w:rsid w:val="00537337"/>
    <w:rsid w:val="0053743D"/>
    <w:rsid w:val="0053765A"/>
    <w:rsid w:val="0053791D"/>
    <w:rsid w:val="00537D0B"/>
    <w:rsid w:val="00537D26"/>
    <w:rsid w:val="00537F29"/>
    <w:rsid w:val="00537FE0"/>
    <w:rsid w:val="00540126"/>
    <w:rsid w:val="005402D5"/>
    <w:rsid w:val="00540573"/>
    <w:rsid w:val="00540585"/>
    <w:rsid w:val="005406C3"/>
    <w:rsid w:val="0054072E"/>
    <w:rsid w:val="00540839"/>
    <w:rsid w:val="00540958"/>
    <w:rsid w:val="00540AF9"/>
    <w:rsid w:val="00540BD5"/>
    <w:rsid w:val="00540F6B"/>
    <w:rsid w:val="00541143"/>
    <w:rsid w:val="00541294"/>
    <w:rsid w:val="0054129E"/>
    <w:rsid w:val="0054135D"/>
    <w:rsid w:val="00541423"/>
    <w:rsid w:val="00541AE4"/>
    <w:rsid w:val="00541BE7"/>
    <w:rsid w:val="00541C99"/>
    <w:rsid w:val="00541E67"/>
    <w:rsid w:val="00541E70"/>
    <w:rsid w:val="00541F3A"/>
    <w:rsid w:val="0054202A"/>
    <w:rsid w:val="00542341"/>
    <w:rsid w:val="00542347"/>
    <w:rsid w:val="0054253B"/>
    <w:rsid w:val="00542C9C"/>
    <w:rsid w:val="005432CC"/>
    <w:rsid w:val="00543446"/>
    <w:rsid w:val="0054345C"/>
    <w:rsid w:val="00543795"/>
    <w:rsid w:val="0054386C"/>
    <w:rsid w:val="00543C71"/>
    <w:rsid w:val="00543EE4"/>
    <w:rsid w:val="0054410A"/>
    <w:rsid w:val="005441B0"/>
    <w:rsid w:val="005441F5"/>
    <w:rsid w:val="005441FD"/>
    <w:rsid w:val="00544210"/>
    <w:rsid w:val="00544257"/>
    <w:rsid w:val="00544540"/>
    <w:rsid w:val="00544715"/>
    <w:rsid w:val="005447B4"/>
    <w:rsid w:val="005447E7"/>
    <w:rsid w:val="00544928"/>
    <w:rsid w:val="00544C4D"/>
    <w:rsid w:val="00544D49"/>
    <w:rsid w:val="00544E67"/>
    <w:rsid w:val="00544FF0"/>
    <w:rsid w:val="0054500A"/>
    <w:rsid w:val="005450D1"/>
    <w:rsid w:val="00545550"/>
    <w:rsid w:val="00545691"/>
    <w:rsid w:val="005458A0"/>
    <w:rsid w:val="005458ED"/>
    <w:rsid w:val="00545AB0"/>
    <w:rsid w:val="00545E86"/>
    <w:rsid w:val="00546083"/>
    <w:rsid w:val="00546700"/>
    <w:rsid w:val="00546730"/>
    <w:rsid w:val="0054706B"/>
    <w:rsid w:val="005471D4"/>
    <w:rsid w:val="0054733F"/>
    <w:rsid w:val="00547470"/>
    <w:rsid w:val="005476F2"/>
    <w:rsid w:val="00547A73"/>
    <w:rsid w:val="00547C2A"/>
    <w:rsid w:val="00547DAE"/>
    <w:rsid w:val="00547EA1"/>
    <w:rsid w:val="00547F62"/>
    <w:rsid w:val="005500CF"/>
    <w:rsid w:val="00550373"/>
    <w:rsid w:val="00550569"/>
    <w:rsid w:val="005506FE"/>
    <w:rsid w:val="0055075F"/>
    <w:rsid w:val="005508F9"/>
    <w:rsid w:val="00550C81"/>
    <w:rsid w:val="00550CB0"/>
    <w:rsid w:val="00550CE2"/>
    <w:rsid w:val="00551003"/>
    <w:rsid w:val="005511E7"/>
    <w:rsid w:val="00551322"/>
    <w:rsid w:val="00551BB6"/>
    <w:rsid w:val="00551D2C"/>
    <w:rsid w:val="00551E0B"/>
    <w:rsid w:val="00551F0B"/>
    <w:rsid w:val="00551FAD"/>
    <w:rsid w:val="00552215"/>
    <w:rsid w:val="00552CF9"/>
    <w:rsid w:val="00552EE9"/>
    <w:rsid w:val="005531E0"/>
    <w:rsid w:val="005532C2"/>
    <w:rsid w:val="005532D0"/>
    <w:rsid w:val="0055354F"/>
    <w:rsid w:val="00553633"/>
    <w:rsid w:val="005538DA"/>
    <w:rsid w:val="00553C3C"/>
    <w:rsid w:val="0055416D"/>
    <w:rsid w:val="005542DA"/>
    <w:rsid w:val="005542F3"/>
    <w:rsid w:val="00554537"/>
    <w:rsid w:val="005545CC"/>
    <w:rsid w:val="0055467E"/>
    <w:rsid w:val="00554714"/>
    <w:rsid w:val="005547C2"/>
    <w:rsid w:val="00554CD9"/>
    <w:rsid w:val="00554D5D"/>
    <w:rsid w:val="00554E75"/>
    <w:rsid w:val="0055526A"/>
    <w:rsid w:val="0055530C"/>
    <w:rsid w:val="005557C0"/>
    <w:rsid w:val="00555C70"/>
    <w:rsid w:val="00555C8E"/>
    <w:rsid w:val="00555D9A"/>
    <w:rsid w:val="00555FB6"/>
    <w:rsid w:val="00556098"/>
    <w:rsid w:val="00556116"/>
    <w:rsid w:val="0055620B"/>
    <w:rsid w:val="00556525"/>
    <w:rsid w:val="00556589"/>
    <w:rsid w:val="005565FB"/>
    <w:rsid w:val="00556887"/>
    <w:rsid w:val="005568A7"/>
    <w:rsid w:val="00556900"/>
    <w:rsid w:val="00556A27"/>
    <w:rsid w:val="00556CA3"/>
    <w:rsid w:val="00556DB3"/>
    <w:rsid w:val="005572B3"/>
    <w:rsid w:val="00557349"/>
    <w:rsid w:val="00557385"/>
    <w:rsid w:val="00557414"/>
    <w:rsid w:val="005574AF"/>
    <w:rsid w:val="005574BD"/>
    <w:rsid w:val="0055753E"/>
    <w:rsid w:val="00557557"/>
    <w:rsid w:val="00557A41"/>
    <w:rsid w:val="00557E9B"/>
    <w:rsid w:val="00560081"/>
    <w:rsid w:val="00560099"/>
    <w:rsid w:val="00560A86"/>
    <w:rsid w:val="00560ACF"/>
    <w:rsid w:val="00560CE4"/>
    <w:rsid w:val="00560CF9"/>
    <w:rsid w:val="00561012"/>
    <w:rsid w:val="005615BC"/>
    <w:rsid w:val="005615BD"/>
    <w:rsid w:val="005615E0"/>
    <w:rsid w:val="005616EF"/>
    <w:rsid w:val="00561911"/>
    <w:rsid w:val="00561967"/>
    <w:rsid w:val="00561E28"/>
    <w:rsid w:val="00561F3C"/>
    <w:rsid w:val="00562012"/>
    <w:rsid w:val="005624BD"/>
    <w:rsid w:val="0056279E"/>
    <w:rsid w:val="00562820"/>
    <w:rsid w:val="00562840"/>
    <w:rsid w:val="005628EF"/>
    <w:rsid w:val="00562994"/>
    <w:rsid w:val="00562F3D"/>
    <w:rsid w:val="00562FAA"/>
    <w:rsid w:val="00562FBA"/>
    <w:rsid w:val="005630C7"/>
    <w:rsid w:val="00563673"/>
    <w:rsid w:val="0056370D"/>
    <w:rsid w:val="00563A49"/>
    <w:rsid w:val="00563AB1"/>
    <w:rsid w:val="00563D89"/>
    <w:rsid w:val="00563F02"/>
    <w:rsid w:val="00564018"/>
    <w:rsid w:val="0056413A"/>
    <w:rsid w:val="0056421D"/>
    <w:rsid w:val="00564275"/>
    <w:rsid w:val="00564383"/>
    <w:rsid w:val="00564542"/>
    <w:rsid w:val="005646F6"/>
    <w:rsid w:val="00564A5F"/>
    <w:rsid w:val="005652AF"/>
    <w:rsid w:val="005652B7"/>
    <w:rsid w:val="00565344"/>
    <w:rsid w:val="00565690"/>
    <w:rsid w:val="005657D1"/>
    <w:rsid w:val="005657F4"/>
    <w:rsid w:val="0056583F"/>
    <w:rsid w:val="00565AB8"/>
    <w:rsid w:val="005662DA"/>
    <w:rsid w:val="00566511"/>
    <w:rsid w:val="00566B33"/>
    <w:rsid w:val="00566F4F"/>
    <w:rsid w:val="00567294"/>
    <w:rsid w:val="00567556"/>
    <w:rsid w:val="0056781D"/>
    <w:rsid w:val="0056788C"/>
    <w:rsid w:val="00567C39"/>
    <w:rsid w:val="00567E35"/>
    <w:rsid w:val="00567F9B"/>
    <w:rsid w:val="00570286"/>
    <w:rsid w:val="005703E9"/>
    <w:rsid w:val="0057061D"/>
    <w:rsid w:val="0057075C"/>
    <w:rsid w:val="00570A3B"/>
    <w:rsid w:val="00570C0E"/>
    <w:rsid w:val="00570EE4"/>
    <w:rsid w:val="00570F1A"/>
    <w:rsid w:val="00571127"/>
    <w:rsid w:val="0057134E"/>
    <w:rsid w:val="00571362"/>
    <w:rsid w:val="005714CF"/>
    <w:rsid w:val="005714E5"/>
    <w:rsid w:val="00571679"/>
    <w:rsid w:val="00571C8F"/>
    <w:rsid w:val="00571FE2"/>
    <w:rsid w:val="005720A2"/>
    <w:rsid w:val="00572374"/>
    <w:rsid w:val="0057259C"/>
    <w:rsid w:val="00572727"/>
    <w:rsid w:val="00572931"/>
    <w:rsid w:val="00572B80"/>
    <w:rsid w:val="00572BD4"/>
    <w:rsid w:val="00572D84"/>
    <w:rsid w:val="005730CA"/>
    <w:rsid w:val="00573353"/>
    <w:rsid w:val="00573609"/>
    <w:rsid w:val="005736AE"/>
    <w:rsid w:val="00573701"/>
    <w:rsid w:val="0057402B"/>
    <w:rsid w:val="0057420E"/>
    <w:rsid w:val="00574214"/>
    <w:rsid w:val="005743FD"/>
    <w:rsid w:val="00574472"/>
    <w:rsid w:val="00574503"/>
    <w:rsid w:val="00574764"/>
    <w:rsid w:val="0057488A"/>
    <w:rsid w:val="00574C19"/>
    <w:rsid w:val="00574FF8"/>
    <w:rsid w:val="00575051"/>
    <w:rsid w:val="00575144"/>
    <w:rsid w:val="00575181"/>
    <w:rsid w:val="0057531F"/>
    <w:rsid w:val="00575413"/>
    <w:rsid w:val="0057541F"/>
    <w:rsid w:val="005755DE"/>
    <w:rsid w:val="00575947"/>
    <w:rsid w:val="00575B35"/>
    <w:rsid w:val="00575BBE"/>
    <w:rsid w:val="00575DFA"/>
    <w:rsid w:val="00575E1C"/>
    <w:rsid w:val="00575F79"/>
    <w:rsid w:val="00576047"/>
    <w:rsid w:val="00576078"/>
    <w:rsid w:val="00576399"/>
    <w:rsid w:val="005764B4"/>
    <w:rsid w:val="00576555"/>
    <w:rsid w:val="0057667C"/>
    <w:rsid w:val="00576AAD"/>
    <w:rsid w:val="00576DBA"/>
    <w:rsid w:val="00576ED1"/>
    <w:rsid w:val="005770A9"/>
    <w:rsid w:val="005775F4"/>
    <w:rsid w:val="005776D8"/>
    <w:rsid w:val="00577ADE"/>
    <w:rsid w:val="00577C2B"/>
    <w:rsid w:val="00577EE0"/>
    <w:rsid w:val="005804A8"/>
    <w:rsid w:val="005804D9"/>
    <w:rsid w:val="00580812"/>
    <w:rsid w:val="005808E9"/>
    <w:rsid w:val="00580B3E"/>
    <w:rsid w:val="00580B76"/>
    <w:rsid w:val="00580D5A"/>
    <w:rsid w:val="00580D85"/>
    <w:rsid w:val="00580F7E"/>
    <w:rsid w:val="00581586"/>
    <w:rsid w:val="005817AD"/>
    <w:rsid w:val="00581949"/>
    <w:rsid w:val="005819FB"/>
    <w:rsid w:val="00581B08"/>
    <w:rsid w:val="00581E3F"/>
    <w:rsid w:val="00581EC3"/>
    <w:rsid w:val="00582296"/>
    <w:rsid w:val="0058249C"/>
    <w:rsid w:val="005824EC"/>
    <w:rsid w:val="0058269C"/>
    <w:rsid w:val="005828F7"/>
    <w:rsid w:val="00582B71"/>
    <w:rsid w:val="00582D03"/>
    <w:rsid w:val="005834E9"/>
    <w:rsid w:val="00583574"/>
    <w:rsid w:val="0058358D"/>
    <w:rsid w:val="0058377F"/>
    <w:rsid w:val="00583AFB"/>
    <w:rsid w:val="00583B2F"/>
    <w:rsid w:val="00583B45"/>
    <w:rsid w:val="00583BFF"/>
    <w:rsid w:val="00583C4E"/>
    <w:rsid w:val="00583FC3"/>
    <w:rsid w:val="0058426E"/>
    <w:rsid w:val="005843F9"/>
    <w:rsid w:val="00584491"/>
    <w:rsid w:val="005844EA"/>
    <w:rsid w:val="0058489D"/>
    <w:rsid w:val="00584914"/>
    <w:rsid w:val="0058498D"/>
    <w:rsid w:val="00584A98"/>
    <w:rsid w:val="00584E9D"/>
    <w:rsid w:val="005850D2"/>
    <w:rsid w:val="00585254"/>
    <w:rsid w:val="00585285"/>
    <w:rsid w:val="00585393"/>
    <w:rsid w:val="005853E7"/>
    <w:rsid w:val="0058540A"/>
    <w:rsid w:val="0058547D"/>
    <w:rsid w:val="00585632"/>
    <w:rsid w:val="0058592D"/>
    <w:rsid w:val="00586060"/>
    <w:rsid w:val="00586214"/>
    <w:rsid w:val="00586240"/>
    <w:rsid w:val="00586451"/>
    <w:rsid w:val="0058647F"/>
    <w:rsid w:val="00586750"/>
    <w:rsid w:val="0058697A"/>
    <w:rsid w:val="00586AA0"/>
    <w:rsid w:val="00586DFC"/>
    <w:rsid w:val="005870B1"/>
    <w:rsid w:val="0058728D"/>
    <w:rsid w:val="00587344"/>
    <w:rsid w:val="005873EE"/>
    <w:rsid w:val="0058741B"/>
    <w:rsid w:val="0058765A"/>
    <w:rsid w:val="00587917"/>
    <w:rsid w:val="00587CBF"/>
    <w:rsid w:val="00587FF2"/>
    <w:rsid w:val="00590079"/>
    <w:rsid w:val="005903A0"/>
    <w:rsid w:val="00590FCC"/>
    <w:rsid w:val="00591120"/>
    <w:rsid w:val="0059127E"/>
    <w:rsid w:val="00591D7C"/>
    <w:rsid w:val="00591EA5"/>
    <w:rsid w:val="00592640"/>
    <w:rsid w:val="0059266C"/>
    <w:rsid w:val="00592692"/>
    <w:rsid w:val="00592851"/>
    <w:rsid w:val="005929FB"/>
    <w:rsid w:val="00592B49"/>
    <w:rsid w:val="00592C39"/>
    <w:rsid w:val="00592C67"/>
    <w:rsid w:val="00592EFA"/>
    <w:rsid w:val="00592F23"/>
    <w:rsid w:val="00592F2E"/>
    <w:rsid w:val="005930CD"/>
    <w:rsid w:val="005933F5"/>
    <w:rsid w:val="00593641"/>
    <w:rsid w:val="00593B19"/>
    <w:rsid w:val="00593CC6"/>
    <w:rsid w:val="00593E26"/>
    <w:rsid w:val="00593EED"/>
    <w:rsid w:val="005943A8"/>
    <w:rsid w:val="00594795"/>
    <w:rsid w:val="00594889"/>
    <w:rsid w:val="0059494E"/>
    <w:rsid w:val="005949F1"/>
    <w:rsid w:val="00594A54"/>
    <w:rsid w:val="00594B22"/>
    <w:rsid w:val="00594B37"/>
    <w:rsid w:val="00594B9E"/>
    <w:rsid w:val="00594BF5"/>
    <w:rsid w:val="00594D5D"/>
    <w:rsid w:val="00594DC0"/>
    <w:rsid w:val="005953A7"/>
    <w:rsid w:val="00595AA1"/>
    <w:rsid w:val="00595EFE"/>
    <w:rsid w:val="005960FF"/>
    <w:rsid w:val="005967FE"/>
    <w:rsid w:val="00596D7A"/>
    <w:rsid w:val="00596DE2"/>
    <w:rsid w:val="00597063"/>
    <w:rsid w:val="005970FF"/>
    <w:rsid w:val="00597143"/>
    <w:rsid w:val="00597385"/>
    <w:rsid w:val="005974BE"/>
    <w:rsid w:val="005976AB"/>
    <w:rsid w:val="005976D6"/>
    <w:rsid w:val="00597A74"/>
    <w:rsid w:val="00597B3C"/>
    <w:rsid w:val="00597E7A"/>
    <w:rsid w:val="00597F20"/>
    <w:rsid w:val="005A0163"/>
    <w:rsid w:val="005A0424"/>
    <w:rsid w:val="005A05D2"/>
    <w:rsid w:val="005A0819"/>
    <w:rsid w:val="005A083E"/>
    <w:rsid w:val="005A0919"/>
    <w:rsid w:val="005A0D4C"/>
    <w:rsid w:val="005A0EA2"/>
    <w:rsid w:val="005A0EE6"/>
    <w:rsid w:val="005A1249"/>
    <w:rsid w:val="005A162F"/>
    <w:rsid w:val="005A184D"/>
    <w:rsid w:val="005A1A01"/>
    <w:rsid w:val="005A1AD2"/>
    <w:rsid w:val="005A1AD5"/>
    <w:rsid w:val="005A1AF6"/>
    <w:rsid w:val="005A1DFB"/>
    <w:rsid w:val="005A1F19"/>
    <w:rsid w:val="005A1F76"/>
    <w:rsid w:val="005A204A"/>
    <w:rsid w:val="005A207A"/>
    <w:rsid w:val="005A20AB"/>
    <w:rsid w:val="005A214C"/>
    <w:rsid w:val="005A266C"/>
    <w:rsid w:val="005A26C7"/>
    <w:rsid w:val="005A2949"/>
    <w:rsid w:val="005A2B2B"/>
    <w:rsid w:val="005A2BB1"/>
    <w:rsid w:val="005A2DC4"/>
    <w:rsid w:val="005A315B"/>
    <w:rsid w:val="005A322A"/>
    <w:rsid w:val="005A3486"/>
    <w:rsid w:val="005A34C9"/>
    <w:rsid w:val="005A3552"/>
    <w:rsid w:val="005A3B13"/>
    <w:rsid w:val="005A3D0B"/>
    <w:rsid w:val="005A3E7E"/>
    <w:rsid w:val="005A42E7"/>
    <w:rsid w:val="005A4468"/>
    <w:rsid w:val="005A4522"/>
    <w:rsid w:val="005A452C"/>
    <w:rsid w:val="005A45F8"/>
    <w:rsid w:val="005A4660"/>
    <w:rsid w:val="005A47A7"/>
    <w:rsid w:val="005A485B"/>
    <w:rsid w:val="005A4B36"/>
    <w:rsid w:val="005A4BF6"/>
    <w:rsid w:val="005A519E"/>
    <w:rsid w:val="005A548A"/>
    <w:rsid w:val="005A553F"/>
    <w:rsid w:val="005A55F6"/>
    <w:rsid w:val="005A580F"/>
    <w:rsid w:val="005A5D4A"/>
    <w:rsid w:val="005A600E"/>
    <w:rsid w:val="005A635A"/>
    <w:rsid w:val="005A63D8"/>
    <w:rsid w:val="005A6432"/>
    <w:rsid w:val="005A677F"/>
    <w:rsid w:val="005A685A"/>
    <w:rsid w:val="005A6D99"/>
    <w:rsid w:val="005A783C"/>
    <w:rsid w:val="005A7BED"/>
    <w:rsid w:val="005A7DD5"/>
    <w:rsid w:val="005A7DEF"/>
    <w:rsid w:val="005A7EAA"/>
    <w:rsid w:val="005A7F46"/>
    <w:rsid w:val="005B0018"/>
    <w:rsid w:val="005B0038"/>
    <w:rsid w:val="005B00DB"/>
    <w:rsid w:val="005B00E4"/>
    <w:rsid w:val="005B040F"/>
    <w:rsid w:val="005B0670"/>
    <w:rsid w:val="005B08B5"/>
    <w:rsid w:val="005B0912"/>
    <w:rsid w:val="005B0960"/>
    <w:rsid w:val="005B09CE"/>
    <w:rsid w:val="005B0CF0"/>
    <w:rsid w:val="005B0D35"/>
    <w:rsid w:val="005B0DCA"/>
    <w:rsid w:val="005B0DDD"/>
    <w:rsid w:val="005B0F93"/>
    <w:rsid w:val="005B12A8"/>
    <w:rsid w:val="005B141E"/>
    <w:rsid w:val="005B16E9"/>
    <w:rsid w:val="005B1861"/>
    <w:rsid w:val="005B189B"/>
    <w:rsid w:val="005B1952"/>
    <w:rsid w:val="005B1A4A"/>
    <w:rsid w:val="005B1B68"/>
    <w:rsid w:val="005B1B8A"/>
    <w:rsid w:val="005B2071"/>
    <w:rsid w:val="005B2522"/>
    <w:rsid w:val="005B29BC"/>
    <w:rsid w:val="005B2E55"/>
    <w:rsid w:val="005B2FF9"/>
    <w:rsid w:val="005B3018"/>
    <w:rsid w:val="005B304F"/>
    <w:rsid w:val="005B32EC"/>
    <w:rsid w:val="005B3408"/>
    <w:rsid w:val="005B3425"/>
    <w:rsid w:val="005B397D"/>
    <w:rsid w:val="005B3BD1"/>
    <w:rsid w:val="005B41A2"/>
    <w:rsid w:val="005B4355"/>
    <w:rsid w:val="005B48DA"/>
    <w:rsid w:val="005B4ABE"/>
    <w:rsid w:val="005B4B0D"/>
    <w:rsid w:val="005B4E18"/>
    <w:rsid w:val="005B4ECB"/>
    <w:rsid w:val="005B51E0"/>
    <w:rsid w:val="005B5214"/>
    <w:rsid w:val="005B5312"/>
    <w:rsid w:val="005B532E"/>
    <w:rsid w:val="005B53CE"/>
    <w:rsid w:val="005B540F"/>
    <w:rsid w:val="005B55D1"/>
    <w:rsid w:val="005B5627"/>
    <w:rsid w:val="005B57AA"/>
    <w:rsid w:val="005B5937"/>
    <w:rsid w:val="005B5F39"/>
    <w:rsid w:val="005B6480"/>
    <w:rsid w:val="005B682E"/>
    <w:rsid w:val="005B68E1"/>
    <w:rsid w:val="005B69A4"/>
    <w:rsid w:val="005B6AC4"/>
    <w:rsid w:val="005B6D54"/>
    <w:rsid w:val="005B714D"/>
    <w:rsid w:val="005B71F6"/>
    <w:rsid w:val="005B743C"/>
    <w:rsid w:val="005B74CA"/>
    <w:rsid w:val="005B7545"/>
    <w:rsid w:val="005B76AB"/>
    <w:rsid w:val="005B7961"/>
    <w:rsid w:val="005B7B3B"/>
    <w:rsid w:val="005B7CEB"/>
    <w:rsid w:val="005B7D64"/>
    <w:rsid w:val="005B7E1A"/>
    <w:rsid w:val="005B7F04"/>
    <w:rsid w:val="005C0098"/>
    <w:rsid w:val="005C009C"/>
    <w:rsid w:val="005C04F5"/>
    <w:rsid w:val="005C0897"/>
    <w:rsid w:val="005C08EA"/>
    <w:rsid w:val="005C0A1B"/>
    <w:rsid w:val="005C0D1A"/>
    <w:rsid w:val="005C0DA0"/>
    <w:rsid w:val="005C0FDF"/>
    <w:rsid w:val="005C1165"/>
    <w:rsid w:val="005C130B"/>
    <w:rsid w:val="005C1AE2"/>
    <w:rsid w:val="005C1BFC"/>
    <w:rsid w:val="005C1C81"/>
    <w:rsid w:val="005C1C99"/>
    <w:rsid w:val="005C1E0C"/>
    <w:rsid w:val="005C2441"/>
    <w:rsid w:val="005C24AB"/>
    <w:rsid w:val="005C2531"/>
    <w:rsid w:val="005C2654"/>
    <w:rsid w:val="005C26DC"/>
    <w:rsid w:val="005C2726"/>
    <w:rsid w:val="005C2C30"/>
    <w:rsid w:val="005C2C51"/>
    <w:rsid w:val="005C2E8F"/>
    <w:rsid w:val="005C3041"/>
    <w:rsid w:val="005C31AE"/>
    <w:rsid w:val="005C3322"/>
    <w:rsid w:val="005C3462"/>
    <w:rsid w:val="005C375D"/>
    <w:rsid w:val="005C3981"/>
    <w:rsid w:val="005C39B0"/>
    <w:rsid w:val="005C3C58"/>
    <w:rsid w:val="005C41B5"/>
    <w:rsid w:val="005C4209"/>
    <w:rsid w:val="005C428D"/>
    <w:rsid w:val="005C4324"/>
    <w:rsid w:val="005C4525"/>
    <w:rsid w:val="005C4B75"/>
    <w:rsid w:val="005C4F23"/>
    <w:rsid w:val="005C5097"/>
    <w:rsid w:val="005C5127"/>
    <w:rsid w:val="005C5155"/>
    <w:rsid w:val="005C5156"/>
    <w:rsid w:val="005C597B"/>
    <w:rsid w:val="005C5A01"/>
    <w:rsid w:val="005C5FBF"/>
    <w:rsid w:val="005C5FE1"/>
    <w:rsid w:val="005C6074"/>
    <w:rsid w:val="005C62F9"/>
    <w:rsid w:val="005C684D"/>
    <w:rsid w:val="005C68AC"/>
    <w:rsid w:val="005C69AA"/>
    <w:rsid w:val="005C69D2"/>
    <w:rsid w:val="005C6B8C"/>
    <w:rsid w:val="005C6BD6"/>
    <w:rsid w:val="005C6BDC"/>
    <w:rsid w:val="005C7201"/>
    <w:rsid w:val="005C780B"/>
    <w:rsid w:val="005C788F"/>
    <w:rsid w:val="005C7B2E"/>
    <w:rsid w:val="005D0107"/>
    <w:rsid w:val="005D0198"/>
    <w:rsid w:val="005D0199"/>
    <w:rsid w:val="005D01A6"/>
    <w:rsid w:val="005D01E5"/>
    <w:rsid w:val="005D03B7"/>
    <w:rsid w:val="005D0C03"/>
    <w:rsid w:val="005D0CBD"/>
    <w:rsid w:val="005D0DBC"/>
    <w:rsid w:val="005D0FCD"/>
    <w:rsid w:val="005D1340"/>
    <w:rsid w:val="005D1420"/>
    <w:rsid w:val="005D154A"/>
    <w:rsid w:val="005D15CD"/>
    <w:rsid w:val="005D1CCB"/>
    <w:rsid w:val="005D1FE9"/>
    <w:rsid w:val="005D20DC"/>
    <w:rsid w:val="005D23E5"/>
    <w:rsid w:val="005D253D"/>
    <w:rsid w:val="005D2BD1"/>
    <w:rsid w:val="005D2F1A"/>
    <w:rsid w:val="005D3258"/>
    <w:rsid w:val="005D346A"/>
    <w:rsid w:val="005D370E"/>
    <w:rsid w:val="005D37D3"/>
    <w:rsid w:val="005D3F89"/>
    <w:rsid w:val="005D42CA"/>
    <w:rsid w:val="005D42F4"/>
    <w:rsid w:val="005D44BE"/>
    <w:rsid w:val="005D44F2"/>
    <w:rsid w:val="005D497A"/>
    <w:rsid w:val="005D4A17"/>
    <w:rsid w:val="005D4B35"/>
    <w:rsid w:val="005D51AB"/>
    <w:rsid w:val="005D555A"/>
    <w:rsid w:val="005D5629"/>
    <w:rsid w:val="005D58C0"/>
    <w:rsid w:val="005D58D5"/>
    <w:rsid w:val="005D5A79"/>
    <w:rsid w:val="005D5BF1"/>
    <w:rsid w:val="005D5C80"/>
    <w:rsid w:val="005D5D0A"/>
    <w:rsid w:val="005D6194"/>
    <w:rsid w:val="005D630A"/>
    <w:rsid w:val="005D652B"/>
    <w:rsid w:val="005D6A31"/>
    <w:rsid w:val="005D6ACE"/>
    <w:rsid w:val="005D6D13"/>
    <w:rsid w:val="005D6D8F"/>
    <w:rsid w:val="005D6E7F"/>
    <w:rsid w:val="005D6F74"/>
    <w:rsid w:val="005D75FB"/>
    <w:rsid w:val="005D770D"/>
    <w:rsid w:val="005D7847"/>
    <w:rsid w:val="005D78A5"/>
    <w:rsid w:val="005D7AEA"/>
    <w:rsid w:val="005D7C7B"/>
    <w:rsid w:val="005E0397"/>
    <w:rsid w:val="005E03FE"/>
    <w:rsid w:val="005E08A2"/>
    <w:rsid w:val="005E0A93"/>
    <w:rsid w:val="005E0D8F"/>
    <w:rsid w:val="005E0D93"/>
    <w:rsid w:val="005E0DF7"/>
    <w:rsid w:val="005E1570"/>
    <w:rsid w:val="005E166B"/>
    <w:rsid w:val="005E176A"/>
    <w:rsid w:val="005E1C38"/>
    <w:rsid w:val="005E22F2"/>
    <w:rsid w:val="005E2319"/>
    <w:rsid w:val="005E2512"/>
    <w:rsid w:val="005E260B"/>
    <w:rsid w:val="005E26DE"/>
    <w:rsid w:val="005E275A"/>
    <w:rsid w:val="005E27B6"/>
    <w:rsid w:val="005E27F2"/>
    <w:rsid w:val="005E2996"/>
    <w:rsid w:val="005E2B9E"/>
    <w:rsid w:val="005E2D40"/>
    <w:rsid w:val="005E2FB1"/>
    <w:rsid w:val="005E3057"/>
    <w:rsid w:val="005E31E5"/>
    <w:rsid w:val="005E3388"/>
    <w:rsid w:val="005E340C"/>
    <w:rsid w:val="005E3460"/>
    <w:rsid w:val="005E3503"/>
    <w:rsid w:val="005E36A4"/>
    <w:rsid w:val="005E375E"/>
    <w:rsid w:val="005E375F"/>
    <w:rsid w:val="005E3861"/>
    <w:rsid w:val="005E3963"/>
    <w:rsid w:val="005E39B4"/>
    <w:rsid w:val="005E3A7C"/>
    <w:rsid w:val="005E3B18"/>
    <w:rsid w:val="005E3B82"/>
    <w:rsid w:val="005E3E24"/>
    <w:rsid w:val="005E3FEF"/>
    <w:rsid w:val="005E419D"/>
    <w:rsid w:val="005E41ED"/>
    <w:rsid w:val="005E43BB"/>
    <w:rsid w:val="005E46A0"/>
    <w:rsid w:val="005E48C8"/>
    <w:rsid w:val="005E4CB3"/>
    <w:rsid w:val="005E4E2D"/>
    <w:rsid w:val="005E4E48"/>
    <w:rsid w:val="005E4E6B"/>
    <w:rsid w:val="005E5098"/>
    <w:rsid w:val="005E50C3"/>
    <w:rsid w:val="005E53F7"/>
    <w:rsid w:val="005E5568"/>
    <w:rsid w:val="005E55FA"/>
    <w:rsid w:val="005E5786"/>
    <w:rsid w:val="005E57A8"/>
    <w:rsid w:val="005E592D"/>
    <w:rsid w:val="005E59F9"/>
    <w:rsid w:val="005E5AE9"/>
    <w:rsid w:val="005E5CE3"/>
    <w:rsid w:val="005E5F36"/>
    <w:rsid w:val="005E6045"/>
    <w:rsid w:val="005E64A4"/>
    <w:rsid w:val="005E65ED"/>
    <w:rsid w:val="005E68F7"/>
    <w:rsid w:val="005E6AEF"/>
    <w:rsid w:val="005E6DD1"/>
    <w:rsid w:val="005E700A"/>
    <w:rsid w:val="005E7061"/>
    <w:rsid w:val="005E7100"/>
    <w:rsid w:val="005E7202"/>
    <w:rsid w:val="005E762B"/>
    <w:rsid w:val="005E7781"/>
    <w:rsid w:val="005E7790"/>
    <w:rsid w:val="005E77E6"/>
    <w:rsid w:val="005E78C1"/>
    <w:rsid w:val="005E791A"/>
    <w:rsid w:val="005E7AFE"/>
    <w:rsid w:val="005E7C45"/>
    <w:rsid w:val="005E7D83"/>
    <w:rsid w:val="005E7F0B"/>
    <w:rsid w:val="005F00BF"/>
    <w:rsid w:val="005F02E0"/>
    <w:rsid w:val="005F0450"/>
    <w:rsid w:val="005F046A"/>
    <w:rsid w:val="005F0494"/>
    <w:rsid w:val="005F06D9"/>
    <w:rsid w:val="005F0968"/>
    <w:rsid w:val="005F0A74"/>
    <w:rsid w:val="005F0F71"/>
    <w:rsid w:val="005F0F92"/>
    <w:rsid w:val="005F11D3"/>
    <w:rsid w:val="005F1203"/>
    <w:rsid w:val="005F1457"/>
    <w:rsid w:val="005F1878"/>
    <w:rsid w:val="005F1BCB"/>
    <w:rsid w:val="005F1C9A"/>
    <w:rsid w:val="005F1CA0"/>
    <w:rsid w:val="005F1EB2"/>
    <w:rsid w:val="005F1ED1"/>
    <w:rsid w:val="005F219A"/>
    <w:rsid w:val="005F24DF"/>
    <w:rsid w:val="005F24E1"/>
    <w:rsid w:val="005F27F1"/>
    <w:rsid w:val="005F2866"/>
    <w:rsid w:val="005F2870"/>
    <w:rsid w:val="005F289E"/>
    <w:rsid w:val="005F2983"/>
    <w:rsid w:val="005F2AA8"/>
    <w:rsid w:val="005F2B69"/>
    <w:rsid w:val="005F3068"/>
    <w:rsid w:val="005F3215"/>
    <w:rsid w:val="005F33EF"/>
    <w:rsid w:val="005F3AE3"/>
    <w:rsid w:val="005F3B22"/>
    <w:rsid w:val="005F40D2"/>
    <w:rsid w:val="005F4257"/>
    <w:rsid w:val="005F4389"/>
    <w:rsid w:val="005F43BE"/>
    <w:rsid w:val="005F4479"/>
    <w:rsid w:val="005F44EE"/>
    <w:rsid w:val="005F45D1"/>
    <w:rsid w:val="005F45D4"/>
    <w:rsid w:val="005F4854"/>
    <w:rsid w:val="005F49C8"/>
    <w:rsid w:val="005F4A71"/>
    <w:rsid w:val="005F4A82"/>
    <w:rsid w:val="005F4B7B"/>
    <w:rsid w:val="005F4B91"/>
    <w:rsid w:val="005F4BCA"/>
    <w:rsid w:val="005F514B"/>
    <w:rsid w:val="005F56A9"/>
    <w:rsid w:val="005F56C9"/>
    <w:rsid w:val="005F57FA"/>
    <w:rsid w:val="005F5A13"/>
    <w:rsid w:val="005F5C1D"/>
    <w:rsid w:val="005F5C9A"/>
    <w:rsid w:val="005F5D09"/>
    <w:rsid w:val="005F5D9F"/>
    <w:rsid w:val="005F60A5"/>
    <w:rsid w:val="005F6148"/>
    <w:rsid w:val="005F62A0"/>
    <w:rsid w:val="005F6507"/>
    <w:rsid w:val="005F65F9"/>
    <w:rsid w:val="005F6845"/>
    <w:rsid w:val="005F6FD1"/>
    <w:rsid w:val="005F6FD7"/>
    <w:rsid w:val="005F6FF0"/>
    <w:rsid w:val="005F71E6"/>
    <w:rsid w:val="005F73E4"/>
    <w:rsid w:val="005F74E4"/>
    <w:rsid w:val="005F7780"/>
    <w:rsid w:val="005F781C"/>
    <w:rsid w:val="005F7ABE"/>
    <w:rsid w:val="005F7CE7"/>
    <w:rsid w:val="005F7EDB"/>
    <w:rsid w:val="005F7F36"/>
    <w:rsid w:val="006004C5"/>
    <w:rsid w:val="0060071D"/>
    <w:rsid w:val="00600848"/>
    <w:rsid w:val="0060086A"/>
    <w:rsid w:val="00600A65"/>
    <w:rsid w:val="00600B93"/>
    <w:rsid w:val="00600D50"/>
    <w:rsid w:val="00600F0F"/>
    <w:rsid w:val="0060109B"/>
    <w:rsid w:val="006019CC"/>
    <w:rsid w:val="00601AF6"/>
    <w:rsid w:val="006020B2"/>
    <w:rsid w:val="00602215"/>
    <w:rsid w:val="00602398"/>
    <w:rsid w:val="006025D8"/>
    <w:rsid w:val="00602643"/>
    <w:rsid w:val="006026CF"/>
    <w:rsid w:val="006027AE"/>
    <w:rsid w:val="006027E6"/>
    <w:rsid w:val="00602840"/>
    <w:rsid w:val="00602E03"/>
    <w:rsid w:val="00602EE6"/>
    <w:rsid w:val="00603296"/>
    <w:rsid w:val="0060382D"/>
    <w:rsid w:val="0060390C"/>
    <w:rsid w:val="0060392E"/>
    <w:rsid w:val="00603A4E"/>
    <w:rsid w:val="00603B5F"/>
    <w:rsid w:val="00603BF9"/>
    <w:rsid w:val="00603C99"/>
    <w:rsid w:val="00603D2E"/>
    <w:rsid w:val="00603E3A"/>
    <w:rsid w:val="00603ECA"/>
    <w:rsid w:val="00603EE1"/>
    <w:rsid w:val="00604625"/>
    <w:rsid w:val="0060496E"/>
    <w:rsid w:val="00604AEC"/>
    <w:rsid w:val="00604CB0"/>
    <w:rsid w:val="00604E51"/>
    <w:rsid w:val="00605016"/>
    <w:rsid w:val="006051BA"/>
    <w:rsid w:val="00605253"/>
    <w:rsid w:val="00605458"/>
    <w:rsid w:val="006057C1"/>
    <w:rsid w:val="00605840"/>
    <w:rsid w:val="00605CA0"/>
    <w:rsid w:val="0060601D"/>
    <w:rsid w:val="00606264"/>
    <w:rsid w:val="00606453"/>
    <w:rsid w:val="006067C2"/>
    <w:rsid w:val="00606833"/>
    <w:rsid w:val="006069C0"/>
    <w:rsid w:val="006069C1"/>
    <w:rsid w:val="006069EB"/>
    <w:rsid w:val="00606AFD"/>
    <w:rsid w:val="00606B94"/>
    <w:rsid w:val="00606C84"/>
    <w:rsid w:val="00606DED"/>
    <w:rsid w:val="00606E4F"/>
    <w:rsid w:val="0060707E"/>
    <w:rsid w:val="00607773"/>
    <w:rsid w:val="0060784B"/>
    <w:rsid w:val="00607E66"/>
    <w:rsid w:val="00610070"/>
    <w:rsid w:val="006102C2"/>
    <w:rsid w:val="0061054A"/>
    <w:rsid w:val="006106BD"/>
    <w:rsid w:val="006108A3"/>
    <w:rsid w:val="00610BB6"/>
    <w:rsid w:val="00610E91"/>
    <w:rsid w:val="006115F2"/>
    <w:rsid w:val="0061170F"/>
    <w:rsid w:val="0061183A"/>
    <w:rsid w:val="0061187F"/>
    <w:rsid w:val="00611CD6"/>
    <w:rsid w:val="00611DF5"/>
    <w:rsid w:val="00611E91"/>
    <w:rsid w:val="006120FC"/>
    <w:rsid w:val="00612158"/>
    <w:rsid w:val="00612436"/>
    <w:rsid w:val="006127A3"/>
    <w:rsid w:val="006129DE"/>
    <w:rsid w:val="00613331"/>
    <w:rsid w:val="00613768"/>
    <w:rsid w:val="00613972"/>
    <w:rsid w:val="00613B2D"/>
    <w:rsid w:val="00614379"/>
    <w:rsid w:val="006143BD"/>
    <w:rsid w:val="00614434"/>
    <w:rsid w:val="006146A0"/>
    <w:rsid w:val="006154CF"/>
    <w:rsid w:val="006156A2"/>
    <w:rsid w:val="00615A56"/>
    <w:rsid w:val="00615B25"/>
    <w:rsid w:val="00615BB6"/>
    <w:rsid w:val="00615E42"/>
    <w:rsid w:val="0061600B"/>
    <w:rsid w:val="0061608F"/>
    <w:rsid w:val="0061622D"/>
    <w:rsid w:val="00616280"/>
    <w:rsid w:val="006166FD"/>
    <w:rsid w:val="006168DB"/>
    <w:rsid w:val="00616C60"/>
    <w:rsid w:val="006172AA"/>
    <w:rsid w:val="006173D6"/>
    <w:rsid w:val="00617708"/>
    <w:rsid w:val="00617A6D"/>
    <w:rsid w:val="00617AC0"/>
    <w:rsid w:val="00617B21"/>
    <w:rsid w:val="00617BA2"/>
    <w:rsid w:val="00617E32"/>
    <w:rsid w:val="00617EBA"/>
    <w:rsid w:val="0062018E"/>
    <w:rsid w:val="0062029B"/>
    <w:rsid w:val="00620357"/>
    <w:rsid w:val="006204F0"/>
    <w:rsid w:val="0062069A"/>
    <w:rsid w:val="006206B4"/>
    <w:rsid w:val="00620865"/>
    <w:rsid w:val="0062087E"/>
    <w:rsid w:val="00620AAD"/>
    <w:rsid w:val="00620B6F"/>
    <w:rsid w:val="00620C87"/>
    <w:rsid w:val="00620D9B"/>
    <w:rsid w:val="00620E9C"/>
    <w:rsid w:val="0062117F"/>
    <w:rsid w:val="00621248"/>
    <w:rsid w:val="006219AD"/>
    <w:rsid w:val="00621A71"/>
    <w:rsid w:val="00621ED8"/>
    <w:rsid w:val="006221AF"/>
    <w:rsid w:val="006221D0"/>
    <w:rsid w:val="0062234B"/>
    <w:rsid w:val="0062244D"/>
    <w:rsid w:val="00622529"/>
    <w:rsid w:val="006225B1"/>
    <w:rsid w:val="0062267B"/>
    <w:rsid w:val="006226F6"/>
    <w:rsid w:val="006227A8"/>
    <w:rsid w:val="006227ED"/>
    <w:rsid w:val="00622A3F"/>
    <w:rsid w:val="00622AC0"/>
    <w:rsid w:val="00622BEE"/>
    <w:rsid w:val="0062310B"/>
    <w:rsid w:val="0062355E"/>
    <w:rsid w:val="00623660"/>
    <w:rsid w:val="00623769"/>
    <w:rsid w:val="0062376A"/>
    <w:rsid w:val="006239A6"/>
    <w:rsid w:val="00623B8C"/>
    <w:rsid w:val="00623E38"/>
    <w:rsid w:val="00624086"/>
    <w:rsid w:val="00624631"/>
    <w:rsid w:val="00624DAD"/>
    <w:rsid w:val="0062504D"/>
    <w:rsid w:val="006251D4"/>
    <w:rsid w:val="0062522D"/>
    <w:rsid w:val="006253C4"/>
    <w:rsid w:val="0062551B"/>
    <w:rsid w:val="006259F7"/>
    <w:rsid w:val="00625BA5"/>
    <w:rsid w:val="00625D49"/>
    <w:rsid w:val="0062627F"/>
    <w:rsid w:val="006265B8"/>
    <w:rsid w:val="0062666B"/>
    <w:rsid w:val="00626784"/>
    <w:rsid w:val="006267B3"/>
    <w:rsid w:val="0062695F"/>
    <w:rsid w:val="00626968"/>
    <w:rsid w:val="00626F98"/>
    <w:rsid w:val="006271D8"/>
    <w:rsid w:val="006273F4"/>
    <w:rsid w:val="006275FC"/>
    <w:rsid w:val="006276CA"/>
    <w:rsid w:val="00627847"/>
    <w:rsid w:val="00627947"/>
    <w:rsid w:val="00627980"/>
    <w:rsid w:val="00627A39"/>
    <w:rsid w:val="00627B60"/>
    <w:rsid w:val="00627E98"/>
    <w:rsid w:val="00630327"/>
    <w:rsid w:val="006306A9"/>
    <w:rsid w:val="006306D4"/>
    <w:rsid w:val="006308F8"/>
    <w:rsid w:val="00630A5F"/>
    <w:rsid w:val="00630AA9"/>
    <w:rsid w:val="00630D37"/>
    <w:rsid w:val="00630D51"/>
    <w:rsid w:val="00630DF2"/>
    <w:rsid w:val="00630EEB"/>
    <w:rsid w:val="00630F07"/>
    <w:rsid w:val="00630F3C"/>
    <w:rsid w:val="00630F6A"/>
    <w:rsid w:val="0063139B"/>
    <w:rsid w:val="00631849"/>
    <w:rsid w:val="00631987"/>
    <w:rsid w:val="00631B46"/>
    <w:rsid w:val="00632048"/>
    <w:rsid w:val="006322B0"/>
    <w:rsid w:val="00632388"/>
    <w:rsid w:val="006323C7"/>
    <w:rsid w:val="00632519"/>
    <w:rsid w:val="00632C17"/>
    <w:rsid w:val="00632FCB"/>
    <w:rsid w:val="0063310B"/>
    <w:rsid w:val="006331B3"/>
    <w:rsid w:val="00633AA5"/>
    <w:rsid w:val="00633E65"/>
    <w:rsid w:val="00633EFB"/>
    <w:rsid w:val="00634077"/>
    <w:rsid w:val="006342B4"/>
    <w:rsid w:val="00634774"/>
    <w:rsid w:val="00634A44"/>
    <w:rsid w:val="00635A17"/>
    <w:rsid w:val="00635A86"/>
    <w:rsid w:val="00635B44"/>
    <w:rsid w:val="00635D1F"/>
    <w:rsid w:val="006362F7"/>
    <w:rsid w:val="006364E6"/>
    <w:rsid w:val="00636E66"/>
    <w:rsid w:val="00636F2E"/>
    <w:rsid w:val="00636FC6"/>
    <w:rsid w:val="00637084"/>
    <w:rsid w:val="006371A3"/>
    <w:rsid w:val="006379E0"/>
    <w:rsid w:val="00637A0F"/>
    <w:rsid w:val="00637AEA"/>
    <w:rsid w:val="00637BE9"/>
    <w:rsid w:val="00637F49"/>
    <w:rsid w:val="00637F54"/>
    <w:rsid w:val="00640030"/>
    <w:rsid w:val="006403DE"/>
    <w:rsid w:val="00640613"/>
    <w:rsid w:val="00640848"/>
    <w:rsid w:val="00640866"/>
    <w:rsid w:val="00640871"/>
    <w:rsid w:val="00640A20"/>
    <w:rsid w:val="00640AAD"/>
    <w:rsid w:val="00640C68"/>
    <w:rsid w:val="00641073"/>
    <w:rsid w:val="00641295"/>
    <w:rsid w:val="006413FB"/>
    <w:rsid w:val="0064168F"/>
    <w:rsid w:val="006418F0"/>
    <w:rsid w:val="00641AC9"/>
    <w:rsid w:val="00641B1C"/>
    <w:rsid w:val="00641B61"/>
    <w:rsid w:val="00641B74"/>
    <w:rsid w:val="00641BFA"/>
    <w:rsid w:val="00641CAD"/>
    <w:rsid w:val="00642045"/>
    <w:rsid w:val="0064219E"/>
    <w:rsid w:val="006421F6"/>
    <w:rsid w:val="006422DB"/>
    <w:rsid w:val="00642730"/>
    <w:rsid w:val="00642905"/>
    <w:rsid w:val="00642ED1"/>
    <w:rsid w:val="00643700"/>
    <w:rsid w:val="006437DC"/>
    <w:rsid w:val="00643A1E"/>
    <w:rsid w:val="00643E05"/>
    <w:rsid w:val="00643E38"/>
    <w:rsid w:val="006440CD"/>
    <w:rsid w:val="006440FC"/>
    <w:rsid w:val="00644108"/>
    <w:rsid w:val="0064448B"/>
    <w:rsid w:val="00644584"/>
    <w:rsid w:val="00644608"/>
    <w:rsid w:val="00644715"/>
    <w:rsid w:val="006448A1"/>
    <w:rsid w:val="0064496D"/>
    <w:rsid w:val="006449C7"/>
    <w:rsid w:val="00644C33"/>
    <w:rsid w:val="00644E20"/>
    <w:rsid w:val="00644EF4"/>
    <w:rsid w:val="006452A6"/>
    <w:rsid w:val="006455D4"/>
    <w:rsid w:val="006456B6"/>
    <w:rsid w:val="00645703"/>
    <w:rsid w:val="006457C7"/>
    <w:rsid w:val="00645A03"/>
    <w:rsid w:val="00645B26"/>
    <w:rsid w:val="00645BC6"/>
    <w:rsid w:val="00645CC8"/>
    <w:rsid w:val="00645DB2"/>
    <w:rsid w:val="00646165"/>
    <w:rsid w:val="00646D85"/>
    <w:rsid w:val="00646E94"/>
    <w:rsid w:val="00647083"/>
    <w:rsid w:val="00647490"/>
    <w:rsid w:val="00647639"/>
    <w:rsid w:val="0064771D"/>
    <w:rsid w:val="00647729"/>
    <w:rsid w:val="006477DE"/>
    <w:rsid w:val="00647801"/>
    <w:rsid w:val="00647834"/>
    <w:rsid w:val="00647B4F"/>
    <w:rsid w:val="00647D38"/>
    <w:rsid w:val="0065012A"/>
    <w:rsid w:val="006502D9"/>
    <w:rsid w:val="00650416"/>
    <w:rsid w:val="006507A2"/>
    <w:rsid w:val="006508C2"/>
    <w:rsid w:val="0065095F"/>
    <w:rsid w:val="00650B79"/>
    <w:rsid w:val="00650C2E"/>
    <w:rsid w:val="00650EAF"/>
    <w:rsid w:val="0065121C"/>
    <w:rsid w:val="006512EF"/>
    <w:rsid w:val="006513AC"/>
    <w:rsid w:val="00651463"/>
    <w:rsid w:val="006517F1"/>
    <w:rsid w:val="006518C9"/>
    <w:rsid w:val="00651996"/>
    <w:rsid w:val="00651A67"/>
    <w:rsid w:val="00651CE8"/>
    <w:rsid w:val="006520F6"/>
    <w:rsid w:val="00652107"/>
    <w:rsid w:val="00652162"/>
    <w:rsid w:val="0065233F"/>
    <w:rsid w:val="006525BF"/>
    <w:rsid w:val="006525E1"/>
    <w:rsid w:val="006526BE"/>
    <w:rsid w:val="006526CB"/>
    <w:rsid w:val="006526FD"/>
    <w:rsid w:val="006527DE"/>
    <w:rsid w:val="00652B69"/>
    <w:rsid w:val="00652BB6"/>
    <w:rsid w:val="00652E54"/>
    <w:rsid w:val="00653427"/>
    <w:rsid w:val="00653736"/>
    <w:rsid w:val="006537CC"/>
    <w:rsid w:val="006538E5"/>
    <w:rsid w:val="00653C88"/>
    <w:rsid w:val="00654C45"/>
    <w:rsid w:val="0065532B"/>
    <w:rsid w:val="006556F8"/>
    <w:rsid w:val="00655709"/>
    <w:rsid w:val="00655793"/>
    <w:rsid w:val="006558DE"/>
    <w:rsid w:val="00656807"/>
    <w:rsid w:val="006569F0"/>
    <w:rsid w:val="00656A08"/>
    <w:rsid w:val="00656EE9"/>
    <w:rsid w:val="00656F7F"/>
    <w:rsid w:val="0065706E"/>
    <w:rsid w:val="006570D6"/>
    <w:rsid w:val="00657619"/>
    <w:rsid w:val="006577AE"/>
    <w:rsid w:val="00657883"/>
    <w:rsid w:val="00657B4F"/>
    <w:rsid w:val="00657D0D"/>
    <w:rsid w:val="00657E5E"/>
    <w:rsid w:val="006601D5"/>
    <w:rsid w:val="006601E2"/>
    <w:rsid w:val="00660232"/>
    <w:rsid w:val="00660453"/>
    <w:rsid w:val="00660511"/>
    <w:rsid w:val="006605A3"/>
    <w:rsid w:val="006605F6"/>
    <w:rsid w:val="00660BA2"/>
    <w:rsid w:val="006615C1"/>
    <w:rsid w:val="0066174C"/>
    <w:rsid w:val="00661848"/>
    <w:rsid w:val="00661BAE"/>
    <w:rsid w:val="00661D8D"/>
    <w:rsid w:val="0066202E"/>
    <w:rsid w:val="00662594"/>
    <w:rsid w:val="006626B7"/>
    <w:rsid w:val="006629A0"/>
    <w:rsid w:val="00662A70"/>
    <w:rsid w:val="00662F3A"/>
    <w:rsid w:val="00662FBD"/>
    <w:rsid w:val="0066303E"/>
    <w:rsid w:val="00663097"/>
    <w:rsid w:val="00663165"/>
    <w:rsid w:val="00663346"/>
    <w:rsid w:val="00663384"/>
    <w:rsid w:val="006633A9"/>
    <w:rsid w:val="006633EA"/>
    <w:rsid w:val="006635A6"/>
    <w:rsid w:val="006635D8"/>
    <w:rsid w:val="00663628"/>
    <w:rsid w:val="0066366D"/>
    <w:rsid w:val="00663913"/>
    <w:rsid w:val="00663A6D"/>
    <w:rsid w:val="00663B48"/>
    <w:rsid w:val="00663C35"/>
    <w:rsid w:val="00663F45"/>
    <w:rsid w:val="0066420E"/>
    <w:rsid w:val="00664446"/>
    <w:rsid w:val="00664644"/>
    <w:rsid w:val="00664970"/>
    <w:rsid w:val="0066498F"/>
    <w:rsid w:val="00664A64"/>
    <w:rsid w:val="00664BA5"/>
    <w:rsid w:val="00664C56"/>
    <w:rsid w:val="00664D5C"/>
    <w:rsid w:val="00664DD2"/>
    <w:rsid w:val="00664FCB"/>
    <w:rsid w:val="00665019"/>
    <w:rsid w:val="00665386"/>
    <w:rsid w:val="006654DA"/>
    <w:rsid w:val="00665631"/>
    <w:rsid w:val="00665766"/>
    <w:rsid w:val="00665A4F"/>
    <w:rsid w:val="00665A6F"/>
    <w:rsid w:val="00665AF9"/>
    <w:rsid w:val="00665B32"/>
    <w:rsid w:val="006660D0"/>
    <w:rsid w:val="00666426"/>
    <w:rsid w:val="00666903"/>
    <w:rsid w:val="00666A2F"/>
    <w:rsid w:val="00666AAA"/>
    <w:rsid w:val="00666B84"/>
    <w:rsid w:val="00666E48"/>
    <w:rsid w:val="00666F63"/>
    <w:rsid w:val="0066719A"/>
    <w:rsid w:val="00667389"/>
    <w:rsid w:val="00667505"/>
    <w:rsid w:val="00667594"/>
    <w:rsid w:val="00667C26"/>
    <w:rsid w:val="006700D4"/>
    <w:rsid w:val="006701D0"/>
    <w:rsid w:val="00670252"/>
    <w:rsid w:val="006704EA"/>
    <w:rsid w:val="006704F2"/>
    <w:rsid w:val="006705A8"/>
    <w:rsid w:val="0067077B"/>
    <w:rsid w:val="006708AB"/>
    <w:rsid w:val="00670931"/>
    <w:rsid w:val="00670EC1"/>
    <w:rsid w:val="00670F01"/>
    <w:rsid w:val="00670FC2"/>
    <w:rsid w:val="00671092"/>
    <w:rsid w:val="00671277"/>
    <w:rsid w:val="00671527"/>
    <w:rsid w:val="006716D8"/>
    <w:rsid w:val="006716E6"/>
    <w:rsid w:val="0067197C"/>
    <w:rsid w:val="006721A8"/>
    <w:rsid w:val="00672208"/>
    <w:rsid w:val="006723B2"/>
    <w:rsid w:val="006725D5"/>
    <w:rsid w:val="006725EC"/>
    <w:rsid w:val="0067268F"/>
    <w:rsid w:val="006727DF"/>
    <w:rsid w:val="00672937"/>
    <w:rsid w:val="00672E22"/>
    <w:rsid w:val="00672E5F"/>
    <w:rsid w:val="00672F88"/>
    <w:rsid w:val="006730E4"/>
    <w:rsid w:val="00673131"/>
    <w:rsid w:val="00673191"/>
    <w:rsid w:val="0067323C"/>
    <w:rsid w:val="00673527"/>
    <w:rsid w:val="006735C6"/>
    <w:rsid w:val="00673A4F"/>
    <w:rsid w:val="00673ADA"/>
    <w:rsid w:val="00673BB3"/>
    <w:rsid w:val="00673C28"/>
    <w:rsid w:val="00673DF8"/>
    <w:rsid w:val="00673F3B"/>
    <w:rsid w:val="0067407B"/>
    <w:rsid w:val="00674141"/>
    <w:rsid w:val="0067415B"/>
    <w:rsid w:val="00674193"/>
    <w:rsid w:val="0067423E"/>
    <w:rsid w:val="00674393"/>
    <w:rsid w:val="006744B6"/>
    <w:rsid w:val="0067460A"/>
    <w:rsid w:val="0067475C"/>
    <w:rsid w:val="00674764"/>
    <w:rsid w:val="00674785"/>
    <w:rsid w:val="00674860"/>
    <w:rsid w:val="006748DB"/>
    <w:rsid w:val="00674A4D"/>
    <w:rsid w:val="00674A8C"/>
    <w:rsid w:val="0067507F"/>
    <w:rsid w:val="00675231"/>
    <w:rsid w:val="00675276"/>
    <w:rsid w:val="006755B4"/>
    <w:rsid w:val="00675885"/>
    <w:rsid w:val="006758BD"/>
    <w:rsid w:val="00675990"/>
    <w:rsid w:val="00675AB1"/>
    <w:rsid w:val="00675AB6"/>
    <w:rsid w:val="00675CE9"/>
    <w:rsid w:val="00675D49"/>
    <w:rsid w:val="00676333"/>
    <w:rsid w:val="006765F0"/>
    <w:rsid w:val="0067663A"/>
    <w:rsid w:val="00676652"/>
    <w:rsid w:val="006767D9"/>
    <w:rsid w:val="00676879"/>
    <w:rsid w:val="0067687B"/>
    <w:rsid w:val="0067696D"/>
    <w:rsid w:val="0067699F"/>
    <w:rsid w:val="00676B8E"/>
    <w:rsid w:val="00676E1F"/>
    <w:rsid w:val="00676F1D"/>
    <w:rsid w:val="00676FE1"/>
    <w:rsid w:val="00677043"/>
    <w:rsid w:val="00677201"/>
    <w:rsid w:val="0067767C"/>
    <w:rsid w:val="006779C5"/>
    <w:rsid w:val="00677CF4"/>
    <w:rsid w:val="00677EA5"/>
    <w:rsid w:val="00680067"/>
    <w:rsid w:val="006800A1"/>
    <w:rsid w:val="006801DF"/>
    <w:rsid w:val="0068026D"/>
    <w:rsid w:val="0068043C"/>
    <w:rsid w:val="0068083C"/>
    <w:rsid w:val="00680B34"/>
    <w:rsid w:val="00680B3F"/>
    <w:rsid w:val="00680F29"/>
    <w:rsid w:val="00681670"/>
    <w:rsid w:val="0068176B"/>
    <w:rsid w:val="00681E41"/>
    <w:rsid w:val="006823CF"/>
    <w:rsid w:val="00682448"/>
    <w:rsid w:val="00682687"/>
    <w:rsid w:val="00682967"/>
    <w:rsid w:val="00682AC4"/>
    <w:rsid w:val="00682CA6"/>
    <w:rsid w:val="00682D5A"/>
    <w:rsid w:val="00682E59"/>
    <w:rsid w:val="006833BA"/>
    <w:rsid w:val="00683711"/>
    <w:rsid w:val="006837D6"/>
    <w:rsid w:val="00683906"/>
    <w:rsid w:val="0068392B"/>
    <w:rsid w:val="00683DD2"/>
    <w:rsid w:val="00684027"/>
    <w:rsid w:val="006840F7"/>
    <w:rsid w:val="00684181"/>
    <w:rsid w:val="006841B9"/>
    <w:rsid w:val="00684221"/>
    <w:rsid w:val="006843DC"/>
    <w:rsid w:val="00684549"/>
    <w:rsid w:val="006845CE"/>
    <w:rsid w:val="006846A1"/>
    <w:rsid w:val="0068484C"/>
    <w:rsid w:val="00684B9A"/>
    <w:rsid w:val="00684FD1"/>
    <w:rsid w:val="00685023"/>
    <w:rsid w:val="006850D1"/>
    <w:rsid w:val="0068517A"/>
    <w:rsid w:val="0068530E"/>
    <w:rsid w:val="006855A3"/>
    <w:rsid w:val="00685836"/>
    <w:rsid w:val="0068585A"/>
    <w:rsid w:val="00685866"/>
    <w:rsid w:val="00685954"/>
    <w:rsid w:val="00685955"/>
    <w:rsid w:val="006859F7"/>
    <w:rsid w:val="00685B15"/>
    <w:rsid w:val="00685CB2"/>
    <w:rsid w:val="00685F91"/>
    <w:rsid w:val="0068605C"/>
    <w:rsid w:val="00686223"/>
    <w:rsid w:val="006862B9"/>
    <w:rsid w:val="0068650C"/>
    <w:rsid w:val="00686615"/>
    <w:rsid w:val="006866F0"/>
    <w:rsid w:val="0068684B"/>
    <w:rsid w:val="00686A6F"/>
    <w:rsid w:val="00686AFF"/>
    <w:rsid w:val="00686C25"/>
    <w:rsid w:val="00686D4A"/>
    <w:rsid w:val="00686D7F"/>
    <w:rsid w:val="00686E61"/>
    <w:rsid w:val="00686ECE"/>
    <w:rsid w:val="006870F5"/>
    <w:rsid w:val="00687438"/>
    <w:rsid w:val="00687506"/>
    <w:rsid w:val="006879AE"/>
    <w:rsid w:val="006879B9"/>
    <w:rsid w:val="00687AB9"/>
    <w:rsid w:val="00687D2E"/>
    <w:rsid w:val="006906D7"/>
    <w:rsid w:val="00690DD3"/>
    <w:rsid w:val="00690EBF"/>
    <w:rsid w:val="00690F49"/>
    <w:rsid w:val="006912BD"/>
    <w:rsid w:val="006912F5"/>
    <w:rsid w:val="0069162A"/>
    <w:rsid w:val="006916AD"/>
    <w:rsid w:val="006916D6"/>
    <w:rsid w:val="00691BBB"/>
    <w:rsid w:val="00691D2A"/>
    <w:rsid w:val="00691DA8"/>
    <w:rsid w:val="00691E18"/>
    <w:rsid w:val="00692026"/>
    <w:rsid w:val="0069205F"/>
    <w:rsid w:val="0069208C"/>
    <w:rsid w:val="00692475"/>
    <w:rsid w:val="00692477"/>
    <w:rsid w:val="00692577"/>
    <w:rsid w:val="00692A98"/>
    <w:rsid w:val="00692FA1"/>
    <w:rsid w:val="0069307B"/>
    <w:rsid w:val="0069346B"/>
    <w:rsid w:val="0069359A"/>
    <w:rsid w:val="0069371E"/>
    <w:rsid w:val="0069386E"/>
    <w:rsid w:val="00693A0D"/>
    <w:rsid w:val="00693BCE"/>
    <w:rsid w:val="00693BF3"/>
    <w:rsid w:val="00693EB7"/>
    <w:rsid w:val="0069406F"/>
    <w:rsid w:val="00694149"/>
    <w:rsid w:val="0069423D"/>
    <w:rsid w:val="0069434F"/>
    <w:rsid w:val="0069440B"/>
    <w:rsid w:val="0069450A"/>
    <w:rsid w:val="00694698"/>
    <w:rsid w:val="0069490E"/>
    <w:rsid w:val="00694A8F"/>
    <w:rsid w:val="00694B95"/>
    <w:rsid w:val="00694FDF"/>
    <w:rsid w:val="00695132"/>
    <w:rsid w:val="00695A92"/>
    <w:rsid w:val="00695C41"/>
    <w:rsid w:val="00695D3C"/>
    <w:rsid w:val="00695F61"/>
    <w:rsid w:val="00696222"/>
    <w:rsid w:val="0069675B"/>
    <w:rsid w:val="0069687F"/>
    <w:rsid w:val="00696B23"/>
    <w:rsid w:val="00696B26"/>
    <w:rsid w:val="00696C09"/>
    <w:rsid w:val="006970C5"/>
    <w:rsid w:val="0069726A"/>
    <w:rsid w:val="0069738C"/>
    <w:rsid w:val="0069751E"/>
    <w:rsid w:val="006975C4"/>
    <w:rsid w:val="00697813"/>
    <w:rsid w:val="00697A3D"/>
    <w:rsid w:val="00697A65"/>
    <w:rsid w:val="00697B7B"/>
    <w:rsid w:val="00697CA8"/>
    <w:rsid w:val="00697F86"/>
    <w:rsid w:val="006A0105"/>
    <w:rsid w:val="006A036B"/>
    <w:rsid w:val="006A08D7"/>
    <w:rsid w:val="006A0950"/>
    <w:rsid w:val="006A09F0"/>
    <w:rsid w:val="006A0A80"/>
    <w:rsid w:val="006A0B77"/>
    <w:rsid w:val="006A136E"/>
    <w:rsid w:val="006A1951"/>
    <w:rsid w:val="006A1A6C"/>
    <w:rsid w:val="006A1A7F"/>
    <w:rsid w:val="006A1BE0"/>
    <w:rsid w:val="006A1C3E"/>
    <w:rsid w:val="006A1E6F"/>
    <w:rsid w:val="006A21FE"/>
    <w:rsid w:val="006A2839"/>
    <w:rsid w:val="006A28AC"/>
    <w:rsid w:val="006A2CF0"/>
    <w:rsid w:val="006A2D64"/>
    <w:rsid w:val="006A3054"/>
    <w:rsid w:val="006A34B7"/>
    <w:rsid w:val="006A35C2"/>
    <w:rsid w:val="006A378D"/>
    <w:rsid w:val="006A3A0C"/>
    <w:rsid w:val="006A41A7"/>
    <w:rsid w:val="006A41B9"/>
    <w:rsid w:val="006A43AB"/>
    <w:rsid w:val="006A44C0"/>
    <w:rsid w:val="006A450A"/>
    <w:rsid w:val="006A45F1"/>
    <w:rsid w:val="006A46E4"/>
    <w:rsid w:val="006A4DDA"/>
    <w:rsid w:val="006A4F25"/>
    <w:rsid w:val="006A4F7B"/>
    <w:rsid w:val="006A4FD0"/>
    <w:rsid w:val="006A536E"/>
    <w:rsid w:val="006A5409"/>
    <w:rsid w:val="006A56A6"/>
    <w:rsid w:val="006A596A"/>
    <w:rsid w:val="006A5A45"/>
    <w:rsid w:val="006A5BAB"/>
    <w:rsid w:val="006A5D26"/>
    <w:rsid w:val="006A5FAA"/>
    <w:rsid w:val="006A622E"/>
    <w:rsid w:val="006A6287"/>
    <w:rsid w:val="006A6353"/>
    <w:rsid w:val="006A647C"/>
    <w:rsid w:val="006A667F"/>
    <w:rsid w:val="006A6858"/>
    <w:rsid w:val="006A6F3E"/>
    <w:rsid w:val="006A6F65"/>
    <w:rsid w:val="006A6FAF"/>
    <w:rsid w:val="006A7131"/>
    <w:rsid w:val="006A71CA"/>
    <w:rsid w:val="006A71E9"/>
    <w:rsid w:val="006A7350"/>
    <w:rsid w:val="006A763B"/>
    <w:rsid w:val="006A76A4"/>
    <w:rsid w:val="006A7EF5"/>
    <w:rsid w:val="006B011F"/>
    <w:rsid w:val="006B020B"/>
    <w:rsid w:val="006B043C"/>
    <w:rsid w:val="006B06A2"/>
    <w:rsid w:val="006B0763"/>
    <w:rsid w:val="006B086E"/>
    <w:rsid w:val="006B092B"/>
    <w:rsid w:val="006B0B59"/>
    <w:rsid w:val="006B0C53"/>
    <w:rsid w:val="006B1059"/>
    <w:rsid w:val="006B1106"/>
    <w:rsid w:val="006B11B2"/>
    <w:rsid w:val="006B139E"/>
    <w:rsid w:val="006B1E43"/>
    <w:rsid w:val="006B1F49"/>
    <w:rsid w:val="006B24A5"/>
    <w:rsid w:val="006B24DA"/>
    <w:rsid w:val="006B24E8"/>
    <w:rsid w:val="006B2591"/>
    <w:rsid w:val="006B25F1"/>
    <w:rsid w:val="006B27BB"/>
    <w:rsid w:val="006B2882"/>
    <w:rsid w:val="006B2895"/>
    <w:rsid w:val="006B28C5"/>
    <w:rsid w:val="006B2924"/>
    <w:rsid w:val="006B2D2C"/>
    <w:rsid w:val="006B2D39"/>
    <w:rsid w:val="006B3218"/>
    <w:rsid w:val="006B334D"/>
    <w:rsid w:val="006B3508"/>
    <w:rsid w:val="006B3FA3"/>
    <w:rsid w:val="006B40E2"/>
    <w:rsid w:val="006B4744"/>
    <w:rsid w:val="006B4B8D"/>
    <w:rsid w:val="006B4C0D"/>
    <w:rsid w:val="006B4D56"/>
    <w:rsid w:val="006B50EB"/>
    <w:rsid w:val="006B510B"/>
    <w:rsid w:val="006B52D6"/>
    <w:rsid w:val="006B545B"/>
    <w:rsid w:val="006B5524"/>
    <w:rsid w:val="006B591E"/>
    <w:rsid w:val="006B5B0C"/>
    <w:rsid w:val="006B5D05"/>
    <w:rsid w:val="006B5D4F"/>
    <w:rsid w:val="006B5E39"/>
    <w:rsid w:val="006B633D"/>
    <w:rsid w:val="006B657B"/>
    <w:rsid w:val="006B65B3"/>
    <w:rsid w:val="006B65C6"/>
    <w:rsid w:val="006B662F"/>
    <w:rsid w:val="006B6840"/>
    <w:rsid w:val="006B6E11"/>
    <w:rsid w:val="006B718E"/>
    <w:rsid w:val="006B77B4"/>
    <w:rsid w:val="006B78F7"/>
    <w:rsid w:val="006C012E"/>
    <w:rsid w:val="006C01B8"/>
    <w:rsid w:val="006C023D"/>
    <w:rsid w:val="006C0306"/>
    <w:rsid w:val="006C03F1"/>
    <w:rsid w:val="006C0BE5"/>
    <w:rsid w:val="006C0EE4"/>
    <w:rsid w:val="006C12FD"/>
    <w:rsid w:val="006C155C"/>
    <w:rsid w:val="006C16CA"/>
    <w:rsid w:val="006C17AC"/>
    <w:rsid w:val="006C18AA"/>
    <w:rsid w:val="006C1955"/>
    <w:rsid w:val="006C1A76"/>
    <w:rsid w:val="006C1E79"/>
    <w:rsid w:val="006C2243"/>
    <w:rsid w:val="006C2926"/>
    <w:rsid w:val="006C29A6"/>
    <w:rsid w:val="006C2A39"/>
    <w:rsid w:val="006C2A4A"/>
    <w:rsid w:val="006C2A9C"/>
    <w:rsid w:val="006C2CE9"/>
    <w:rsid w:val="006C32E8"/>
    <w:rsid w:val="006C333F"/>
    <w:rsid w:val="006C3715"/>
    <w:rsid w:val="006C383D"/>
    <w:rsid w:val="006C39C9"/>
    <w:rsid w:val="006C3B9C"/>
    <w:rsid w:val="006C3C8F"/>
    <w:rsid w:val="006C3D19"/>
    <w:rsid w:val="006C3E4E"/>
    <w:rsid w:val="006C47A3"/>
    <w:rsid w:val="006C4887"/>
    <w:rsid w:val="006C4B09"/>
    <w:rsid w:val="006C4B18"/>
    <w:rsid w:val="006C4BB7"/>
    <w:rsid w:val="006C4C66"/>
    <w:rsid w:val="006C5069"/>
    <w:rsid w:val="006C51D5"/>
    <w:rsid w:val="006C5266"/>
    <w:rsid w:val="006C538E"/>
    <w:rsid w:val="006C5994"/>
    <w:rsid w:val="006C5E6D"/>
    <w:rsid w:val="006C5F85"/>
    <w:rsid w:val="006C6185"/>
    <w:rsid w:val="006C6332"/>
    <w:rsid w:val="006C6501"/>
    <w:rsid w:val="006C6833"/>
    <w:rsid w:val="006C6DF6"/>
    <w:rsid w:val="006C6E6C"/>
    <w:rsid w:val="006C6EC0"/>
    <w:rsid w:val="006C6F38"/>
    <w:rsid w:val="006C6FDD"/>
    <w:rsid w:val="006C73C7"/>
    <w:rsid w:val="006C7601"/>
    <w:rsid w:val="006C769C"/>
    <w:rsid w:val="006C791D"/>
    <w:rsid w:val="006C7B7D"/>
    <w:rsid w:val="006D0077"/>
    <w:rsid w:val="006D00A4"/>
    <w:rsid w:val="006D044A"/>
    <w:rsid w:val="006D0888"/>
    <w:rsid w:val="006D0929"/>
    <w:rsid w:val="006D098C"/>
    <w:rsid w:val="006D0AA7"/>
    <w:rsid w:val="006D0C02"/>
    <w:rsid w:val="006D0E50"/>
    <w:rsid w:val="006D0F9D"/>
    <w:rsid w:val="006D1132"/>
    <w:rsid w:val="006D1157"/>
    <w:rsid w:val="006D11E9"/>
    <w:rsid w:val="006D12DC"/>
    <w:rsid w:val="006D13C6"/>
    <w:rsid w:val="006D1846"/>
    <w:rsid w:val="006D1A75"/>
    <w:rsid w:val="006D1CFF"/>
    <w:rsid w:val="006D2040"/>
    <w:rsid w:val="006D2134"/>
    <w:rsid w:val="006D22F0"/>
    <w:rsid w:val="006D262C"/>
    <w:rsid w:val="006D27F8"/>
    <w:rsid w:val="006D2915"/>
    <w:rsid w:val="006D2D4F"/>
    <w:rsid w:val="006D2DDB"/>
    <w:rsid w:val="006D2F17"/>
    <w:rsid w:val="006D355B"/>
    <w:rsid w:val="006D3722"/>
    <w:rsid w:val="006D3749"/>
    <w:rsid w:val="006D37D0"/>
    <w:rsid w:val="006D38B5"/>
    <w:rsid w:val="006D3928"/>
    <w:rsid w:val="006D39C6"/>
    <w:rsid w:val="006D3A93"/>
    <w:rsid w:val="006D3C0C"/>
    <w:rsid w:val="006D3D02"/>
    <w:rsid w:val="006D3EE8"/>
    <w:rsid w:val="006D3F2E"/>
    <w:rsid w:val="006D40FB"/>
    <w:rsid w:val="006D4191"/>
    <w:rsid w:val="006D41ED"/>
    <w:rsid w:val="006D428B"/>
    <w:rsid w:val="006D43A6"/>
    <w:rsid w:val="006D4466"/>
    <w:rsid w:val="006D4687"/>
    <w:rsid w:val="006D4694"/>
    <w:rsid w:val="006D46DD"/>
    <w:rsid w:val="006D47F6"/>
    <w:rsid w:val="006D4B89"/>
    <w:rsid w:val="006D4B8B"/>
    <w:rsid w:val="006D4C17"/>
    <w:rsid w:val="006D4F8D"/>
    <w:rsid w:val="006D55DC"/>
    <w:rsid w:val="006D5CBB"/>
    <w:rsid w:val="006D5D77"/>
    <w:rsid w:val="006D5FFE"/>
    <w:rsid w:val="006D6059"/>
    <w:rsid w:val="006D6296"/>
    <w:rsid w:val="006D62AC"/>
    <w:rsid w:val="006D633D"/>
    <w:rsid w:val="006D69F0"/>
    <w:rsid w:val="006D69F2"/>
    <w:rsid w:val="006D6A25"/>
    <w:rsid w:val="006D6A5F"/>
    <w:rsid w:val="006D6BC8"/>
    <w:rsid w:val="006D6C23"/>
    <w:rsid w:val="006D6C3B"/>
    <w:rsid w:val="006D6FC9"/>
    <w:rsid w:val="006D70B7"/>
    <w:rsid w:val="006D71ED"/>
    <w:rsid w:val="006D72B3"/>
    <w:rsid w:val="006D733A"/>
    <w:rsid w:val="006D74DE"/>
    <w:rsid w:val="006D7648"/>
    <w:rsid w:val="006D7AF1"/>
    <w:rsid w:val="006D7B27"/>
    <w:rsid w:val="006D7DAF"/>
    <w:rsid w:val="006D7F1D"/>
    <w:rsid w:val="006E0192"/>
    <w:rsid w:val="006E0228"/>
    <w:rsid w:val="006E02DC"/>
    <w:rsid w:val="006E0351"/>
    <w:rsid w:val="006E04CC"/>
    <w:rsid w:val="006E04CE"/>
    <w:rsid w:val="006E05A1"/>
    <w:rsid w:val="006E0C03"/>
    <w:rsid w:val="006E0FAC"/>
    <w:rsid w:val="006E1017"/>
    <w:rsid w:val="006E12C6"/>
    <w:rsid w:val="006E15C3"/>
    <w:rsid w:val="006E15EE"/>
    <w:rsid w:val="006E16ED"/>
    <w:rsid w:val="006E1874"/>
    <w:rsid w:val="006E1E20"/>
    <w:rsid w:val="006E204C"/>
    <w:rsid w:val="006E20E1"/>
    <w:rsid w:val="006E214B"/>
    <w:rsid w:val="006E251A"/>
    <w:rsid w:val="006E277D"/>
    <w:rsid w:val="006E2849"/>
    <w:rsid w:val="006E29A6"/>
    <w:rsid w:val="006E2B89"/>
    <w:rsid w:val="006E2C8A"/>
    <w:rsid w:val="006E310C"/>
    <w:rsid w:val="006E3122"/>
    <w:rsid w:val="006E3865"/>
    <w:rsid w:val="006E39F9"/>
    <w:rsid w:val="006E3BAE"/>
    <w:rsid w:val="006E4049"/>
    <w:rsid w:val="006E40C9"/>
    <w:rsid w:val="006E4BA7"/>
    <w:rsid w:val="006E4F51"/>
    <w:rsid w:val="006E502A"/>
    <w:rsid w:val="006E5113"/>
    <w:rsid w:val="006E5675"/>
    <w:rsid w:val="006E579E"/>
    <w:rsid w:val="006E58BA"/>
    <w:rsid w:val="006E5A94"/>
    <w:rsid w:val="006E5DA9"/>
    <w:rsid w:val="006E5E2B"/>
    <w:rsid w:val="006E5F2C"/>
    <w:rsid w:val="006E6045"/>
    <w:rsid w:val="006E607E"/>
    <w:rsid w:val="006E618A"/>
    <w:rsid w:val="006E6422"/>
    <w:rsid w:val="006E644B"/>
    <w:rsid w:val="006E67C6"/>
    <w:rsid w:val="006E6864"/>
    <w:rsid w:val="006E69EF"/>
    <w:rsid w:val="006E6F3B"/>
    <w:rsid w:val="006E6F8C"/>
    <w:rsid w:val="006E6FA1"/>
    <w:rsid w:val="006E7109"/>
    <w:rsid w:val="006E73E6"/>
    <w:rsid w:val="006E75A2"/>
    <w:rsid w:val="006E7664"/>
    <w:rsid w:val="006E7A2F"/>
    <w:rsid w:val="006E7AA2"/>
    <w:rsid w:val="006E7C97"/>
    <w:rsid w:val="006F0081"/>
    <w:rsid w:val="006F0095"/>
    <w:rsid w:val="006F01D1"/>
    <w:rsid w:val="006F0394"/>
    <w:rsid w:val="006F0D60"/>
    <w:rsid w:val="006F156D"/>
    <w:rsid w:val="006F17F5"/>
    <w:rsid w:val="006F1B52"/>
    <w:rsid w:val="006F1BB3"/>
    <w:rsid w:val="006F1D86"/>
    <w:rsid w:val="006F1F1D"/>
    <w:rsid w:val="006F2063"/>
    <w:rsid w:val="006F2136"/>
    <w:rsid w:val="006F2232"/>
    <w:rsid w:val="006F2B97"/>
    <w:rsid w:val="006F2C7F"/>
    <w:rsid w:val="006F2D4F"/>
    <w:rsid w:val="006F2DD0"/>
    <w:rsid w:val="006F2F12"/>
    <w:rsid w:val="006F3072"/>
    <w:rsid w:val="006F3079"/>
    <w:rsid w:val="006F30FD"/>
    <w:rsid w:val="006F316B"/>
    <w:rsid w:val="006F322E"/>
    <w:rsid w:val="006F327C"/>
    <w:rsid w:val="006F3501"/>
    <w:rsid w:val="006F3778"/>
    <w:rsid w:val="006F37A4"/>
    <w:rsid w:val="006F37C9"/>
    <w:rsid w:val="006F3A03"/>
    <w:rsid w:val="006F3A2B"/>
    <w:rsid w:val="006F3DB3"/>
    <w:rsid w:val="006F421C"/>
    <w:rsid w:val="006F424F"/>
    <w:rsid w:val="006F43E8"/>
    <w:rsid w:val="006F45EF"/>
    <w:rsid w:val="006F4741"/>
    <w:rsid w:val="006F4E89"/>
    <w:rsid w:val="006F50DD"/>
    <w:rsid w:val="006F51B7"/>
    <w:rsid w:val="006F5246"/>
    <w:rsid w:val="006F5683"/>
    <w:rsid w:val="006F5703"/>
    <w:rsid w:val="006F592E"/>
    <w:rsid w:val="006F5A1C"/>
    <w:rsid w:val="006F5A2F"/>
    <w:rsid w:val="006F63ED"/>
    <w:rsid w:val="006F6441"/>
    <w:rsid w:val="006F6793"/>
    <w:rsid w:val="006F689F"/>
    <w:rsid w:val="006F6AE5"/>
    <w:rsid w:val="006F7098"/>
    <w:rsid w:val="006F71FA"/>
    <w:rsid w:val="006F721B"/>
    <w:rsid w:val="006F75D7"/>
    <w:rsid w:val="006F79C7"/>
    <w:rsid w:val="006F7C66"/>
    <w:rsid w:val="006F7D84"/>
    <w:rsid w:val="006F7E65"/>
    <w:rsid w:val="006F7EAB"/>
    <w:rsid w:val="00700509"/>
    <w:rsid w:val="007006D0"/>
    <w:rsid w:val="00700A19"/>
    <w:rsid w:val="00700B7C"/>
    <w:rsid w:val="00700C86"/>
    <w:rsid w:val="00700CDD"/>
    <w:rsid w:val="00700E74"/>
    <w:rsid w:val="007010B9"/>
    <w:rsid w:val="0070115B"/>
    <w:rsid w:val="0070118A"/>
    <w:rsid w:val="00701236"/>
    <w:rsid w:val="007014D9"/>
    <w:rsid w:val="007018C2"/>
    <w:rsid w:val="007018F8"/>
    <w:rsid w:val="00701A8B"/>
    <w:rsid w:val="00701D30"/>
    <w:rsid w:val="00701D92"/>
    <w:rsid w:val="00701E49"/>
    <w:rsid w:val="00701F58"/>
    <w:rsid w:val="00701F9F"/>
    <w:rsid w:val="00702114"/>
    <w:rsid w:val="0070213F"/>
    <w:rsid w:val="00702171"/>
    <w:rsid w:val="007021B0"/>
    <w:rsid w:val="007022A9"/>
    <w:rsid w:val="007024C9"/>
    <w:rsid w:val="0070254E"/>
    <w:rsid w:val="0070257C"/>
    <w:rsid w:val="00702622"/>
    <w:rsid w:val="00702899"/>
    <w:rsid w:val="00702D95"/>
    <w:rsid w:val="0070331B"/>
    <w:rsid w:val="00703824"/>
    <w:rsid w:val="0070382C"/>
    <w:rsid w:val="00703940"/>
    <w:rsid w:val="00703A78"/>
    <w:rsid w:val="00704240"/>
    <w:rsid w:val="007042A5"/>
    <w:rsid w:val="0070446D"/>
    <w:rsid w:val="007047B1"/>
    <w:rsid w:val="007047C0"/>
    <w:rsid w:val="007047C2"/>
    <w:rsid w:val="0070495A"/>
    <w:rsid w:val="00704A9E"/>
    <w:rsid w:val="00704AAF"/>
    <w:rsid w:val="00704AE6"/>
    <w:rsid w:val="00704B5C"/>
    <w:rsid w:val="00704D7B"/>
    <w:rsid w:val="00704DB0"/>
    <w:rsid w:val="00704EF3"/>
    <w:rsid w:val="00704FE4"/>
    <w:rsid w:val="00705360"/>
    <w:rsid w:val="0070536B"/>
    <w:rsid w:val="0070547E"/>
    <w:rsid w:val="0070554E"/>
    <w:rsid w:val="007057AE"/>
    <w:rsid w:val="00705897"/>
    <w:rsid w:val="00705B0D"/>
    <w:rsid w:val="00705EAD"/>
    <w:rsid w:val="00705ED1"/>
    <w:rsid w:val="007064B5"/>
    <w:rsid w:val="00706B03"/>
    <w:rsid w:val="00706C06"/>
    <w:rsid w:val="00706FEC"/>
    <w:rsid w:val="007070FF"/>
    <w:rsid w:val="0070781D"/>
    <w:rsid w:val="007078C9"/>
    <w:rsid w:val="00707AA3"/>
    <w:rsid w:val="0071000C"/>
    <w:rsid w:val="00710300"/>
    <w:rsid w:val="007103AC"/>
    <w:rsid w:val="00710593"/>
    <w:rsid w:val="007109B4"/>
    <w:rsid w:val="00710A69"/>
    <w:rsid w:val="00710DF3"/>
    <w:rsid w:val="0071105D"/>
    <w:rsid w:val="00711326"/>
    <w:rsid w:val="00711368"/>
    <w:rsid w:val="007116FD"/>
    <w:rsid w:val="007118B8"/>
    <w:rsid w:val="007119C9"/>
    <w:rsid w:val="007119E6"/>
    <w:rsid w:val="00711AAB"/>
    <w:rsid w:val="00711F0E"/>
    <w:rsid w:val="00711F35"/>
    <w:rsid w:val="00711FDD"/>
    <w:rsid w:val="007121A3"/>
    <w:rsid w:val="00712204"/>
    <w:rsid w:val="00712208"/>
    <w:rsid w:val="007126B7"/>
    <w:rsid w:val="007129D1"/>
    <w:rsid w:val="00712B8E"/>
    <w:rsid w:val="00712C58"/>
    <w:rsid w:val="00712D5D"/>
    <w:rsid w:val="00712F06"/>
    <w:rsid w:val="00713016"/>
    <w:rsid w:val="00713081"/>
    <w:rsid w:val="007136D1"/>
    <w:rsid w:val="00713742"/>
    <w:rsid w:val="00713C43"/>
    <w:rsid w:val="00713E68"/>
    <w:rsid w:val="00713ED6"/>
    <w:rsid w:val="00713FA1"/>
    <w:rsid w:val="00714016"/>
    <w:rsid w:val="0071486A"/>
    <w:rsid w:val="00714A3B"/>
    <w:rsid w:val="00714CFE"/>
    <w:rsid w:val="00714DC3"/>
    <w:rsid w:val="00714DF9"/>
    <w:rsid w:val="00714FB6"/>
    <w:rsid w:val="00715026"/>
    <w:rsid w:val="007150A6"/>
    <w:rsid w:val="007150EB"/>
    <w:rsid w:val="00715317"/>
    <w:rsid w:val="00715336"/>
    <w:rsid w:val="007156A1"/>
    <w:rsid w:val="00715872"/>
    <w:rsid w:val="00715AF4"/>
    <w:rsid w:val="00715BD1"/>
    <w:rsid w:val="00715CA2"/>
    <w:rsid w:val="00715D3C"/>
    <w:rsid w:val="00715F1A"/>
    <w:rsid w:val="007161B9"/>
    <w:rsid w:val="007161D1"/>
    <w:rsid w:val="0071633E"/>
    <w:rsid w:val="00716695"/>
    <w:rsid w:val="007166D4"/>
    <w:rsid w:val="00716AB0"/>
    <w:rsid w:val="00716D04"/>
    <w:rsid w:val="00716E67"/>
    <w:rsid w:val="00717185"/>
    <w:rsid w:val="0071723D"/>
    <w:rsid w:val="007175A0"/>
    <w:rsid w:val="007175FD"/>
    <w:rsid w:val="007177DE"/>
    <w:rsid w:val="00717A40"/>
    <w:rsid w:val="00717A92"/>
    <w:rsid w:val="00717D08"/>
    <w:rsid w:val="00717FAE"/>
    <w:rsid w:val="00720007"/>
    <w:rsid w:val="00720074"/>
    <w:rsid w:val="007200B6"/>
    <w:rsid w:val="0072031F"/>
    <w:rsid w:val="00720524"/>
    <w:rsid w:val="007205CA"/>
    <w:rsid w:val="007205DC"/>
    <w:rsid w:val="00720A49"/>
    <w:rsid w:val="00720D11"/>
    <w:rsid w:val="00721129"/>
    <w:rsid w:val="00721380"/>
    <w:rsid w:val="00721487"/>
    <w:rsid w:val="007216AD"/>
    <w:rsid w:val="00721787"/>
    <w:rsid w:val="007217D9"/>
    <w:rsid w:val="00721C24"/>
    <w:rsid w:val="00721F78"/>
    <w:rsid w:val="0072237C"/>
    <w:rsid w:val="00722412"/>
    <w:rsid w:val="007227A7"/>
    <w:rsid w:val="007228E5"/>
    <w:rsid w:val="00722B56"/>
    <w:rsid w:val="00722BA5"/>
    <w:rsid w:val="00722D7A"/>
    <w:rsid w:val="00723154"/>
    <w:rsid w:val="007234B6"/>
    <w:rsid w:val="007234E7"/>
    <w:rsid w:val="00723525"/>
    <w:rsid w:val="007236F1"/>
    <w:rsid w:val="00723ADC"/>
    <w:rsid w:val="00723B86"/>
    <w:rsid w:val="00723E68"/>
    <w:rsid w:val="007242BD"/>
    <w:rsid w:val="0072444A"/>
    <w:rsid w:val="007244DC"/>
    <w:rsid w:val="00724560"/>
    <w:rsid w:val="00724586"/>
    <w:rsid w:val="0072468E"/>
    <w:rsid w:val="00724691"/>
    <w:rsid w:val="00724907"/>
    <w:rsid w:val="00724A2E"/>
    <w:rsid w:val="00724A5C"/>
    <w:rsid w:val="00724AD5"/>
    <w:rsid w:val="00724D8F"/>
    <w:rsid w:val="00724E6E"/>
    <w:rsid w:val="00724EE9"/>
    <w:rsid w:val="00725023"/>
    <w:rsid w:val="0072503E"/>
    <w:rsid w:val="007250A9"/>
    <w:rsid w:val="007265D5"/>
    <w:rsid w:val="00726738"/>
    <w:rsid w:val="007267AA"/>
    <w:rsid w:val="00726A28"/>
    <w:rsid w:val="00726A6D"/>
    <w:rsid w:val="00726D64"/>
    <w:rsid w:val="00726EBD"/>
    <w:rsid w:val="00727352"/>
    <w:rsid w:val="00727865"/>
    <w:rsid w:val="00727A9B"/>
    <w:rsid w:val="007301E0"/>
    <w:rsid w:val="00730353"/>
    <w:rsid w:val="00730487"/>
    <w:rsid w:val="00730558"/>
    <w:rsid w:val="00730616"/>
    <w:rsid w:val="0073074F"/>
    <w:rsid w:val="00730774"/>
    <w:rsid w:val="00730861"/>
    <w:rsid w:val="007308EA"/>
    <w:rsid w:val="00730C94"/>
    <w:rsid w:val="00730EDA"/>
    <w:rsid w:val="0073104F"/>
    <w:rsid w:val="00731053"/>
    <w:rsid w:val="007310F1"/>
    <w:rsid w:val="007312AA"/>
    <w:rsid w:val="00731426"/>
    <w:rsid w:val="007314CA"/>
    <w:rsid w:val="00731840"/>
    <w:rsid w:val="00731960"/>
    <w:rsid w:val="00731C63"/>
    <w:rsid w:val="00732049"/>
    <w:rsid w:val="00732897"/>
    <w:rsid w:val="00732B2E"/>
    <w:rsid w:val="00732DA0"/>
    <w:rsid w:val="00733201"/>
    <w:rsid w:val="00733A8B"/>
    <w:rsid w:val="00733B00"/>
    <w:rsid w:val="00733CE6"/>
    <w:rsid w:val="00733F2E"/>
    <w:rsid w:val="0073411A"/>
    <w:rsid w:val="00734304"/>
    <w:rsid w:val="00734511"/>
    <w:rsid w:val="007349B9"/>
    <w:rsid w:val="00734BC1"/>
    <w:rsid w:val="00734DCE"/>
    <w:rsid w:val="00734F1B"/>
    <w:rsid w:val="00734F21"/>
    <w:rsid w:val="007350B8"/>
    <w:rsid w:val="0073537C"/>
    <w:rsid w:val="00735464"/>
    <w:rsid w:val="0073550F"/>
    <w:rsid w:val="007357BB"/>
    <w:rsid w:val="00735C88"/>
    <w:rsid w:val="00735D9B"/>
    <w:rsid w:val="00735DBE"/>
    <w:rsid w:val="00735EDB"/>
    <w:rsid w:val="00736042"/>
    <w:rsid w:val="00736426"/>
    <w:rsid w:val="00736496"/>
    <w:rsid w:val="0073652C"/>
    <w:rsid w:val="00736671"/>
    <w:rsid w:val="007368F2"/>
    <w:rsid w:val="00736B7A"/>
    <w:rsid w:val="00736CC9"/>
    <w:rsid w:val="00736D1B"/>
    <w:rsid w:val="00736DB1"/>
    <w:rsid w:val="00736DD2"/>
    <w:rsid w:val="00737670"/>
    <w:rsid w:val="007377C9"/>
    <w:rsid w:val="0073782F"/>
    <w:rsid w:val="0073787B"/>
    <w:rsid w:val="00737C8D"/>
    <w:rsid w:val="00737D6D"/>
    <w:rsid w:val="00740303"/>
    <w:rsid w:val="0074038F"/>
    <w:rsid w:val="00740795"/>
    <w:rsid w:val="00740BA4"/>
    <w:rsid w:val="00740C88"/>
    <w:rsid w:val="00741683"/>
    <w:rsid w:val="00741776"/>
    <w:rsid w:val="00741C1E"/>
    <w:rsid w:val="00741CAC"/>
    <w:rsid w:val="00741CD0"/>
    <w:rsid w:val="00741DC6"/>
    <w:rsid w:val="00741E03"/>
    <w:rsid w:val="00741EBB"/>
    <w:rsid w:val="00741FE1"/>
    <w:rsid w:val="00742138"/>
    <w:rsid w:val="00742402"/>
    <w:rsid w:val="007426B4"/>
    <w:rsid w:val="00742741"/>
    <w:rsid w:val="007429C2"/>
    <w:rsid w:val="007429D6"/>
    <w:rsid w:val="00742D72"/>
    <w:rsid w:val="00743116"/>
    <w:rsid w:val="00743272"/>
    <w:rsid w:val="0074327E"/>
    <w:rsid w:val="007435F9"/>
    <w:rsid w:val="00743680"/>
    <w:rsid w:val="007439BD"/>
    <w:rsid w:val="00743A5A"/>
    <w:rsid w:val="00743AAB"/>
    <w:rsid w:val="00743C06"/>
    <w:rsid w:val="00743C8D"/>
    <w:rsid w:val="00743FF6"/>
    <w:rsid w:val="007446C4"/>
    <w:rsid w:val="007447E2"/>
    <w:rsid w:val="00744859"/>
    <w:rsid w:val="00744B30"/>
    <w:rsid w:val="00744CDB"/>
    <w:rsid w:val="00744D56"/>
    <w:rsid w:val="00744DFB"/>
    <w:rsid w:val="00744E09"/>
    <w:rsid w:val="00745532"/>
    <w:rsid w:val="00745560"/>
    <w:rsid w:val="00745836"/>
    <w:rsid w:val="00745D64"/>
    <w:rsid w:val="00745E9A"/>
    <w:rsid w:val="00745E9E"/>
    <w:rsid w:val="00745F0E"/>
    <w:rsid w:val="00745FE9"/>
    <w:rsid w:val="0074613F"/>
    <w:rsid w:val="007462B0"/>
    <w:rsid w:val="007467E4"/>
    <w:rsid w:val="00746A79"/>
    <w:rsid w:val="00746E30"/>
    <w:rsid w:val="00746E90"/>
    <w:rsid w:val="00746E9E"/>
    <w:rsid w:val="007470CA"/>
    <w:rsid w:val="007471C0"/>
    <w:rsid w:val="00747A5E"/>
    <w:rsid w:val="00747A75"/>
    <w:rsid w:val="00747B48"/>
    <w:rsid w:val="00747BF0"/>
    <w:rsid w:val="00747D03"/>
    <w:rsid w:val="007504B7"/>
    <w:rsid w:val="007505F1"/>
    <w:rsid w:val="007507D7"/>
    <w:rsid w:val="0075088D"/>
    <w:rsid w:val="00750936"/>
    <w:rsid w:val="00750BD4"/>
    <w:rsid w:val="00750D17"/>
    <w:rsid w:val="00750D3B"/>
    <w:rsid w:val="0075110F"/>
    <w:rsid w:val="007516BC"/>
    <w:rsid w:val="00751755"/>
    <w:rsid w:val="0075177C"/>
    <w:rsid w:val="00751963"/>
    <w:rsid w:val="00751AA9"/>
    <w:rsid w:val="00751D4B"/>
    <w:rsid w:val="007520DD"/>
    <w:rsid w:val="00752126"/>
    <w:rsid w:val="00752245"/>
    <w:rsid w:val="0075226A"/>
    <w:rsid w:val="00752323"/>
    <w:rsid w:val="0075246C"/>
    <w:rsid w:val="00752640"/>
    <w:rsid w:val="00752941"/>
    <w:rsid w:val="0075325C"/>
    <w:rsid w:val="007537C2"/>
    <w:rsid w:val="00753803"/>
    <w:rsid w:val="00753DCB"/>
    <w:rsid w:val="00753E79"/>
    <w:rsid w:val="00753FAC"/>
    <w:rsid w:val="0075444F"/>
    <w:rsid w:val="007545AC"/>
    <w:rsid w:val="00754651"/>
    <w:rsid w:val="00754709"/>
    <w:rsid w:val="00754A59"/>
    <w:rsid w:val="00754D30"/>
    <w:rsid w:val="007552CF"/>
    <w:rsid w:val="00755507"/>
    <w:rsid w:val="007559CE"/>
    <w:rsid w:val="00755B60"/>
    <w:rsid w:val="00755DAE"/>
    <w:rsid w:val="00755E66"/>
    <w:rsid w:val="00756084"/>
    <w:rsid w:val="0075626C"/>
    <w:rsid w:val="00756380"/>
    <w:rsid w:val="007565A2"/>
    <w:rsid w:val="00756A61"/>
    <w:rsid w:val="00756AC8"/>
    <w:rsid w:val="00756B7E"/>
    <w:rsid w:val="00756DE4"/>
    <w:rsid w:val="00756F6A"/>
    <w:rsid w:val="007571A3"/>
    <w:rsid w:val="007604D6"/>
    <w:rsid w:val="007605A5"/>
    <w:rsid w:val="00760915"/>
    <w:rsid w:val="00760D7F"/>
    <w:rsid w:val="00760F24"/>
    <w:rsid w:val="007610C0"/>
    <w:rsid w:val="00761ABE"/>
    <w:rsid w:val="00761B19"/>
    <w:rsid w:val="00761CA7"/>
    <w:rsid w:val="00761DED"/>
    <w:rsid w:val="00761E4C"/>
    <w:rsid w:val="0076211B"/>
    <w:rsid w:val="007621DF"/>
    <w:rsid w:val="00762224"/>
    <w:rsid w:val="00762341"/>
    <w:rsid w:val="00762436"/>
    <w:rsid w:val="00762629"/>
    <w:rsid w:val="00762AEB"/>
    <w:rsid w:val="00762B9A"/>
    <w:rsid w:val="00762D38"/>
    <w:rsid w:val="00762EBA"/>
    <w:rsid w:val="007631CA"/>
    <w:rsid w:val="007631EC"/>
    <w:rsid w:val="0076321A"/>
    <w:rsid w:val="00763253"/>
    <w:rsid w:val="007632D5"/>
    <w:rsid w:val="00763328"/>
    <w:rsid w:val="00763365"/>
    <w:rsid w:val="0076357A"/>
    <w:rsid w:val="007636F9"/>
    <w:rsid w:val="007637D2"/>
    <w:rsid w:val="00763AAF"/>
    <w:rsid w:val="00763D7A"/>
    <w:rsid w:val="00763DAE"/>
    <w:rsid w:val="00763E24"/>
    <w:rsid w:val="00763E4F"/>
    <w:rsid w:val="00763F7B"/>
    <w:rsid w:val="007640D0"/>
    <w:rsid w:val="00764240"/>
    <w:rsid w:val="0076462A"/>
    <w:rsid w:val="00764777"/>
    <w:rsid w:val="007648BB"/>
    <w:rsid w:val="007648EC"/>
    <w:rsid w:val="007649BB"/>
    <w:rsid w:val="00764DE8"/>
    <w:rsid w:val="00764E22"/>
    <w:rsid w:val="00764EC5"/>
    <w:rsid w:val="007650E6"/>
    <w:rsid w:val="007651D9"/>
    <w:rsid w:val="00765540"/>
    <w:rsid w:val="007655E8"/>
    <w:rsid w:val="0076561F"/>
    <w:rsid w:val="0076565C"/>
    <w:rsid w:val="00765778"/>
    <w:rsid w:val="007657FC"/>
    <w:rsid w:val="00765C42"/>
    <w:rsid w:val="00765D6C"/>
    <w:rsid w:val="0076603A"/>
    <w:rsid w:val="0076615D"/>
    <w:rsid w:val="007661D0"/>
    <w:rsid w:val="0076692C"/>
    <w:rsid w:val="00766BC6"/>
    <w:rsid w:val="00766D80"/>
    <w:rsid w:val="007671E2"/>
    <w:rsid w:val="007674AA"/>
    <w:rsid w:val="00767596"/>
    <w:rsid w:val="00767971"/>
    <w:rsid w:val="00767AC5"/>
    <w:rsid w:val="00767C2A"/>
    <w:rsid w:val="00767FAF"/>
    <w:rsid w:val="007701C7"/>
    <w:rsid w:val="00770259"/>
    <w:rsid w:val="007702E9"/>
    <w:rsid w:val="00770341"/>
    <w:rsid w:val="007704A8"/>
    <w:rsid w:val="00770506"/>
    <w:rsid w:val="007706EE"/>
    <w:rsid w:val="007706F0"/>
    <w:rsid w:val="00770D64"/>
    <w:rsid w:val="00770DE4"/>
    <w:rsid w:val="00770E02"/>
    <w:rsid w:val="00770EB2"/>
    <w:rsid w:val="00770EBE"/>
    <w:rsid w:val="00770F01"/>
    <w:rsid w:val="00770FAC"/>
    <w:rsid w:val="007710F8"/>
    <w:rsid w:val="0077113D"/>
    <w:rsid w:val="00771733"/>
    <w:rsid w:val="007717E8"/>
    <w:rsid w:val="00771990"/>
    <w:rsid w:val="007719A3"/>
    <w:rsid w:val="007719A4"/>
    <w:rsid w:val="00771A82"/>
    <w:rsid w:val="00771AC5"/>
    <w:rsid w:val="00771ACA"/>
    <w:rsid w:val="00771B55"/>
    <w:rsid w:val="00772020"/>
    <w:rsid w:val="007722EE"/>
    <w:rsid w:val="00772440"/>
    <w:rsid w:val="00772753"/>
    <w:rsid w:val="007729DE"/>
    <w:rsid w:val="00773169"/>
    <w:rsid w:val="007732A6"/>
    <w:rsid w:val="00773328"/>
    <w:rsid w:val="0077337F"/>
    <w:rsid w:val="007734B1"/>
    <w:rsid w:val="007734F6"/>
    <w:rsid w:val="00773564"/>
    <w:rsid w:val="007738AD"/>
    <w:rsid w:val="00773CDF"/>
    <w:rsid w:val="00773E7B"/>
    <w:rsid w:val="007740D0"/>
    <w:rsid w:val="007741B7"/>
    <w:rsid w:val="00774237"/>
    <w:rsid w:val="007742F9"/>
    <w:rsid w:val="0077482B"/>
    <w:rsid w:val="0077498E"/>
    <w:rsid w:val="00774A7F"/>
    <w:rsid w:val="00774C67"/>
    <w:rsid w:val="00774F8F"/>
    <w:rsid w:val="007750D8"/>
    <w:rsid w:val="0077512D"/>
    <w:rsid w:val="007751BB"/>
    <w:rsid w:val="007753FD"/>
    <w:rsid w:val="00775CF4"/>
    <w:rsid w:val="00775F5C"/>
    <w:rsid w:val="00775FC2"/>
    <w:rsid w:val="00775FFC"/>
    <w:rsid w:val="00776311"/>
    <w:rsid w:val="00776332"/>
    <w:rsid w:val="007764FD"/>
    <w:rsid w:val="0077660E"/>
    <w:rsid w:val="00776821"/>
    <w:rsid w:val="00776957"/>
    <w:rsid w:val="00776A8B"/>
    <w:rsid w:val="0077703A"/>
    <w:rsid w:val="007770A3"/>
    <w:rsid w:val="007771F9"/>
    <w:rsid w:val="007774D4"/>
    <w:rsid w:val="007776B6"/>
    <w:rsid w:val="007776F7"/>
    <w:rsid w:val="007779E3"/>
    <w:rsid w:val="00777BCE"/>
    <w:rsid w:val="00777C73"/>
    <w:rsid w:val="00777F3D"/>
    <w:rsid w:val="007800F7"/>
    <w:rsid w:val="00780306"/>
    <w:rsid w:val="007803FD"/>
    <w:rsid w:val="00780494"/>
    <w:rsid w:val="00780518"/>
    <w:rsid w:val="007806FB"/>
    <w:rsid w:val="0078083B"/>
    <w:rsid w:val="00780930"/>
    <w:rsid w:val="00780B84"/>
    <w:rsid w:val="00780CED"/>
    <w:rsid w:val="00781205"/>
    <w:rsid w:val="007812CE"/>
    <w:rsid w:val="007814C2"/>
    <w:rsid w:val="00781749"/>
    <w:rsid w:val="0078182F"/>
    <w:rsid w:val="00781967"/>
    <w:rsid w:val="00781BE6"/>
    <w:rsid w:val="00782164"/>
    <w:rsid w:val="007823AE"/>
    <w:rsid w:val="007827AD"/>
    <w:rsid w:val="00782C65"/>
    <w:rsid w:val="00782EDC"/>
    <w:rsid w:val="00783012"/>
    <w:rsid w:val="00783286"/>
    <w:rsid w:val="0078355D"/>
    <w:rsid w:val="0078377E"/>
    <w:rsid w:val="007837F2"/>
    <w:rsid w:val="007839A3"/>
    <w:rsid w:val="00783A19"/>
    <w:rsid w:val="00783BE5"/>
    <w:rsid w:val="00783E94"/>
    <w:rsid w:val="00784784"/>
    <w:rsid w:val="00784A11"/>
    <w:rsid w:val="00784AE4"/>
    <w:rsid w:val="00784C95"/>
    <w:rsid w:val="00784D5B"/>
    <w:rsid w:val="00784FBA"/>
    <w:rsid w:val="0078526A"/>
    <w:rsid w:val="00785547"/>
    <w:rsid w:val="007855C2"/>
    <w:rsid w:val="007857BF"/>
    <w:rsid w:val="007857CC"/>
    <w:rsid w:val="00785B6E"/>
    <w:rsid w:val="00785DE0"/>
    <w:rsid w:val="00786131"/>
    <w:rsid w:val="0078621E"/>
    <w:rsid w:val="0078651C"/>
    <w:rsid w:val="00786576"/>
    <w:rsid w:val="007867B9"/>
    <w:rsid w:val="0078687F"/>
    <w:rsid w:val="00786999"/>
    <w:rsid w:val="00786CA2"/>
    <w:rsid w:val="00786DF4"/>
    <w:rsid w:val="00787117"/>
    <w:rsid w:val="007871CF"/>
    <w:rsid w:val="00787503"/>
    <w:rsid w:val="007876F3"/>
    <w:rsid w:val="007877FD"/>
    <w:rsid w:val="00787826"/>
    <w:rsid w:val="007879C9"/>
    <w:rsid w:val="00787AC8"/>
    <w:rsid w:val="00790000"/>
    <w:rsid w:val="00790042"/>
    <w:rsid w:val="00790542"/>
    <w:rsid w:val="007905FB"/>
    <w:rsid w:val="00790724"/>
    <w:rsid w:val="007909CA"/>
    <w:rsid w:val="00790AF2"/>
    <w:rsid w:val="00790BFA"/>
    <w:rsid w:val="00790F1B"/>
    <w:rsid w:val="0079129D"/>
    <w:rsid w:val="0079193D"/>
    <w:rsid w:val="00791A57"/>
    <w:rsid w:val="00791B00"/>
    <w:rsid w:val="00791CC1"/>
    <w:rsid w:val="007920C1"/>
    <w:rsid w:val="007920F2"/>
    <w:rsid w:val="00792171"/>
    <w:rsid w:val="0079231C"/>
    <w:rsid w:val="00792383"/>
    <w:rsid w:val="00792548"/>
    <w:rsid w:val="00792583"/>
    <w:rsid w:val="0079261F"/>
    <w:rsid w:val="007927FB"/>
    <w:rsid w:val="007931D0"/>
    <w:rsid w:val="0079324B"/>
    <w:rsid w:val="00793322"/>
    <w:rsid w:val="0079343B"/>
    <w:rsid w:val="007934B1"/>
    <w:rsid w:val="00793564"/>
    <w:rsid w:val="0079358F"/>
    <w:rsid w:val="00793AE3"/>
    <w:rsid w:val="00793E3B"/>
    <w:rsid w:val="00793F1D"/>
    <w:rsid w:val="00793FD7"/>
    <w:rsid w:val="007942E5"/>
    <w:rsid w:val="00794306"/>
    <w:rsid w:val="00794360"/>
    <w:rsid w:val="007945A9"/>
    <w:rsid w:val="00794867"/>
    <w:rsid w:val="007948D1"/>
    <w:rsid w:val="00794922"/>
    <w:rsid w:val="007952A4"/>
    <w:rsid w:val="007955CB"/>
    <w:rsid w:val="007955D4"/>
    <w:rsid w:val="0079565D"/>
    <w:rsid w:val="007957A0"/>
    <w:rsid w:val="00795968"/>
    <w:rsid w:val="00795AD6"/>
    <w:rsid w:val="00795E76"/>
    <w:rsid w:val="00796243"/>
    <w:rsid w:val="007966A9"/>
    <w:rsid w:val="00796917"/>
    <w:rsid w:val="007969FD"/>
    <w:rsid w:val="007970AE"/>
    <w:rsid w:val="00797343"/>
    <w:rsid w:val="00797453"/>
    <w:rsid w:val="007974E4"/>
    <w:rsid w:val="007977BE"/>
    <w:rsid w:val="007978FA"/>
    <w:rsid w:val="00797991"/>
    <w:rsid w:val="00797B7F"/>
    <w:rsid w:val="00797F9F"/>
    <w:rsid w:val="00797FD8"/>
    <w:rsid w:val="007A0105"/>
    <w:rsid w:val="007A01FE"/>
    <w:rsid w:val="007A0315"/>
    <w:rsid w:val="007A04CF"/>
    <w:rsid w:val="007A0B72"/>
    <w:rsid w:val="007A0CB9"/>
    <w:rsid w:val="007A0D3F"/>
    <w:rsid w:val="007A1100"/>
    <w:rsid w:val="007A112E"/>
    <w:rsid w:val="007A123D"/>
    <w:rsid w:val="007A1277"/>
    <w:rsid w:val="007A1348"/>
    <w:rsid w:val="007A135F"/>
    <w:rsid w:val="007A138F"/>
    <w:rsid w:val="007A15F9"/>
    <w:rsid w:val="007A18B5"/>
    <w:rsid w:val="007A1904"/>
    <w:rsid w:val="007A1C02"/>
    <w:rsid w:val="007A1C26"/>
    <w:rsid w:val="007A1D7A"/>
    <w:rsid w:val="007A1E9B"/>
    <w:rsid w:val="007A1ECA"/>
    <w:rsid w:val="007A215E"/>
    <w:rsid w:val="007A22AD"/>
    <w:rsid w:val="007A23F0"/>
    <w:rsid w:val="007A25F7"/>
    <w:rsid w:val="007A2AEB"/>
    <w:rsid w:val="007A2FF8"/>
    <w:rsid w:val="007A3217"/>
    <w:rsid w:val="007A3297"/>
    <w:rsid w:val="007A37D6"/>
    <w:rsid w:val="007A392C"/>
    <w:rsid w:val="007A3BD4"/>
    <w:rsid w:val="007A3FB5"/>
    <w:rsid w:val="007A4012"/>
    <w:rsid w:val="007A4158"/>
    <w:rsid w:val="007A4669"/>
    <w:rsid w:val="007A4775"/>
    <w:rsid w:val="007A4C2F"/>
    <w:rsid w:val="007A4D29"/>
    <w:rsid w:val="007A51A8"/>
    <w:rsid w:val="007A5863"/>
    <w:rsid w:val="007A5B23"/>
    <w:rsid w:val="007A5BB1"/>
    <w:rsid w:val="007A5BF8"/>
    <w:rsid w:val="007A5C7E"/>
    <w:rsid w:val="007A614C"/>
    <w:rsid w:val="007A62AA"/>
    <w:rsid w:val="007A63D5"/>
    <w:rsid w:val="007A65F3"/>
    <w:rsid w:val="007A675E"/>
    <w:rsid w:val="007A69DA"/>
    <w:rsid w:val="007A6E04"/>
    <w:rsid w:val="007A70DA"/>
    <w:rsid w:val="007A714B"/>
    <w:rsid w:val="007A716A"/>
    <w:rsid w:val="007A7365"/>
    <w:rsid w:val="007A7516"/>
    <w:rsid w:val="007A77A2"/>
    <w:rsid w:val="007A7A83"/>
    <w:rsid w:val="007A7C95"/>
    <w:rsid w:val="007A7ED8"/>
    <w:rsid w:val="007A7F99"/>
    <w:rsid w:val="007B00F5"/>
    <w:rsid w:val="007B0180"/>
    <w:rsid w:val="007B0351"/>
    <w:rsid w:val="007B06DC"/>
    <w:rsid w:val="007B082A"/>
    <w:rsid w:val="007B0982"/>
    <w:rsid w:val="007B0D98"/>
    <w:rsid w:val="007B114F"/>
    <w:rsid w:val="007B12B8"/>
    <w:rsid w:val="007B1350"/>
    <w:rsid w:val="007B1596"/>
    <w:rsid w:val="007B15C0"/>
    <w:rsid w:val="007B179F"/>
    <w:rsid w:val="007B194E"/>
    <w:rsid w:val="007B19D9"/>
    <w:rsid w:val="007B1BF7"/>
    <w:rsid w:val="007B203C"/>
    <w:rsid w:val="007B2230"/>
    <w:rsid w:val="007B28A5"/>
    <w:rsid w:val="007B2AE2"/>
    <w:rsid w:val="007B2B86"/>
    <w:rsid w:val="007B2EFD"/>
    <w:rsid w:val="007B33AB"/>
    <w:rsid w:val="007B35C0"/>
    <w:rsid w:val="007B36AE"/>
    <w:rsid w:val="007B3839"/>
    <w:rsid w:val="007B3869"/>
    <w:rsid w:val="007B3948"/>
    <w:rsid w:val="007B3960"/>
    <w:rsid w:val="007B3CE1"/>
    <w:rsid w:val="007B3D0B"/>
    <w:rsid w:val="007B4032"/>
    <w:rsid w:val="007B4136"/>
    <w:rsid w:val="007B43E4"/>
    <w:rsid w:val="007B453E"/>
    <w:rsid w:val="007B473B"/>
    <w:rsid w:val="007B4830"/>
    <w:rsid w:val="007B485E"/>
    <w:rsid w:val="007B487A"/>
    <w:rsid w:val="007B4D00"/>
    <w:rsid w:val="007B4D0A"/>
    <w:rsid w:val="007B4F84"/>
    <w:rsid w:val="007B514C"/>
    <w:rsid w:val="007B5490"/>
    <w:rsid w:val="007B5C44"/>
    <w:rsid w:val="007B5CF2"/>
    <w:rsid w:val="007B5D25"/>
    <w:rsid w:val="007B6094"/>
    <w:rsid w:val="007B60ED"/>
    <w:rsid w:val="007B6347"/>
    <w:rsid w:val="007B6436"/>
    <w:rsid w:val="007B6728"/>
    <w:rsid w:val="007B679A"/>
    <w:rsid w:val="007B6911"/>
    <w:rsid w:val="007B6B57"/>
    <w:rsid w:val="007B6FFE"/>
    <w:rsid w:val="007B7123"/>
    <w:rsid w:val="007B7213"/>
    <w:rsid w:val="007B7270"/>
    <w:rsid w:val="007B7568"/>
    <w:rsid w:val="007B7584"/>
    <w:rsid w:val="007B779D"/>
    <w:rsid w:val="007B7A06"/>
    <w:rsid w:val="007B7F19"/>
    <w:rsid w:val="007B7F94"/>
    <w:rsid w:val="007B7FE2"/>
    <w:rsid w:val="007C010A"/>
    <w:rsid w:val="007C03DB"/>
    <w:rsid w:val="007C0498"/>
    <w:rsid w:val="007C0625"/>
    <w:rsid w:val="007C0870"/>
    <w:rsid w:val="007C0910"/>
    <w:rsid w:val="007C0C65"/>
    <w:rsid w:val="007C0F86"/>
    <w:rsid w:val="007C10EC"/>
    <w:rsid w:val="007C1275"/>
    <w:rsid w:val="007C12C8"/>
    <w:rsid w:val="007C19A3"/>
    <w:rsid w:val="007C1A15"/>
    <w:rsid w:val="007C1D28"/>
    <w:rsid w:val="007C2149"/>
    <w:rsid w:val="007C22F9"/>
    <w:rsid w:val="007C24C3"/>
    <w:rsid w:val="007C24FD"/>
    <w:rsid w:val="007C258F"/>
    <w:rsid w:val="007C29BD"/>
    <w:rsid w:val="007C2F08"/>
    <w:rsid w:val="007C3154"/>
    <w:rsid w:val="007C331D"/>
    <w:rsid w:val="007C33A7"/>
    <w:rsid w:val="007C37DC"/>
    <w:rsid w:val="007C3802"/>
    <w:rsid w:val="007C3A62"/>
    <w:rsid w:val="007C3A72"/>
    <w:rsid w:val="007C3B17"/>
    <w:rsid w:val="007C3EA1"/>
    <w:rsid w:val="007C40E9"/>
    <w:rsid w:val="007C4102"/>
    <w:rsid w:val="007C41D1"/>
    <w:rsid w:val="007C45FB"/>
    <w:rsid w:val="007C46D3"/>
    <w:rsid w:val="007C485C"/>
    <w:rsid w:val="007C4C14"/>
    <w:rsid w:val="007C5019"/>
    <w:rsid w:val="007C5277"/>
    <w:rsid w:val="007C558B"/>
    <w:rsid w:val="007C5EBD"/>
    <w:rsid w:val="007C60F4"/>
    <w:rsid w:val="007C61A0"/>
    <w:rsid w:val="007C61C2"/>
    <w:rsid w:val="007C6342"/>
    <w:rsid w:val="007C6799"/>
    <w:rsid w:val="007C67B7"/>
    <w:rsid w:val="007C68A4"/>
    <w:rsid w:val="007C68A6"/>
    <w:rsid w:val="007C69F5"/>
    <w:rsid w:val="007C6B3A"/>
    <w:rsid w:val="007C6E21"/>
    <w:rsid w:val="007C7154"/>
    <w:rsid w:val="007C723A"/>
    <w:rsid w:val="007C7265"/>
    <w:rsid w:val="007C7ACF"/>
    <w:rsid w:val="007C7AD6"/>
    <w:rsid w:val="007C7B51"/>
    <w:rsid w:val="007C7D22"/>
    <w:rsid w:val="007C7DF7"/>
    <w:rsid w:val="007CF606"/>
    <w:rsid w:val="007D0170"/>
    <w:rsid w:val="007D01AC"/>
    <w:rsid w:val="007D029E"/>
    <w:rsid w:val="007D033D"/>
    <w:rsid w:val="007D0534"/>
    <w:rsid w:val="007D06F6"/>
    <w:rsid w:val="007D089F"/>
    <w:rsid w:val="007D0F91"/>
    <w:rsid w:val="007D1170"/>
    <w:rsid w:val="007D121D"/>
    <w:rsid w:val="007D1277"/>
    <w:rsid w:val="007D12E8"/>
    <w:rsid w:val="007D13B8"/>
    <w:rsid w:val="007D1762"/>
    <w:rsid w:val="007D17AD"/>
    <w:rsid w:val="007D1A3F"/>
    <w:rsid w:val="007D1AB9"/>
    <w:rsid w:val="007D1E61"/>
    <w:rsid w:val="007D1E67"/>
    <w:rsid w:val="007D1F3E"/>
    <w:rsid w:val="007D20EA"/>
    <w:rsid w:val="007D2101"/>
    <w:rsid w:val="007D214F"/>
    <w:rsid w:val="007D218A"/>
    <w:rsid w:val="007D2344"/>
    <w:rsid w:val="007D238C"/>
    <w:rsid w:val="007D2665"/>
    <w:rsid w:val="007D27F4"/>
    <w:rsid w:val="007D292C"/>
    <w:rsid w:val="007D2A43"/>
    <w:rsid w:val="007D2D9A"/>
    <w:rsid w:val="007D2F52"/>
    <w:rsid w:val="007D301C"/>
    <w:rsid w:val="007D32F6"/>
    <w:rsid w:val="007D33D2"/>
    <w:rsid w:val="007D36D7"/>
    <w:rsid w:val="007D3748"/>
    <w:rsid w:val="007D3A24"/>
    <w:rsid w:val="007D3B86"/>
    <w:rsid w:val="007D3C20"/>
    <w:rsid w:val="007D3F58"/>
    <w:rsid w:val="007D400C"/>
    <w:rsid w:val="007D4134"/>
    <w:rsid w:val="007D4252"/>
    <w:rsid w:val="007D43E3"/>
    <w:rsid w:val="007D48EC"/>
    <w:rsid w:val="007D4A2E"/>
    <w:rsid w:val="007D4AEC"/>
    <w:rsid w:val="007D4C5B"/>
    <w:rsid w:val="007D4CBE"/>
    <w:rsid w:val="007D5148"/>
    <w:rsid w:val="007D51B9"/>
    <w:rsid w:val="007D5493"/>
    <w:rsid w:val="007D55E2"/>
    <w:rsid w:val="007D5662"/>
    <w:rsid w:val="007D56C8"/>
    <w:rsid w:val="007D56D8"/>
    <w:rsid w:val="007D592E"/>
    <w:rsid w:val="007D5C60"/>
    <w:rsid w:val="007D5D34"/>
    <w:rsid w:val="007D6357"/>
    <w:rsid w:val="007D64F0"/>
    <w:rsid w:val="007D6638"/>
    <w:rsid w:val="007D667E"/>
    <w:rsid w:val="007D6766"/>
    <w:rsid w:val="007D678B"/>
    <w:rsid w:val="007D68ED"/>
    <w:rsid w:val="007D6A1A"/>
    <w:rsid w:val="007D6B59"/>
    <w:rsid w:val="007D6BA8"/>
    <w:rsid w:val="007D6BBC"/>
    <w:rsid w:val="007D6ECF"/>
    <w:rsid w:val="007D6F1D"/>
    <w:rsid w:val="007D773D"/>
    <w:rsid w:val="007D77BC"/>
    <w:rsid w:val="007D7B07"/>
    <w:rsid w:val="007D7BCB"/>
    <w:rsid w:val="007D7C1B"/>
    <w:rsid w:val="007D7C83"/>
    <w:rsid w:val="007E01C9"/>
    <w:rsid w:val="007E0218"/>
    <w:rsid w:val="007E063B"/>
    <w:rsid w:val="007E0833"/>
    <w:rsid w:val="007E084D"/>
    <w:rsid w:val="007E0BC4"/>
    <w:rsid w:val="007E0D05"/>
    <w:rsid w:val="007E0D88"/>
    <w:rsid w:val="007E0E18"/>
    <w:rsid w:val="007E0FF7"/>
    <w:rsid w:val="007E10A0"/>
    <w:rsid w:val="007E15BC"/>
    <w:rsid w:val="007E16A4"/>
    <w:rsid w:val="007E17B0"/>
    <w:rsid w:val="007E1AF7"/>
    <w:rsid w:val="007E1B54"/>
    <w:rsid w:val="007E1C2F"/>
    <w:rsid w:val="007E2962"/>
    <w:rsid w:val="007E2B3F"/>
    <w:rsid w:val="007E300C"/>
    <w:rsid w:val="007E341F"/>
    <w:rsid w:val="007E3A63"/>
    <w:rsid w:val="007E3AE6"/>
    <w:rsid w:val="007E3B12"/>
    <w:rsid w:val="007E3B7C"/>
    <w:rsid w:val="007E3CB1"/>
    <w:rsid w:val="007E41F3"/>
    <w:rsid w:val="007E4260"/>
    <w:rsid w:val="007E428C"/>
    <w:rsid w:val="007E42A5"/>
    <w:rsid w:val="007E4351"/>
    <w:rsid w:val="007E4489"/>
    <w:rsid w:val="007E44EF"/>
    <w:rsid w:val="007E459B"/>
    <w:rsid w:val="007E479D"/>
    <w:rsid w:val="007E4D49"/>
    <w:rsid w:val="007E4D68"/>
    <w:rsid w:val="007E4D86"/>
    <w:rsid w:val="007E4E18"/>
    <w:rsid w:val="007E527F"/>
    <w:rsid w:val="007E531A"/>
    <w:rsid w:val="007E537D"/>
    <w:rsid w:val="007E5509"/>
    <w:rsid w:val="007E551D"/>
    <w:rsid w:val="007E56C6"/>
    <w:rsid w:val="007E580D"/>
    <w:rsid w:val="007E5C04"/>
    <w:rsid w:val="007E5C4C"/>
    <w:rsid w:val="007E5DBF"/>
    <w:rsid w:val="007E5F6C"/>
    <w:rsid w:val="007E613B"/>
    <w:rsid w:val="007E62FA"/>
    <w:rsid w:val="007E632F"/>
    <w:rsid w:val="007E6694"/>
    <w:rsid w:val="007E6944"/>
    <w:rsid w:val="007E6A85"/>
    <w:rsid w:val="007E6E59"/>
    <w:rsid w:val="007E6E98"/>
    <w:rsid w:val="007E6F51"/>
    <w:rsid w:val="007E6F60"/>
    <w:rsid w:val="007E7099"/>
    <w:rsid w:val="007E72B8"/>
    <w:rsid w:val="007E7326"/>
    <w:rsid w:val="007E7357"/>
    <w:rsid w:val="007E73C0"/>
    <w:rsid w:val="007E7438"/>
    <w:rsid w:val="007E744A"/>
    <w:rsid w:val="007E76F7"/>
    <w:rsid w:val="007E7D69"/>
    <w:rsid w:val="007E7D86"/>
    <w:rsid w:val="007E7DA2"/>
    <w:rsid w:val="007E7DDB"/>
    <w:rsid w:val="007E7F12"/>
    <w:rsid w:val="007F02F3"/>
    <w:rsid w:val="007F039A"/>
    <w:rsid w:val="007F0893"/>
    <w:rsid w:val="007F0DD2"/>
    <w:rsid w:val="007F0F93"/>
    <w:rsid w:val="007F103B"/>
    <w:rsid w:val="007F1128"/>
    <w:rsid w:val="007F11A9"/>
    <w:rsid w:val="007F13A0"/>
    <w:rsid w:val="007F145F"/>
    <w:rsid w:val="007F1669"/>
    <w:rsid w:val="007F1CF8"/>
    <w:rsid w:val="007F1D52"/>
    <w:rsid w:val="007F235B"/>
    <w:rsid w:val="007F2902"/>
    <w:rsid w:val="007F2AFC"/>
    <w:rsid w:val="007F2E84"/>
    <w:rsid w:val="007F2E99"/>
    <w:rsid w:val="007F2EED"/>
    <w:rsid w:val="007F2FC4"/>
    <w:rsid w:val="007F3010"/>
    <w:rsid w:val="007F3066"/>
    <w:rsid w:val="007F31A4"/>
    <w:rsid w:val="007F32C6"/>
    <w:rsid w:val="007F3305"/>
    <w:rsid w:val="007F3419"/>
    <w:rsid w:val="007F3505"/>
    <w:rsid w:val="007F3703"/>
    <w:rsid w:val="007F370C"/>
    <w:rsid w:val="007F3864"/>
    <w:rsid w:val="007F3B89"/>
    <w:rsid w:val="007F3BED"/>
    <w:rsid w:val="007F3C38"/>
    <w:rsid w:val="007F3C3C"/>
    <w:rsid w:val="007F444A"/>
    <w:rsid w:val="007F4608"/>
    <w:rsid w:val="007F4721"/>
    <w:rsid w:val="007F4788"/>
    <w:rsid w:val="007F48E0"/>
    <w:rsid w:val="007F4BF5"/>
    <w:rsid w:val="007F4C12"/>
    <w:rsid w:val="007F4E28"/>
    <w:rsid w:val="007F4F1D"/>
    <w:rsid w:val="007F5222"/>
    <w:rsid w:val="007F536E"/>
    <w:rsid w:val="007F546E"/>
    <w:rsid w:val="007F5702"/>
    <w:rsid w:val="007F5841"/>
    <w:rsid w:val="007F593E"/>
    <w:rsid w:val="007F598E"/>
    <w:rsid w:val="007F5D28"/>
    <w:rsid w:val="007F5DCD"/>
    <w:rsid w:val="007F5FF7"/>
    <w:rsid w:val="007F6083"/>
    <w:rsid w:val="007F62F9"/>
    <w:rsid w:val="007F6496"/>
    <w:rsid w:val="007F6561"/>
    <w:rsid w:val="007F6771"/>
    <w:rsid w:val="007F6B3E"/>
    <w:rsid w:val="007F6BB6"/>
    <w:rsid w:val="007F6E3C"/>
    <w:rsid w:val="007F6EF8"/>
    <w:rsid w:val="007F7082"/>
    <w:rsid w:val="007F719B"/>
    <w:rsid w:val="007F71D0"/>
    <w:rsid w:val="007F7385"/>
    <w:rsid w:val="007F7391"/>
    <w:rsid w:val="007F76C0"/>
    <w:rsid w:val="007F7987"/>
    <w:rsid w:val="007F7B5B"/>
    <w:rsid w:val="007F7E65"/>
    <w:rsid w:val="00800026"/>
    <w:rsid w:val="008003AE"/>
    <w:rsid w:val="00800A6C"/>
    <w:rsid w:val="008012A9"/>
    <w:rsid w:val="00801683"/>
    <w:rsid w:val="008018FC"/>
    <w:rsid w:val="00801B62"/>
    <w:rsid w:val="00801D84"/>
    <w:rsid w:val="00801EEA"/>
    <w:rsid w:val="00801F3C"/>
    <w:rsid w:val="00801FE8"/>
    <w:rsid w:val="00802132"/>
    <w:rsid w:val="00802134"/>
    <w:rsid w:val="008022DB"/>
    <w:rsid w:val="0080235C"/>
    <w:rsid w:val="00802594"/>
    <w:rsid w:val="008025A4"/>
    <w:rsid w:val="00802631"/>
    <w:rsid w:val="00802EF6"/>
    <w:rsid w:val="00802F22"/>
    <w:rsid w:val="00803098"/>
    <w:rsid w:val="00803114"/>
    <w:rsid w:val="008032DF"/>
    <w:rsid w:val="0080332B"/>
    <w:rsid w:val="008033B9"/>
    <w:rsid w:val="0080359A"/>
    <w:rsid w:val="008036B1"/>
    <w:rsid w:val="008037E8"/>
    <w:rsid w:val="008039B1"/>
    <w:rsid w:val="00803A8F"/>
    <w:rsid w:val="00803B1E"/>
    <w:rsid w:val="00803C37"/>
    <w:rsid w:val="00803F3B"/>
    <w:rsid w:val="00804602"/>
    <w:rsid w:val="008046E7"/>
    <w:rsid w:val="00804A6D"/>
    <w:rsid w:val="0080502A"/>
    <w:rsid w:val="00805488"/>
    <w:rsid w:val="00805ED4"/>
    <w:rsid w:val="00805F59"/>
    <w:rsid w:val="00805FFC"/>
    <w:rsid w:val="008060CA"/>
    <w:rsid w:val="008061B5"/>
    <w:rsid w:val="0080634D"/>
    <w:rsid w:val="008063EA"/>
    <w:rsid w:val="0080665E"/>
    <w:rsid w:val="008066E9"/>
    <w:rsid w:val="0080693F"/>
    <w:rsid w:val="00806AF6"/>
    <w:rsid w:val="00806EF2"/>
    <w:rsid w:val="00807022"/>
    <w:rsid w:val="008072B6"/>
    <w:rsid w:val="008072D5"/>
    <w:rsid w:val="008074A2"/>
    <w:rsid w:val="008076D1"/>
    <w:rsid w:val="0080794E"/>
    <w:rsid w:val="00807A66"/>
    <w:rsid w:val="00807C10"/>
    <w:rsid w:val="00807FA1"/>
    <w:rsid w:val="008100B9"/>
    <w:rsid w:val="00810377"/>
    <w:rsid w:val="00810382"/>
    <w:rsid w:val="008107C6"/>
    <w:rsid w:val="008108AD"/>
    <w:rsid w:val="008109D3"/>
    <w:rsid w:val="00810BDF"/>
    <w:rsid w:val="0081108F"/>
    <w:rsid w:val="008114BA"/>
    <w:rsid w:val="0081155D"/>
    <w:rsid w:val="00811AD4"/>
    <w:rsid w:val="00811D4D"/>
    <w:rsid w:val="00812139"/>
    <w:rsid w:val="008122FD"/>
    <w:rsid w:val="00812368"/>
    <w:rsid w:val="0081260E"/>
    <w:rsid w:val="0081262C"/>
    <w:rsid w:val="008126F1"/>
    <w:rsid w:val="008127DB"/>
    <w:rsid w:val="0081280B"/>
    <w:rsid w:val="0081283B"/>
    <w:rsid w:val="00812977"/>
    <w:rsid w:val="00812B5A"/>
    <w:rsid w:val="00812CC9"/>
    <w:rsid w:val="00812E58"/>
    <w:rsid w:val="00813186"/>
    <w:rsid w:val="00813254"/>
    <w:rsid w:val="008138B2"/>
    <w:rsid w:val="008139C1"/>
    <w:rsid w:val="00813AAB"/>
    <w:rsid w:val="00813F32"/>
    <w:rsid w:val="00813FCC"/>
    <w:rsid w:val="00814036"/>
    <w:rsid w:val="0081408A"/>
    <w:rsid w:val="00814128"/>
    <w:rsid w:val="00814274"/>
    <w:rsid w:val="0081444B"/>
    <w:rsid w:val="00814535"/>
    <w:rsid w:val="00814731"/>
    <w:rsid w:val="00814867"/>
    <w:rsid w:val="00814995"/>
    <w:rsid w:val="008149D5"/>
    <w:rsid w:val="00814AB4"/>
    <w:rsid w:val="00814FBA"/>
    <w:rsid w:val="00814FE8"/>
    <w:rsid w:val="008150B9"/>
    <w:rsid w:val="008150D6"/>
    <w:rsid w:val="00815295"/>
    <w:rsid w:val="0081534D"/>
    <w:rsid w:val="008154CB"/>
    <w:rsid w:val="008157AA"/>
    <w:rsid w:val="00815AA7"/>
    <w:rsid w:val="00816373"/>
    <w:rsid w:val="008163D2"/>
    <w:rsid w:val="0081657A"/>
    <w:rsid w:val="008165BD"/>
    <w:rsid w:val="008168C3"/>
    <w:rsid w:val="00816B5D"/>
    <w:rsid w:val="00816C50"/>
    <w:rsid w:val="00816D32"/>
    <w:rsid w:val="00816D4D"/>
    <w:rsid w:val="00816DC7"/>
    <w:rsid w:val="0081713B"/>
    <w:rsid w:val="008171FE"/>
    <w:rsid w:val="008172A2"/>
    <w:rsid w:val="008172DE"/>
    <w:rsid w:val="00817310"/>
    <w:rsid w:val="00817354"/>
    <w:rsid w:val="00817761"/>
    <w:rsid w:val="008178BA"/>
    <w:rsid w:val="00817D91"/>
    <w:rsid w:val="00817DB2"/>
    <w:rsid w:val="00817FCD"/>
    <w:rsid w:val="008201A1"/>
    <w:rsid w:val="0082032C"/>
    <w:rsid w:val="00820767"/>
    <w:rsid w:val="008207CE"/>
    <w:rsid w:val="0082096F"/>
    <w:rsid w:val="00820D68"/>
    <w:rsid w:val="00821032"/>
    <w:rsid w:val="0082112B"/>
    <w:rsid w:val="008211E9"/>
    <w:rsid w:val="00821202"/>
    <w:rsid w:val="00821808"/>
    <w:rsid w:val="008218FC"/>
    <w:rsid w:val="00821B5F"/>
    <w:rsid w:val="00821D68"/>
    <w:rsid w:val="00822210"/>
    <w:rsid w:val="00822624"/>
    <w:rsid w:val="00822676"/>
    <w:rsid w:val="00822B45"/>
    <w:rsid w:val="00822BE0"/>
    <w:rsid w:val="00822C19"/>
    <w:rsid w:val="00822E17"/>
    <w:rsid w:val="0082306F"/>
    <w:rsid w:val="0082313F"/>
    <w:rsid w:val="0082321B"/>
    <w:rsid w:val="008232C3"/>
    <w:rsid w:val="008234BD"/>
    <w:rsid w:val="00823927"/>
    <w:rsid w:val="008239C8"/>
    <w:rsid w:val="00823DA1"/>
    <w:rsid w:val="00823DF5"/>
    <w:rsid w:val="00823E95"/>
    <w:rsid w:val="00824064"/>
    <w:rsid w:val="0082430F"/>
    <w:rsid w:val="008245BF"/>
    <w:rsid w:val="0082466D"/>
    <w:rsid w:val="008246C5"/>
    <w:rsid w:val="00824A8B"/>
    <w:rsid w:val="00824BFE"/>
    <w:rsid w:val="00824D84"/>
    <w:rsid w:val="00824E57"/>
    <w:rsid w:val="00824F73"/>
    <w:rsid w:val="00825D9C"/>
    <w:rsid w:val="00825F04"/>
    <w:rsid w:val="0082635D"/>
    <w:rsid w:val="008265CD"/>
    <w:rsid w:val="008265E9"/>
    <w:rsid w:val="00826763"/>
    <w:rsid w:val="008268DA"/>
    <w:rsid w:val="00826A64"/>
    <w:rsid w:val="00826B21"/>
    <w:rsid w:val="00826F1D"/>
    <w:rsid w:val="00826F7D"/>
    <w:rsid w:val="008270FB"/>
    <w:rsid w:val="00827293"/>
    <w:rsid w:val="008272C8"/>
    <w:rsid w:val="00827430"/>
    <w:rsid w:val="008274A3"/>
    <w:rsid w:val="0082790F"/>
    <w:rsid w:val="00827FC3"/>
    <w:rsid w:val="00830233"/>
    <w:rsid w:val="0083059E"/>
    <w:rsid w:val="00830632"/>
    <w:rsid w:val="008306C4"/>
    <w:rsid w:val="0083074F"/>
    <w:rsid w:val="008307DF"/>
    <w:rsid w:val="008311F5"/>
    <w:rsid w:val="00831219"/>
    <w:rsid w:val="0083124B"/>
    <w:rsid w:val="00831814"/>
    <w:rsid w:val="008318CC"/>
    <w:rsid w:val="0083198F"/>
    <w:rsid w:val="00831B47"/>
    <w:rsid w:val="00831C34"/>
    <w:rsid w:val="00831F6E"/>
    <w:rsid w:val="008323F1"/>
    <w:rsid w:val="0083285E"/>
    <w:rsid w:val="00832988"/>
    <w:rsid w:val="00832A8C"/>
    <w:rsid w:val="00832AE6"/>
    <w:rsid w:val="00832B8C"/>
    <w:rsid w:val="00832BA9"/>
    <w:rsid w:val="00832DDA"/>
    <w:rsid w:val="00832E27"/>
    <w:rsid w:val="00832F55"/>
    <w:rsid w:val="0083306C"/>
    <w:rsid w:val="0083333C"/>
    <w:rsid w:val="00833961"/>
    <w:rsid w:val="00833AB0"/>
    <w:rsid w:val="00833B16"/>
    <w:rsid w:val="00833B30"/>
    <w:rsid w:val="00833BCF"/>
    <w:rsid w:val="00833BD0"/>
    <w:rsid w:val="00833E95"/>
    <w:rsid w:val="00833F8D"/>
    <w:rsid w:val="008340B3"/>
    <w:rsid w:val="008343E9"/>
    <w:rsid w:val="008345AE"/>
    <w:rsid w:val="00834615"/>
    <w:rsid w:val="00834620"/>
    <w:rsid w:val="00834782"/>
    <w:rsid w:val="008349B7"/>
    <w:rsid w:val="00834BFD"/>
    <w:rsid w:val="00835018"/>
    <w:rsid w:val="008353BB"/>
    <w:rsid w:val="0083561B"/>
    <w:rsid w:val="00835708"/>
    <w:rsid w:val="0083582A"/>
    <w:rsid w:val="00835A76"/>
    <w:rsid w:val="00835B54"/>
    <w:rsid w:val="00835C9F"/>
    <w:rsid w:val="00835CCB"/>
    <w:rsid w:val="00835E25"/>
    <w:rsid w:val="00836153"/>
    <w:rsid w:val="00836699"/>
    <w:rsid w:val="00836C3C"/>
    <w:rsid w:val="00836E21"/>
    <w:rsid w:val="00836F14"/>
    <w:rsid w:val="0083706B"/>
    <w:rsid w:val="00837091"/>
    <w:rsid w:val="00837458"/>
    <w:rsid w:val="0083747C"/>
    <w:rsid w:val="008377B2"/>
    <w:rsid w:val="008378A7"/>
    <w:rsid w:val="00837906"/>
    <w:rsid w:val="00837EB4"/>
    <w:rsid w:val="008402CE"/>
    <w:rsid w:val="00840B14"/>
    <w:rsid w:val="00840E75"/>
    <w:rsid w:val="00840F12"/>
    <w:rsid w:val="00841111"/>
    <w:rsid w:val="0084142F"/>
    <w:rsid w:val="00841799"/>
    <w:rsid w:val="008418C1"/>
    <w:rsid w:val="0084193C"/>
    <w:rsid w:val="00841ABB"/>
    <w:rsid w:val="00841D3E"/>
    <w:rsid w:val="0084212F"/>
    <w:rsid w:val="008422EE"/>
    <w:rsid w:val="00842393"/>
    <w:rsid w:val="0084262B"/>
    <w:rsid w:val="00842637"/>
    <w:rsid w:val="0084270B"/>
    <w:rsid w:val="00842790"/>
    <w:rsid w:val="00842AB6"/>
    <w:rsid w:val="00842BB9"/>
    <w:rsid w:val="00842BD5"/>
    <w:rsid w:val="00842DAB"/>
    <w:rsid w:val="00842E8B"/>
    <w:rsid w:val="00842F0B"/>
    <w:rsid w:val="008430F1"/>
    <w:rsid w:val="008436FD"/>
    <w:rsid w:val="00843A37"/>
    <w:rsid w:val="00843AB4"/>
    <w:rsid w:val="00843DEB"/>
    <w:rsid w:val="00843E0E"/>
    <w:rsid w:val="00843EB1"/>
    <w:rsid w:val="008441E5"/>
    <w:rsid w:val="008441FF"/>
    <w:rsid w:val="00844200"/>
    <w:rsid w:val="008445A6"/>
    <w:rsid w:val="00844743"/>
    <w:rsid w:val="00844785"/>
    <w:rsid w:val="00844850"/>
    <w:rsid w:val="00844A6C"/>
    <w:rsid w:val="00844D03"/>
    <w:rsid w:val="00844DBE"/>
    <w:rsid w:val="00844F31"/>
    <w:rsid w:val="00844F4A"/>
    <w:rsid w:val="00845105"/>
    <w:rsid w:val="008454F5"/>
    <w:rsid w:val="00845532"/>
    <w:rsid w:val="00845799"/>
    <w:rsid w:val="00845820"/>
    <w:rsid w:val="008458F2"/>
    <w:rsid w:val="00845AAC"/>
    <w:rsid w:val="00845C89"/>
    <w:rsid w:val="00845FED"/>
    <w:rsid w:val="00846111"/>
    <w:rsid w:val="008468DC"/>
    <w:rsid w:val="00846D37"/>
    <w:rsid w:val="00847052"/>
    <w:rsid w:val="0084706C"/>
    <w:rsid w:val="0084737B"/>
    <w:rsid w:val="008474B6"/>
    <w:rsid w:val="008474EB"/>
    <w:rsid w:val="0084788E"/>
    <w:rsid w:val="008478D4"/>
    <w:rsid w:val="00847B37"/>
    <w:rsid w:val="00847CC4"/>
    <w:rsid w:val="00847D61"/>
    <w:rsid w:val="00847EDF"/>
    <w:rsid w:val="00847F93"/>
    <w:rsid w:val="00847F9E"/>
    <w:rsid w:val="0085020B"/>
    <w:rsid w:val="008502B1"/>
    <w:rsid w:val="0085033E"/>
    <w:rsid w:val="00850443"/>
    <w:rsid w:val="008504E9"/>
    <w:rsid w:val="00850528"/>
    <w:rsid w:val="0085063B"/>
    <w:rsid w:val="008507CC"/>
    <w:rsid w:val="00850B12"/>
    <w:rsid w:val="00850BDC"/>
    <w:rsid w:val="0085106D"/>
    <w:rsid w:val="00851122"/>
    <w:rsid w:val="008514C8"/>
    <w:rsid w:val="00851574"/>
    <w:rsid w:val="008517DC"/>
    <w:rsid w:val="00851924"/>
    <w:rsid w:val="0085198D"/>
    <w:rsid w:val="008519CB"/>
    <w:rsid w:val="00851E81"/>
    <w:rsid w:val="00851FAD"/>
    <w:rsid w:val="0085206B"/>
    <w:rsid w:val="00852147"/>
    <w:rsid w:val="00852220"/>
    <w:rsid w:val="008524A8"/>
    <w:rsid w:val="00852536"/>
    <w:rsid w:val="00852562"/>
    <w:rsid w:val="008525ED"/>
    <w:rsid w:val="00852B40"/>
    <w:rsid w:val="00852BCE"/>
    <w:rsid w:val="00852C60"/>
    <w:rsid w:val="00852DBF"/>
    <w:rsid w:val="00853385"/>
    <w:rsid w:val="008533DA"/>
    <w:rsid w:val="008535DF"/>
    <w:rsid w:val="008536A0"/>
    <w:rsid w:val="0085377D"/>
    <w:rsid w:val="00853895"/>
    <w:rsid w:val="00853BF0"/>
    <w:rsid w:val="00853C3A"/>
    <w:rsid w:val="00853DBF"/>
    <w:rsid w:val="00853E74"/>
    <w:rsid w:val="00853F2F"/>
    <w:rsid w:val="00854081"/>
    <w:rsid w:val="008544EA"/>
    <w:rsid w:val="008545A3"/>
    <w:rsid w:val="00854A89"/>
    <w:rsid w:val="00854B2A"/>
    <w:rsid w:val="00854C6F"/>
    <w:rsid w:val="0085508F"/>
    <w:rsid w:val="008551B4"/>
    <w:rsid w:val="0085521A"/>
    <w:rsid w:val="008553E5"/>
    <w:rsid w:val="0085580B"/>
    <w:rsid w:val="00855882"/>
    <w:rsid w:val="00855A58"/>
    <w:rsid w:val="00855B52"/>
    <w:rsid w:val="00855B76"/>
    <w:rsid w:val="00855EE6"/>
    <w:rsid w:val="008561F4"/>
    <w:rsid w:val="008567EC"/>
    <w:rsid w:val="0085696B"/>
    <w:rsid w:val="00856B32"/>
    <w:rsid w:val="00856DF3"/>
    <w:rsid w:val="00856FE9"/>
    <w:rsid w:val="00857265"/>
    <w:rsid w:val="008572BD"/>
    <w:rsid w:val="0085792E"/>
    <w:rsid w:val="00857E35"/>
    <w:rsid w:val="00860414"/>
    <w:rsid w:val="008605CA"/>
    <w:rsid w:val="00860BB2"/>
    <w:rsid w:val="00860F2C"/>
    <w:rsid w:val="00861851"/>
    <w:rsid w:val="008618F1"/>
    <w:rsid w:val="00861A0B"/>
    <w:rsid w:val="00861E24"/>
    <w:rsid w:val="00861EEF"/>
    <w:rsid w:val="00861FAB"/>
    <w:rsid w:val="00862AFB"/>
    <w:rsid w:val="00862BD9"/>
    <w:rsid w:val="00862C55"/>
    <w:rsid w:val="00862C5C"/>
    <w:rsid w:val="00862D22"/>
    <w:rsid w:val="00862D80"/>
    <w:rsid w:val="00862E44"/>
    <w:rsid w:val="00863255"/>
    <w:rsid w:val="00863368"/>
    <w:rsid w:val="008634AD"/>
    <w:rsid w:val="00863533"/>
    <w:rsid w:val="008636D3"/>
    <w:rsid w:val="00863937"/>
    <w:rsid w:val="0086394B"/>
    <w:rsid w:val="00863CD4"/>
    <w:rsid w:val="00863D5D"/>
    <w:rsid w:val="008642A0"/>
    <w:rsid w:val="0086447D"/>
    <w:rsid w:val="00864A3B"/>
    <w:rsid w:val="008652E2"/>
    <w:rsid w:val="00865352"/>
    <w:rsid w:val="0086558C"/>
    <w:rsid w:val="00865A68"/>
    <w:rsid w:val="00865BA1"/>
    <w:rsid w:val="00866016"/>
    <w:rsid w:val="00866514"/>
    <w:rsid w:val="0086656C"/>
    <w:rsid w:val="00867016"/>
    <w:rsid w:val="00867211"/>
    <w:rsid w:val="008676A4"/>
    <w:rsid w:val="008676B4"/>
    <w:rsid w:val="00867715"/>
    <w:rsid w:val="00867973"/>
    <w:rsid w:val="00867D04"/>
    <w:rsid w:val="00867F3E"/>
    <w:rsid w:val="0087001D"/>
    <w:rsid w:val="0087022F"/>
    <w:rsid w:val="0087032D"/>
    <w:rsid w:val="00870589"/>
    <w:rsid w:val="0087096D"/>
    <w:rsid w:val="00870C07"/>
    <w:rsid w:val="00870E85"/>
    <w:rsid w:val="00870FF1"/>
    <w:rsid w:val="00870FF9"/>
    <w:rsid w:val="00871B5D"/>
    <w:rsid w:val="00871FC1"/>
    <w:rsid w:val="008724EF"/>
    <w:rsid w:val="0087269E"/>
    <w:rsid w:val="008728F0"/>
    <w:rsid w:val="0087297F"/>
    <w:rsid w:val="008729B4"/>
    <w:rsid w:val="00872A87"/>
    <w:rsid w:val="00872C48"/>
    <w:rsid w:val="00872D9E"/>
    <w:rsid w:val="00872EEA"/>
    <w:rsid w:val="00873010"/>
    <w:rsid w:val="00873053"/>
    <w:rsid w:val="008730CC"/>
    <w:rsid w:val="00873126"/>
    <w:rsid w:val="008732D1"/>
    <w:rsid w:val="00873960"/>
    <w:rsid w:val="008739A6"/>
    <w:rsid w:val="00873A4C"/>
    <w:rsid w:val="00873B0B"/>
    <w:rsid w:val="00873B45"/>
    <w:rsid w:val="00873FF7"/>
    <w:rsid w:val="008742AB"/>
    <w:rsid w:val="0087434B"/>
    <w:rsid w:val="0087455A"/>
    <w:rsid w:val="00874873"/>
    <w:rsid w:val="00874882"/>
    <w:rsid w:val="008748F0"/>
    <w:rsid w:val="008749B2"/>
    <w:rsid w:val="008749B5"/>
    <w:rsid w:val="00874B5C"/>
    <w:rsid w:val="00874C87"/>
    <w:rsid w:val="00874E0C"/>
    <w:rsid w:val="00875227"/>
    <w:rsid w:val="008752D5"/>
    <w:rsid w:val="00875439"/>
    <w:rsid w:val="00875549"/>
    <w:rsid w:val="008756CB"/>
    <w:rsid w:val="0087572C"/>
    <w:rsid w:val="00875898"/>
    <w:rsid w:val="008758B7"/>
    <w:rsid w:val="008758C2"/>
    <w:rsid w:val="008758C4"/>
    <w:rsid w:val="00875A57"/>
    <w:rsid w:val="00875C73"/>
    <w:rsid w:val="00875DDF"/>
    <w:rsid w:val="00876141"/>
    <w:rsid w:val="00876459"/>
    <w:rsid w:val="00876515"/>
    <w:rsid w:val="0087696B"/>
    <w:rsid w:val="00876BDC"/>
    <w:rsid w:val="00876C14"/>
    <w:rsid w:val="00876DD5"/>
    <w:rsid w:val="008771C3"/>
    <w:rsid w:val="008771DC"/>
    <w:rsid w:val="0087741F"/>
    <w:rsid w:val="0087758F"/>
    <w:rsid w:val="00877722"/>
    <w:rsid w:val="00877C2F"/>
    <w:rsid w:val="00880016"/>
    <w:rsid w:val="0088015A"/>
    <w:rsid w:val="00880433"/>
    <w:rsid w:val="00880565"/>
    <w:rsid w:val="00880632"/>
    <w:rsid w:val="00880842"/>
    <w:rsid w:val="00880B71"/>
    <w:rsid w:val="00880BFD"/>
    <w:rsid w:val="00880ECA"/>
    <w:rsid w:val="00881100"/>
    <w:rsid w:val="00881375"/>
    <w:rsid w:val="00881463"/>
    <w:rsid w:val="008818B6"/>
    <w:rsid w:val="008818F7"/>
    <w:rsid w:val="00881B4B"/>
    <w:rsid w:val="00881C1B"/>
    <w:rsid w:val="00881D22"/>
    <w:rsid w:val="00881D60"/>
    <w:rsid w:val="00881EE0"/>
    <w:rsid w:val="0088211A"/>
    <w:rsid w:val="00882231"/>
    <w:rsid w:val="00882287"/>
    <w:rsid w:val="00882778"/>
    <w:rsid w:val="00882829"/>
    <w:rsid w:val="00882847"/>
    <w:rsid w:val="00882857"/>
    <w:rsid w:val="0088294E"/>
    <w:rsid w:val="00882A84"/>
    <w:rsid w:val="00882A96"/>
    <w:rsid w:val="00882B34"/>
    <w:rsid w:val="00882CBE"/>
    <w:rsid w:val="00882D81"/>
    <w:rsid w:val="00882EBA"/>
    <w:rsid w:val="00882FC0"/>
    <w:rsid w:val="00883009"/>
    <w:rsid w:val="008830EB"/>
    <w:rsid w:val="00883B5D"/>
    <w:rsid w:val="00883CB3"/>
    <w:rsid w:val="00883F7F"/>
    <w:rsid w:val="00883FE2"/>
    <w:rsid w:val="00884134"/>
    <w:rsid w:val="00884971"/>
    <w:rsid w:val="00884A7D"/>
    <w:rsid w:val="00884AEE"/>
    <w:rsid w:val="00884E0C"/>
    <w:rsid w:val="00884FEA"/>
    <w:rsid w:val="00885459"/>
    <w:rsid w:val="008855D4"/>
    <w:rsid w:val="008858E5"/>
    <w:rsid w:val="00885F89"/>
    <w:rsid w:val="0088634E"/>
    <w:rsid w:val="008863B4"/>
    <w:rsid w:val="008863F4"/>
    <w:rsid w:val="008865B6"/>
    <w:rsid w:val="00886699"/>
    <w:rsid w:val="00886A57"/>
    <w:rsid w:val="00886ACA"/>
    <w:rsid w:val="00886AE3"/>
    <w:rsid w:val="00886F83"/>
    <w:rsid w:val="00886F8C"/>
    <w:rsid w:val="00887110"/>
    <w:rsid w:val="00887301"/>
    <w:rsid w:val="008873D4"/>
    <w:rsid w:val="008875E1"/>
    <w:rsid w:val="00887A1F"/>
    <w:rsid w:val="00887CD0"/>
    <w:rsid w:val="00887CE7"/>
    <w:rsid w:val="00887F32"/>
    <w:rsid w:val="008901D1"/>
    <w:rsid w:val="00890397"/>
    <w:rsid w:val="008903CC"/>
    <w:rsid w:val="008904DF"/>
    <w:rsid w:val="00890698"/>
    <w:rsid w:val="00890857"/>
    <w:rsid w:val="00890989"/>
    <w:rsid w:val="00890A86"/>
    <w:rsid w:val="00890D69"/>
    <w:rsid w:val="0089103D"/>
    <w:rsid w:val="008910B5"/>
    <w:rsid w:val="00891576"/>
    <w:rsid w:val="0089183C"/>
    <w:rsid w:val="00891949"/>
    <w:rsid w:val="00891B0C"/>
    <w:rsid w:val="00892216"/>
    <w:rsid w:val="0089247E"/>
    <w:rsid w:val="008925CF"/>
    <w:rsid w:val="0089265A"/>
    <w:rsid w:val="008926C1"/>
    <w:rsid w:val="008926E0"/>
    <w:rsid w:val="00892940"/>
    <w:rsid w:val="00892C87"/>
    <w:rsid w:val="00892D4F"/>
    <w:rsid w:val="00892DD0"/>
    <w:rsid w:val="00892F9A"/>
    <w:rsid w:val="0089342A"/>
    <w:rsid w:val="0089378A"/>
    <w:rsid w:val="00893A80"/>
    <w:rsid w:val="00893B00"/>
    <w:rsid w:val="00893CE6"/>
    <w:rsid w:val="00893D8A"/>
    <w:rsid w:val="00893DC9"/>
    <w:rsid w:val="008944E2"/>
    <w:rsid w:val="00894547"/>
    <w:rsid w:val="008945C9"/>
    <w:rsid w:val="00894770"/>
    <w:rsid w:val="00894821"/>
    <w:rsid w:val="00894832"/>
    <w:rsid w:val="00894865"/>
    <w:rsid w:val="00894C18"/>
    <w:rsid w:val="00894CE0"/>
    <w:rsid w:val="00894D44"/>
    <w:rsid w:val="00894F21"/>
    <w:rsid w:val="008950B9"/>
    <w:rsid w:val="0089533A"/>
    <w:rsid w:val="0089536D"/>
    <w:rsid w:val="0089538F"/>
    <w:rsid w:val="0089579D"/>
    <w:rsid w:val="00895A18"/>
    <w:rsid w:val="00895D7A"/>
    <w:rsid w:val="00895EC7"/>
    <w:rsid w:val="008960DF"/>
    <w:rsid w:val="008961A3"/>
    <w:rsid w:val="008961E3"/>
    <w:rsid w:val="00896499"/>
    <w:rsid w:val="0089675B"/>
    <w:rsid w:val="008968E9"/>
    <w:rsid w:val="0089699D"/>
    <w:rsid w:val="00896E2D"/>
    <w:rsid w:val="00897031"/>
    <w:rsid w:val="00897224"/>
    <w:rsid w:val="008974BA"/>
    <w:rsid w:val="008974F2"/>
    <w:rsid w:val="00897567"/>
    <w:rsid w:val="008A0249"/>
    <w:rsid w:val="008A02D4"/>
    <w:rsid w:val="008A06F7"/>
    <w:rsid w:val="008A0937"/>
    <w:rsid w:val="008A0C99"/>
    <w:rsid w:val="008A0D65"/>
    <w:rsid w:val="008A0F6E"/>
    <w:rsid w:val="008A1623"/>
    <w:rsid w:val="008A1B40"/>
    <w:rsid w:val="008A1C32"/>
    <w:rsid w:val="008A1D8D"/>
    <w:rsid w:val="008A221B"/>
    <w:rsid w:val="008A22F5"/>
    <w:rsid w:val="008A234A"/>
    <w:rsid w:val="008A2511"/>
    <w:rsid w:val="008A2B25"/>
    <w:rsid w:val="008A2B54"/>
    <w:rsid w:val="008A2CD7"/>
    <w:rsid w:val="008A2CDF"/>
    <w:rsid w:val="008A2EE9"/>
    <w:rsid w:val="008A3267"/>
    <w:rsid w:val="008A33EB"/>
    <w:rsid w:val="008A34A4"/>
    <w:rsid w:val="008A35B2"/>
    <w:rsid w:val="008A3627"/>
    <w:rsid w:val="008A3900"/>
    <w:rsid w:val="008A396B"/>
    <w:rsid w:val="008A3E52"/>
    <w:rsid w:val="008A403C"/>
    <w:rsid w:val="008A40F9"/>
    <w:rsid w:val="008A42DB"/>
    <w:rsid w:val="008A4774"/>
    <w:rsid w:val="008A4A71"/>
    <w:rsid w:val="008A4D2A"/>
    <w:rsid w:val="008A4E3C"/>
    <w:rsid w:val="008A4FE2"/>
    <w:rsid w:val="008A5435"/>
    <w:rsid w:val="008A55C5"/>
    <w:rsid w:val="008A56B3"/>
    <w:rsid w:val="008A5B0F"/>
    <w:rsid w:val="008A5C31"/>
    <w:rsid w:val="008A5C8C"/>
    <w:rsid w:val="008A60DE"/>
    <w:rsid w:val="008A61BC"/>
    <w:rsid w:val="008A61BD"/>
    <w:rsid w:val="008A622D"/>
    <w:rsid w:val="008A6378"/>
    <w:rsid w:val="008A649E"/>
    <w:rsid w:val="008A6501"/>
    <w:rsid w:val="008A65A0"/>
    <w:rsid w:val="008A6691"/>
    <w:rsid w:val="008A6776"/>
    <w:rsid w:val="008A6A11"/>
    <w:rsid w:val="008A6D75"/>
    <w:rsid w:val="008A6F77"/>
    <w:rsid w:val="008A733E"/>
    <w:rsid w:val="008A7773"/>
    <w:rsid w:val="008A77FF"/>
    <w:rsid w:val="008A7896"/>
    <w:rsid w:val="008A7B76"/>
    <w:rsid w:val="008A7DFE"/>
    <w:rsid w:val="008A7E1C"/>
    <w:rsid w:val="008B03F0"/>
    <w:rsid w:val="008B0478"/>
    <w:rsid w:val="008B0566"/>
    <w:rsid w:val="008B065C"/>
    <w:rsid w:val="008B067E"/>
    <w:rsid w:val="008B0B77"/>
    <w:rsid w:val="008B11D2"/>
    <w:rsid w:val="008B1368"/>
    <w:rsid w:val="008B16CC"/>
    <w:rsid w:val="008B1985"/>
    <w:rsid w:val="008B1C99"/>
    <w:rsid w:val="008B1E12"/>
    <w:rsid w:val="008B1EDB"/>
    <w:rsid w:val="008B2747"/>
    <w:rsid w:val="008B29C5"/>
    <w:rsid w:val="008B2AA6"/>
    <w:rsid w:val="008B2AB4"/>
    <w:rsid w:val="008B2D01"/>
    <w:rsid w:val="008B2DBF"/>
    <w:rsid w:val="008B2F81"/>
    <w:rsid w:val="008B33CA"/>
    <w:rsid w:val="008B3492"/>
    <w:rsid w:val="008B3527"/>
    <w:rsid w:val="008B3641"/>
    <w:rsid w:val="008B37E9"/>
    <w:rsid w:val="008B37F2"/>
    <w:rsid w:val="008B3E1A"/>
    <w:rsid w:val="008B4473"/>
    <w:rsid w:val="008B4475"/>
    <w:rsid w:val="008B44D5"/>
    <w:rsid w:val="008B4531"/>
    <w:rsid w:val="008B4A0C"/>
    <w:rsid w:val="008B4B45"/>
    <w:rsid w:val="008B4C20"/>
    <w:rsid w:val="008B4D85"/>
    <w:rsid w:val="008B4E48"/>
    <w:rsid w:val="008B4EEB"/>
    <w:rsid w:val="008B4F1A"/>
    <w:rsid w:val="008B4F5B"/>
    <w:rsid w:val="008B5271"/>
    <w:rsid w:val="008B52CB"/>
    <w:rsid w:val="008B53CB"/>
    <w:rsid w:val="008B54BF"/>
    <w:rsid w:val="008B54DC"/>
    <w:rsid w:val="008B5B09"/>
    <w:rsid w:val="008B5B10"/>
    <w:rsid w:val="008B5BC3"/>
    <w:rsid w:val="008B5F8B"/>
    <w:rsid w:val="008B634B"/>
    <w:rsid w:val="008B6400"/>
    <w:rsid w:val="008B64D6"/>
    <w:rsid w:val="008B6708"/>
    <w:rsid w:val="008B67FC"/>
    <w:rsid w:val="008B681C"/>
    <w:rsid w:val="008B6879"/>
    <w:rsid w:val="008B6A17"/>
    <w:rsid w:val="008B6B0A"/>
    <w:rsid w:val="008B6C15"/>
    <w:rsid w:val="008B6F98"/>
    <w:rsid w:val="008B7110"/>
    <w:rsid w:val="008B7641"/>
    <w:rsid w:val="008B797C"/>
    <w:rsid w:val="008B797E"/>
    <w:rsid w:val="008B7A7F"/>
    <w:rsid w:val="008B7E84"/>
    <w:rsid w:val="008C047F"/>
    <w:rsid w:val="008C0846"/>
    <w:rsid w:val="008C08EC"/>
    <w:rsid w:val="008C0BE2"/>
    <w:rsid w:val="008C0D0C"/>
    <w:rsid w:val="008C0F6B"/>
    <w:rsid w:val="008C1032"/>
    <w:rsid w:val="008C1220"/>
    <w:rsid w:val="008C12F9"/>
    <w:rsid w:val="008C1354"/>
    <w:rsid w:val="008C142E"/>
    <w:rsid w:val="008C16F9"/>
    <w:rsid w:val="008C18C1"/>
    <w:rsid w:val="008C1C00"/>
    <w:rsid w:val="008C1EB7"/>
    <w:rsid w:val="008C1F30"/>
    <w:rsid w:val="008C2207"/>
    <w:rsid w:val="008C22D0"/>
    <w:rsid w:val="008C22FF"/>
    <w:rsid w:val="008C275B"/>
    <w:rsid w:val="008C2FC2"/>
    <w:rsid w:val="008C2FE1"/>
    <w:rsid w:val="008C30DF"/>
    <w:rsid w:val="008C3226"/>
    <w:rsid w:val="008C3291"/>
    <w:rsid w:val="008C341F"/>
    <w:rsid w:val="008C3591"/>
    <w:rsid w:val="008C3EA4"/>
    <w:rsid w:val="008C426F"/>
    <w:rsid w:val="008C4872"/>
    <w:rsid w:val="008C4E1E"/>
    <w:rsid w:val="008C4F56"/>
    <w:rsid w:val="008C4F76"/>
    <w:rsid w:val="008C505F"/>
    <w:rsid w:val="008C50F7"/>
    <w:rsid w:val="008C52A3"/>
    <w:rsid w:val="008C5373"/>
    <w:rsid w:val="008C56B9"/>
    <w:rsid w:val="008C5811"/>
    <w:rsid w:val="008C58A8"/>
    <w:rsid w:val="008C58D8"/>
    <w:rsid w:val="008C5D09"/>
    <w:rsid w:val="008C5FF4"/>
    <w:rsid w:val="008C60B3"/>
    <w:rsid w:val="008C60F5"/>
    <w:rsid w:val="008C6111"/>
    <w:rsid w:val="008C63A1"/>
    <w:rsid w:val="008C6590"/>
    <w:rsid w:val="008C66B6"/>
    <w:rsid w:val="008C69F2"/>
    <w:rsid w:val="008C6F42"/>
    <w:rsid w:val="008C7179"/>
    <w:rsid w:val="008C767B"/>
    <w:rsid w:val="008C7854"/>
    <w:rsid w:val="008C7959"/>
    <w:rsid w:val="008C7B97"/>
    <w:rsid w:val="008C7D60"/>
    <w:rsid w:val="008C7F83"/>
    <w:rsid w:val="008D01D5"/>
    <w:rsid w:val="008D0241"/>
    <w:rsid w:val="008D02A2"/>
    <w:rsid w:val="008D0391"/>
    <w:rsid w:val="008D087F"/>
    <w:rsid w:val="008D089A"/>
    <w:rsid w:val="008D0A74"/>
    <w:rsid w:val="008D0AA7"/>
    <w:rsid w:val="008D0BFA"/>
    <w:rsid w:val="008D0C22"/>
    <w:rsid w:val="008D0FD2"/>
    <w:rsid w:val="008D15EE"/>
    <w:rsid w:val="008D16D2"/>
    <w:rsid w:val="008D16D6"/>
    <w:rsid w:val="008D189D"/>
    <w:rsid w:val="008D1ADA"/>
    <w:rsid w:val="008D1CFF"/>
    <w:rsid w:val="008D1DDD"/>
    <w:rsid w:val="008D1DEA"/>
    <w:rsid w:val="008D248B"/>
    <w:rsid w:val="008D2580"/>
    <w:rsid w:val="008D26E3"/>
    <w:rsid w:val="008D2C41"/>
    <w:rsid w:val="008D3397"/>
    <w:rsid w:val="008D33C4"/>
    <w:rsid w:val="008D3504"/>
    <w:rsid w:val="008D3517"/>
    <w:rsid w:val="008D353E"/>
    <w:rsid w:val="008D3712"/>
    <w:rsid w:val="008D389F"/>
    <w:rsid w:val="008D3973"/>
    <w:rsid w:val="008D3ADE"/>
    <w:rsid w:val="008D454B"/>
    <w:rsid w:val="008D4714"/>
    <w:rsid w:val="008D4AD3"/>
    <w:rsid w:val="008D4B93"/>
    <w:rsid w:val="008D4C2E"/>
    <w:rsid w:val="008D526A"/>
    <w:rsid w:val="008D5331"/>
    <w:rsid w:val="008D55CE"/>
    <w:rsid w:val="008D565F"/>
    <w:rsid w:val="008D57D6"/>
    <w:rsid w:val="008D5970"/>
    <w:rsid w:val="008D59BB"/>
    <w:rsid w:val="008D5B53"/>
    <w:rsid w:val="008D5C13"/>
    <w:rsid w:val="008D5D93"/>
    <w:rsid w:val="008D60E2"/>
    <w:rsid w:val="008D6198"/>
    <w:rsid w:val="008D62AF"/>
    <w:rsid w:val="008D636F"/>
    <w:rsid w:val="008D63A1"/>
    <w:rsid w:val="008D6765"/>
    <w:rsid w:val="008D68A4"/>
    <w:rsid w:val="008D68E5"/>
    <w:rsid w:val="008D69EA"/>
    <w:rsid w:val="008D6AAB"/>
    <w:rsid w:val="008D6D41"/>
    <w:rsid w:val="008D6E4D"/>
    <w:rsid w:val="008D6E8A"/>
    <w:rsid w:val="008D6F2D"/>
    <w:rsid w:val="008D70AE"/>
    <w:rsid w:val="008D7139"/>
    <w:rsid w:val="008D7270"/>
    <w:rsid w:val="008D72C1"/>
    <w:rsid w:val="008D773C"/>
    <w:rsid w:val="008D7749"/>
    <w:rsid w:val="008D778F"/>
    <w:rsid w:val="008D7877"/>
    <w:rsid w:val="008D7A6A"/>
    <w:rsid w:val="008D7EF7"/>
    <w:rsid w:val="008D7FC8"/>
    <w:rsid w:val="008E0093"/>
    <w:rsid w:val="008E045A"/>
    <w:rsid w:val="008E06D6"/>
    <w:rsid w:val="008E076A"/>
    <w:rsid w:val="008E0B42"/>
    <w:rsid w:val="008E0C4E"/>
    <w:rsid w:val="008E0F1E"/>
    <w:rsid w:val="008E0FAC"/>
    <w:rsid w:val="008E1196"/>
    <w:rsid w:val="008E1721"/>
    <w:rsid w:val="008E1746"/>
    <w:rsid w:val="008E1880"/>
    <w:rsid w:val="008E1B3D"/>
    <w:rsid w:val="008E1F4E"/>
    <w:rsid w:val="008E20DC"/>
    <w:rsid w:val="008E223C"/>
    <w:rsid w:val="008E268F"/>
    <w:rsid w:val="008E27EF"/>
    <w:rsid w:val="008E2B25"/>
    <w:rsid w:val="008E32C6"/>
    <w:rsid w:val="008E3445"/>
    <w:rsid w:val="008E36AD"/>
    <w:rsid w:val="008E390D"/>
    <w:rsid w:val="008E3C68"/>
    <w:rsid w:val="008E44F0"/>
    <w:rsid w:val="008E473A"/>
    <w:rsid w:val="008E49C5"/>
    <w:rsid w:val="008E4C6A"/>
    <w:rsid w:val="008E4EE8"/>
    <w:rsid w:val="008E4FE3"/>
    <w:rsid w:val="008E52A7"/>
    <w:rsid w:val="008E532F"/>
    <w:rsid w:val="008E5640"/>
    <w:rsid w:val="008E58E0"/>
    <w:rsid w:val="008E5960"/>
    <w:rsid w:val="008E5AEB"/>
    <w:rsid w:val="008E5F4A"/>
    <w:rsid w:val="008E5F80"/>
    <w:rsid w:val="008E64EB"/>
    <w:rsid w:val="008E6713"/>
    <w:rsid w:val="008E683C"/>
    <w:rsid w:val="008E68B5"/>
    <w:rsid w:val="008E68E6"/>
    <w:rsid w:val="008E709B"/>
    <w:rsid w:val="008E72A9"/>
    <w:rsid w:val="008E7359"/>
    <w:rsid w:val="008E73A0"/>
    <w:rsid w:val="008E74EA"/>
    <w:rsid w:val="008E76C4"/>
    <w:rsid w:val="008E7855"/>
    <w:rsid w:val="008E7A39"/>
    <w:rsid w:val="008E7AF7"/>
    <w:rsid w:val="008E7DB7"/>
    <w:rsid w:val="008E7F63"/>
    <w:rsid w:val="008F0153"/>
    <w:rsid w:val="008F047C"/>
    <w:rsid w:val="008F04E8"/>
    <w:rsid w:val="008F06A1"/>
    <w:rsid w:val="008F07EA"/>
    <w:rsid w:val="008F10DD"/>
    <w:rsid w:val="008F1260"/>
    <w:rsid w:val="008F167F"/>
    <w:rsid w:val="008F17B0"/>
    <w:rsid w:val="008F17B3"/>
    <w:rsid w:val="008F193A"/>
    <w:rsid w:val="008F20DB"/>
    <w:rsid w:val="008F213D"/>
    <w:rsid w:val="008F2344"/>
    <w:rsid w:val="008F29C6"/>
    <w:rsid w:val="008F2A99"/>
    <w:rsid w:val="008F2D11"/>
    <w:rsid w:val="008F2D79"/>
    <w:rsid w:val="008F2E19"/>
    <w:rsid w:val="008F2E22"/>
    <w:rsid w:val="008F3079"/>
    <w:rsid w:val="008F30DC"/>
    <w:rsid w:val="008F32BC"/>
    <w:rsid w:val="008F3343"/>
    <w:rsid w:val="008F34F3"/>
    <w:rsid w:val="008F358F"/>
    <w:rsid w:val="008F3F2C"/>
    <w:rsid w:val="008F3FCF"/>
    <w:rsid w:val="008F407B"/>
    <w:rsid w:val="008F43C0"/>
    <w:rsid w:val="008F45B8"/>
    <w:rsid w:val="008F46A7"/>
    <w:rsid w:val="008F4A3F"/>
    <w:rsid w:val="008F4F8D"/>
    <w:rsid w:val="008F5507"/>
    <w:rsid w:val="008F55FC"/>
    <w:rsid w:val="008F5B07"/>
    <w:rsid w:val="008F5CF0"/>
    <w:rsid w:val="008F5DF7"/>
    <w:rsid w:val="008F5E0D"/>
    <w:rsid w:val="008F5ED6"/>
    <w:rsid w:val="008F66A5"/>
    <w:rsid w:val="008F677E"/>
    <w:rsid w:val="008F69A8"/>
    <w:rsid w:val="008F6F0E"/>
    <w:rsid w:val="008F6F5D"/>
    <w:rsid w:val="008F72EB"/>
    <w:rsid w:val="008F7347"/>
    <w:rsid w:val="008F748D"/>
    <w:rsid w:val="008F761F"/>
    <w:rsid w:val="008F76B4"/>
    <w:rsid w:val="008F77A1"/>
    <w:rsid w:val="008F7C90"/>
    <w:rsid w:val="008F7CAD"/>
    <w:rsid w:val="009002B2"/>
    <w:rsid w:val="009003DD"/>
    <w:rsid w:val="00900479"/>
    <w:rsid w:val="009007F7"/>
    <w:rsid w:val="0090087A"/>
    <w:rsid w:val="009009E2"/>
    <w:rsid w:val="009009EA"/>
    <w:rsid w:val="00900B85"/>
    <w:rsid w:val="00900D2C"/>
    <w:rsid w:val="00900E7E"/>
    <w:rsid w:val="00900F9E"/>
    <w:rsid w:val="00901183"/>
    <w:rsid w:val="009011C4"/>
    <w:rsid w:val="00901228"/>
    <w:rsid w:val="009015B2"/>
    <w:rsid w:val="00901654"/>
    <w:rsid w:val="0090175E"/>
    <w:rsid w:val="00901822"/>
    <w:rsid w:val="0090192C"/>
    <w:rsid w:val="00901B34"/>
    <w:rsid w:val="00901C4C"/>
    <w:rsid w:val="00901D39"/>
    <w:rsid w:val="00902018"/>
    <w:rsid w:val="009022A1"/>
    <w:rsid w:val="009023AC"/>
    <w:rsid w:val="009023C8"/>
    <w:rsid w:val="009023D4"/>
    <w:rsid w:val="0090250F"/>
    <w:rsid w:val="00902524"/>
    <w:rsid w:val="009027C8"/>
    <w:rsid w:val="00902A07"/>
    <w:rsid w:val="00903507"/>
    <w:rsid w:val="0090355E"/>
    <w:rsid w:val="0090366A"/>
    <w:rsid w:val="009036CF"/>
    <w:rsid w:val="00903761"/>
    <w:rsid w:val="009038C9"/>
    <w:rsid w:val="00903A62"/>
    <w:rsid w:val="00903B92"/>
    <w:rsid w:val="009040A8"/>
    <w:rsid w:val="0090414C"/>
    <w:rsid w:val="00904259"/>
    <w:rsid w:val="00904271"/>
    <w:rsid w:val="009042AC"/>
    <w:rsid w:val="009042F3"/>
    <w:rsid w:val="00904382"/>
    <w:rsid w:val="0090463F"/>
    <w:rsid w:val="00904719"/>
    <w:rsid w:val="009047AF"/>
    <w:rsid w:val="009047FD"/>
    <w:rsid w:val="009048AD"/>
    <w:rsid w:val="009049E5"/>
    <w:rsid w:val="00904AD0"/>
    <w:rsid w:val="00904B0E"/>
    <w:rsid w:val="00904CFF"/>
    <w:rsid w:val="00904F4F"/>
    <w:rsid w:val="00905278"/>
    <w:rsid w:val="00905492"/>
    <w:rsid w:val="009055DD"/>
    <w:rsid w:val="00905C44"/>
    <w:rsid w:val="00905DB4"/>
    <w:rsid w:val="00906266"/>
    <w:rsid w:val="00906376"/>
    <w:rsid w:val="009063A3"/>
    <w:rsid w:val="009063AA"/>
    <w:rsid w:val="0090678C"/>
    <w:rsid w:val="00906D2F"/>
    <w:rsid w:val="00906D40"/>
    <w:rsid w:val="00906F30"/>
    <w:rsid w:val="00907043"/>
    <w:rsid w:val="0090720D"/>
    <w:rsid w:val="00907273"/>
    <w:rsid w:val="009072C3"/>
    <w:rsid w:val="009075F3"/>
    <w:rsid w:val="00907895"/>
    <w:rsid w:val="00907919"/>
    <w:rsid w:val="009079A6"/>
    <w:rsid w:val="00907F10"/>
    <w:rsid w:val="00907F9D"/>
    <w:rsid w:val="009100F8"/>
    <w:rsid w:val="009102F5"/>
    <w:rsid w:val="009104F0"/>
    <w:rsid w:val="009105D4"/>
    <w:rsid w:val="009105D8"/>
    <w:rsid w:val="00910731"/>
    <w:rsid w:val="0091089C"/>
    <w:rsid w:val="0091094F"/>
    <w:rsid w:val="00910A41"/>
    <w:rsid w:val="00910BE0"/>
    <w:rsid w:val="009112AF"/>
    <w:rsid w:val="009112B4"/>
    <w:rsid w:val="00911302"/>
    <w:rsid w:val="0091132A"/>
    <w:rsid w:val="009115BD"/>
    <w:rsid w:val="009118A8"/>
    <w:rsid w:val="0091190B"/>
    <w:rsid w:val="00911AB3"/>
    <w:rsid w:val="00911B1D"/>
    <w:rsid w:val="00911BA2"/>
    <w:rsid w:val="00911D8A"/>
    <w:rsid w:val="00911DF6"/>
    <w:rsid w:val="0091255F"/>
    <w:rsid w:val="00912A35"/>
    <w:rsid w:val="00912A45"/>
    <w:rsid w:val="00912B7D"/>
    <w:rsid w:val="00913057"/>
    <w:rsid w:val="00913372"/>
    <w:rsid w:val="0091370B"/>
    <w:rsid w:val="0091378F"/>
    <w:rsid w:val="00913819"/>
    <w:rsid w:val="00913965"/>
    <w:rsid w:val="00913B57"/>
    <w:rsid w:val="00913C22"/>
    <w:rsid w:val="00913D1F"/>
    <w:rsid w:val="00913DC0"/>
    <w:rsid w:val="00913EA1"/>
    <w:rsid w:val="00914466"/>
    <w:rsid w:val="0091446B"/>
    <w:rsid w:val="009145B8"/>
    <w:rsid w:val="009146A5"/>
    <w:rsid w:val="009146DF"/>
    <w:rsid w:val="00914C18"/>
    <w:rsid w:val="00915629"/>
    <w:rsid w:val="00915650"/>
    <w:rsid w:val="00915779"/>
    <w:rsid w:val="0091587B"/>
    <w:rsid w:val="00915BBC"/>
    <w:rsid w:val="00915BE2"/>
    <w:rsid w:val="00915C86"/>
    <w:rsid w:val="0091606D"/>
    <w:rsid w:val="009160DC"/>
    <w:rsid w:val="00916176"/>
    <w:rsid w:val="0091623D"/>
    <w:rsid w:val="00916307"/>
    <w:rsid w:val="00916570"/>
    <w:rsid w:val="0091665B"/>
    <w:rsid w:val="00916879"/>
    <w:rsid w:val="009169D8"/>
    <w:rsid w:val="00916B77"/>
    <w:rsid w:val="00916BDB"/>
    <w:rsid w:val="00916DB8"/>
    <w:rsid w:val="00917448"/>
    <w:rsid w:val="009176B1"/>
    <w:rsid w:val="00917C5D"/>
    <w:rsid w:val="00917D95"/>
    <w:rsid w:val="00917EF4"/>
    <w:rsid w:val="009200D9"/>
    <w:rsid w:val="0092011A"/>
    <w:rsid w:val="00920389"/>
    <w:rsid w:val="0092042D"/>
    <w:rsid w:val="0092047C"/>
    <w:rsid w:val="00920813"/>
    <w:rsid w:val="00920885"/>
    <w:rsid w:val="009208BB"/>
    <w:rsid w:val="00920AD4"/>
    <w:rsid w:val="00920DBE"/>
    <w:rsid w:val="009211AC"/>
    <w:rsid w:val="009213D4"/>
    <w:rsid w:val="0092150F"/>
    <w:rsid w:val="00921840"/>
    <w:rsid w:val="00921920"/>
    <w:rsid w:val="00921B26"/>
    <w:rsid w:val="00921D07"/>
    <w:rsid w:val="00921E32"/>
    <w:rsid w:val="00921F5C"/>
    <w:rsid w:val="00921FE5"/>
    <w:rsid w:val="009222A8"/>
    <w:rsid w:val="0092234E"/>
    <w:rsid w:val="009224B4"/>
    <w:rsid w:val="009229B4"/>
    <w:rsid w:val="009229BA"/>
    <w:rsid w:val="00922AF1"/>
    <w:rsid w:val="00922C9E"/>
    <w:rsid w:val="00922CE8"/>
    <w:rsid w:val="00922F0A"/>
    <w:rsid w:val="009230EB"/>
    <w:rsid w:val="00923238"/>
    <w:rsid w:val="0092328D"/>
    <w:rsid w:val="00923372"/>
    <w:rsid w:val="009234E2"/>
    <w:rsid w:val="009237A1"/>
    <w:rsid w:val="00923AD4"/>
    <w:rsid w:val="00923B7A"/>
    <w:rsid w:val="00923DD2"/>
    <w:rsid w:val="0092430C"/>
    <w:rsid w:val="0092431B"/>
    <w:rsid w:val="00924B4C"/>
    <w:rsid w:val="00924B59"/>
    <w:rsid w:val="00924C4C"/>
    <w:rsid w:val="0092502C"/>
    <w:rsid w:val="00925160"/>
    <w:rsid w:val="00925181"/>
    <w:rsid w:val="00925316"/>
    <w:rsid w:val="00925424"/>
    <w:rsid w:val="0092587A"/>
    <w:rsid w:val="00925B56"/>
    <w:rsid w:val="00925DBA"/>
    <w:rsid w:val="0092614E"/>
    <w:rsid w:val="00926481"/>
    <w:rsid w:val="009268B9"/>
    <w:rsid w:val="00926975"/>
    <w:rsid w:val="00926BB7"/>
    <w:rsid w:val="00926CA3"/>
    <w:rsid w:val="00926CB2"/>
    <w:rsid w:val="00926CCE"/>
    <w:rsid w:val="00927075"/>
    <w:rsid w:val="009271A5"/>
    <w:rsid w:val="00927437"/>
    <w:rsid w:val="00927561"/>
    <w:rsid w:val="009276C5"/>
    <w:rsid w:val="009276F7"/>
    <w:rsid w:val="009278B0"/>
    <w:rsid w:val="00927C61"/>
    <w:rsid w:val="0093029E"/>
    <w:rsid w:val="00930409"/>
    <w:rsid w:val="009304A5"/>
    <w:rsid w:val="009306D5"/>
    <w:rsid w:val="0093077D"/>
    <w:rsid w:val="009309BF"/>
    <w:rsid w:val="00930A48"/>
    <w:rsid w:val="00930B7D"/>
    <w:rsid w:val="00930D03"/>
    <w:rsid w:val="00931259"/>
    <w:rsid w:val="009312AF"/>
    <w:rsid w:val="0093141B"/>
    <w:rsid w:val="00931670"/>
    <w:rsid w:val="00931818"/>
    <w:rsid w:val="009318C8"/>
    <w:rsid w:val="009318D5"/>
    <w:rsid w:val="00931959"/>
    <w:rsid w:val="00931A46"/>
    <w:rsid w:val="00931BEF"/>
    <w:rsid w:val="00931C71"/>
    <w:rsid w:val="00931F83"/>
    <w:rsid w:val="00932186"/>
    <w:rsid w:val="00932493"/>
    <w:rsid w:val="00932695"/>
    <w:rsid w:val="009327C7"/>
    <w:rsid w:val="00932D24"/>
    <w:rsid w:val="0093301D"/>
    <w:rsid w:val="009330CB"/>
    <w:rsid w:val="0093331C"/>
    <w:rsid w:val="0093359A"/>
    <w:rsid w:val="00933911"/>
    <w:rsid w:val="00933EA5"/>
    <w:rsid w:val="00933EA8"/>
    <w:rsid w:val="009342B0"/>
    <w:rsid w:val="009344D0"/>
    <w:rsid w:val="00934725"/>
    <w:rsid w:val="00934921"/>
    <w:rsid w:val="00934992"/>
    <w:rsid w:val="00934D72"/>
    <w:rsid w:val="00934F1E"/>
    <w:rsid w:val="009352AF"/>
    <w:rsid w:val="00935362"/>
    <w:rsid w:val="009354B0"/>
    <w:rsid w:val="00935956"/>
    <w:rsid w:val="009359A3"/>
    <w:rsid w:val="009359BE"/>
    <w:rsid w:val="00935FC1"/>
    <w:rsid w:val="009364A6"/>
    <w:rsid w:val="00936A1D"/>
    <w:rsid w:val="00936C94"/>
    <w:rsid w:val="00936EAC"/>
    <w:rsid w:val="00936FDC"/>
    <w:rsid w:val="00937645"/>
    <w:rsid w:val="0093777B"/>
    <w:rsid w:val="009377B0"/>
    <w:rsid w:val="0093783B"/>
    <w:rsid w:val="009378F1"/>
    <w:rsid w:val="00937904"/>
    <w:rsid w:val="00937A40"/>
    <w:rsid w:val="00937CB9"/>
    <w:rsid w:val="00937D9A"/>
    <w:rsid w:val="00937E17"/>
    <w:rsid w:val="00937E51"/>
    <w:rsid w:val="00937E7D"/>
    <w:rsid w:val="00937ECD"/>
    <w:rsid w:val="00937FB6"/>
    <w:rsid w:val="00940392"/>
    <w:rsid w:val="00940781"/>
    <w:rsid w:val="0094084B"/>
    <w:rsid w:val="00940A50"/>
    <w:rsid w:val="00940BF6"/>
    <w:rsid w:val="00940C35"/>
    <w:rsid w:val="00940DE9"/>
    <w:rsid w:val="00940E11"/>
    <w:rsid w:val="00940E50"/>
    <w:rsid w:val="00940EB1"/>
    <w:rsid w:val="00941007"/>
    <w:rsid w:val="00941179"/>
    <w:rsid w:val="00941250"/>
    <w:rsid w:val="00941292"/>
    <w:rsid w:val="00941296"/>
    <w:rsid w:val="009414AC"/>
    <w:rsid w:val="00941A81"/>
    <w:rsid w:val="00941AA3"/>
    <w:rsid w:val="00941C2F"/>
    <w:rsid w:val="00941D30"/>
    <w:rsid w:val="0094218E"/>
    <w:rsid w:val="0094298D"/>
    <w:rsid w:val="00942AC2"/>
    <w:rsid w:val="00942C31"/>
    <w:rsid w:val="00942C50"/>
    <w:rsid w:val="00942CBD"/>
    <w:rsid w:val="00942DB2"/>
    <w:rsid w:val="00942DC4"/>
    <w:rsid w:val="00942E2E"/>
    <w:rsid w:val="009430F6"/>
    <w:rsid w:val="00943153"/>
    <w:rsid w:val="0094331C"/>
    <w:rsid w:val="009434F1"/>
    <w:rsid w:val="009435A1"/>
    <w:rsid w:val="009437A3"/>
    <w:rsid w:val="00943A6A"/>
    <w:rsid w:val="00943ABF"/>
    <w:rsid w:val="00943E48"/>
    <w:rsid w:val="00944101"/>
    <w:rsid w:val="009445E0"/>
    <w:rsid w:val="00944650"/>
    <w:rsid w:val="00944DBC"/>
    <w:rsid w:val="00944F25"/>
    <w:rsid w:val="00944F83"/>
    <w:rsid w:val="00945019"/>
    <w:rsid w:val="009454D8"/>
    <w:rsid w:val="0094557C"/>
    <w:rsid w:val="009457F8"/>
    <w:rsid w:val="00945867"/>
    <w:rsid w:val="00945DF1"/>
    <w:rsid w:val="00945EDB"/>
    <w:rsid w:val="009460A1"/>
    <w:rsid w:val="00946202"/>
    <w:rsid w:val="0094644C"/>
    <w:rsid w:val="0094649D"/>
    <w:rsid w:val="009466B2"/>
    <w:rsid w:val="00946B22"/>
    <w:rsid w:val="0094744F"/>
    <w:rsid w:val="009474A5"/>
    <w:rsid w:val="009476E1"/>
    <w:rsid w:val="00947812"/>
    <w:rsid w:val="00947986"/>
    <w:rsid w:val="00947BF0"/>
    <w:rsid w:val="00947C03"/>
    <w:rsid w:val="00947C4E"/>
    <w:rsid w:val="00947DA5"/>
    <w:rsid w:val="00950071"/>
    <w:rsid w:val="009501BF"/>
    <w:rsid w:val="009502C3"/>
    <w:rsid w:val="00950440"/>
    <w:rsid w:val="0095063D"/>
    <w:rsid w:val="0095067B"/>
    <w:rsid w:val="009509F6"/>
    <w:rsid w:val="00950BAA"/>
    <w:rsid w:val="00950E28"/>
    <w:rsid w:val="00950E34"/>
    <w:rsid w:val="0095108C"/>
    <w:rsid w:val="00951583"/>
    <w:rsid w:val="0095177A"/>
    <w:rsid w:val="009517F3"/>
    <w:rsid w:val="0095199B"/>
    <w:rsid w:val="009519CB"/>
    <w:rsid w:val="00951A84"/>
    <w:rsid w:val="00951A93"/>
    <w:rsid w:val="00951B64"/>
    <w:rsid w:val="00951D4A"/>
    <w:rsid w:val="00951DB1"/>
    <w:rsid w:val="00951E0D"/>
    <w:rsid w:val="00951E50"/>
    <w:rsid w:val="0095210C"/>
    <w:rsid w:val="009521AB"/>
    <w:rsid w:val="00952395"/>
    <w:rsid w:val="009523BE"/>
    <w:rsid w:val="0095261C"/>
    <w:rsid w:val="009526A7"/>
    <w:rsid w:val="00952856"/>
    <w:rsid w:val="00952971"/>
    <w:rsid w:val="009529C8"/>
    <w:rsid w:val="009529D7"/>
    <w:rsid w:val="00952ACE"/>
    <w:rsid w:val="00952BB4"/>
    <w:rsid w:val="00952BF9"/>
    <w:rsid w:val="00952F03"/>
    <w:rsid w:val="00953194"/>
    <w:rsid w:val="009534F8"/>
    <w:rsid w:val="00953CD5"/>
    <w:rsid w:val="00953DA1"/>
    <w:rsid w:val="009540D8"/>
    <w:rsid w:val="00954447"/>
    <w:rsid w:val="00954560"/>
    <w:rsid w:val="00954994"/>
    <w:rsid w:val="00954BEC"/>
    <w:rsid w:val="00954C2C"/>
    <w:rsid w:val="00954E7A"/>
    <w:rsid w:val="00954EA6"/>
    <w:rsid w:val="00954EFA"/>
    <w:rsid w:val="00955030"/>
    <w:rsid w:val="009550AE"/>
    <w:rsid w:val="009550CA"/>
    <w:rsid w:val="009552C9"/>
    <w:rsid w:val="00955489"/>
    <w:rsid w:val="0095561E"/>
    <w:rsid w:val="0095565A"/>
    <w:rsid w:val="009557A4"/>
    <w:rsid w:val="009558A8"/>
    <w:rsid w:val="00955953"/>
    <w:rsid w:val="009559DD"/>
    <w:rsid w:val="00955AA5"/>
    <w:rsid w:val="00955C84"/>
    <w:rsid w:val="00955DC1"/>
    <w:rsid w:val="00955F85"/>
    <w:rsid w:val="0095605D"/>
    <w:rsid w:val="0095606D"/>
    <w:rsid w:val="0095650B"/>
    <w:rsid w:val="00956530"/>
    <w:rsid w:val="0095701A"/>
    <w:rsid w:val="00957040"/>
    <w:rsid w:val="0095713D"/>
    <w:rsid w:val="009572D3"/>
    <w:rsid w:val="00957330"/>
    <w:rsid w:val="00957343"/>
    <w:rsid w:val="0095739F"/>
    <w:rsid w:val="00957576"/>
    <w:rsid w:val="009576DE"/>
    <w:rsid w:val="009578B0"/>
    <w:rsid w:val="00957DA7"/>
    <w:rsid w:val="00960041"/>
    <w:rsid w:val="0096021D"/>
    <w:rsid w:val="00960244"/>
    <w:rsid w:val="009603B6"/>
    <w:rsid w:val="00960549"/>
    <w:rsid w:val="00960CF6"/>
    <w:rsid w:val="00960D14"/>
    <w:rsid w:val="00960D98"/>
    <w:rsid w:val="00960E78"/>
    <w:rsid w:val="00960ED6"/>
    <w:rsid w:val="0096117F"/>
    <w:rsid w:val="0096129E"/>
    <w:rsid w:val="00961323"/>
    <w:rsid w:val="0096137C"/>
    <w:rsid w:val="00961467"/>
    <w:rsid w:val="009614B3"/>
    <w:rsid w:val="009616F3"/>
    <w:rsid w:val="009617CB"/>
    <w:rsid w:val="0096183C"/>
    <w:rsid w:val="00961949"/>
    <w:rsid w:val="00961AD6"/>
    <w:rsid w:val="00961E57"/>
    <w:rsid w:val="00961F8C"/>
    <w:rsid w:val="009622AD"/>
    <w:rsid w:val="00962813"/>
    <w:rsid w:val="00962827"/>
    <w:rsid w:val="0096289F"/>
    <w:rsid w:val="00962FEB"/>
    <w:rsid w:val="00963121"/>
    <w:rsid w:val="00963152"/>
    <w:rsid w:val="009632AD"/>
    <w:rsid w:val="009633C7"/>
    <w:rsid w:val="00963400"/>
    <w:rsid w:val="00963428"/>
    <w:rsid w:val="00963E7B"/>
    <w:rsid w:val="00963F2A"/>
    <w:rsid w:val="00964313"/>
    <w:rsid w:val="00964504"/>
    <w:rsid w:val="00964916"/>
    <w:rsid w:val="00964BA8"/>
    <w:rsid w:val="00964C2C"/>
    <w:rsid w:val="00964E89"/>
    <w:rsid w:val="00964FC3"/>
    <w:rsid w:val="009650CA"/>
    <w:rsid w:val="00965229"/>
    <w:rsid w:val="00965249"/>
    <w:rsid w:val="0096527E"/>
    <w:rsid w:val="0096529A"/>
    <w:rsid w:val="00965355"/>
    <w:rsid w:val="009654F9"/>
    <w:rsid w:val="009658DA"/>
    <w:rsid w:val="00965C06"/>
    <w:rsid w:val="00965C1B"/>
    <w:rsid w:val="00965D0F"/>
    <w:rsid w:val="00965D2A"/>
    <w:rsid w:val="00965D63"/>
    <w:rsid w:val="00965E13"/>
    <w:rsid w:val="00965E67"/>
    <w:rsid w:val="00965F2C"/>
    <w:rsid w:val="009660D9"/>
    <w:rsid w:val="009660DF"/>
    <w:rsid w:val="00966303"/>
    <w:rsid w:val="009663D5"/>
    <w:rsid w:val="009668F9"/>
    <w:rsid w:val="00966A39"/>
    <w:rsid w:val="00966CEB"/>
    <w:rsid w:val="00966D0A"/>
    <w:rsid w:val="00966D86"/>
    <w:rsid w:val="00966FBE"/>
    <w:rsid w:val="0096712A"/>
    <w:rsid w:val="009672CD"/>
    <w:rsid w:val="00967392"/>
    <w:rsid w:val="009674BD"/>
    <w:rsid w:val="00967875"/>
    <w:rsid w:val="0096787A"/>
    <w:rsid w:val="00967B71"/>
    <w:rsid w:val="00967BB4"/>
    <w:rsid w:val="00967C46"/>
    <w:rsid w:val="00967DD4"/>
    <w:rsid w:val="00967E37"/>
    <w:rsid w:val="00967EDE"/>
    <w:rsid w:val="00967F90"/>
    <w:rsid w:val="00967FA4"/>
    <w:rsid w:val="00967FD4"/>
    <w:rsid w:val="00970034"/>
    <w:rsid w:val="00970065"/>
    <w:rsid w:val="009700D3"/>
    <w:rsid w:val="009704A2"/>
    <w:rsid w:val="009706A7"/>
    <w:rsid w:val="009706B1"/>
    <w:rsid w:val="00970BC7"/>
    <w:rsid w:val="00971048"/>
    <w:rsid w:val="009711E6"/>
    <w:rsid w:val="0097146F"/>
    <w:rsid w:val="0097194F"/>
    <w:rsid w:val="00971A2C"/>
    <w:rsid w:val="00971BF0"/>
    <w:rsid w:val="00971E13"/>
    <w:rsid w:val="00972475"/>
    <w:rsid w:val="009725BE"/>
    <w:rsid w:val="00972844"/>
    <w:rsid w:val="009729C1"/>
    <w:rsid w:val="00972AFC"/>
    <w:rsid w:val="00972B09"/>
    <w:rsid w:val="00972B0D"/>
    <w:rsid w:val="00972E2F"/>
    <w:rsid w:val="009731D6"/>
    <w:rsid w:val="009733AE"/>
    <w:rsid w:val="00973439"/>
    <w:rsid w:val="009738CA"/>
    <w:rsid w:val="00973962"/>
    <w:rsid w:val="00973D7F"/>
    <w:rsid w:val="00973EF7"/>
    <w:rsid w:val="0097404B"/>
    <w:rsid w:val="00974353"/>
    <w:rsid w:val="009743B8"/>
    <w:rsid w:val="0097466D"/>
    <w:rsid w:val="009746AE"/>
    <w:rsid w:val="00974908"/>
    <w:rsid w:val="0097490A"/>
    <w:rsid w:val="009749DD"/>
    <w:rsid w:val="00974B04"/>
    <w:rsid w:val="00974B06"/>
    <w:rsid w:val="00974F3D"/>
    <w:rsid w:val="00974F91"/>
    <w:rsid w:val="00975338"/>
    <w:rsid w:val="0097544C"/>
    <w:rsid w:val="0097550D"/>
    <w:rsid w:val="00975A3E"/>
    <w:rsid w:val="00975A54"/>
    <w:rsid w:val="00975AB8"/>
    <w:rsid w:val="00975D94"/>
    <w:rsid w:val="00975E45"/>
    <w:rsid w:val="009760FD"/>
    <w:rsid w:val="009764CC"/>
    <w:rsid w:val="00976552"/>
    <w:rsid w:val="00976923"/>
    <w:rsid w:val="00976A6E"/>
    <w:rsid w:val="00976CB6"/>
    <w:rsid w:val="00976EEF"/>
    <w:rsid w:val="0097702B"/>
    <w:rsid w:val="00977099"/>
    <w:rsid w:val="009771F3"/>
    <w:rsid w:val="009775F2"/>
    <w:rsid w:val="009777E8"/>
    <w:rsid w:val="00977938"/>
    <w:rsid w:val="009779AE"/>
    <w:rsid w:val="009779CA"/>
    <w:rsid w:val="00977C1C"/>
    <w:rsid w:val="00977FF1"/>
    <w:rsid w:val="00980023"/>
    <w:rsid w:val="00980269"/>
    <w:rsid w:val="009804BD"/>
    <w:rsid w:val="009809CE"/>
    <w:rsid w:val="00980AF2"/>
    <w:rsid w:val="00980D56"/>
    <w:rsid w:val="00980DE0"/>
    <w:rsid w:val="00980F51"/>
    <w:rsid w:val="009813EC"/>
    <w:rsid w:val="009816FF"/>
    <w:rsid w:val="00981726"/>
    <w:rsid w:val="009818CB"/>
    <w:rsid w:val="009818D6"/>
    <w:rsid w:val="009819C5"/>
    <w:rsid w:val="009819E4"/>
    <w:rsid w:val="00981BEB"/>
    <w:rsid w:val="00981F3A"/>
    <w:rsid w:val="00981F65"/>
    <w:rsid w:val="0098201F"/>
    <w:rsid w:val="00982048"/>
    <w:rsid w:val="0098229E"/>
    <w:rsid w:val="00982435"/>
    <w:rsid w:val="00982677"/>
    <w:rsid w:val="00982783"/>
    <w:rsid w:val="00982857"/>
    <w:rsid w:val="0098293C"/>
    <w:rsid w:val="00982ABF"/>
    <w:rsid w:val="00982B56"/>
    <w:rsid w:val="00982C21"/>
    <w:rsid w:val="00982EBE"/>
    <w:rsid w:val="00982F1F"/>
    <w:rsid w:val="0098327C"/>
    <w:rsid w:val="00983387"/>
    <w:rsid w:val="0098356D"/>
    <w:rsid w:val="009836CA"/>
    <w:rsid w:val="00983882"/>
    <w:rsid w:val="00983AFA"/>
    <w:rsid w:val="00983D84"/>
    <w:rsid w:val="009841B3"/>
    <w:rsid w:val="00984265"/>
    <w:rsid w:val="0098442A"/>
    <w:rsid w:val="00984459"/>
    <w:rsid w:val="009845D0"/>
    <w:rsid w:val="009849EC"/>
    <w:rsid w:val="00984AC8"/>
    <w:rsid w:val="00984CCF"/>
    <w:rsid w:val="00984D5F"/>
    <w:rsid w:val="00984EEB"/>
    <w:rsid w:val="00985047"/>
    <w:rsid w:val="00985457"/>
    <w:rsid w:val="00985526"/>
    <w:rsid w:val="009856B8"/>
    <w:rsid w:val="00985A31"/>
    <w:rsid w:val="00985C9A"/>
    <w:rsid w:val="00985D5C"/>
    <w:rsid w:val="00985D5D"/>
    <w:rsid w:val="00985E51"/>
    <w:rsid w:val="00985F6F"/>
    <w:rsid w:val="00986104"/>
    <w:rsid w:val="00986650"/>
    <w:rsid w:val="0098687E"/>
    <w:rsid w:val="00986A1B"/>
    <w:rsid w:val="00986A5F"/>
    <w:rsid w:val="00986A91"/>
    <w:rsid w:val="00986C67"/>
    <w:rsid w:val="00986DE7"/>
    <w:rsid w:val="00986F5F"/>
    <w:rsid w:val="00986F9E"/>
    <w:rsid w:val="00987025"/>
    <w:rsid w:val="009871AA"/>
    <w:rsid w:val="009871DB"/>
    <w:rsid w:val="0098729D"/>
    <w:rsid w:val="00987819"/>
    <w:rsid w:val="0098790D"/>
    <w:rsid w:val="00987995"/>
    <w:rsid w:val="009879BD"/>
    <w:rsid w:val="00987C8A"/>
    <w:rsid w:val="00987DD1"/>
    <w:rsid w:val="0099001D"/>
    <w:rsid w:val="00990129"/>
    <w:rsid w:val="0099014F"/>
    <w:rsid w:val="0099022E"/>
    <w:rsid w:val="00990258"/>
    <w:rsid w:val="00990581"/>
    <w:rsid w:val="00990780"/>
    <w:rsid w:val="009907F8"/>
    <w:rsid w:val="0099087D"/>
    <w:rsid w:val="00990B92"/>
    <w:rsid w:val="00990C22"/>
    <w:rsid w:val="00990FD5"/>
    <w:rsid w:val="0099125D"/>
    <w:rsid w:val="00991659"/>
    <w:rsid w:val="009916D9"/>
    <w:rsid w:val="009917D5"/>
    <w:rsid w:val="00991836"/>
    <w:rsid w:val="0099187F"/>
    <w:rsid w:val="009918B8"/>
    <w:rsid w:val="00991CBB"/>
    <w:rsid w:val="00991F87"/>
    <w:rsid w:val="00992190"/>
    <w:rsid w:val="00992384"/>
    <w:rsid w:val="00992432"/>
    <w:rsid w:val="0099249F"/>
    <w:rsid w:val="009925EF"/>
    <w:rsid w:val="00992CA4"/>
    <w:rsid w:val="00992E9E"/>
    <w:rsid w:val="00993127"/>
    <w:rsid w:val="00993534"/>
    <w:rsid w:val="00993698"/>
    <w:rsid w:val="009936A0"/>
    <w:rsid w:val="009936DE"/>
    <w:rsid w:val="00993794"/>
    <w:rsid w:val="00993878"/>
    <w:rsid w:val="00993926"/>
    <w:rsid w:val="00993E83"/>
    <w:rsid w:val="00994025"/>
    <w:rsid w:val="009940FE"/>
    <w:rsid w:val="00994233"/>
    <w:rsid w:val="009945E1"/>
    <w:rsid w:val="0099469A"/>
    <w:rsid w:val="00994770"/>
    <w:rsid w:val="0099484E"/>
    <w:rsid w:val="00994A52"/>
    <w:rsid w:val="00994BD9"/>
    <w:rsid w:val="00994C46"/>
    <w:rsid w:val="009950BD"/>
    <w:rsid w:val="00995210"/>
    <w:rsid w:val="00995999"/>
    <w:rsid w:val="00995AF2"/>
    <w:rsid w:val="00995CBE"/>
    <w:rsid w:val="00995D7C"/>
    <w:rsid w:val="00995D86"/>
    <w:rsid w:val="00995DB0"/>
    <w:rsid w:val="00996225"/>
    <w:rsid w:val="0099630E"/>
    <w:rsid w:val="0099671E"/>
    <w:rsid w:val="00996EB2"/>
    <w:rsid w:val="00996F58"/>
    <w:rsid w:val="00996F5F"/>
    <w:rsid w:val="009971F0"/>
    <w:rsid w:val="009972A3"/>
    <w:rsid w:val="00997519"/>
    <w:rsid w:val="00997539"/>
    <w:rsid w:val="009978D1"/>
    <w:rsid w:val="00997972"/>
    <w:rsid w:val="00997C12"/>
    <w:rsid w:val="00997C5C"/>
    <w:rsid w:val="00997D6F"/>
    <w:rsid w:val="009A000F"/>
    <w:rsid w:val="009A0095"/>
    <w:rsid w:val="009A0108"/>
    <w:rsid w:val="009A012F"/>
    <w:rsid w:val="009A01C8"/>
    <w:rsid w:val="009A01FE"/>
    <w:rsid w:val="009A0268"/>
    <w:rsid w:val="009A02D2"/>
    <w:rsid w:val="009A0419"/>
    <w:rsid w:val="009A0438"/>
    <w:rsid w:val="009A08E9"/>
    <w:rsid w:val="009A094C"/>
    <w:rsid w:val="009A0E7A"/>
    <w:rsid w:val="009A1249"/>
    <w:rsid w:val="009A15E4"/>
    <w:rsid w:val="009A18CC"/>
    <w:rsid w:val="009A19D5"/>
    <w:rsid w:val="009A1D22"/>
    <w:rsid w:val="009A2128"/>
    <w:rsid w:val="009A23AA"/>
    <w:rsid w:val="009A23F0"/>
    <w:rsid w:val="009A2750"/>
    <w:rsid w:val="009A292A"/>
    <w:rsid w:val="009A2BEE"/>
    <w:rsid w:val="009A2C61"/>
    <w:rsid w:val="009A2CB3"/>
    <w:rsid w:val="009A2F96"/>
    <w:rsid w:val="009A307C"/>
    <w:rsid w:val="009A320F"/>
    <w:rsid w:val="009A3405"/>
    <w:rsid w:val="009A35C7"/>
    <w:rsid w:val="009A3699"/>
    <w:rsid w:val="009A395D"/>
    <w:rsid w:val="009A3AAF"/>
    <w:rsid w:val="009A404B"/>
    <w:rsid w:val="009A408B"/>
    <w:rsid w:val="009A420B"/>
    <w:rsid w:val="009A436C"/>
    <w:rsid w:val="009A4660"/>
    <w:rsid w:val="009A46A7"/>
    <w:rsid w:val="009A4934"/>
    <w:rsid w:val="009A4A04"/>
    <w:rsid w:val="009A4AC2"/>
    <w:rsid w:val="009A4B20"/>
    <w:rsid w:val="009A4D72"/>
    <w:rsid w:val="009A4DAB"/>
    <w:rsid w:val="009A519F"/>
    <w:rsid w:val="009A53A5"/>
    <w:rsid w:val="009A53A7"/>
    <w:rsid w:val="009A55DD"/>
    <w:rsid w:val="009A5660"/>
    <w:rsid w:val="009A5B39"/>
    <w:rsid w:val="009A629C"/>
    <w:rsid w:val="009A64C5"/>
    <w:rsid w:val="009A6542"/>
    <w:rsid w:val="009A663C"/>
    <w:rsid w:val="009A6727"/>
    <w:rsid w:val="009A6A6E"/>
    <w:rsid w:val="009A717C"/>
    <w:rsid w:val="009A7285"/>
    <w:rsid w:val="009A73A9"/>
    <w:rsid w:val="009A77C9"/>
    <w:rsid w:val="009A790B"/>
    <w:rsid w:val="009A7A17"/>
    <w:rsid w:val="009A7AE7"/>
    <w:rsid w:val="009A7CBF"/>
    <w:rsid w:val="009A7DD6"/>
    <w:rsid w:val="009A7E47"/>
    <w:rsid w:val="009A7F4C"/>
    <w:rsid w:val="009A7F78"/>
    <w:rsid w:val="009A7F7A"/>
    <w:rsid w:val="009B0026"/>
    <w:rsid w:val="009B02E8"/>
    <w:rsid w:val="009B05A2"/>
    <w:rsid w:val="009B087C"/>
    <w:rsid w:val="009B0A89"/>
    <w:rsid w:val="009B0C1E"/>
    <w:rsid w:val="009B0C52"/>
    <w:rsid w:val="009B0EF9"/>
    <w:rsid w:val="009B0F42"/>
    <w:rsid w:val="009B1087"/>
    <w:rsid w:val="009B147B"/>
    <w:rsid w:val="009B16AC"/>
    <w:rsid w:val="009B1D54"/>
    <w:rsid w:val="009B1E0A"/>
    <w:rsid w:val="009B2AD3"/>
    <w:rsid w:val="009B2E12"/>
    <w:rsid w:val="009B3184"/>
    <w:rsid w:val="009B325A"/>
    <w:rsid w:val="009B325B"/>
    <w:rsid w:val="009B3286"/>
    <w:rsid w:val="009B34C1"/>
    <w:rsid w:val="009B367C"/>
    <w:rsid w:val="009B3C0C"/>
    <w:rsid w:val="009B3EC4"/>
    <w:rsid w:val="009B3FAC"/>
    <w:rsid w:val="009B3FDE"/>
    <w:rsid w:val="009B4059"/>
    <w:rsid w:val="009B4398"/>
    <w:rsid w:val="009B4516"/>
    <w:rsid w:val="009B4619"/>
    <w:rsid w:val="009B462A"/>
    <w:rsid w:val="009B476A"/>
    <w:rsid w:val="009B4A22"/>
    <w:rsid w:val="009B4ABA"/>
    <w:rsid w:val="009B52A9"/>
    <w:rsid w:val="009B53E1"/>
    <w:rsid w:val="009B54E4"/>
    <w:rsid w:val="009B5729"/>
    <w:rsid w:val="009B5769"/>
    <w:rsid w:val="009B590F"/>
    <w:rsid w:val="009B5E83"/>
    <w:rsid w:val="009B5F66"/>
    <w:rsid w:val="009B66D5"/>
    <w:rsid w:val="009B67CA"/>
    <w:rsid w:val="009B68F0"/>
    <w:rsid w:val="009B6B96"/>
    <w:rsid w:val="009B6C19"/>
    <w:rsid w:val="009B6C66"/>
    <w:rsid w:val="009B6DC2"/>
    <w:rsid w:val="009B70C5"/>
    <w:rsid w:val="009B7309"/>
    <w:rsid w:val="009B733C"/>
    <w:rsid w:val="009B749D"/>
    <w:rsid w:val="009B74CB"/>
    <w:rsid w:val="009B79A6"/>
    <w:rsid w:val="009B7DDB"/>
    <w:rsid w:val="009B7E77"/>
    <w:rsid w:val="009C0093"/>
    <w:rsid w:val="009C00DC"/>
    <w:rsid w:val="009C011C"/>
    <w:rsid w:val="009C01EE"/>
    <w:rsid w:val="009C04FD"/>
    <w:rsid w:val="009C0863"/>
    <w:rsid w:val="009C0CC0"/>
    <w:rsid w:val="009C0E18"/>
    <w:rsid w:val="009C0EC9"/>
    <w:rsid w:val="009C1625"/>
    <w:rsid w:val="009C1651"/>
    <w:rsid w:val="009C16CD"/>
    <w:rsid w:val="009C1F0A"/>
    <w:rsid w:val="009C20A5"/>
    <w:rsid w:val="009C2593"/>
    <w:rsid w:val="009C29A8"/>
    <w:rsid w:val="009C2B56"/>
    <w:rsid w:val="009C3012"/>
    <w:rsid w:val="009C30C7"/>
    <w:rsid w:val="009C3197"/>
    <w:rsid w:val="009C360D"/>
    <w:rsid w:val="009C38EA"/>
    <w:rsid w:val="009C398D"/>
    <w:rsid w:val="009C3B1B"/>
    <w:rsid w:val="009C3C7C"/>
    <w:rsid w:val="009C3C86"/>
    <w:rsid w:val="009C3E60"/>
    <w:rsid w:val="009C42E1"/>
    <w:rsid w:val="009C46D0"/>
    <w:rsid w:val="009C47F2"/>
    <w:rsid w:val="009C4DAE"/>
    <w:rsid w:val="009C4E13"/>
    <w:rsid w:val="009C517A"/>
    <w:rsid w:val="009C5199"/>
    <w:rsid w:val="009C559A"/>
    <w:rsid w:val="009C5629"/>
    <w:rsid w:val="009C5866"/>
    <w:rsid w:val="009C5A14"/>
    <w:rsid w:val="009C5AE9"/>
    <w:rsid w:val="009C5CA1"/>
    <w:rsid w:val="009C62ED"/>
    <w:rsid w:val="009C669C"/>
    <w:rsid w:val="009C6879"/>
    <w:rsid w:val="009C68E9"/>
    <w:rsid w:val="009C6A08"/>
    <w:rsid w:val="009C6A3D"/>
    <w:rsid w:val="009C6DC1"/>
    <w:rsid w:val="009C6EB6"/>
    <w:rsid w:val="009C6F1C"/>
    <w:rsid w:val="009C750E"/>
    <w:rsid w:val="009C76A2"/>
    <w:rsid w:val="009C76BA"/>
    <w:rsid w:val="009C7895"/>
    <w:rsid w:val="009C7AF9"/>
    <w:rsid w:val="009C7B3B"/>
    <w:rsid w:val="009C7B7C"/>
    <w:rsid w:val="009C7C91"/>
    <w:rsid w:val="009C7EF8"/>
    <w:rsid w:val="009C7F14"/>
    <w:rsid w:val="009C7F7D"/>
    <w:rsid w:val="009D01CE"/>
    <w:rsid w:val="009D01EE"/>
    <w:rsid w:val="009D0373"/>
    <w:rsid w:val="009D03A4"/>
    <w:rsid w:val="009D0432"/>
    <w:rsid w:val="009D049D"/>
    <w:rsid w:val="009D04B3"/>
    <w:rsid w:val="009D052E"/>
    <w:rsid w:val="009D079D"/>
    <w:rsid w:val="009D0915"/>
    <w:rsid w:val="009D0F24"/>
    <w:rsid w:val="009D10D9"/>
    <w:rsid w:val="009D14DB"/>
    <w:rsid w:val="009D17B3"/>
    <w:rsid w:val="009D1B25"/>
    <w:rsid w:val="009D1B5D"/>
    <w:rsid w:val="009D1F06"/>
    <w:rsid w:val="009D1F75"/>
    <w:rsid w:val="009D234E"/>
    <w:rsid w:val="009D236F"/>
    <w:rsid w:val="009D2417"/>
    <w:rsid w:val="009D244C"/>
    <w:rsid w:val="009D2461"/>
    <w:rsid w:val="009D25D1"/>
    <w:rsid w:val="009D264F"/>
    <w:rsid w:val="009D27E8"/>
    <w:rsid w:val="009D2821"/>
    <w:rsid w:val="009D291F"/>
    <w:rsid w:val="009D29CC"/>
    <w:rsid w:val="009D2A22"/>
    <w:rsid w:val="009D2B18"/>
    <w:rsid w:val="009D2D5A"/>
    <w:rsid w:val="009D2D65"/>
    <w:rsid w:val="009D2E69"/>
    <w:rsid w:val="009D302F"/>
    <w:rsid w:val="009D3082"/>
    <w:rsid w:val="009D32C1"/>
    <w:rsid w:val="009D35E3"/>
    <w:rsid w:val="009D3A65"/>
    <w:rsid w:val="009D3A9D"/>
    <w:rsid w:val="009D3EB4"/>
    <w:rsid w:val="009D3ECE"/>
    <w:rsid w:val="009D40C9"/>
    <w:rsid w:val="009D43D6"/>
    <w:rsid w:val="009D44DD"/>
    <w:rsid w:val="009D469C"/>
    <w:rsid w:val="009D4760"/>
    <w:rsid w:val="009D480D"/>
    <w:rsid w:val="009D4848"/>
    <w:rsid w:val="009D4895"/>
    <w:rsid w:val="009D48FB"/>
    <w:rsid w:val="009D4EF5"/>
    <w:rsid w:val="009D4F26"/>
    <w:rsid w:val="009D4F91"/>
    <w:rsid w:val="009D5416"/>
    <w:rsid w:val="009D54EC"/>
    <w:rsid w:val="009D54EF"/>
    <w:rsid w:val="009D56BF"/>
    <w:rsid w:val="009D5844"/>
    <w:rsid w:val="009D5A41"/>
    <w:rsid w:val="009D5D8F"/>
    <w:rsid w:val="009D5DFA"/>
    <w:rsid w:val="009D5E35"/>
    <w:rsid w:val="009D5F31"/>
    <w:rsid w:val="009D61F0"/>
    <w:rsid w:val="009D647C"/>
    <w:rsid w:val="009D67DF"/>
    <w:rsid w:val="009D6CD3"/>
    <w:rsid w:val="009D6D09"/>
    <w:rsid w:val="009D6F3D"/>
    <w:rsid w:val="009D70BD"/>
    <w:rsid w:val="009D7875"/>
    <w:rsid w:val="009D78C0"/>
    <w:rsid w:val="009D7908"/>
    <w:rsid w:val="009D7984"/>
    <w:rsid w:val="009D7A80"/>
    <w:rsid w:val="009D7BCB"/>
    <w:rsid w:val="009D7C77"/>
    <w:rsid w:val="009D7DB5"/>
    <w:rsid w:val="009D7EF0"/>
    <w:rsid w:val="009E00AC"/>
    <w:rsid w:val="009E00E3"/>
    <w:rsid w:val="009E011B"/>
    <w:rsid w:val="009E0519"/>
    <w:rsid w:val="009E0907"/>
    <w:rsid w:val="009E092A"/>
    <w:rsid w:val="009E09DD"/>
    <w:rsid w:val="009E0A96"/>
    <w:rsid w:val="009E0C3C"/>
    <w:rsid w:val="009E0DBA"/>
    <w:rsid w:val="009E11DF"/>
    <w:rsid w:val="009E1207"/>
    <w:rsid w:val="009E12BB"/>
    <w:rsid w:val="009E1339"/>
    <w:rsid w:val="009E13E1"/>
    <w:rsid w:val="009E148A"/>
    <w:rsid w:val="009E18AB"/>
    <w:rsid w:val="009E1E85"/>
    <w:rsid w:val="009E1F3F"/>
    <w:rsid w:val="009E1FE6"/>
    <w:rsid w:val="009E22E2"/>
    <w:rsid w:val="009E2344"/>
    <w:rsid w:val="009E235C"/>
    <w:rsid w:val="009E26EE"/>
    <w:rsid w:val="009E27B2"/>
    <w:rsid w:val="009E2967"/>
    <w:rsid w:val="009E2A11"/>
    <w:rsid w:val="009E2FA3"/>
    <w:rsid w:val="009E31FF"/>
    <w:rsid w:val="009E364F"/>
    <w:rsid w:val="009E3755"/>
    <w:rsid w:val="009E3A88"/>
    <w:rsid w:val="009E3CD2"/>
    <w:rsid w:val="009E3E12"/>
    <w:rsid w:val="009E3E7D"/>
    <w:rsid w:val="009E3FA3"/>
    <w:rsid w:val="009E40E6"/>
    <w:rsid w:val="009E40EB"/>
    <w:rsid w:val="009E4172"/>
    <w:rsid w:val="009E41EF"/>
    <w:rsid w:val="009E475B"/>
    <w:rsid w:val="009E47BA"/>
    <w:rsid w:val="009E4B98"/>
    <w:rsid w:val="009E50BF"/>
    <w:rsid w:val="009E5402"/>
    <w:rsid w:val="009E548A"/>
    <w:rsid w:val="009E55BB"/>
    <w:rsid w:val="009E570E"/>
    <w:rsid w:val="009E5729"/>
    <w:rsid w:val="009E5945"/>
    <w:rsid w:val="009E59C3"/>
    <w:rsid w:val="009E59FC"/>
    <w:rsid w:val="009E64A3"/>
    <w:rsid w:val="009E64B4"/>
    <w:rsid w:val="009E6629"/>
    <w:rsid w:val="009E696F"/>
    <w:rsid w:val="009E6AA7"/>
    <w:rsid w:val="009E6B3D"/>
    <w:rsid w:val="009E6F00"/>
    <w:rsid w:val="009E717B"/>
    <w:rsid w:val="009E7260"/>
    <w:rsid w:val="009E748A"/>
    <w:rsid w:val="009E7732"/>
    <w:rsid w:val="009E7782"/>
    <w:rsid w:val="009E79DC"/>
    <w:rsid w:val="009E7A59"/>
    <w:rsid w:val="009E7D40"/>
    <w:rsid w:val="009E7DFD"/>
    <w:rsid w:val="009F00BB"/>
    <w:rsid w:val="009F08A5"/>
    <w:rsid w:val="009F0AA6"/>
    <w:rsid w:val="009F0F5A"/>
    <w:rsid w:val="009F0FB1"/>
    <w:rsid w:val="009F1105"/>
    <w:rsid w:val="009F13AB"/>
    <w:rsid w:val="009F1657"/>
    <w:rsid w:val="009F18A2"/>
    <w:rsid w:val="009F18EE"/>
    <w:rsid w:val="009F1D26"/>
    <w:rsid w:val="009F1D74"/>
    <w:rsid w:val="009F1FE9"/>
    <w:rsid w:val="009F22C0"/>
    <w:rsid w:val="009F259B"/>
    <w:rsid w:val="009F25B6"/>
    <w:rsid w:val="009F25D6"/>
    <w:rsid w:val="009F26C9"/>
    <w:rsid w:val="009F2805"/>
    <w:rsid w:val="009F2897"/>
    <w:rsid w:val="009F2BFF"/>
    <w:rsid w:val="009F2C53"/>
    <w:rsid w:val="009F2D06"/>
    <w:rsid w:val="009F2E10"/>
    <w:rsid w:val="009F2ED4"/>
    <w:rsid w:val="009F326D"/>
    <w:rsid w:val="009F36DE"/>
    <w:rsid w:val="009F36E1"/>
    <w:rsid w:val="009F3DD1"/>
    <w:rsid w:val="009F3EC4"/>
    <w:rsid w:val="009F3F01"/>
    <w:rsid w:val="009F41F1"/>
    <w:rsid w:val="009F45F0"/>
    <w:rsid w:val="009F48F8"/>
    <w:rsid w:val="009F49A8"/>
    <w:rsid w:val="009F4CA8"/>
    <w:rsid w:val="009F5386"/>
    <w:rsid w:val="009F5763"/>
    <w:rsid w:val="009F58BD"/>
    <w:rsid w:val="009F5AA7"/>
    <w:rsid w:val="009F5AE6"/>
    <w:rsid w:val="009F5B43"/>
    <w:rsid w:val="009F5CB1"/>
    <w:rsid w:val="009F5E84"/>
    <w:rsid w:val="009F65C4"/>
    <w:rsid w:val="009F65FD"/>
    <w:rsid w:val="009F673C"/>
    <w:rsid w:val="009F69F2"/>
    <w:rsid w:val="009F6B5A"/>
    <w:rsid w:val="009F6BA5"/>
    <w:rsid w:val="009F6BE9"/>
    <w:rsid w:val="009F6F17"/>
    <w:rsid w:val="009F6FB9"/>
    <w:rsid w:val="009F712B"/>
    <w:rsid w:val="009F720B"/>
    <w:rsid w:val="009F7283"/>
    <w:rsid w:val="009F76B3"/>
    <w:rsid w:val="009F795B"/>
    <w:rsid w:val="009F7AA2"/>
    <w:rsid w:val="009F7C39"/>
    <w:rsid w:val="009F7C40"/>
    <w:rsid w:val="009F7CB6"/>
    <w:rsid w:val="009F7D4D"/>
    <w:rsid w:val="009F7DA7"/>
    <w:rsid w:val="009F7DB0"/>
    <w:rsid w:val="009F7DD1"/>
    <w:rsid w:val="009F7FB4"/>
    <w:rsid w:val="00A001CD"/>
    <w:rsid w:val="00A00285"/>
    <w:rsid w:val="00A002E4"/>
    <w:rsid w:val="00A003CC"/>
    <w:rsid w:val="00A00A6E"/>
    <w:rsid w:val="00A00ABA"/>
    <w:rsid w:val="00A00B67"/>
    <w:rsid w:val="00A00CEC"/>
    <w:rsid w:val="00A00F3C"/>
    <w:rsid w:val="00A01364"/>
    <w:rsid w:val="00A0150B"/>
    <w:rsid w:val="00A01831"/>
    <w:rsid w:val="00A01982"/>
    <w:rsid w:val="00A019F3"/>
    <w:rsid w:val="00A01A8F"/>
    <w:rsid w:val="00A01BEB"/>
    <w:rsid w:val="00A01F74"/>
    <w:rsid w:val="00A023EF"/>
    <w:rsid w:val="00A02465"/>
    <w:rsid w:val="00A024E6"/>
    <w:rsid w:val="00A02500"/>
    <w:rsid w:val="00A02568"/>
    <w:rsid w:val="00A0261B"/>
    <w:rsid w:val="00A02A42"/>
    <w:rsid w:val="00A02A43"/>
    <w:rsid w:val="00A02B64"/>
    <w:rsid w:val="00A02BA0"/>
    <w:rsid w:val="00A02DA8"/>
    <w:rsid w:val="00A02E97"/>
    <w:rsid w:val="00A0330A"/>
    <w:rsid w:val="00A0357E"/>
    <w:rsid w:val="00A037F3"/>
    <w:rsid w:val="00A038A8"/>
    <w:rsid w:val="00A0390F"/>
    <w:rsid w:val="00A03DA2"/>
    <w:rsid w:val="00A03EC6"/>
    <w:rsid w:val="00A03F19"/>
    <w:rsid w:val="00A03F8A"/>
    <w:rsid w:val="00A03FAC"/>
    <w:rsid w:val="00A0403D"/>
    <w:rsid w:val="00A04461"/>
    <w:rsid w:val="00A0446D"/>
    <w:rsid w:val="00A044FD"/>
    <w:rsid w:val="00A045BA"/>
    <w:rsid w:val="00A04C01"/>
    <w:rsid w:val="00A04C79"/>
    <w:rsid w:val="00A04D25"/>
    <w:rsid w:val="00A04D39"/>
    <w:rsid w:val="00A04EF3"/>
    <w:rsid w:val="00A05066"/>
    <w:rsid w:val="00A0509C"/>
    <w:rsid w:val="00A050C1"/>
    <w:rsid w:val="00A050EF"/>
    <w:rsid w:val="00A0519E"/>
    <w:rsid w:val="00A0530D"/>
    <w:rsid w:val="00A0554C"/>
    <w:rsid w:val="00A055FB"/>
    <w:rsid w:val="00A05C67"/>
    <w:rsid w:val="00A05ECC"/>
    <w:rsid w:val="00A05EDB"/>
    <w:rsid w:val="00A06219"/>
    <w:rsid w:val="00A0624C"/>
    <w:rsid w:val="00A068DD"/>
    <w:rsid w:val="00A06BCE"/>
    <w:rsid w:val="00A06E94"/>
    <w:rsid w:val="00A07023"/>
    <w:rsid w:val="00A0724F"/>
    <w:rsid w:val="00A075BD"/>
    <w:rsid w:val="00A0779B"/>
    <w:rsid w:val="00A0792F"/>
    <w:rsid w:val="00A07B3E"/>
    <w:rsid w:val="00A07BCF"/>
    <w:rsid w:val="00A10171"/>
    <w:rsid w:val="00A10423"/>
    <w:rsid w:val="00A10450"/>
    <w:rsid w:val="00A104ED"/>
    <w:rsid w:val="00A1074F"/>
    <w:rsid w:val="00A10819"/>
    <w:rsid w:val="00A1088E"/>
    <w:rsid w:val="00A108FA"/>
    <w:rsid w:val="00A10965"/>
    <w:rsid w:val="00A10C16"/>
    <w:rsid w:val="00A10C72"/>
    <w:rsid w:val="00A10ED8"/>
    <w:rsid w:val="00A10F60"/>
    <w:rsid w:val="00A10FC2"/>
    <w:rsid w:val="00A11156"/>
    <w:rsid w:val="00A1119B"/>
    <w:rsid w:val="00A1157E"/>
    <w:rsid w:val="00A11634"/>
    <w:rsid w:val="00A11C1E"/>
    <w:rsid w:val="00A11C68"/>
    <w:rsid w:val="00A11D5C"/>
    <w:rsid w:val="00A11D8D"/>
    <w:rsid w:val="00A120AE"/>
    <w:rsid w:val="00A1247B"/>
    <w:rsid w:val="00A127B8"/>
    <w:rsid w:val="00A12865"/>
    <w:rsid w:val="00A12BDD"/>
    <w:rsid w:val="00A12D4E"/>
    <w:rsid w:val="00A12FB2"/>
    <w:rsid w:val="00A13361"/>
    <w:rsid w:val="00A1347E"/>
    <w:rsid w:val="00A13684"/>
    <w:rsid w:val="00A1392C"/>
    <w:rsid w:val="00A13AD4"/>
    <w:rsid w:val="00A13B2F"/>
    <w:rsid w:val="00A13B9C"/>
    <w:rsid w:val="00A13C49"/>
    <w:rsid w:val="00A13E20"/>
    <w:rsid w:val="00A1405C"/>
    <w:rsid w:val="00A14B8A"/>
    <w:rsid w:val="00A14CB9"/>
    <w:rsid w:val="00A14CE2"/>
    <w:rsid w:val="00A14D02"/>
    <w:rsid w:val="00A14E28"/>
    <w:rsid w:val="00A15061"/>
    <w:rsid w:val="00A151C5"/>
    <w:rsid w:val="00A1520B"/>
    <w:rsid w:val="00A152DB"/>
    <w:rsid w:val="00A15670"/>
    <w:rsid w:val="00A15673"/>
    <w:rsid w:val="00A157F2"/>
    <w:rsid w:val="00A15B23"/>
    <w:rsid w:val="00A160C9"/>
    <w:rsid w:val="00A1617D"/>
    <w:rsid w:val="00A161A3"/>
    <w:rsid w:val="00A162D4"/>
    <w:rsid w:val="00A163D8"/>
    <w:rsid w:val="00A16505"/>
    <w:rsid w:val="00A1670D"/>
    <w:rsid w:val="00A1689C"/>
    <w:rsid w:val="00A168BD"/>
    <w:rsid w:val="00A16BEB"/>
    <w:rsid w:val="00A16C36"/>
    <w:rsid w:val="00A16CFF"/>
    <w:rsid w:val="00A16EC4"/>
    <w:rsid w:val="00A17309"/>
    <w:rsid w:val="00A17349"/>
    <w:rsid w:val="00A1737C"/>
    <w:rsid w:val="00A1774B"/>
    <w:rsid w:val="00A17B1E"/>
    <w:rsid w:val="00A2018F"/>
    <w:rsid w:val="00A20335"/>
    <w:rsid w:val="00A2062E"/>
    <w:rsid w:val="00A2065D"/>
    <w:rsid w:val="00A206B5"/>
    <w:rsid w:val="00A20C10"/>
    <w:rsid w:val="00A20E92"/>
    <w:rsid w:val="00A20F26"/>
    <w:rsid w:val="00A20F27"/>
    <w:rsid w:val="00A213FA"/>
    <w:rsid w:val="00A21EC4"/>
    <w:rsid w:val="00A21EE4"/>
    <w:rsid w:val="00A21F8C"/>
    <w:rsid w:val="00A21FC1"/>
    <w:rsid w:val="00A222FE"/>
    <w:rsid w:val="00A22474"/>
    <w:rsid w:val="00A22575"/>
    <w:rsid w:val="00A22659"/>
    <w:rsid w:val="00A22865"/>
    <w:rsid w:val="00A228E8"/>
    <w:rsid w:val="00A22DB6"/>
    <w:rsid w:val="00A22E54"/>
    <w:rsid w:val="00A22FFC"/>
    <w:rsid w:val="00A231CE"/>
    <w:rsid w:val="00A236B2"/>
    <w:rsid w:val="00A237BD"/>
    <w:rsid w:val="00A23855"/>
    <w:rsid w:val="00A239A7"/>
    <w:rsid w:val="00A23DE0"/>
    <w:rsid w:val="00A240DA"/>
    <w:rsid w:val="00A24453"/>
    <w:rsid w:val="00A24521"/>
    <w:rsid w:val="00A2470C"/>
    <w:rsid w:val="00A24BD7"/>
    <w:rsid w:val="00A24C39"/>
    <w:rsid w:val="00A24F3F"/>
    <w:rsid w:val="00A250B6"/>
    <w:rsid w:val="00A25167"/>
    <w:rsid w:val="00A25371"/>
    <w:rsid w:val="00A2590A"/>
    <w:rsid w:val="00A25924"/>
    <w:rsid w:val="00A25937"/>
    <w:rsid w:val="00A2597D"/>
    <w:rsid w:val="00A25C1E"/>
    <w:rsid w:val="00A25E6E"/>
    <w:rsid w:val="00A26026"/>
    <w:rsid w:val="00A2611E"/>
    <w:rsid w:val="00A2614C"/>
    <w:rsid w:val="00A262FD"/>
    <w:rsid w:val="00A26871"/>
    <w:rsid w:val="00A268E5"/>
    <w:rsid w:val="00A269C9"/>
    <w:rsid w:val="00A26C31"/>
    <w:rsid w:val="00A26C43"/>
    <w:rsid w:val="00A26DFF"/>
    <w:rsid w:val="00A26EF4"/>
    <w:rsid w:val="00A26F06"/>
    <w:rsid w:val="00A27089"/>
    <w:rsid w:val="00A2721D"/>
    <w:rsid w:val="00A27354"/>
    <w:rsid w:val="00A273B1"/>
    <w:rsid w:val="00A27436"/>
    <w:rsid w:val="00A2751D"/>
    <w:rsid w:val="00A276DE"/>
    <w:rsid w:val="00A277CC"/>
    <w:rsid w:val="00A27862"/>
    <w:rsid w:val="00A2789C"/>
    <w:rsid w:val="00A27A63"/>
    <w:rsid w:val="00A27D32"/>
    <w:rsid w:val="00A27E36"/>
    <w:rsid w:val="00A27F18"/>
    <w:rsid w:val="00A301E2"/>
    <w:rsid w:val="00A30243"/>
    <w:rsid w:val="00A3038B"/>
    <w:rsid w:val="00A304CC"/>
    <w:rsid w:val="00A30529"/>
    <w:rsid w:val="00A30600"/>
    <w:rsid w:val="00A308A5"/>
    <w:rsid w:val="00A3137B"/>
    <w:rsid w:val="00A3154E"/>
    <w:rsid w:val="00A317AB"/>
    <w:rsid w:val="00A31A79"/>
    <w:rsid w:val="00A31A9D"/>
    <w:rsid w:val="00A3211F"/>
    <w:rsid w:val="00A32138"/>
    <w:rsid w:val="00A321CC"/>
    <w:rsid w:val="00A325B8"/>
    <w:rsid w:val="00A33061"/>
    <w:rsid w:val="00A330BB"/>
    <w:rsid w:val="00A33147"/>
    <w:rsid w:val="00A335E7"/>
    <w:rsid w:val="00A3399F"/>
    <w:rsid w:val="00A33C55"/>
    <w:rsid w:val="00A33D96"/>
    <w:rsid w:val="00A3411D"/>
    <w:rsid w:val="00A342A3"/>
    <w:rsid w:val="00A34507"/>
    <w:rsid w:val="00A3472F"/>
    <w:rsid w:val="00A34740"/>
    <w:rsid w:val="00A3476E"/>
    <w:rsid w:val="00A347BE"/>
    <w:rsid w:val="00A3489E"/>
    <w:rsid w:val="00A34B6D"/>
    <w:rsid w:val="00A34D41"/>
    <w:rsid w:val="00A34E3B"/>
    <w:rsid w:val="00A35167"/>
    <w:rsid w:val="00A357AE"/>
    <w:rsid w:val="00A35BE6"/>
    <w:rsid w:val="00A35CDA"/>
    <w:rsid w:val="00A35E21"/>
    <w:rsid w:val="00A36421"/>
    <w:rsid w:val="00A36685"/>
    <w:rsid w:val="00A3671C"/>
    <w:rsid w:val="00A36C52"/>
    <w:rsid w:val="00A36CF1"/>
    <w:rsid w:val="00A37556"/>
    <w:rsid w:val="00A3760C"/>
    <w:rsid w:val="00A377E7"/>
    <w:rsid w:val="00A378D0"/>
    <w:rsid w:val="00A37A4F"/>
    <w:rsid w:val="00A37B25"/>
    <w:rsid w:val="00A37CD5"/>
    <w:rsid w:val="00A37EAC"/>
    <w:rsid w:val="00A37FB2"/>
    <w:rsid w:val="00A405A0"/>
    <w:rsid w:val="00A406E7"/>
    <w:rsid w:val="00A4088B"/>
    <w:rsid w:val="00A40D90"/>
    <w:rsid w:val="00A40E79"/>
    <w:rsid w:val="00A4109E"/>
    <w:rsid w:val="00A41281"/>
    <w:rsid w:val="00A41331"/>
    <w:rsid w:val="00A414B0"/>
    <w:rsid w:val="00A4150D"/>
    <w:rsid w:val="00A4183C"/>
    <w:rsid w:val="00A41AD1"/>
    <w:rsid w:val="00A41AEE"/>
    <w:rsid w:val="00A41D4F"/>
    <w:rsid w:val="00A41EB0"/>
    <w:rsid w:val="00A42024"/>
    <w:rsid w:val="00A4208D"/>
    <w:rsid w:val="00A42127"/>
    <w:rsid w:val="00A421A3"/>
    <w:rsid w:val="00A422C2"/>
    <w:rsid w:val="00A42354"/>
    <w:rsid w:val="00A4245F"/>
    <w:rsid w:val="00A424C3"/>
    <w:rsid w:val="00A424E7"/>
    <w:rsid w:val="00A4252D"/>
    <w:rsid w:val="00A42E96"/>
    <w:rsid w:val="00A433FE"/>
    <w:rsid w:val="00A43407"/>
    <w:rsid w:val="00A43879"/>
    <w:rsid w:val="00A43918"/>
    <w:rsid w:val="00A43D5D"/>
    <w:rsid w:val="00A440DD"/>
    <w:rsid w:val="00A4420C"/>
    <w:rsid w:val="00A443AE"/>
    <w:rsid w:val="00A44681"/>
    <w:rsid w:val="00A447FC"/>
    <w:rsid w:val="00A448EC"/>
    <w:rsid w:val="00A44CE9"/>
    <w:rsid w:val="00A44E9E"/>
    <w:rsid w:val="00A44F17"/>
    <w:rsid w:val="00A451C0"/>
    <w:rsid w:val="00A4529D"/>
    <w:rsid w:val="00A452B8"/>
    <w:rsid w:val="00A452C6"/>
    <w:rsid w:val="00A455C3"/>
    <w:rsid w:val="00A45A8B"/>
    <w:rsid w:val="00A45C1D"/>
    <w:rsid w:val="00A4604E"/>
    <w:rsid w:val="00A46065"/>
    <w:rsid w:val="00A4616C"/>
    <w:rsid w:val="00A46A33"/>
    <w:rsid w:val="00A46D0A"/>
    <w:rsid w:val="00A46DAC"/>
    <w:rsid w:val="00A46E48"/>
    <w:rsid w:val="00A470D9"/>
    <w:rsid w:val="00A473D7"/>
    <w:rsid w:val="00A4761A"/>
    <w:rsid w:val="00A47942"/>
    <w:rsid w:val="00A47C5D"/>
    <w:rsid w:val="00A47D54"/>
    <w:rsid w:val="00A47DB4"/>
    <w:rsid w:val="00A47EE5"/>
    <w:rsid w:val="00A5010A"/>
    <w:rsid w:val="00A5041C"/>
    <w:rsid w:val="00A506B1"/>
    <w:rsid w:val="00A507F6"/>
    <w:rsid w:val="00A509A8"/>
    <w:rsid w:val="00A50C3A"/>
    <w:rsid w:val="00A50C61"/>
    <w:rsid w:val="00A51012"/>
    <w:rsid w:val="00A5115D"/>
    <w:rsid w:val="00A511C0"/>
    <w:rsid w:val="00A511F6"/>
    <w:rsid w:val="00A5121A"/>
    <w:rsid w:val="00A512CB"/>
    <w:rsid w:val="00A51402"/>
    <w:rsid w:val="00A5146C"/>
    <w:rsid w:val="00A51522"/>
    <w:rsid w:val="00A51578"/>
    <w:rsid w:val="00A516F1"/>
    <w:rsid w:val="00A518B7"/>
    <w:rsid w:val="00A5199E"/>
    <w:rsid w:val="00A51C1A"/>
    <w:rsid w:val="00A51C9A"/>
    <w:rsid w:val="00A52375"/>
    <w:rsid w:val="00A523AC"/>
    <w:rsid w:val="00A523B4"/>
    <w:rsid w:val="00A5258E"/>
    <w:rsid w:val="00A52599"/>
    <w:rsid w:val="00A52622"/>
    <w:rsid w:val="00A52B8C"/>
    <w:rsid w:val="00A52C48"/>
    <w:rsid w:val="00A52CA8"/>
    <w:rsid w:val="00A52E02"/>
    <w:rsid w:val="00A5300A"/>
    <w:rsid w:val="00A5311B"/>
    <w:rsid w:val="00A535DB"/>
    <w:rsid w:val="00A53B3D"/>
    <w:rsid w:val="00A53C3B"/>
    <w:rsid w:val="00A53DB5"/>
    <w:rsid w:val="00A53DD0"/>
    <w:rsid w:val="00A53F04"/>
    <w:rsid w:val="00A544CE"/>
    <w:rsid w:val="00A544D5"/>
    <w:rsid w:val="00A55187"/>
    <w:rsid w:val="00A555C9"/>
    <w:rsid w:val="00A555F2"/>
    <w:rsid w:val="00A5578A"/>
    <w:rsid w:val="00A55844"/>
    <w:rsid w:val="00A5598E"/>
    <w:rsid w:val="00A559CE"/>
    <w:rsid w:val="00A55ACC"/>
    <w:rsid w:val="00A55B28"/>
    <w:rsid w:val="00A55C8A"/>
    <w:rsid w:val="00A55F3C"/>
    <w:rsid w:val="00A5605F"/>
    <w:rsid w:val="00A56190"/>
    <w:rsid w:val="00A56520"/>
    <w:rsid w:val="00A565D5"/>
    <w:rsid w:val="00A566DC"/>
    <w:rsid w:val="00A566DE"/>
    <w:rsid w:val="00A5692A"/>
    <w:rsid w:val="00A56A1B"/>
    <w:rsid w:val="00A56BD1"/>
    <w:rsid w:val="00A56DFC"/>
    <w:rsid w:val="00A5700F"/>
    <w:rsid w:val="00A5711F"/>
    <w:rsid w:val="00A578C7"/>
    <w:rsid w:val="00A578F5"/>
    <w:rsid w:val="00A57A07"/>
    <w:rsid w:val="00A57D74"/>
    <w:rsid w:val="00A60078"/>
    <w:rsid w:val="00A60ADD"/>
    <w:rsid w:val="00A60C27"/>
    <w:rsid w:val="00A60C8A"/>
    <w:rsid w:val="00A60E2E"/>
    <w:rsid w:val="00A60E4F"/>
    <w:rsid w:val="00A61087"/>
    <w:rsid w:val="00A61918"/>
    <w:rsid w:val="00A61972"/>
    <w:rsid w:val="00A619BA"/>
    <w:rsid w:val="00A619C8"/>
    <w:rsid w:val="00A61CBA"/>
    <w:rsid w:val="00A61D09"/>
    <w:rsid w:val="00A61EC9"/>
    <w:rsid w:val="00A62161"/>
    <w:rsid w:val="00A62326"/>
    <w:rsid w:val="00A62437"/>
    <w:rsid w:val="00A63065"/>
    <w:rsid w:val="00A63156"/>
    <w:rsid w:val="00A63939"/>
    <w:rsid w:val="00A639F2"/>
    <w:rsid w:val="00A63A14"/>
    <w:rsid w:val="00A63D07"/>
    <w:rsid w:val="00A64241"/>
    <w:rsid w:val="00A6469D"/>
    <w:rsid w:val="00A64845"/>
    <w:rsid w:val="00A64A73"/>
    <w:rsid w:val="00A64E9B"/>
    <w:rsid w:val="00A64F35"/>
    <w:rsid w:val="00A65179"/>
    <w:rsid w:val="00A6520F"/>
    <w:rsid w:val="00A652B9"/>
    <w:rsid w:val="00A6530A"/>
    <w:rsid w:val="00A65399"/>
    <w:rsid w:val="00A65423"/>
    <w:rsid w:val="00A65442"/>
    <w:rsid w:val="00A65614"/>
    <w:rsid w:val="00A6574F"/>
    <w:rsid w:val="00A65A92"/>
    <w:rsid w:val="00A65C0E"/>
    <w:rsid w:val="00A65C2C"/>
    <w:rsid w:val="00A65C35"/>
    <w:rsid w:val="00A65D78"/>
    <w:rsid w:val="00A65EE9"/>
    <w:rsid w:val="00A65FA0"/>
    <w:rsid w:val="00A65FD9"/>
    <w:rsid w:val="00A667B1"/>
    <w:rsid w:val="00A66860"/>
    <w:rsid w:val="00A668B9"/>
    <w:rsid w:val="00A66B2A"/>
    <w:rsid w:val="00A66D37"/>
    <w:rsid w:val="00A66F41"/>
    <w:rsid w:val="00A66FD0"/>
    <w:rsid w:val="00A670B6"/>
    <w:rsid w:val="00A67251"/>
    <w:rsid w:val="00A67308"/>
    <w:rsid w:val="00A67690"/>
    <w:rsid w:val="00A6792E"/>
    <w:rsid w:val="00A67ABD"/>
    <w:rsid w:val="00A67AC6"/>
    <w:rsid w:val="00A67B57"/>
    <w:rsid w:val="00A67E00"/>
    <w:rsid w:val="00A67E59"/>
    <w:rsid w:val="00A7014E"/>
    <w:rsid w:val="00A70526"/>
    <w:rsid w:val="00A7056A"/>
    <w:rsid w:val="00A7060B"/>
    <w:rsid w:val="00A706EA"/>
    <w:rsid w:val="00A708D0"/>
    <w:rsid w:val="00A70D66"/>
    <w:rsid w:val="00A70DF7"/>
    <w:rsid w:val="00A70FDB"/>
    <w:rsid w:val="00A7113F"/>
    <w:rsid w:val="00A71288"/>
    <w:rsid w:val="00A7145F"/>
    <w:rsid w:val="00A714E3"/>
    <w:rsid w:val="00A718F9"/>
    <w:rsid w:val="00A71A86"/>
    <w:rsid w:val="00A71B1F"/>
    <w:rsid w:val="00A71C03"/>
    <w:rsid w:val="00A71EC3"/>
    <w:rsid w:val="00A7236C"/>
    <w:rsid w:val="00A724F3"/>
    <w:rsid w:val="00A726C3"/>
    <w:rsid w:val="00A72902"/>
    <w:rsid w:val="00A730BB"/>
    <w:rsid w:val="00A73227"/>
    <w:rsid w:val="00A7333D"/>
    <w:rsid w:val="00A7350E"/>
    <w:rsid w:val="00A737C3"/>
    <w:rsid w:val="00A73AE9"/>
    <w:rsid w:val="00A73B82"/>
    <w:rsid w:val="00A73ECE"/>
    <w:rsid w:val="00A73F2A"/>
    <w:rsid w:val="00A7440A"/>
    <w:rsid w:val="00A7476B"/>
    <w:rsid w:val="00A748D7"/>
    <w:rsid w:val="00A74904"/>
    <w:rsid w:val="00A74941"/>
    <w:rsid w:val="00A74E88"/>
    <w:rsid w:val="00A7532D"/>
    <w:rsid w:val="00A75374"/>
    <w:rsid w:val="00A754E9"/>
    <w:rsid w:val="00A7553E"/>
    <w:rsid w:val="00A7555E"/>
    <w:rsid w:val="00A755E4"/>
    <w:rsid w:val="00A75DAB"/>
    <w:rsid w:val="00A76064"/>
    <w:rsid w:val="00A769EF"/>
    <w:rsid w:val="00A76B5A"/>
    <w:rsid w:val="00A76C64"/>
    <w:rsid w:val="00A76F62"/>
    <w:rsid w:val="00A76F89"/>
    <w:rsid w:val="00A76F93"/>
    <w:rsid w:val="00A779F6"/>
    <w:rsid w:val="00A77B37"/>
    <w:rsid w:val="00A77B64"/>
    <w:rsid w:val="00A77B74"/>
    <w:rsid w:val="00A77CA8"/>
    <w:rsid w:val="00A77CFD"/>
    <w:rsid w:val="00A77DBA"/>
    <w:rsid w:val="00A800F9"/>
    <w:rsid w:val="00A80204"/>
    <w:rsid w:val="00A8030E"/>
    <w:rsid w:val="00A80402"/>
    <w:rsid w:val="00A80518"/>
    <w:rsid w:val="00A80BEB"/>
    <w:rsid w:val="00A80E99"/>
    <w:rsid w:val="00A80FF7"/>
    <w:rsid w:val="00A810FE"/>
    <w:rsid w:val="00A813DA"/>
    <w:rsid w:val="00A81442"/>
    <w:rsid w:val="00A81495"/>
    <w:rsid w:val="00A81910"/>
    <w:rsid w:val="00A81A6C"/>
    <w:rsid w:val="00A81C2E"/>
    <w:rsid w:val="00A81D86"/>
    <w:rsid w:val="00A81D8D"/>
    <w:rsid w:val="00A81E5C"/>
    <w:rsid w:val="00A81E8D"/>
    <w:rsid w:val="00A8253C"/>
    <w:rsid w:val="00A82675"/>
    <w:rsid w:val="00A82890"/>
    <w:rsid w:val="00A82AC8"/>
    <w:rsid w:val="00A82DE9"/>
    <w:rsid w:val="00A82EDB"/>
    <w:rsid w:val="00A82F32"/>
    <w:rsid w:val="00A82F8C"/>
    <w:rsid w:val="00A830A7"/>
    <w:rsid w:val="00A835CD"/>
    <w:rsid w:val="00A83697"/>
    <w:rsid w:val="00A836B9"/>
    <w:rsid w:val="00A83710"/>
    <w:rsid w:val="00A83873"/>
    <w:rsid w:val="00A8393D"/>
    <w:rsid w:val="00A83A74"/>
    <w:rsid w:val="00A84178"/>
    <w:rsid w:val="00A843E8"/>
    <w:rsid w:val="00A84AFA"/>
    <w:rsid w:val="00A84B3E"/>
    <w:rsid w:val="00A84C26"/>
    <w:rsid w:val="00A84CD7"/>
    <w:rsid w:val="00A84F09"/>
    <w:rsid w:val="00A84F5F"/>
    <w:rsid w:val="00A8532F"/>
    <w:rsid w:val="00A855B8"/>
    <w:rsid w:val="00A85991"/>
    <w:rsid w:val="00A85C3B"/>
    <w:rsid w:val="00A85C68"/>
    <w:rsid w:val="00A85D15"/>
    <w:rsid w:val="00A85E31"/>
    <w:rsid w:val="00A85E58"/>
    <w:rsid w:val="00A8609A"/>
    <w:rsid w:val="00A86236"/>
    <w:rsid w:val="00A865A9"/>
    <w:rsid w:val="00A865CA"/>
    <w:rsid w:val="00A865E5"/>
    <w:rsid w:val="00A86654"/>
    <w:rsid w:val="00A867C3"/>
    <w:rsid w:val="00A867F4"/>
    <w:rsid w:val="00A86AC3"/>
    <w:rsid w:val="00A86E2F"/>
    <w:rsid w:val="00A86F4B"/>
    <w:rsid w:val="00A8713B"/>
    <w:rsid w:val="00A87304"/>
    <w:rsid w:val="00A87653"/>
    <w:rsid w:val="00A876C2"/>
    <w:rsid w:val="00A876C3"/>
    <w:rsid w:val="00A877E6"/>
    <w:rsid w:val="00A879B9"/>
    <w:rsid w:val="00A902CD"/>
    <w:rsid w:val="00A902DF"/>
    <w:rsid w:val="00A90404"/>
    <w:rsid w:val="00A90492"/>
    <w:rsid w:val="00A90661"/>
    <w:rsid w:val="00A9091D"/>
    <w:rsid w:val="00A909EC"/>
    <w:rsid w:val="00A90C67"/>
    <w:rsid w:val="00A90CE9"/>
    <w:rsid w:val="00A90D3E"/>
    <w:rsid w:val="00A90EE5"/>
    <w:rsid w:val="00A910BF"/>
    <w:rsid w:val="00A9136E"/>
    <w:rsid w:val="00A91425"/>
    <w:rsid w:val="00A9148A"/>
    <w:rsid w:val="00A915C3"/>
    <w:rsid w:val="00A916B1"/>
    <w:rsid w:val="00A91820"/>
    <w:rsid w:val="00A919E1"/>
    <w:rsid w:val="00A91A27"/>
    <w:rsid w:val="00A91EEE"/>
    <w:rsid w:val="00A921D2"/>
    <w:rsid w:val="00A92361"/>
    <w:rsid w:val="00A92428"/>
    <w:rsid w:val="00A9243F"/>
    <w:rsid w:val="00A9246E"/>
    <w:rsid w:val="00A92A02"/>
    <w:rsid w:val="00A92A4D"/>
    <w:rsid w:val="00A92B9D"/>
    <w:rsid w:val="00A92CF2"/>
    <w:rsid w:val="00A92FFE"/>
    <w:rsid w:val="00A9313A"/>
    <w:rsid w:val="00A93575"/>
    <w:rsid w:val="00A935EF"/>
    <w:rsid w:val="00A93845"/>
    <w:rsid w:val="00A93A40"/>
    <w:rsid w:val="00A93BBC"/>
    <w:rsid w:val="00A93CE4"/>
    <w:rsid w:val="00A93ED7"/>
    <w:rsid w:val="00A93FAB"/>
    <w:rsid w:val="00A94860"/>
    <w:rsid w:val="00A948EC"/>
    <w:rsid w:val="00A948FC"/>
    <w:rsid w:val="00A949FE"/>
    <w:rsid w:val="00A94B11"/>
    <w:rsid w:val="00A951D9"/>
    <w:rsid w:val="00A95849"/>
    <w:rsid w:val="00A9595A"/>
    <w:rsid w:val="00A95BA0"/>
    <w:rsid w:val="00A95D0D"/>
    <w:rsid w:val="00A95D30"/>
    <w:rsid w:val="00A95ED7"/>
    <w:rsid w:val="00A9615F"/>
    <w:rsid w:val="00A96358"/>
    <w:rsid w:val="00A96703"/>
    <w:rsid w:val="00A9674B"/>
    <w:rsid w:val="00A96ADA"/>
    <w:rsid w:val="00A96B43"/>
    <w:rsid w:val="00A96EF0"/>
    <w:rsid w:val="00A971E4"/>
    <w:rsid w:val="00A97254"/>
    <w:rsid w:val="00A973F5"/>
    <w:rsid w:val="00A97400"/>
    <w:rsid w:val="00A97613"/>
    <w:rsid w:val="00A97C34"/>
    <w:rsid w:val="00A97C8F"/>
    <w:rsid w:val="00A97D08"/>
    <w:rsid w:val="00A97E7B"/>
    <w:rsid w:val="00AA00F9"/>
    <w:rsid w:val="00AA0108"/>
    <w:rsid w:val="00AA043E"/>
    <w:rsid w:val="00AA0738"/>
    <w:rsid w:val="00AA0FCF"/>
    <w:rsid w:val="00AA1213"/>
    <w:rsid w:val="00AA12BD"/>
    <w:rsid w:val="00AA1527"/>
    <w:rsid w:val="00AA160D"/>
    <w:rsid w:val="00AA1758"/>
    <w:rsid w:val="00AA187A"/>
    <w:rsid w:val="00AA18AE"/>
    <w:rsid w:val="00AA1BED"/>
    <w:rsid w:val="00AA1C12"/>
    <w:rsid w:val="00AA1C18"/>
    <w:rsid w:val="00AA1C2E"/>
    <w:rsid w:val="00AA21EB"/>
    <w:rsid w:val="00AA23A3"/>
    <w:rsid w:val="00AA23AD"/>
    <w:rsid w:val="00AA27ED"/>
    <w:rsid w:val="00AA2D5C"/>
    <w:rsid w:val="00AA2E9A"/>
    <w:rsid w:val="00AA2F1B"/>
    <w:rsid w:val="00AA307E"/>
    <w:rsid w:val="00AA31BE"/>
    <w:rsid w:val="00AA33B0"/>
    <w:rsid w:val="00AA33FE"/>
    <w:rsid w:val="00AA361F"/>
    <w:rsid w:val="00AA3665"/>
    <w:rsid w:val="00AA389E"/>
    <w:rsid w:val="00AA393F"/>
    <w:rsid w:val="00AA3A4F"/>
    <w:rsid w:val="00AA3B41"/>
    <w:rsid w:val="00AA3BDC"/>
    <w:rsid w:val="00AA3C83"/>
    <w:rsid w:val="00AA3CAF"/>
    <w:rsid w:val="00AA3F12"/>
    <w:rsid w:val="00AA3FCB"/>
    <w:rsid w:val="00AA3FDF"/>
    <w:rsid w:val="00AA41A1"/>
    <w:rsid w:val="00AA41C5"/>
    <w:rsid w:val="00AA43E6"/>
    <w:rsid w:val="00AA4982"/>
    <w:rsid w:val="00AA4A9B"/>
    <w:rsid w:val="00AA4B59"/>
    <w:rsid w:val="00AA4BE2"/>
    <w:rsid w:val="00AA4DB4"/>
    <w:rsid w:val="00AA4F12"/>
    <w:rsid w:val="00AA5872"/>
    <w:rsid w:val="00AA58EC"/>
    <w:rsid w:val="00AA5A33"/>
    <w:rsid w:val="00AA5A8C"/>
    <w:rsid w:val="00AA5AB7"/>
    <w:rsid w:val="00AA5CAC"/>
    <w:rsid w:val="00AA5D66"/>
    <w:rsid w:val="00AA5DB9"/>
    <w:rsid w:val="00AA5EC0"/>
    <w:rsid w:val="00AA5EE6"/>
    <w:rsid w:val="00AA60B6"/>
    <w:rsid w:val="00AA61F9"/>
    <w:rsid w:val="00AA635C"/>
    <w:rsid w:val="00AA640E"/>
    <w:rsid w:val="00AA6815"/>
    <w:rsid w:val="00AA6DC6"/>
    <w:rsid w:val="00AA6E02"/>
    <w:rsid w:val="00AA6EC7"/>
    <w:rsid w:val="00AA6FC6"/>
    <w:rsid w:val="00AA712E"/>
    <w:rsid w:val="00AA7423"/>
    <w:rsid w:val="00AA770A"/>
    <w:rsid w:val="00AA77E3"/>
    <w:rsid w:val="00AA7A6E"/>
    <w:rsid w:val="00AA7D86"/>
    <w:rsid w:val="00AA7F88"/>
    <w:rsid w:val="00AB0103"/>
    <w:rsid w:val="00AB012E"/>
    <w:rsid w:val="00AB0179"/>
    <w:rsid w:val="00AB0215"/>
    <w:rsid w:val="00AB036C"/>
    <w:rsid w:val="00AB0434"/>
    <w:rsid w:val="00AB0581"/>
    <w:rsid w:val="00AB05D4"/>
    <w:rsid w:val="00AB07DA"/>
    <w:rsid w:val="00AB0C03"/>
    <w:rsid w:val="00AB1036"/>
    <w:rsid w:val="00AB1107"/>
    <w:rsid w:val="00AB1165"/>
    <w:rsid w:val="00AB1189"/>
    <w:rsid w:val="00AB11E7"/>
    <w:rsid w:val="00AB12BC"/>
    <w:rsid w:val="00AB14AB"/>
    <w:rsid w:val="00AB187D"/>
    <w:rsid w:val="00AB19FE"/>
    <w:rsid w:val="00AB1A2D"/>
    <w:rsid w:val="00AB1C0E"/>
    <w:rsid w:val="00AB2068"/>
    <w:rsid w:val="00AB20F0"/>
    <w:rsid w:val="00AB27CF"/>
    <w:rsid w:val="00AB297D"/>
    <w:rsid w:val="00AB2A54"/>
    <w:rsid w:val="00AB2CDE"/>
    <w:rsid w:val="00AB2E4C"/>
    <w:rsid w:val="00AB3019"/>
    <w:rsid w:val="00AB3149"/>
    <w:rsid w:val="00AB3168"/>
    <w:rsid w:val="00AB3218"/>
    <w:rsid w:val="00AB3247"/>
    <w:rsid w:val="00AB351F"/>
    <w:rsid w:val="00AB353F"/>
    <w:rsid w:val="00AB3588"/>
    <w:rsid w:val="00AB3640"/>
    <w:rsid w:val="00AB369D"/>
    <w:rsid w:val="00AB37D3"/>
    <w:rsid w:val="00AB380E"/>
    <w:rsid w:val="00AB398D"/>
    <w:rsid w:val="00AB3999"/>
    <w:rsid w:val="00AB3AC1"/>
    <w:rsid w:val="00AB3B28"/>
    <w:rsid w:val="00AB3B41"/>
    <w:rsid w:val="00AB3CFE"/>
    <w:rsid w:val="00AB3D8E"/>
    <w:rsid w:val="00AB3FA2"/>
    <w:rsid w:val="00AB3FD1"/>
    <w:rsid w:val="00AB4098"/>
    <w:rsid w:val="00AB40B7"/>
    <w:rsid w:val="00AB42D2"/>
    <w:rsid w:val="00AB444F"/>
    <w:rsid w:val="00AB451E"/>
    <w:rsid w:val="00AB484C"/>
    <w:rsid w:val="00AB51FD"/>
    <w:rsid w:val="00AB5239"/>
    <w:rsid w:val="00AB53A5"/>
    <w:rsid w:val="00AB547D"/>
    <w:rsid w:val="00AB551D"/>
    <w:rsid w:val="00AB5759"/>
    <w:rsid w:val="00AB5957"/>
    <w:rsid w:val="00AB59FE"/>
    <w:rsid w:val="00AB5BED"/>
    <w:rsid w:val="00AB5CA4"/>
    <w:rsid w:val="00AB5D63"/>
    <w:rsid w:val="00AB62AB"/>
    <w:rsid w:val="00AB650B"/>
    <w:rsid w:val="00AB657E"/>
    <w:rsid w:val="00AB6A9D"/>
    <w:rsid w:val="00AB6B66"/>
    <w:rsid w:val="00AB6D48"/>
    <w:rsid w:val="00AB6E6D"/>
    <w:rsid w:val="00AB7342"/>
    <w:rsid w:val="00AB7A08"/>
    <w:rsid w:val="00AB7DFA"/>
    <w:rsid w:val="00AB7F05"/>
    <w:rsid w:val="00AC0006"/>
    <w:rsid w:val="00AC0EA6"/>
    <w:rsid w:val="00AC0F2E"/>
    <w:rsid w:val="00AC1245"/>
    <w:rsid w:val="00AC124D"/>
    <w:rsid w:val="00AC1474"/>
    <w:rsid w:val="00AC16E9"/>
    <w:rsid w:val="00AC1DAE"/>
    <w:rsid w:val="00AC1E7F"/>
    <w:rsid w:val="00AC204D"/>
    <w:rsid w:val="00AC208A"/>
    <w:rsid w:val="00AC2127"/>
    <w:rsid w:val="00AC22A6"/>
    <w:rsid w:val="00AC2372"/>
    <w:rsid w:val="00AC2485"/>
    <w:rsid w:val="00AC270D"/>
    <w:rsid w:val="00AC280F"/>
    <w:rsid w:val="00AC290A"/>
    <w:rsid w:val="00AC2956"/>
    <w:rsid w:val="00AC2BC5"/>
    <w:rsid w:val="00AC2BC8"/>
    <w:rsid w:val="00AC2D6D"/>
    <w:rsid w:val="00AC33FC"/>
    <w:rsid w:val="00AC3414"/>
    <w:rsid w:val="00AC3567"/>
    <w:rsid w:val="00AC35B4"/>
    <w:rsid w:val="00AC375F"/>
    <w:rsid w:val="00AC3A15"/>
    <w:rsid w:val="00AC3AB5"/>
    <w:rsid w:val="00AC3EBF"/>
    <w:rsid w:val="00AC4012"/>
    <w:rsid w:val="00AC40D4"/>
    <w:rsid w:val="00AC4157"/>
    <w:rsid w:val="00AC4384"/>
    <w:rsid w:val="00AC44A5"/>
    <w:rsid w:val="00AC44D4"/>
    <w:rsid w:val="00AC46C5"/>
    <w:rsid w:val="00AC4865"/>
    <w:rsid w:val="00AC487A"/>
    <w:rsid w:val="00AC492D"/>
    <w:rsid w:val="00AC4D04"/>
    <w:rsid w:val="00AC4EC3"/>
    <w:rsid w:val="00AC5035"/>
    <w:rsid w:val="00AC54AB"/>
    <w:rsid w:val="00AC5555"/>
    <w:rsid w:val="00AC5556"/>
    <w:rsid w:val="00AC5755"/>
    <w:rsid w:val="00AC5DB4"/>
    <w:rsid w:val="00AC6179"/>
    <w:rsid w:val="00AC6208"/>
    <w:rsid w:val="00AC67FA"/>
    <w:rsid w:val="00AC68FB"/>
    <w:rsid w:val="00AC6D62"/>
    <w:rsid w:val="00AC6E21"/>
    <w:rsid w:val="00AC6E6C"/>
    <w:rsid w:val="00AC6FE7"/>
    <w:rsid w:val="00AC701E"/>
    <w:rsid w:val="00AC735D"/>
    <w:rsid w:val="00AC741A"/>
    <w:rsid w:val="00AC75E1"/>
    <w:rsid w:val="00AC7657"/>
    <w:rsid w:val="00AC79C0"/>
    <w:rsid w:val="00AC7B1A"/>
    <w:rsid w:val="00AC7B48"/>
    <w:rsid w:val="00AC7EC5"/>
    <w:rsid w:val="00AD0035"/>
    <w:rsid w:val="00AD01F7"/>
    <w:rsid w:val="00AD02EC"/>
    <w:rsid w:val="00AD0480"/>
    <w:rsid w:val="00AD082F"/>
    <w:rsid w:val="00AD0986"/>
    <w:rsid w:val="00AD0CB0"/>
    <w:rsid w:val="00AD0F4F"/>
    <w:rsid w:val="00AD118B"/>
    <w:rsid w:val="00AD11B3"/>
    <w:rsid w:val="00AD168D"/>
    <w:rsid w:val="00AD1A30"/>
    <w:rsid w:val="00AD1AB1"/>
    <w:rsid w:val="00AD1EB1"/>
    <w:rsid w:val="00AD2082"/>
    <w:rsid w:val="00AD2409"/>
    <w:rsid w:val="00AD254C"/>
    <w:rsid w:val="00AD271F"/>
    <w:rsid w:val="00AD28EF"/>
    <w:rsid w:val="00AD2BEE"/>
    <w:rsid w:val="00AD2D6F"/>
    <w:rsid w:val="00AD2FDB"/>
    <w:rsid w:val="00AD3483"/>
    <w:rsid w:val="00AD36F9"/>
    <w:rsid w:val="00AD394F"/>
    <w:rsid w:val="00AD3AA3"/>
    <w:rsid w:val="00AD3B66"/>
    <w:rsid w:val="00AD3BCD"/>
    <w:rsid w:val="00AD3E41"/>
    <w:rsid w:val="00AD3F5D"/>
    <w:rsid w:val="00AD49DE"/>
    <w:rsid w:val="00AD4BC4"/>
    <w:rsid w:val="00AD4E16"/>
    <w:rsid w:val="00AD528D"/>
    <w:rsid w:val="00AD53BD"/>
    <w:rsid w:val="00AD5411"/>
    <w:rsid w:val="00AD56C2"/>
    <w:rsid w:val="00AD6101"/>
    <w:rsid w:val="00AD647B"/>
    <w:rsid w:val="00AD64C4"/>
    <w:rsid w:val="00AD6612"/>
    <w:rsid w:val="00AD67CC"/>
    <w:rsid w:val="00AD6806"/>
    <w:rsid w:val="00AD6976"/>
    <w:rsid w:val="00AD6C7E"/>
    <w:rsid w:val="00AD6CF7"/>
    <w:rsid w:val="00AD6E32"/>
    <w:rsid w:val="00AD6E6D"/>
    <w:rsid w:val="00AD7211"/>
    <w:rsid w:val="00AD7239"/>
    <w:rsid w:val="00AD7515"/>
    <w:rsid w:val="00AD7731"/>
    <w:rsid w:val="00AD7903"/>
    <w:rsid w:val="00AE037B"/>
    <w:rsid w:val="00AE0ADA"/>
    <w:rsid w:val="00AE0C9D"/>
    <w:rsid w:val="00AE0CA0"/>
    <w:rsid w:val="00AE1264"/>
    <w:rsid w:val="00AE1328"/>
    <w:rsid w:val="00AE13AE"/>
    <w:rsid w:val="00AE14B9"/>
    <w:rsid w:val="00AE14E1"/>
    <w:rsid w:val="00AE1620"/>
    <w:rsid w:val="00AE1CF5"/>
    <w:rsid w:val="00AE1E0E"/>
    <w:rsid w:val="00AE1FC5"/>
    <w:rsid w:val="00AE21A6"/>
    <w:rsid w:val="00AE2476"/>
    <w:rsid w:val="00AE2C28"/>
    <w:rsid w:val="00AE2CB3"/>
    <w:rsid w:val="00AE2E25"/>
    <w:rsid w:val="00AE2E91"/>
    <w:rsid w:val="00AE2F70"/>
    <w:rsid w:val="00AE312B"/>
    <w:rsid w:val="00AE34F7"/>
    <w:rsid w:val="00AE37D4"/>
    <w:rsid w:val="00AE3E2C"/>
    <w:rsid w:val="00AE408B"/>
    <w:rsid w:val="00AE40EB"/>
    <w:rsid w:val="00AE469B"/>
    <w:rsid w:val="00AE4A7C"/>
    <w:rsid w:val="00AE4CDD"/>
    <w:rsid w:val="00AE4CF4"/>
    <w:rsid w:val="00AE4EE1"/>
    <w:rsid w:val="00AE4F8D"/>
    <w:rsid w:val="00AE513A"/>
    <w:rsid w:val="00AE516E"/>
    <w:rsid w:val="00AE5175"/>
    <w:rsid w:val="00AE535D"/>
    <w:rsid w:val="00AE542B"/>
    <w:rsid w:val="00AE56C4"/>
    <w:rsid w:val="00AE59E3"/>
    <w:rsid w:val="00AE5C18"/>
    <w:rsid w:val="00AE609F"/>
    <w:rsid w:val="00AE6391"/>
    <w:rsid w:val="00AE672F"/>
    <w:rsid w:val="00AE676C"/>
    <w:rsid w:val="00AE6D96"/>
    <w:rsid w:val="00AE7080"/>
    <w:rsid w:val="00AE7131"/>
    <w:rsid w:val="00AE73B2"/>
    <w:rsid w:val="00AE7643"/>
    <w:rsid w:val="00AE7655"/>
    <w:rsid w:val="00AE78C2"/>
    <w:rsid w:val="00AE79BD"/>
    <w:rsid w:val="00AE7AC9"/>
    <w:rsid w:val="00AE7E26"/>
    <w:rsid w:val="00AE7ECE"/>
    <w:rsid w:val="00AF0287"/>
    <w:rsid w:val="00AF0338"/>
    <w:rsid w:val="00AF034B"/>
    <w:rsid w:val="00AF040D"/>
    <w:rsid w:val="00AF06F7"/>
    <w:rsid w:val="00AF079F"/>
    <w:rsid w:val="00AF07FF"/>
    <w:rsid w:val="00AF080C"/>
    <w:rsid w:val="00AF13FE"/>
    <w:rsid w:val="00AF1835"/>
    <w:rsid w:val="00AF1913"/>
    <w:rsid w:val="00AF1A42"/>
    <w:rsid w:val="00AF1B37"/>
    <w:rsid w:val="00AF1B95"/>
    <w:rsid w:val="00AF1D07"/>
    <w:rsid w:val="00AF1DF3"/>
    <w:rsid w:val="00AF1E7A"/>
    <w:rsid w:val="00AF2356"/>
    <w:rsid w:val="00AF2390"/>
    <w:rsid w:val="00AF2B56"/>
    <w:rsid w:val="00AF2BAE"/>
    <w:rsid w:val="00AF2DD5"/>
    <w:rsid w:val="00AF30AF"/>
    <w:rsid w:val="00AF32A1"/>
    <w:rsid w:val="00AF35E8"/>
    <w:rsid w:val="00AF3654"/>
    <w:rsid w:val="00AF36B4"/>
    <w:rsid w:val="00AF3A8B"/>
    <w:rsid w:val="00AF3D81"/>
    <w:rsid w:val="00AF409A"/>
    <w:rsid w:val="00AF48A6"/>
    <w:rsid w:val="00AF4955"/>
    <w:rsid w:val="00AF4BAB"/>
    <w:rsid w:val="00AF4CF5"/>
    <w:rsid w:val="00AF4D6C"/>
    <w:rsid w:val="00AF4E28"/>
    <w:rsid w:val="00AF4FE2"/>
    <w:rsid w:val="00AF5152"/>
    <w:rsid w:val="00AF5162"/>
    <w:rsid w:val="00AF5217"/>
    <w:rsid w:val="00AF5378"/>
    <w:rsid w:val="00AF5807"/>
    <w:rsid w:val="00AF5828"/>
    <w:rsid w:val="00AF58BD"/>
    <w:rsid w:val="00AF5F5C"/>
    <w:rsid w:val="00AF615D"/>
    <w:rsid w:val="00AF61A6"/>
    <w:rsid w:val="00AF6349"/>
    <w:rsid w:val="00AF6376"/>
    <w:rsid w:val="00AF65C7"/>
    <w:rsid w:val="00AF6846"/>
    <w:rsid w:val="00AF6863"/>
    <w:rsid w:val="00AF6B13"/>
    <w:rsid w:val="00AF6C11"/>
    <w:rsid w:val="00AF6C19"/>
    <w:rsid w:val="00AF6C76"/>
    <w:rsid w:val="00AF6D13"/>
    <w:rsid w:val="00AF6EE7"/>
    <w:rsid w:val="00AF6F20"/>
    <w:rsid w:val="00AF7038"/>
    <w:rsid w:val="00AF7043"/>
    <w:rsid w:val="00AF72F3"/>
    <w:rsid w:val="00AF738E"/>
    <w:rsid w:val="00AF7658"/>
    <w:rsid w:val="00AF7741"/>
    <w:rsid w:val="00AF7B03"/>
    <w:rsid w:val="00AF7CA1"/>
    <w:rsid w:val="00AF7D06"/>
    <w:rsid w:val="00AF7D51"/>
    <w:rsid w:val="00AF7D93"/>
    <w:rsid w:val="00AF7E7D"/>
    <w:rsid w:val="00B001CF"/>
    <w:rsid w:val="00B0093B"/>
    <w:rsid w:val="00B00B44"/>
    <w:rsid w:val="00B00CB6"/>
    <w:rsid w:val="00B0115E"/>
    <w:rsid w:val="00B01285"/>
    <w:rsid w:val="00B0149A"/>
    <w:rsid w:val="00B0150C"/>
    <w:rsid w:val="00B015D7"/>
    <w:rsid w:val="00B01A93"/>
    <w:rsid w:val="00B01C52"/>
    <w:rsid w:val="00B01C82"/>
    <w:rsid w:val="00B01DEA"/>
    <w:rsid w:val="00B021ED"/>
    <w:rsid w:val="00B025A6"/>
    <w:rsid w:val="00B025DF"/>
    <w:rsid w:val="00B0262B"/>
    <w:rsid w:val="00B0269B"/>
    <w:rsid w:val="00B02735"/>
    <w:rsid w:val="00B02737"/>
    <w:rsid w:val="00B02CAC"/>
    <w:rsid w:val="00B02E70"/>
    <w:rsid w:val="00B02F1B"/>
    <w:rsid w:val="00B030B7"/>
    <w:rsid w:val="00B03110"/>
    <w:rsid w:val="00B031A2"/>
    <w:rsid w:val="00B03678"/>
    <w:rsid w:val="00B037FE"/>
    <w:rsid w:val="00B03963"/>
    <w:rsid w:val="00B03FC6"/>
    <w:rsid w:val="00B03FE7"/>
    <w:rsid w:val="00B04289"/>
    <w:rsid w:val="00B04651"/>
    <w:rsid w:val="00B04893"/>
    <w:rsid w:val="00B04AC6"/>
    <w:rsid w:val="00B04B64"/>
    <w:rsid w:val="00B04FE9"/>
    <w:rsid w:val="00B05153"/>
    <w:rsid w:val="00B05538"/>
    <w:rsid w:val="00B05A12"/>
    <w:rsid w:val="00B05A27"/>
    <w:rsid w:val="00B05C4A"/>
    <w:rsid w:val="00B05CC6"/>
    <w:rsid w:val="00B05CFC"/>
    <w:rsid w:val="00B05D0D"/>
    <w:rsid w:val="00B05F44"/>
    <w:rsid w:val="00B05FB7"/>
    <w:rsid w:val="00B0602D"/>
    <w:rsid w:val="00B06038"/>
    <w:rsid w:val="00B0622C"/>
    <w:rsid w:val="00B0625F"/>
    <w:rsid w:val="00B06578"/>
    <w:rsid w:val="00B06A14"/>
    <w:rsid w:val="00B06A4E"/>
    <w:rsid w:val="00B06ACB"/>
    <w:rsid w:val="00B06C32"/>
    <w:rsid w:val="00B06EC3"/>
    <w:rsid w:val="00B07178"/>
    <w:rsid w:val="00B07213"/>
    <w:rsid w:val="00B07259"/>
    <w:rsid w:val="00B0762A"/>
    <w:rsid w:val="00B0775C"/>
    <w:rsid w:val="00B07A48"/>
    <w:rsid w:val="00B07A4A"/>
    <w:rsid w:val="00B07B2B"/>
    <w:rsid w:val="00B07E74"/>
    <w:rsid w:val="00B07F00"/>
    <w:rsid w:val="00B07FDE"/>
    <w:rsid w:val="00B10092"/>
    <w:rsid w:val="00B10278"/>
    <w:rsid w:val="00B10294"/>
    <w:rsid w:val="00B1093B"/>
    <w:rsid w:val="00B10C22"/>
    <w:rsid w:val="00B11505"/>
    <w:rsid w:val="00B117C6"/>
    <w:rsid w:val="00B117F7"/>
    <w:rsid w:val="00B11994"/>
    <w:rsid w:val="00B11A32"/>
    <w:rsid w:val="00B11ADE"/>
    <w:rsid w:val="00B12034"/>
    <w:rsid w:val="00B122DD"/>
    <w:rsid w:val="00B128A1"/>
    <w:rsid w:val="00B129D3"/>
    <w:rsid w:val="00B12B56"/>
    <w:rsid w:val="00B12B73"/>
    <w:rsid w:val="00B12BB1"/>
    <w:rsid w:val="00B12C5F"/>
    <w:rsid w:val="00B13003"/>
    <w:rsid w:val="00B130C4"/>
    <w:rsid w:val="00B131FE"/>
    <w:rsid w:val="00B13634"/>
    <w:rsid w:val="00B13675"/>
    <w:rsid w:val="00B13A17"/>
    <w:rsid w:val="00B13AA2"/>
    <w:rsid w:val="00B13D84"/>
    <w:rsid w:val="00B1406D"/>
    <w:rsid w:val="00B14369"/>
    <w:rsid w:val="00B14456"/>
    <w:rsid w:val="00B146E7"/>
    <w:rsid w:val="00B14761"/>
    <w:rsid w:val="00B147A4"/>
    <w:rsid w:val="00B147E8"/>
    <w:rsid w:val="00B149AF"/>
    <w:rsid w:val="00B14A73"/>
    <w:rsid w:val="00B14B67"/>
    <w:rsid w:val="00B14C24"/>
    <w:rsid w:val="00B14DB2"/>
    <w:rsid w:val="00B14ED1"/>
    <w:rsid w:val="00B153BC"/>
    <w:rsid w:val="00B15745"/>
    <w:rsid w:val="00B15847"/>
    <w:rsid w:val="00B1589A"/>
    <w:rsid w:val="00B159E1"/>
    <w:rsid w:val="00B15DD1"/>
    <w:rsid w:val="00B15F9D"/>
    <w:rsid w:val="00B164D4"/>
    <w:rsid w:val="00B16770"/>
    <w:rsid w:val="00B16784"/>
    <w:rsid w:val="00B167C9"/>
    <w:rsid w:val="00B16856"/>
    <w:rsid w:val="00B168ED"/>
    <w:rsid w:val="00B16CD1"/>
    <w:rsid w:val="00B16D06"/>
    <w:rsid w:val="00B16E71"/>
    <w:rsid w:val="00B16E92"/>
    <w:rsid w:val="00B17522"/>
    <w:rsid w:val="00B1773E"/>
    <w:rsid w:val="00B17757"/>
    <w:rsid w:val="00B17995"/>
    <w:rsid w:val="00B17A95"/>
    <w:rsid w:val="00B17AA9"/>
    <w:rsid w:val="00B17BB5"/>
    <w:rsid w:val="00B17C50"/>
    <w:rsid w:val="00B17CD0"/>
    <w:rsid w:val="00B17D32"/>
    <w:rsid w:val="00B17DA5"/>
    <w:rsid w:val="00B202B3"/>
    <w:rsid w:val="00B202CB"/>
    <w:rsid w:val="00B203C3"/>
    <w:rsid w:val="00B203FA"/>
    <w:rsid w:val="00B204D0"/>
    <w:rsid w:val="00B20710"/>
    <w:rsid w:val="00B208CE"/>
    <w:rsid w:val="00B20C7F"/>
    <w:rsid w:val="00B20F13"/>
    <w:rsid w:val="00B20F9F"/>
    <w:rsid w:val="00B21291"/>
    <w:rsid w:val="00B213E9"/>
    <w:rsid w:val="00B2140F"/>
    <w:rsid w:val="00B2145F"/>
    <w:rsid w:val="00B2159A"/>
    <w:rsid w:val="00B215B2"/>
    <w:rsid w:val="00B217C6"/>
    <w:rsid w:val="00B217F7"/>
    <w:rsid w:val="00B219A6"/>
    <w:rsid w:val="00B21B82"/>
    <w:rsid w:val="00B21D04"/>
    <w:rsid w:val="00B21FB4"/>
    <w:rsid w:val="00B221F3"/>
    <w:rsid w:val="00B22424"/>
    <w:rsid w:val="00B22665"/>
    <w:rsid w:val="00B226A9"/>
    <w:rsid w:val="00B228D6"/>
    <w:rsid w:val="00B228E5"/>
    <w:rsid w:val="00B22941"/>
    <w:rsid w:val="00B229D0"/>
    <w:rsid w:val="00B22E98"/>
    <w:rsid w:val="00B22FC4"/>
    <w:rsid w:val="00B2302A"/>
    <w:rsid w:val="00B230AD"/>
    <w:rsid w:val="00B23450"/>
    <w:rsid w:val="00B2353C"/>
    <w:rsid w:val="00B2358A"/>
    <w:rsid w:val="00B235BF"/>
    <w:rsid w:val="00B237E8"/>
    <w:rsid w:val="00B237F0"/>
    <w:rsid w:val="00B2390F"/>
    <w:rsid w:val="00B2395A"/>
    <w:rsid w:val="00B23A93"/>
    <w:rsid w:val="00B23E42"/>
    <w:rsid w:val="00B240A1"/>
    <w:rsid w:val="00B24142"/>
    <w:rsid w:val="00B24267"/>
    <w:rsid w:val="00B244A7"/>
    <w:rsid w:val="00B24899"/>
    <w:rsid w:val="00B2495D"/>
    <w:rsid w:val="00B24A83"/>
    <w:rsid w:val="00B24BAD"/>
    <w:rsid w:val="00B24DD0"/>
    <w:rsid w:val="00B24E37"/>
    <w:rsid w:val="00B253CE"/>
    <w:rsid w:val="00B2548F"/>
    <w:rsid w:val="00B25509"/>
    <w:rsid w:val="00B257F1"/>
    <w:rsid w:val="00B258CD"/>
    <w:rsid w:val="00B25A61"/>
    <w:rsid w:val="00B25E53"/>
    <w:rsid w:val="00B25F84"/>
    <w:rsid w:val="00B25FE1"/>
    <w:rsid w:val="00B26124"/>
    <w:rsid w:val="00B26132"/>
    <w:rsid w:val="00B26296"/>
    <w:rsid w:val="00B26452"/>
    <w:rsid w:val="00B26AAB"/>
    <w:rsid w:val="00B26AAE"/>
    <w:rsid w:val="00B26BE0"/>
    <w:rsid w:val="00B26C2B"/>
    <w:rsid w:val="00B26CB2"/>
    <w:rsid w:val="00B26CD7"/>
    <w:rsid w:val="00B26F0B"/>
    <w:rsid w:val="00B26F39"/>
    <w:rsid w:val="00B275D4"/>
    <w:rsid w:val="00B275E4"/>
    <w:rsid w:val="00B27779"/>
    <w:rsid w:val="00B27A06"/>
    <w:rsid w:val="00B27A8B"/>
    <w:rsid w:val="00B27F6C"/>
    <w:rsid w:val="00B3021C"/>
    <w:rsid w:val="00B304D7"/>
    <w:rsid w:val="00B30560"/>
    <w:rsid w:val="00B3057D"/>
    <w:rsid w:val="00B306A5"/>
    <w:rsid w:val="00B30857"/>
    <w:rsid w:val="00B30B27"/>
    <w:rsid w:val="00B30F68"/>
    <w:rsid w:val="00B3115B"/>
    <w:rsid w:val="00B317E9"/>
    <w:rsid w:val="00B3184F"/>
    <w:rsid w:val="00B31B0F"/>
    <w:rsid w:val="00B31B85"/>
    <w:rsid w:val="00B31F88"/>
    <w:rsid w:val="00B32055"/>
    <w:rsid w:val="00B320F9"/>
    <w:rsid w:val="00B3259C"/>
    <w:rsid w:val="00B325E1"/>
    <w:rsid w:val="00B32696"/>
    <w:rsid w:val="00B326B7"/>
    <w:rsid w:val="00B328CB"/>
    <w:rsid w:val="00B32A13"/>
    <w:rsid w:val="00B32D5B"/>
    <w:rsid w:val="00B32DC8"/>
    <w:rsid w:val="00B33320"/>
    <w:rsid w:val="00B339AD"/>
    <w:rsid w:val="00B33B04"/>
    <w:rsid w:val="00B33B92"/>
    <w:rsid w:val="00B33C03"/>
    <w:rsid w:val="00B33C42"/>
    <w:rsid w:val="00B33F80"/>
    <w:rsid w:val="00B34147"/>
    <w:rsid w:val="00B34177"/>
    <w:rsid w:val="00B342BC"/>
    <w:rsid w:val="00B3451C"/>
    <w:rsid w:val="00B347A6"/>
    <w:rsid w:val="00B347D5"/>
    <w:rsid w:val="00B34891"/>
    <w:rsid w:val="00B34BD8"/>
    <w:rsid w:val="00B34C93"/>
    <w:rsid w:val="00B34E8A"/>
    <w:rsid w:val="00B34FF9"/>
    <w:rsid w:val="00B351A6"/>
    <w:rsid w:val="00B3567A"/>
    <w:rsid w:val="00B358B6"/>
    <w:rsid w:val="00B35B84"/>
    <w:rsid w:val="00B35D0D"/>
    <w:rsid w:val="00B35D1F"/>
    <w:rsid w:val="00B35DED"/>
    <w:rsid w:val="00B36254"/>
    <w:rsid w:val="00B36962"/>
    <w:rsid w:val="00B36B00"/>
    <w:rsid w:val="00B36BC0"/>
    <w:rsid w:val="00B36C2F"/>
    <w:rsid w:val="00B36CD9"/>
    <w:rsid w:val="00B36FFF"/>
    <w:rsid w:val="00B37025"/>
    <w:rsid w:val="00B37038"/>
    <w:rsid w:val="00B372B6"/>
    <w:rsid w:val="00B37447"/>
    <w:rsid w:val="00B37461"/>
    <w:rsid w:val="00B376B1"/>
    <w:rsid w:val="00B378C0"/>
    <w:rsid w:val="00B37B19"/>
    <w:rsid w:val="00B37B9E"/>
    <w:rsid w:val="00B37BF1"/>
    <w:rsid w:val="00B37D84"/>
    <w:rsid w:val="00B37E3A"/>
    <w:rsid w:val="00B40097"/>
    <w:rsid w:val="00B40363"/>
    <w:rsid w:val="00B4037C"/>
    <w:rsid w:val="00B40682"/>
    <w:rsid w:val="00B407EE"/>
    <w:rsid w:val="00B40807"/>
    <w:rsid w:val="00B408C3"/>
    <w:rsid w:val="00B40E10"/>
    <w:rsid w:val="00B40E92"/>
    <w:rsid w:val="00B40F93"/>
    <w:rsid w:val="00B411F2"/>
    <w:rsid w:val="00B41496"/>
    <w:rsid w:val="00B41563"/>
    <w:rsid w:val="00B415F4"/>
    <w:rsid w:val="00B4160C"/>
    <w:rsid w:val="00B416D3"/>
    <w:rsid w:val="00B418C1"/>
    <w:rsid w:val="00B419B8"/>
    <w:rsid w:val="00B419F9"/>
    <w:rsid w:val="00B41A18"/>
    <w:rsid w:val="00B420DF"/>
    <w:rsid w:val="00B42118"/>
    <w:rsid w:val="00B42128"/>
    <w:rsid w:val="00B42562"/>
    <w:rsid w:val="00B42567"/>
    <w:rsid w:val="00B42AAA"/>
    <w:rsid w:val="00B42BF3"/>
    <w:rsid w:val="00B42C7C"/>
    <w:rsid w:val="00B42DC2"/>
    <w:rsid w:val="00B42DDA"/>
    <w:rsid w:val="00B42EF4"/>
    <w:rsid w:val="00B4317E"/>
    <w:rsid w:val="00B431D3"/>
    <w:rsid w:val="00B433B7"/>
    <w:rsid w:val="00B433EA"/>
    <w:rsid w:val="00B4346C"/>
    <w:rsid w:val="00B4354E"/>
    <w:rsid w:val="00B43553"/>
    <w:rsid w:val="00B436E6"/>
    <w:rsid w:val="00B439BD"/>
    <w:rsid w:val="00B43A03"/>
    <w:rsid w:val="00B43AB9"/>
    <w:rsid w:val="00B43D5F"/>
    <w:rsid w:val="00B43DC8"/>
    <w:rsid w:val="00B44052"/>
    <w:rsid w:val="00B44254"/>
    <w:rsid w:val="00B445C4"/>
    <w:rsid w:val="00B4462F"/>
    <w:rsid w:val="00B4477A"/>
    <w:rsid w:val="00B4483A"/>
    <w:rsid w:val="00B449D4"/>
    <w:rsid w:val="00B44A21"/>
    <w:rsid w:val="00B44ADE"/>
    <w:rsid w:val="00B44E21"/>
    <w:rsid w:val="00B44E2A"/>
    <w:rsid w:val="00B44E9B"/>
    <w:rsid w:val="00B45007"/>
    <w:rsid w:val="00B453CD"/>
    <w:rsid w:val="00B4545C"/>
    <w:rsid w:val="00B45738"/>
    <w:rsid w:val="00B457ED"/>
    <w:rsid w:val="00B45809"/>
    <w:rsid w:val="00B4580D"/>
    <w:rsid w:val="00B459BC"/>
    <w:rsid w:val="00B45ADD"/>
    <w:rsid w:val="00B45D72"/>
    <w:rsid w:val="00B45F2F"/>
    <w:rsid w:val="00B46025"/>
    <w:rsid w:val="00B463A3"/>
    <w:rsid w:val="00B46C43"/>
    <w:rsid w:val="00B46EBB"/>
    <w:rsid w:val="00B470F2"/>
    <w:rsid w:val="00B47427"/>
    <w:rsid w:val="00B47520"/>
    <w:rsid w:val="00B47795"/>
    <w:rsid w:val="00B47C46"/>
    <w:rsid w:val="00B47E9C"/>
    <w:rsid w:val="00B502AC"/>
    <w:rsid w:val="00B50392"/>
    <w:rsid w:val="00B50581"/>
    <w:rsid w:val="00B505C2"/>
    <w:rsid w:val="00B50BE3"/>
    <w:rsid w:val="00B50C5A"/>
    <w:rsid w:val="00B50FA7"/>
    <w:rsid w:val="00B51191"/>
    <w:rsid w:val="00B51228"/>
    <w:rsid w:val="00B51252"/>
    <w:rsid w:val="00B513FD"/>
    <w:rsid w:val="00B5140B"/>
    <w:rsid w:val="00B51794"/>
    <w:rsid w:val="00B518D1"/>
    <w:rsid w:val="00B519F3"/>
    <w:rsid w:val="00B51B58"/>
    <w:rsid w:val="00B51BB8"/>
    <w:rsid w:val="00B51E26"/>
    <w:rsid w:val="00B51EFB"/>
    <w:rsid w:val="00B5227B"/>
    <w:rsid w:val="00B5234F"/>
    <w:rsid w:val="00B527B6"/>
    <w:rsid w:val="00B52954"/>
    <w:rsid w:val="00B52C49"/>
    <w:rsid w:val="00B52D8C"/>
    <w:rsid w:val="00B52E70"/>
    <w:rsid w:val="00B5308E"/>
    <w:rsid w:val="00B530CD"/>
    <w:rsid w:val="00B530EA"/>
    <w:rsid w:val="00B531D1"/>
    <w:rsid w:val="00B532FF"/>
    <w:rsid w:val="00B53506"/>
    <w:rsid w:val="00B53757"/>
    <w:rsid w:val="00B53E39"/>
    <w:rsid w:val="00B53EC4"/>
    <w:rsid w:val="00B5412F"/>
    <w:rsid w:val="00B544A2"/>
    <w:rsid w:val="00B54515"/>
    <w:rsid w:val="00B546E3"/>
    <w:rsid w:val="00B54B82"/>
    <w:rsid w:val="00B54F65"/>
    <w:rsid w:val="00B552B9"/>
    <w:rsid w:val="00B55440"/>
    <w:rsid w:val="00B55481"/>
    <w:rsid w:val="00B55516"/>
    <w:rsid w:val="00B559E8"/>
    <w:rsid w:val="00B55ADA"/>
    <w:rsid w:val="00B55C13"/>
    <w:rsid w:val="00B55C40"/>
    <w:rsid w:val="00B55E19"/>
    <w:rsid w:val="00B55E1D"/>
    <w:rsid w:val="00B55FC1"/>
    <w:rsid w:val="00B561B2"/>
    <w:rsid w:val="00B562A3"/>
    <w:rsid w:val="00B56420"/>
    <w:rsid w:val="00B5647C"/>
    <w:rsid w:val="00B565B5"/>
    <w:rsid w:val="00B565D2"/>
    <w:rsid w:val="00B566F4"/>
    <w:rsid w:val="00B56B10"/>
    <w:rsid w:val="00B56C12"/>
    <w:rsid w:val="00B56C1A"/>
    <w:rsid w:val="00B56C51"/>
    <w:rsid w:val="00B56D8B"/>
    <w:rsid w:val="00B5709B"/>
    <w:rsid w:val="00B57577"/>
    <w:rsid w:val="00B575EF"/>
    <w:rsid w:val="00B57928"/>
    <w:rsid w:val="00B57BBE"/>
    <w:rsid w:val="00B57BD3"/>
    <w:rsid w:val="00B57D7A"/>
    <w:rsid w:val="00B57E6C"/>
    <w:rsid w:val="00B601C0"/>
    <w:rsid w:val="00B60376"/>
    <w:rsid w:val="00B603F3"/>
    <w:rsid w:val="00B60426"/>
    <w:rsid w:val="00B6045E"/>
    <w:rsid w:val="00B607B2"/>
    <w:rsid w:val="00B60852"/>
    <w:rsid w:val="00B608E2"/>
    <w:rsid w:val="00B60BC1"/>
    <w:rsid w:val="00B60D4E"/>
    <w:rsid w:val="00B60DB8"/>
    <w:rsid w:val="00B60FE4"/>
    <w:rsid w:val="00B6116E"/>
    <w:rsid w:val="00B61290"/>
    <w:rsid w:val="00B613E5"/>
    <w:rsid w:val="00B61754"/>
    <w:rsid w:val="00B617A8"/>
    <w:rsid w:val="00B61C52"/>
    <w:rsid w:val="00B61CD0"/>
    <w:rsid w:val="00B61F37"/>
    <w:rsid w:val="00B62061"/>
    <w:rsid w:val="00B6230D"/>
    <w:rsid w:val="00B6265C"/>
    <w:rsid w:val="00B62738"/>
    <w:rsid w:val="00B62770"/>
    <w:rsid w:val="00B62A7B"/>
    <w:rsid w:val="00B62B10"/>
    <w:rsid w:val="00B62ED3"/>
    <w:rsid w:val="00B6329B"/>
    <w:rsid w:val="00B63319"/>
    <w:rsid w:val="00B633A4"/>
    <w:rsid w:val="00B63AA8"/>
    <w:rsid w:val="00B63D30"/>
    <w:rsid w:val="00B63E18"/>
    <w:rsid w:val="00B64085"/>
    <w:rsid w:val="00B64180"/>
    <w:rsid w:val="00B641DF"/>
    <w:rsid w:val="00B646A3"/>
    <w:rsid w:val="00B6495B"/>
    <w:rsid w:val="00B64A3C"/>
    <w:rsid w:val="00B64AED"/>
    <w:rsid w:val="00B64BB9"/>
    <w:rsid w:val="00B64C94"/>
    <w:rsid w:val="00B64CD8"/>
    <w:rsid w:val="00B64D2B"/>
    <w:rsid w:val="00B64DB7"/>
    <w:rsid w:val="00B64E85"/>
    <w:rsid w:val="00B64EE2"/>
    <w:rsid w:val="00B6519A"/>
    <w:rsid w:val="00B652F7"/>
    <w:rsid w:val="00B65800"/>
    <w:rsid w:val="00B65A19"/>
    <w:rsid w:val="00B65BAE"/>
    <w:rsid w:val="00B65CB3"/>
    <w:rsid w:val="00B65D44"/>
    <w:rsid w:val="00B65FB0"/>
    <w:rsid w:val="00B6617C"/>
    <w:rsid w:val="00B6692B"/>
    <w:rsid w:val="00B66B01"/>
    <w:rsid w:val="00B66C8C"/>
    <w:rsid w:val="00B66F0C"/>
    <w:rsid w:val="00B670FF"/>
    <w:rsid w:val="00B6712B"/>
    <w:rsid w:val="00B671CD"/>
    <w:rsid w:val="00B67232"/>
    <w:rsid w:val="00B67396"/>
    <w:rsid w:val="00B67540"/>
    <w:rsid w:val="00B67725"/>
    <w:rsid w:val="00B67904"/>
    <w:rsid w:val="00B67A49"/>
    <w:rsid w:val="00B67BB7"/>
    <w:rsid w:val="00B67CAC"/>
    <w:rsid w:val="00B67D64"/>
    <w:rsid w:val="00B67E9A"/>
    <w:rsid w:val="00B67F3A"/>
    <w:rsid w:val="00B700C2"/>
    <w:rsid w:val="00B702BA"/>
    <w:rsid w:val="00B702D5"/>
    <w:rsid w:val="00B707CB"/>
    <w:rsid w:val="00B70815"/>
    <w:rsid w:val="00B7083E"/>
    <w:rsid w:val="00B70A9B"/>
    <w:rsid w:val="00B70C56"/>
    <w:rsid w:val="00B70C9A"/>
    <w:rsid w:val="00B70D67"/>
    <w:rsid w:val="00B70EC5"/>
    <w:rsid w:val="00B70F7A"/>
    <w:rsid w:val="00B710A8"/>
    <w:rsid w:val="00B716C7"/>
    <w:rsid w:val="00B71844"/>
    <w:rsid w:val="00B71C6C"/>
    <w:rsid w:val="00B72014"/>
    <w:rsid w:val="00B72142"/>
    <w:rsid w:val="00B72262"/>
    <w:rsid w:val="00B7238D"/>
    <w:rsid w:val="00B72518"/>
    <w:rsid w:val="00B72545"/>
    <w:rsid w:val="00B7258B"/>
    <w:rsid w:val="00B72896"/>
    <w:rsid w:val="00B72A58"/>
    <w:rsid w:val="00B72AC4"/>
    <w:rsid w:val="00B72D6C"/>
    <w:rsid w:val="00B72D81"/>
    <w:rsid w:val="00B72E24"/>
    <w:rsid w:val="00B730C2"/>
    <w:rsid w:val="00B730E5"/>
    <w:rsid w:val="00B7321F"/>
    <w:rsid w:val="00B732C0"/>
    <w:rsid w:val="00B735AE"/>
    <w:rsid w:val="00B738D3"/>
    <w:rsid w:val="00B73FF6"/>
    <w:rsid w:val="00B740E0"/>
    <w:rsid w:val="00B74656"/>
    <w:rsid w:val="00B747CB"/>
    <w:rsid w:val="00B74A67"/>
    <w:rsid w:val="00B74C5D"/>
    <w:rsid w:val="00B74EA6"/>
    <w:rsid w:val="00B74EC2"/>
    <w:rsid w:val="00B750B7"/>
    <w:rsid w:val="00B751D6"/>
    <w:rsid w:val="00B752EF"/>
    <w:rsid w:val="00B755C1"/>
    <w:rsid w:val="00B758C2"/>
    <w:rsid w:val="00B759DC"/>
    <w:rsid w:val="00B75B2A"/>
    <w:rsid w:val="00B75B47"/>
    <w:rsid w:val="00B75C8D"/>
    <w:rsid w:val="00B75E5C"/>
    <w:rsid w:val="00B75EF0"/>
    <w:rsid w:val="00B75FFB"/>
    <w:rsid w:val="00B76095"/>
    <w:rsid w:val="00B762AD"/>
    <w:rsid w:val="00B763D2"/>
    <w:rsid w:val="00B764DE"/>
    <w:rsid w:val="00B76650"/>
    <w:rsid w:val="00B7688E"/>
    <w:rsid w:val="00B76A8B"/>
    <w:rsid w:val="00B77209"/>
    <w:rsid w:val="00B77365"/>
    <w:rsid w:val="00B775D6"/>
    <w:rsid w:val="00B77673"/>
    <w:rsid w:val="00B776A2"/>
    <w:rsid w:val="00B7791F"/>
    <w:rsid w:val="00B77A84"/>
    <w:rsid w:val="00B77B0A"/>
    <w:rsid w:val="00B77B18"/>
    <w:rsid w:val="00B77C4E"/>
    <w:rsid w:val="00B77FFD"/>
    <w:rsid w:val="00B8027F"/>
    <w:rsid w:val="00B8074B"/>
    <w:rsid w:val="00B809FA"/>
    <w:rsid w:val="00B80AF4"/>
    <w:rsid w:val="00B80BD6"/>
    <w:rsid w:val="00B8111F"/>
    <w:rsid w:val="00B81497"/>
    <w:rsid w:val="00B81597"/>
    <w:rsid w:val="00B81A03"/>
    <w:rsid w:val="00B82331"/>
    <w:rsid w:val="00B8274B"/>
    <w:rsid w:val="00B82F5B"/>
    <w:rsid w:val="00B82FDA"/>
    <w:rsid w:val="00B8312F"/>
    <w:rsid w:val="00B83141"/>
    <w:rsid w:val="00B83169"/>
    <w:rsid w:val="00B83443"/>
    <w:rsid w:val="00B834AC"/>
    <w:rsid w:val="00B835A5"/>
    <w:rsid w:val="00B83661"/>
    <w:rsid w:val="00B83B60"/>
    <w:rsid w:val="00B83B81"/>
    <w:rsid w:val="00B83E35"/>
    <w:rsid w:val="00B83F22"/>
    <w:rsid w:val="00B84153"/>
    <w:rsid w:val="00B84411"/>
    <w:rsid w:val="00B846AC"/>
    <w:rsid w:val="00B84B91"/>
    <w:rsid w:val="00B84C65"/>
    <w:rsid w:val="00B85B93"/>
    <w:rsid w:val="00B85C35"/>
    <w:rsid w:val="00B85E98"/>
    <w:rsid w:val="00B85FA4"/>
    <w:rsid w:val="00B860BA"/>
    <w:rsid w:val="00B8625C"/>
    <w:rsid w:val="00B863B3"/>
    <w:rsid w:val="00B864EF"/>
    <w:rsid w:val="00B86834"/>
    <w:rsid w:val="00B86982"/>
    <w:rsid w:val="00B86C14"/>
    <w:rsid w:val="00B87109"/>
    <w:rsid w:val="00B871DF"/>
    <w:rsid w:val="00B87364"/>
    <w:rsid w:val="00B876F7"/>
    <w:rsid w:val="00B87701"/>
    <w:rsid w:val="00B8798F"/>
    <w:rsid w:val="00B879F0"/>
    <w:rsid w:val="00B87A93"/>
    <w:rsid w:val="00B87B70"/>
    <w:rsid w:val="00B87D66"/>
    <w:rsid w:val="00B905B3"/>
    <w:rsid w:val="00B905EC"/>
    <w:rsid w:val="00B90690"/>
    <w:rsid w:val="00B90945"/>
    <w:rsid w:val="00B90BDE"/>
    <w:rsid w:val="00B90DCC"/>
    <w:rsid w:val="00B9122D"/>
    <w:rsid w:val="00B91291"/>
    <w:rsid w:val="00B912D6"/>
    <w:rsid w:val="00B9148D"/>
    <w:rsid w:val="00B91598"/>
    <w:rsid w:val="00B915EB"/>
    <w:rsid w:val="00B91618"/>
    <w:rsid w:val="00B91971"/>
    <w:rsid w:val="00B91CFA"/>
    <w:rsid w:val="00B91D97"/>
    <w:rsid w:val="00B91F38"/>
    <w:rsid w:val="00B92195"/>
    <w:rsid w:val="00B92330"/>
    <w:rsid w:val="00B923A0"/>
    <w:rsid w:val="00B924AF"/>
    <w:rsid w:val="00B927AF"/>
    <w:rsid w:val="00B92C58"/>
    <w:rsid w:val="00B92DC5"/>
    <w:rsid w:val="00B92DCE"/>
    <w:rsid w:val="00B930A4"/>
    <w:rsid w:val="00B937EB"/>
    <w:rsid w:val="00B93E80"/>
    <w:rsid w:val="00B93F16"/>
    <w:rsid w:val="00B93FDF"/>
    <w:rsid w:val="00B94115"/>
    <w:rsid w:val="00B941F9"/>
    <w:rsid w:val="00B947F6"/>
    <w:rsid w:val="00B94946"/>
    <w:rsid w:val="00B94A0C"/>
    <w:rsid w:val="00B94F19"/>
    <w:rsid w:val="00B950ED"/>
    <w:rsid w:val="00B95161"/>
    <w:rsid w:val="00B952DF"/>
    <w:rsid w:val="00B95551"/>
    <w:rsid w:val="00B95603"/>
    <w:rsid w:val="00B956A9"/>
    <w:rsid w:val="00B958DB"/>
    <w:rsid w:val="00B95915"/>
    <w:rsid w:val="00B95969"/>
    <w:rsid w:val="00B95AFB"/>
    <w:rsid w:val="00B960AB"/>
    <w:rsid w:val="00B96166"/>
    <w:rsid w:val="00B96343"/>
    <w:rsid w:val="00B9650E"/>
    <w:rsid w:val="00B9670A"/>
    <w:rsid w:val="00B96C1A"/>
    <w:rsid w:val="00B96C6A"/>
    <w:rsid w:val="00B97396"/>
    <w:rsid w:val="00B973AF"/>
    <w:rsid w:val="00B9761E"/>
    <w:rsid w:val="00B977BF"/>
    <w:rsid w:val="00B97864"/>
    <w:rsid w:val="00B9789E"/>
    <w:rsid w:val="00B97E6B"/>
    <w:rsid w:val="00BA026D"/>
    <w:rsid w:val="00BA0930"/>
    <w:rsid w:val="00BA0D9A"/>
    <w:rsid w:val="00BA100C"/>
    <w:rsid w:val="00BA11DD"/>
    <w:rsid w:val="00BA1520"/>
    <w:rsid w:val="00BA182A"/>
    <w:rsid w:val="00BA1860"/>
    <w:rsid w:val="00BA1C16"/>
    <w:rsid w:val="00BA1D85"/>
    <w:rsid w:val="00BA1F3E"/>
    <w:rsid w:val="00BA207D"/>
    <w:rsid w:val="00BA2698"/>
    <w:rsid w:val="00BA2934"/>
    <w:rsid w:val="00BA2A06"/>
    <w:rsid w:val="00BA2C92"/>
    <w:rsid w:val="00BA2F5D"/>
    <w:rsid w:val="00BA320E"/>
    <w:rsid w:val="00BA34C1"/>
    <w:rsid w:val="00BA3654"/>
    <w:rsid w:val="00BA3692"/>
    <w:rsid w:val="00BA3835"/>
    <w:rsid w:val="00BA38BC"/>
    <w:rsid w:val="00BA38D4"/>
    <w:rsid w:val="00BA3E24"/>
    <w:rsid w:val="00BA3E7F"/>
    <w:rsid w:val="00BA3F0A"/>
    <w:rsid w:val="00BA3FA5"/>
    <w:rsid w:val="00BA41E3"/>
    <w:rsid w:val="00BA4346"/>
    <w:rsid w:val="00BA43F6"/>
    <w:rsid w:val="00BA46D0"/>
    <w:rsid w:val="00BA4B55"/>
    <w:rsid w:val="00BA4C56"/>
    <w:rsid w:val="00BA4D3C"/>
    <w:rsid w:val="00BA5211"/>
    <w:rsid w:val="00BA540C"/>
    <w:rsid w:val="00BA5444"/>
    <w:rsid w:val="00BA5880"/>
    <w:rsid w:val="00BA596D"/>
    <w:rsid w:val="00BA5BF6"/>
    <w:rsid w:val="00BA648D"/>
    <w:rsid w:val="00BA64B7"/>
    <w:rsid w:val="00BA64FD"/>
    <w:rsid w:val="00BA6507"/>
    <w:rsid w:val="00BA6E10"/>
    <w:rsid w:val="00BA7294"/>
    <w:rsid w:val="00BA75CC"/>
    <w:rsid w:val="00BA75EA"/>
    <w:rsid w:val="00BA766A"/>
    <w:rsid w:val="00BA7C7C"/>
    <w:rsid w:val="00BA7CC5"/>
    <w:rsid w:val="00BA7D07"/>
    <w:rsid w:val="00BB0239"/>
    <w:rsid w:val="00BB035C"/>
    <w:rsid w:val="00BB0721"/>
    <w:rsid w:val="00BB0BE3"/>
    <w:rsid w:val="00BB0C1F"/>
    <w:rsid w:val="00BB0DF9"/>
    <w:rsid w:val="00BB0E4C"/>
    <w:rsid w:val="00BB0F58"/>
    <w:rsid w:val="00BB1194"/>
    <w:rsid w:val="00BB1270"/>
    <w:rsid w:val="00BB12D3"/>
    <w:rsid w:val="00BB1333"/>
    <w:rsid w:val="00BB14FC"/>
    <w:rsid w:val="00BB1957"/>
    <w:rsid w:val="00BB1ACD"/>
    <w:rsid w:val="00BB1D7B"/>
    <w:rsid w:val="00BB1D9F"/>
    <w:rsid w:val="00BB1E6D"/>
    <w:rsid w:val="00BB2182"/>
    <w:rsid w:val="00BB24A1"/>
    <w:rsid w:val="00BB24DF"/>
    <w:rsid w:val="00BB25EC"/>
    <w:rsid w:val="00BB28D1"/>
    <w:rsid w:val="00BB2E38"/>
    <w:rsid w:val="00BB316F"/>
    <w:rsid w:val="00BB318E"/>
    <w:rsid w:val="00BB3553"/>
    <w:rsid w:val="00BB3838"/>
    <w:rsid w:val="00BB39B5"/>
    <w:rsid w:val="00BB3DBD"/>
    <w:rsid w:val="00BB3E43"/>
    <w:rsid w:val="00BB4403"/>
    <w:rsid w:val="00BB458A"/>
    <w:rsid w:val="00BB4742"/>
    <w:rsid w:val="00BB47B7"/>
    <w:rsid w:val="00BB496A"/>
    <w:rsid w:val="00BB4B41"/>
    <w:rsid w:val="00BB4B5B"/>
    <w:rsid w:val="00BB4BA1"/>
    <w:rsid w:val="00BB4E1A"/>
    <w:rsid w:val="00BB4E5A"/>
    <w:rsid w:val="00BB4EAE"/>
    <w:rsid w:val="00BB50E0"/>
    <w:rsid w:val="00BB51A8"/>
    <w:rsid w:val="00BB52A4"/>
    <w:rsid w:val="00BB5736"/>
    <w:rsid w:val="00BB5A85"/>
    <w:rsid w:val="00BB5CFC"/>
    <w:rsid w:val="00BB5DF7"/>
    <w:rsid w:val="00BB5FEF"/>
    <w:rsid w:val="00BB6165"/>
    <w:rsid w:val="00BB6605"/>
    <w:rsid w:val="00BB6750"/>
    <w:rsid w:val="00BB68E9"/>
    <w:rsid w:val="00BB6940"/>
    <w:rsid w:val="00BB6D03"/>
    <w:rsid w:val="00BB6F70"/>
    <w:rsid w:val="00BB70B0"/>
    <w:rsid w:val="00BB7362"/>
    <w:rsid w:val="00BB73AF"/>
    <w:rsid w:val="00BB7599"/>
    <w:rsid w:val="00BB75A0"/>
    <w:rsid w:val="00BB75C1"/>
    <w:rsid w:val="00BB7635"/>
    <w:rsid w:val="00BB7A3D"/>
    <w:rsid w:val="00BC01C4"/>
    <w:rsid w:val="00BC0398"/>
    <w:rsid w:val="00BC042A"/>
    <w:rsid w:val="00BC044A"/>
    <w:rsid w:val="00BC04E3"/>
    <w:rsid w:val="00BC055F"/>
    <w:rsid w:val="00BC0704"/>
    <w:rsid w:val="00BC0976"/>
    <w:rsid w:val="00BC0ABC"/>
    <w:rsid w:val="00BC0C74"/>
    <w:rsid w:val="00BC17A0"/>
    <w:rsid w:val="00BC18B7"/>
    <w:rsid w:val="00BC1AE8"/>
    <w:rsid w:val="00BC1D44"/>
    <w:rsid w:val="00BC1E02"/>
    <w:rsid w:val="00BC2081"/>
    <w:rsid w:val="00BC2423"/>
    <w:rsid w:val="00BC25FE"/>
    <w:rsid w:val="00BC28D9"/>
    <w:rsid w:val="00BC297B"/>
    <w:rsid w:val="00BC2B9E"/>
    <w:rsid w:val="00BC2E7B"/>
    <w:rsid w:val="00BC2EDD"/>
    <w:rsid w:val="00BC2F10"/>
    <w:rsid w:val="00BC311C"/>
    <w:rsid w:val="00BC3234"/>
    <w:rsid w:val="00BC3499"/>
    <w:rsid w:val="00BC34B9"/>
    <w:rsid w:val="00BC3719"/>
    <w:rsid w:val="00BC3911"/>
    <w:rsid w:val="00BC3AC1"/>
    <w:rsid w:val="00BC3BAB"/>
    <w:rsid w:val="00BC3C52"/>
    <w:rsid w:val="00BC3CC5"/>
    <w:rsid w:val="00BC3CE4"/>
    <w:rsid w:val="00BC3EA6"/>
    <w:rsid w:val="00BC3F02"/>
    <w:rsid w:val="00BC4212"/>
    <w:rsid w:val="00BC43C8"/>
    <w:rsid w:val="00BC4E28"/>
    <w:rsid w:val="00BC4E3A"/>
    <w:rsid w:val="00BC50B9"/>
    <w:rsid w:val="00BC5162"/>
    <w:rsid w:val="00BC5330"/>
    <w:rsid w:val="00BC549F"/>
    <w:rsid w:val="00BC55FB"/>
    <w:rsid w:val="00BC576D"/>
    <w:rsid w:val="00BC5A60"/>
    <w:rsid w:val="00BC5A6E"/>
    <w:rsid w:val="00BC5AC1"/>
    <w:rsid w:val="00BC5AE9"/>
    <w:rsid w:val="00BC5F95"/>
    <w:rsid w:val="00BC6131"/>
    <w:rsid w:val="00BC6255"/>
    <w:rsid w:val="00BC62D3"/>
    <w:rsid w:val="00BC640C"/>
    <w:rsid w:val="00BC65F7"/>
    <w:rsid w:val="00BC6C49"/>
    <w:rsid w:val="00BC6ED5"/>
    <w:rsid w:val="00BC7222"/>
    <w:rsid w:val="00BC7450"/>
    <w:rsid w:val="00BC7648"/>
    <w:rsid w:val="00BC7904"/>
    <w:rsid w:val="00BC7B70"/>
    <w:rsid w:val="00BC7CF3"/>
    <w:rsid w:val="00BC7FE0"/>
    <w:rsid w:val="00BD0117"/>
    <w:rsid w:val="00BD024D"/>
    <w:rsid w:val="00BD033A"/>
    <w:rsid w:val="00BD0560"/>
    <w:rsid w:val="00BD064A"/>
    <w:rsid w:val="00BD0684"/>
    <w:rsid w:val="00BD0F46"/>
    <w:rsid w:val="00BD1403"/>
    <w:rsid w:val="00BD14F0"/>
    <w:rsid w:val="00BD15AD"/>
    <w:rsid w:val="00BD1601"/>
    <w:rsid w:val="00BD1643"/>
    <w:rsid w:val="00BD171E"/>
    <w:rsid w:val="00BD1732"/>
    <w:rsid w:val="00BD1869"/>
    <w:rsid w:val="00BD1ADE"/>
    <w:rsid w:val="00BD1AFF"/>
    <w:rsid w:val="00BD1C48"/>
    <w:rsid w:val="00BD1CA2"/>
    <w:rsid w:val="00BD1E97"/>
    <w:rsid w:val="00BD1E9E"/>
    <w:rsid w:val="00BD2198"/>
    <w:rsid w:val="00BD224F"/>
    <w:rsid w:val="00BD229E"/>
    <w:rsid w:val="00BD2618"/>
    <w:rsid w:val="00BD26B8"/>
    <w:rsid w:val="00BD2709"/>
    <w:rsid w:val="00BD2773"/>
    <w:rsid w:val="00BD2807"/>
    <w:rsid w:val="00BD2AB1"/>
    <w:rsid w:val="00BD2B80"/>
    <w:rsid w:val="00BD3011"/>
    <w:rsid w:val="00BD39D1"/>
    <w:rsid w:val="00BD3A58"/>
    <w:rsid w:val="00BD3C0E"/>
    <w:rsid w:val="00BD3EE3"/>
    <w:rsid w:val="00BD3F17"/>
    <w:rsid w:val="00BD4156"/>
    <w:rsid w:val="00BD421A"/>
    <w:rsid w:val="00BD46EE"/>
    <w:rsid w:val="00BD475A"/>
    <w:rsid w:val="00BD47A7"/>
    <w:rsid w:val="00BD4A0D"/>
    <w:rsid w:val="00BD4B76"/>
    <w:rsid w:val="00BD4BD8"/>
    <w:rsid w:val="00BD4BF2"/>
    <w:rsid w:val="00BD4F45"/>
    <w:rsid w:val="00BD4F47"/>
    <w:rsid w:val="00BD53A7"/>
    <w:rsid w:val="00BD554B"/>
    <w:rsid w:val="00BD5962"/>
    <w:rsid w:val="00BD5980"/>
    <w:rsid w:val="00BD5E56"/>
    <w:rsid w:val="00BD608B"/>
    <w:rsid w:val="00BD60DC"/>
    <w:rsid w:val="00BD661D"/>
    <w:rsid w:val="00BD666E"/>
    <w:rsid w:val="00BD68EE"/>
    <w:rsid w:val="00BD6929"/>
    <w:rsid w:val="00BD6939"/>
    <w:rsid w:val="00BD6A29"/>
    <w:rsid w:val="00BD6C32"/>
    <w:rsid w:val="00BD6D56"/>
    <w:rsid w:val="00BD6DD3"/>
    <w:rsid w:val="00BD7130"/>
    <w:rsid w:val="00BD747A"/>
    <w:rsid w:val="00BD7608"/>
    <w:rsid w:val="00BD7623"/>
    <w:rsid w:val="00BD7651"/>
    <w:rsid w:val="00BD79F4"/>
    <w:rsid w:val="00BD7CDB"/>
    <w:rsid w:val="00BD7EA5"/>
    <w:rsid w:val="00BD7EC9"/>
    <w:rsid w:val="00BD7F98"/>
    <w:rsid w:val="00BE0065"/>
    <w:rsid w:val="00BE006F"/>
    <w:rsid w:val="00BE04DB"/>
    <w:rsid w:val="00BE058F"/>
    <w:rsid w:val="00BE07CF"/>
    <w:rsid w:val="00BE091A"/>
    <w:rsid w:val="00BE0B94"/>
    <w:rsid w:val="00BE0CE6"/>
    <w:rsid w:val="00BE1010"/>
    <w:rsid w:val="00BE10CE"/>
    <w:rsid w:val="00BE1134"/>
    <w:rsid w:val="00BE143B"/>
    <w:rsid w:val="00BE160D"/>
    <w:rsid w:val="00BE1B23"/>
    <w:rsid w:val="00BE1B8D"/>
    <w:rsid w:val="00BE20FE"/>
    <w:rsid w:val="00BE21A6"/>
    <w:rsid w:val="00BE229F"/>
    <w:rsid w:val="00BE24E3"/>
    <w:rsid w:val="00BE2528"/>
    <w:rsid w:val="00BE258E"/>
    <w:rsid w:val="00BE2A6B"/>
    <w:rsid w:val="00BE2F01"/>
    <w:rsid w:val="00BE307E"/>
    <w:rsid w:val="00BE315A"/>
    <w:rsid w:val="00BE3216"/>
    <w:rsid w:val="00BE3B88"/>
    <w:rsid w:val="00BE3CE5"/>
    <w:rsid w:val="00BE3CF2"/>
    <w:rsid w:val="00BE3CFD"/>
    <w:rsid w:val="00BE4347"/>
    <w:rsid w:val="00BE480C"/>
    <w:rsid w:val="00BE4945"/>
    <w:rsid w:val="00BE4AF4"/>
    <w:rsid w:val="00BE4E70"/>
    <w:rsid w:val="00BE5400"/>
    <w:rsid w:val="00BE5452"/>
    <w:rsid w:val="00BE58F6"/>
    <w:rsid w:val="00BE5986"/>
    <w:rsid w:val="00BE5EBE"/>
    <w:rsid w:val="00BE638E"/>
    <w:rsid w:val="00BE63AF"/>
    <w:rsid w:val="00BE64A7"/>
    <w:rsid w:val="00BE668A"/>
    <w:rsid w:val="00BE66F0"/>
    <w:rsid w:val="00BE671B"/>
    <w:rsid w:val="00BE68A1"/>
    <w:rsid w:val="00BE6AF4"/>
    <w:rsid w:val="00BE6BF2"/>
    <w:rsid w:val="00BE6E2F"/>
    <w:rsid w:val="00BE7010"/>
    <w:rsid w:val="00BE705A"/>
    <w:rsid w:val="00BE72EF"/>
    <w:rsid w:val="00BE7614"/>
    <w:rsid w:val="00BE796A"/>
    <w:rsid w:val="00BE7B02"/>
    <w:rsid w:val="00BF017B"/>
    <w:rsid w:val="00BF0287"/>
    <w:rsid w:val="00BF0321"/>
    <w:rsid w:val="00BF07D9"/>
    <w:rsid w:val="00BF092F"/>
    <w:rsid w:val="00BF0B5D"/>
    <w:rsid w:val="00BF0D7E"/>
    <w:rsid w:val="00BF0FAD"/>
    <w:rsid w:val="00BF1194"/>
    <w:rsid w:val="00BF11A1"/>
    <w:rsid w:val="00BF1227"/>
    <w:rsid w:val="00BF156D"/>
    <w:rsid w:val="00BF16B8"/>
    <w:rsid w:val="00BF17B8"/>
    <w:rsid w:val="00BF1D21"/>
    <w:rsid w:val="00BF2021"/>
    <w:rsid w:val="00BF204C"/>
    <w:rsid w:val="00BF204E"/>
    <w:rsid w:val="00BF22DB"/>
    <w:rsid w:val="00BF2416"/>
    <w:rsid w:val="00BF2496"/>
    <w:rsid w:val="00BF26EF"/>
    <w:rsid w:val="00BF271D"/>
    <w:rsid w:val="00BF2940"/>
    <w:rsid w:val="00BF296C"/>
    <w:rsid w:val="00BF29CA"/>
    <w:rsid w:val="00BF29F6"/>
    <w:rsid w:val="00BF2A48"/>
    <w:rsid w:val="00BF2AE6"/>
    <w:rsid w:val="00BF32A4"/>
    <w:rsid w:val="00BF32C2"/>
    <w:rsid w:val="00BF32EE"/>
    <w:rsid w:val="00BF34F7"/>
    <w:rsid w:val="00BF3640"/>
    <w:rsid w:val="00BF36AA"/>
    <w:rsid w:val="00BF37BA"/>
    <w:rsid w:val="00BF388F"/>
    <w:rsid w:val="00BF3969"/>
    <w:rsid w:val="00BF3A29"/>
    <w:rsid w:val="00BF3D88"/>
    <w:rsid w:val="00BF3DF8"/>
    <w:rsid w:val="00BF415E"/>
    <w:rsid w:val="00BF4205"/>
    <w:rsid w:val="00BF42E4"/>
    <w:rsid w:val="00BF42EC"/>
    <w:rsid w:val="00BF4971"/>
    <w:rsid w:val="00BF4FA7"/>
    <w:rsid w:val="00BF51CC"/>
    <w:rsid w:val="00BF527E"/>
    <w:rsid w:val="00BF5294"/>
    <w:rsid w:val="00BF5491"/>
    <w:rsid w:val="00BF54B0"/>
    <w:rsid w:val="00BF54F3"/>
    <w:rsid w:val="00BF5C87"/>
    <w:rsid w:val="00BF5D4A"/>
    <w:rsid w:val="00BF5D6A"/>
    <w:rsid w:val="00BF5D6B"/>
    <w:rsid w:val="00BF5FA5"/>
    <w:rsid w:val="00BF6027"/>
    <w:rsid w:val="00BF64B3"/>
    <w:rsid w:val="00BF67C6"/>
    <w:rsid w:val="00BF6A58"/>
    <w:rsid w:val="00BF6DE5"/>
    <w:rsid w:val="00BF705C"/>
    <w:rsid w:val="00BF7250"/>
    <w:rsid w:val="00BF7AC5"/>
    <w:rsid w:val="00C00081"/>
    <w:rsid w:val="00C00100"/>
    <w:rsid w:val="00C00283"/>
    <w:rsid w:val="00C00368"/>
    <w:rsid w:val="00C009B1"/>
    <w:rsid w:val="00C009DC"/>
    <w:rsid w:val="00C00B20"/>
    <w:rsid w:val="00C00DB4"/>
    <w:rsid w:val="00C00F6D"/>
    <w:rsid w:val="00C00F7F"/>
    <w:rsid w:val="00C010D0"/>
    <w:rsid w:val="00C0113D"/>
    <w:rsid w:val="00C011FE"/>
    <w:rsid w:val="00C0187E"/>
    <w:rsid w:val="00C0189C"/>
    <w:rsid w:val="00C019B2"/>
    <w:rsid w:val="00C019BE"/>
    <w:rsid w:val="00C01E49"/>
    <w:rsid w:val="00C01EC1"/>
    <w:rsid w:val="00C02350"/>
    <w:rsid w:val="00C026E7"/>
    <w:rsid w:val="00C02814"/>
    <w:rsid w:val="00C02AED"/>
    <w:rsid w:val="00C02B96"/>
    <w:rsid w:val="00C02D79"/>
    <w:rsid w:val="00C02E2D"/>
    <w:rsid w:val="00C03640"/>
    <w:rsid w:val="00C037CC"/>
    <w:rsid w:val="00C03B99"/>
    <w:rsid w:val="00C0406E"/>
    <w:rsid w:val="00C04A02"/>
    <w:rsid w:val="00C04D8F"/>
    <w:rsid w:val="00C0506D"/>
    <w:rsid w:val="00C0523D"/>
    <w:rsid w:val="00C05304"/>
    <w:rsid w:val="00C05458"/>
    <w:rsid w:val="00C05543"/>
    <w:rsid w:val="00C055D9"/>
    <w:rsid w:val="00C05828"/>
    <w:rsid w:val="00C05AF2"/>
    <w:rsid w:val="00C05B4C"/>
    <w:rsid w:val="00C05B90"/>
    <w:rsid w:val="00C05BB1"/>
    <w:rsid w:val="00C0602C"/>
    <w:rsid w:val="00C06233"/>
    <w:rsid w:val="00C06346"/>
    <w:rsid w:val="00C06592"/>
    <w:rsid w:val="00C065EF"/>
    <w:rsid w:val="00C067E9"/>
    <w:rsid w:val="00C06A60"/>
    <w:rsid w:val="00C06B4D"/>
    <w:rsid w:val="00C06EC1"/>
    <w:rsid w:val="00C07357"/>
    <w:rsid w:val="00C0782C"/>
    <w:rsid w:val="00C0786C"/>
    <w:rsid w:val="00C078DC"/>
    <w:rsid w:val="00C07941"/>
    <w:rsid w:val="00C07A00"/>
    <w:rsid w:val="00C07AED"/>
    <w:rsid w:val="00C07B56"/>
    <w:rsid w:val="00C07C1A"/>
    <w:rsid w:val="00C07C7E"/>
    <w:rsid w:val="00C10029"/>
    <w:rsid w:val="00C1006C"/>
    <w:rsid w:val="00C101F9"/>
    <w:rsid w:val="00C1032F"/>
    <w:rsid w:val="00C1039E"/>
    <w:rsid w:val="00C106D5"/>
    <w:rsid w:val="00C1073A"/>
    <w:rsid w:val="00C108A5"/>
    <w:rsid w:val="00C10A52"/>
    <w:rsid w:val="00C10BAA"/>
    <w:rsid w:val="00C10D9B"/>
    <w:rsid w:val="00C11145"/>
    <w:rsid w:val="00C11189"/>
    <w:rsid w:val="00C114DE"/>
    <w:rsid w:val="00C115F4"/>
    <w:rsid w:val="00C1161D"/>
    <w:rsid w:val="00C11FE6"/>
    <w:rsid w:val="00C121A8"/>
    <w:rsid w:val="00C12527"/>
    <w:rsid w:val="00C12583"/>
    <w:rsid w:val="00C1269F"/>
    <w:rsid w:val="00C1283F"/>
    <w:rsid w:val="00C12910"/>
    <w:rsid w:val="00C12AD6"/>
    <w:rsid w:val="00C12D6F"/>
    <w:rsid w:val="00C12F60"/>
    <w:rsid w:val="00C130AE"/>
    <w:rsid w:val="00C13197"/>
    <w:rsid w:val="00C13277"/>
    <w:rsid w:val="00C134A1"/>
    <w:rsid w:val="00C134C5"/>
    <w:rsid w:val="00C135A5"/>
    <w:rsid w:val="00C1368E"/>
    <w:rsid w:val="00C137FF"/>
    <w:rsid w:val="00C13A0C"/>
    <w:rsid w:val="00C13D2E"/>
    <w:rsid w:val="00C13DCE"/>
    <w:rsid w:val="00C142AD"/>
    <w:rsid w:val="00C1434C"/>
    <w:rsid w:val="00C14455"/>
    <w:rsid w:val="00C1475C"/>
    <w:rsid w:val="00C14EFE"/>
    <w:rsid w:val="00C14F1F"/>
    <w:rsid w:val="00C151C1"/>
    <w:rsid w:val="00C151F3"/>
    <w:rsid w:val="00C152D3"/>
    <w:rsid w:val="00C152EB"/>
    <w:rsid w:val="00C15335"/>
    <w:rsid w:val="00C1542C"/>
    <w:rsid w:val="00C15434"/>
    <w:rsid w:val="00C1548B"/>
    <w:rsid w:val="00C1595F"/>
    <w:rsid w:val="00C15A35"/>
    <w:rsid w:val="00C162D7"/>
    <w:rsid w:val="00C1647F"/>
    <w:rsid w:val="00C16637"/>
    <w:rsid w:val="00C16883"/>
    <w:rsid w:val="00C17185"/>
    <w:rsid w:val="00C17872"/>
    <w:rsid w:val="00C17AF0"/>
    <w:rsid w:val="00C17B6D"/>
    <w:rsid w:val="00C17B6E"/>
    <w:rsid w:val="00C17F0D"/>
    <w:rsid w:val="00C17F4F"/>
    <w:rsid w:val="00C17FFD"/>
    <w:rsid w:val="00C2002F"/>
    <w:rsid w:val="00C20063"/>
    <w:rsid w:val="00C20384"/>
    <w:rsid w:val="00C20711"/>
    <w:rsid w:val="00C20B62"/>
    <w:rsid w:val="00C20C01"/>
    <w:rsid w:val="00C21171"/>
    <w:rsid w:val="00C211DB"/>
    <w:rsid w:val="00C21246"/>
    <w:rsid w:val="00C21482"/>
    <w:rsid w:val="00C216B6"/>
    <w:rsid w:val="00C2179D"/>
    <w:rsid w:val="00C21A68"/>
    <w:rsid w:val="00C21F10"/>
    <w:rsid w:val="00C221BD"/>
    <w:rsid w:val="00C222C9"/>
    <w:rsid w:val="00C22A0F"/>
    <w:rsid w:val="00C22C83"/>
    <w:rsid w:val="00C22C85"/>
    <w:rsid w:val="00C22D02"/>
    <w:rsid w:val="00C230AC"/>
    <w:rsid w:val="00C232AA"/>
    <w:rsid w:val="00C232C3"/>
    <w:rsid w:val="00C23707"/>
    <w:rsid w:val="00C2376D"/>
    <w:rsid w:val="00C238E8"/>
    <w:rsid w:val="00C23B0A"/>
    <w:rsid w:val="00C23EA5"/>
    <w:rsid w:val="00C24044"/>
    <w:rsid w:val="00C24374"/>
    <w:rsid w:val="00C247C9"/>
    <w:rsid w:val="00C24817"/>
    <w:rsid w:val="00C249E7"/>
    <w:rsid w:val="00C24A17"/>
    <w:rsid w:val="00C24BF6"/>
    <w:rsid w:val="00C24BF9"/>
    <w:rsid w:val="00C24C90"/>
    <w:rsid w:val="00C24CDE"/>
    <w:rsid w:val="00C24F2D"/>
    <w:rsid w:val="00C25112"/>
    <w:rsid w:val="00C252E3"/>
    <w:rsid w:val="00C25448"/>
    <w:rsid w:val="00C25615"/>
    <w:rsid w:val="00C2565D"/>
    <w:rsid w:val="00C25728"/>
    <w:rsid w:val="00C25CE3"/>
    <w:rsid w:val="00C25EA4"/>
    <w:rsid w:val="00C26260"/>
    <w:rsid w:val="00C26432"/>
    <w:rsid w:val="00C2647A"/>
    <w:rsid w:val="00C264C2"/>
    <w:rsid w:val="00C2659E"/>
    <w:rsid w:val="00C26722"/>
    <w:rsid w:val="00C269D4"/>
    <w:rsid w:val="00C26AB7"/>
    <w:rsid w:val="00C26CA5"/>
    <w:rsid w:val="00C271CE"/>
    <w:rsid w:val="00C27388"/>
    <w:rsid w:val="00C276EF"/>
    <w:rsid w:val="00C27780"/>
    <w:rsid w:val="00C27804"/>
    <w:rsid w:val="00C27836"/>
    <w:rsid w:val="00C27B1F"/>
    <w:rsid w:val="00C27B25"/>
    <w:rsid w:val="00C300CC"/>
    <w:rsid w:val="00C3042F"/>
    <w:rsid w:val="00C306C5"/>
    <w:rsid w:val="00C3078A"/>
    <w:rsid w:val="00C307E5"/>
    <w:rsid w:val="00C30817"/>
    <w:rsid w:val="00C30CD8"/>
    <w:rsid w:val="00C30EA5"/>
    <w:rsid w:val="00C31136"/>
    <w:rsid w:val="00C3138E"/>
    <w:rsid w:val="00C31692"/>
    <w:rsid w:val="00C3170A"/>
    <w:rsid w:val="00C3174E"/>
    <w:rsid w:val="00C31812"/>
    <w:rsid w:val="00C31B65"/>
    <w:rsid w:val="00C31CBC"/>
    <w:rsid w:val="00C31CD1"/>
    <w:rsid w:val="00C3200C"/>
    <w:rsid w:val="00C322AA"/>
    <w:rsid w:val="00C3234D"/>
    <w:rsid w:val="00C325BA"/>
    <w:rsid w:val="00C326B6"/>
    <w:rsid w:val="00C327B5"/>
    <w:rsid w:val="00C32E81"/>
    <w:rsid w:val="00C3352E"/>
    <w:rsid w:val="00C3383A"/>
    <w:rsid w:val="00C3393E"/>
    <w:rsid w:val="00C33A91"/>
    <w:rsid w:val="00C33E41"/>
    <w:rsid w:val="00C3419C"/>
    <w:rsid w:val="00C34321"/>
    <w:rsid w:val="00C3445E"/>
    <w:rsid w:val="00C3447A"/>
    <w:rsid w:val="00C34653"/>
    <w:rsid w:val="00C346E3"/>
    <w:rsid w:val="00C34870"/>
    <w:rsid w:val="00C34886"/>
    <w:rsid w:val="00C34F9C"/>
    <w:rsid w:val="00C3519F"/>
    <w:rsid w:val="00C352AE"/>
    <w:rsid w:val="00C3534B"/>
    <w:rsid w:val="00C3542F"/>
    <w:rsid w:val="00C3566C"/>
    <w:rsid w:val="00C35739"/>
    <w:rsid w:val="00C35836"/>
    <w:rsid w:val="00C35A5E"/>
    <w:rsid w:val="00C35B94"/>
    <w:rsid w:val="00C35CFE"/>
    <w:rsid w:val="00C35FCF"/>
    <w:rsid w:val="00C3626B"/>
    <w:rsid w:val="00C36352"/>
    <w:rsid w:val="00C368EE"/>
    <w:rsid w:val="00C36A11"/>
    <w:rsid w:val="00C36A5B"/>
    <w:rsid w:val="00C36AF1"/>
    <w:rsid w:val="00C36CC9"/>
    <w:rsid w:val="00C36CF8"/>
    <w:rsid w:val="00C36D60"/>
    <w:rsid w:val="00C36EF7"/>
    <w:rsid w:val="00C370BC"/>
    <w:rsid w:val="00C3742D"/>
    <w:rsid w:val="00C374E2"/>
    <w:rsid w:val="00C37645"/>
    <w:rsid w:val="00C37775"/>
    <w:rsid w:val="00C3777A"/>
    <w:rsid w:val="00C37A6A"/>
    <w:rsid w:val="00C37F21"/>
    <w:rsid w:val="00C37F9F"/>
    <w:rsid w:val="00C400DB"/>
    <w:rsid w:val="00C400E0"/>
    <w:rsid w:val="00C407D4"/>
    <w:rsid w:val="00C409B6"/>
    <w:rsid w:val="00C41168"/>
    <w:rsid w:val="00C41205"/>
    <w:rsid w:val="00C4168A"/>
    <w:rsid w:val="00C418D1"/>
    <w:rsid w:val="00C41A05"/>
    <w:rsid w:val="00C41A97"/>
    <w:rsid w:val="00C41B3C"/>
    <w:rsid w:val="00C41BAD"/>
    <w:rsid w:val="00C41F25"/>
    <w:rsid w:val="00C41FD1"/>
    <w:rsid w:val="00C4229B"/>
    <w:rsid w:val="00C42393"/>
    <w:rsid w:val="00C42484"/>
    <w:rsid w:val="00C424A3"/>
    <w:rsid w:val="00C424B8"/>
    <w:rsid w:val="00C42595"/>
    <w:rsid w:val="00C425BE"/>
    <w:rsid w:val="00C425D7"/>
    <w:rsid w:val="00C426C9"/>
    <w:rsid w:val="00C42717"/>
    <w:rsid w:val="00C42A91"/>
    <w:rsid w:val="00C42AFB"/>
    <w:rsid w:val="00C42C29"/>
    <w:rsid w:val="00C42E3B"/>
    <w:rsid w:val="00C42F1A"/>
    <w:rsid w:val="00C4307C"/>
    <w:rsid w:val="00C4330B"/>
    <w:rsid w:val="00C433B4"/>
    <w:rsid w:val="00C4369E"/>
    <w:rsid w:val="00C4381B"/>
    <w:rsid w:val="00C43D68"/>
    <w:rsid w:val="00C44397"/>
    <w:rsid w:val="00C446B0"/>
    <w:rsid w:val="00C446FD"/>
    <w:rsid w:val="00C44994"/>
    <w:rsid w:val="00C44A66"/>
    <w:rsid w:val="00C44B94"/>
    <w:rsid w:val="00C44DD3"/>
    <w:rsid w:val="00C44F6E"/>
    <w:rsid w:val="00C451EA"/>
    <w:rsid w:val="00C45218"/>
    <w:rsid w:val="00C453F6"/>
    <w:rsid w:val="00C4568E"/>
    <w:rsid w:val="00C45998"/>
    <w:rsid w:val="00C459FF"/>
    <w:rsid w:val="00C45A75"/>
    <w:rsid w:val="00C45B8D"/>
    <w:rsid w:val="00C45C8F"/>
    <w:rsid w:val="00C45CAE"/>
    <w:rsid w:val="00C45EF1"/>
    <w:rsid w:val="00C46191"/>
    <w:rsid w:val="00C4621D"/>
    <w:rsid w:val="00C4622D"/>
    <w:rsid w:val="00C4640F"/>
    <w:rsid w:val="00C46530"/>
    <w:rsid w:val="00C4659D"/>
    <w:rsid w:val="00C467E0"/>
    <w:rsid w:val="00C46CB2"/>
    <w:rsid w:val="00C46D33"/>
    <w:rsid w:val="00C46E6C"/>
    <w:rsid w:val="00C47050"/>
    <w:rsid w:val="00C470CB"/>
    <w:rsid w:val="00C470D5"/>
    <w:rsid w:val="00C47113"/>
    <w:rsid w:val="00C47237"/>
    <w:rsid w:val="00C47238"/>
    <w:rsid w:val="00C472FA"/>
    <w:rsid w:val="00C473C0"/>
    <w:rsid w:val="00C477AD"/>
    <w:rsid w:val="00C47884"/>
    <w:rsid w:val="00C4798D"/>
    <w:rsid w:val="00C479D8"/>
    <w:rsid w:val="00C47BB3"/>
    <w:rsid w:val="00C47C8A"/>
    <w:rsid w:val="00C47CA2"/>
    <w:rsid w:val="00C503C9"/>
    <w:rsid w:val="00C50441"/>
    <w:rsid w:val="00C509AD"/>
    <w:rsid w:val="00C50C25"/>
    <w:rsid w:val="00C50D68"/>
    <w:rsid w:val="00C50F66"/>
    <w:rsid w:val="00C51FD6"/>
    <w:rsid w:val="00C51FF6"/>
    <w:rsid w:val="00C52050"/>
    <w:rsid w:val="00C5207A"/>
    <w:rsid w:val="00C522A8"/>
    <w:rsid w:val="00C52337"/>
    <w:rsid w:val="00C523F6"/>
    <w:rsid w:val="00C528CD"/>
    <w:rsid w:val="00C529FF"/>
    <w:rsid w:val="00C52B80"/>
    <w:rsid w:val="00C52E3C"/>
    <w:rsid w:val="00C5335A"/>
    <w:rsid w:val="00C53C7D"/>
    <w:rsid w:val="00C53CC8"/>
    <w:rsid w:val="00C541A9"/>
    <w:rsid w:val="00C5433A"/>
    <w:rsid w:val="00C543B0"/>
    <w:rsid w:val="00C5446A"/>
    <w:rsid w:val="00C5452F"/>
    <w:rsid w:val="00C545A6"/>
    <w:rsid w:val="00C54692"/>
    <w:rsid w:val="00C54763"/>
    <w:rsid w:val="00C547E7"/>
    <w:rsid w:val="00C54818"/>
    <w:rsid w:val="00C54A3F"/>
    <w:rsid w:val="00C54ADC"/>
    <w:rsid w:val="00C54D73"/>
    <w:rsid w:val="00C54E28"/>
    <w:rsid w:val="00C5501E"/>
    <w:rsid w:val="00C550DF"/>
    <w:rsid w:val="00C5553E"/>
    <w:rsid w:val="00C556CC"/>
    <w:rsid w:val="00C55737"/>
    <w:rsid w:val="00C558C1"/>
    <w:rsid w:val="00C5599B"/>
    <w:rsid w:val="00C559A8"/>
    <w:rsid w:val="00C55C01"/>
    <w:rsid w:val="00C55C39"/>
    <w:rsid w:val="00C55FD3"/>
    <w:rsid w:val="00C56045"/>
    <w:rsid w:val="00C5605B"/>
    <w:rsid w:val="00C562ED"/>
    <w:rsid w:val="00C56342"/>
    <w:rsid w:val="00C5648E"/>
    <w:rsid w:val="00C566E6"/>
    <w:rsid w:val="00C568CE"/>
    <w:rsid w:val="00C56B4B"/>
    <w:rsid w:val="00C56B6C"/>
    <w:rsid w:val="00C56C50"/>
    <w:rsid w:val="00C56C64"/>
    <w:rsid w:val="00C570A6"/>
    <w:rsid w:val="00C5722E"/>
    <w:rsid w:val="00C57298"/>
    <w:rsid w:val="00C573EF"/>
    <w:rsid w:val="00C575F9"/>
    <w:rsid w:val="00C57761"/>
    <w:rsid w:val="00C5787D"/>
    <w:rsid w:val="00C57CAF"/>
    <w:rsid w:val="00C57E49"/>
    <w:rsid w:val="00C60036"/>
    <w:rsid w:val="00C600AA"/>
    <w:rsid w:val="00C600C5"/>
    <w:rsid w:val="00C602C7"/>
    <w:rsid w:val="00C602FF"/>
    <w:rsid w:val="00C60763"/>
    <w:rsid w:val="00C60966"/>
    <w:rsid w:val="00C60AFE"/>
    <w:rsid w:val="00C60C41"/>
    <w:rsid w:val="00C60D31"/>
    <w:rsid w:val="00C60DFA"/>
    <w:rsid w:val="00C6127C"/>
    <w:rsid w:val="00C61454"/>
    <w:rsid w:val="00C6153C"/>
    <w:rsid w:val="00C615E0"/>
    <w:rsid w:val="00C61602"/>
    <w:rsid w:val="00C61795"/>
    <w:rsid w:val="00C61C73"/>
    <w:rsid w:val="00C61D21"/>
    <w:rsid w:val="00C61EB7"/>
    <w:rsid w:val="00C6218A"/>
    <w:rsid w:val="00C622BD"/>
    <w:rsid w:val="00C622DB"/>
    <w:rsid w:val="00C62562"/>
    <w:rsid w:val="00C62700"/>
    <w:rsid w:val="00C627B3"/>
    <w:rsid w:val="00C627F1"/>
    <w:rsid w:val="00C628E5"/>
    <w:rsid w:val="00C62977"/>
    <w:rsid w:val="00C62A10"/>
    <w:rsid w:val="00C62AE8"/>
    <w:rsid w:val="00C63179"/>
    <w:rsid w:val="00C6320F"/>
    <w:rsid w:val="00C632BE"/>
    <w:rsid w:val="00C63340"/>
    <w:rsid w:val="00C635F1"/>
    <w:rsid w:val="00C637FE"/>
    <w:rsid w:val="00C63815"/>
    <w:rsid w:val="00C6388F"/>
    <w:rsid w:val="00C638D3"/>
    <w:rsid w:val="00C639DD"/>
    <w:rsid w:val="00C63E1F"/>
    <w:rsid w:val="00C6414C"/>
    <w:rsid w:val="00C641B5"/>
    <w:rsid w:val="00C647E1"/>
    <w:rsid w:val="00C64844"/>
    <w:rsid w:val="00C648E6"/>
    <w:rsid w:val="00C64A78"/>
    <w:rsid w:val="00C64B9A"/>
    <w:rsid w:val="00C64CA8"/>
    <w:rsid w:val="00C64E94"/>
    <w:rsid w:val="00C64F45"/>
    <w:rsid w:val="00C651D3"/>
    <w:rsid w:val="00C652ED"/>
    <w:rsid w:val="00C65355"/>
    <w:rsid w:val="00C6539A"/>
    <w:rsid w:val="00C656E4"/>
    <w:rsid w:val="00C658DF"/>
    <w:rsid w:val="00C65918"/>
    <w:rsid w:val="00C65A89"/>
    <w:rsid w:val="00C65A9E"/>
    <w:rsid w:val="00C65CEE"/>
    <w:rsid w:val="00C65F62"/>
    <w:rsid w:val="00C660D9"/>
    <w:rsid w:val="00C66482"/>
    <w:rsid w:val="00C66489"/>
    <w:rsid w:val="00C6663D"/>
    <w:rsid w:val="00C66797"/>
    <w:rsid w:val="00C66A34"/>
    <w:rsid w:val="00C66D9A"/>
    <w:rsid w:val="00C66DC8"/>
    <w:rsid w:val="00C66EB9"/>
    <w:rsid w:val="00C671A9"/>
    <w:rsid w:val="00C674AC"/>
    <w:rsid w:val="00C67752"/>
    <w:rsid w:val="00C6781C"/>
    <w:rsid w:val="00C679C1"/>
    <w:rsid w:val="00C67A1B"/>
    <w:rsid w:val="00C67A78"/>
    <w:rsid w:val="00C67A9D"/>
    <w:rsid w:val="00C67AB9"/>
    <w:rsid w:val="00C67EDC"/>
    <w:rsid w:val="00C7057B"/>
    <w:rsid w:val="00C706E2"/>
    <w:rsid w:val="00C708BB"/>
    <w:rsid w:val="00C70CD6"/>
    <w:rsid w:val="00C70E23"/>
    <w:rsid w:val="00C70EB8"/>
    <w:rsid w:val="00C70F13"/>
    <w:rsid w:val="00C7129D"/>
    <w:rsid w:val="00C71658"/>
    <w:rsid w:val="00C717A8"/>
    <w:rsid w:val="00C71977"/>
    <w:rsid w:val="00C71D7D"/>
    <w:rsid w:val="00C71EDC"/>
    <w:rsid w:val="00C7208C"/>
    <w:rsid w:val="00C72238"/>
    <w:rsid w:val="00C72404"/>
    <w:rsid w:val="00C72614"/>
    <w:rsid w:val="00C7262A"/>
    <w:rsid w:val="00C727A1"/>
    <w:rsid w:val="00C7291F"/>
    <w:rsid w:val="00C72921"/>
    <w:rsid w:val="00C72B81"/>
    <w:rsid w:val="00C72BD5"/>
    <w:rsid w:val="00C72D4F"/>
    <w:rsid w:val="00C72EC4"/>
    <w:rsid w:val="00C7307A"/>
    <w:rsid w:val="00C7326E"/>
    <w:rsid w:val="00C733F5"/>
    <w:rsid w:val="00C7360B"/>
    <w:rsid w:val="00C73679"/>
    <w:rsid w:val="00C739EC"/>
    <w:rsid w:val="00C73C5B"/>
    <w:rsid w:val="00C73E2C"/>
    <w:rsid w:val="00C7406D"/>
    <w:rsid w:val="00C745E1"/>
    <w:rsid w:val="00C748C9"/>
    <w:rsid w:val="00C749F7"/>
    <w:rsid w:val="00C74A96"/>
    <w:rsid w:val="00C7501E"/>
    <w:rsid w:val="00C75158"/>
    <w:rsid w:val="00C75161"/>
    <w:rsid w:val="00C756E4"/>
    <w:rsid w:val="00C757A1"/>
    <w:rsid w:val="00C75C2E"/>
    <w:rsid w:val="00C75D12"/>
    <w:rsid w:val="00C75E7A"/>
    <w:rsid w:val="00C76482"/>
    <w:rsid w:val="00C764C2"/>
    <w:rsid w:val="00C764CD"/>
    <w:rsid w:val="00C7678A"/>
    <w:rsid w:val="00C76988"/>
    <w:rsid w:val="00C76C36"/>
    <w:rsid w:val="00C76C72"/>
    <w:rsid w:val="00C76CDC"/>
    <w:rsid w:val="00C76DA0"/>
    <w:rsid w:val="00C76F17"/>
    <w:rsid w:val="00C7705C"/>
    <w:rsid w:val="00C771A2"/>
    <w:rsid w:val="00C772D7"/>
    <w:rsid w:val="00C772F9"/>
    <w:rsid w:val="00C7736C"/>
    <w:rsid w:val="00C7756B"/>
    <w:rsid w:val="00C776D5"/>
    <w:rsid w:val="00C779BC"/>
    <w:rsid w:val="00C77A8F"/>
    <w:rsid w:val="00C77ADD"/>
    <w:rsid w:val="00C77EC5"/>
    <w:rsid w:val="00C77F9F"/>
    <w:rsid w:val="00C77FEC"/>
    <w:rsid w:val="00C80331"/>
    <w:rsid w:val="00C80893"/>
    <w:rsid w:val="00C809E8"/>
    <w:rsid w:val="00C80AC2"/>
    <w:rsid w:val="00C80C29"/>
    <w:rsid w:val="00C80DFC"/>
    <w:rsid w:val="00C80EFA"/>
    <w:rsid w:val="00C81210"/>
    <w:rsid w:val="00C8138D"/>
    <w:rsid w:val="00C8141A"/>
    <w:rsid w:val="00C814B5"/>
    <w:rsid w:val="00C81948"/>
    <w:rsid w:val="00C81961"/>
    <w:rsid w:val="00C819A0"/>
    <w:rsid w:val="00C81A06"/>
    <w:rsid w:val="00C81BA0"/>
    <w:rsid w:val="00C81CBC"/>
    <w:rsid w:val="00C8234A"/>
    <w:rsid w:val="00C8245B"/>
    <w:rsid w:val="00C82555"/>
    <w:rsid w:val="00C825A1"/>
    <w:rsid w:val="00C826B6"/>
    <w:rsid w:val="00C8294D"/>
    <w:rsid w:val="00C82A12"/>
    <w:rsid w:val="00C82AFE"/>
    <w:rsid w:val="00C82B3E"/>
    <w:rsid w:val="00C82CC6"/>
    <w:rsid w:val="00C82F0B"/>
    <w:rsid w:val="00C8327C"/>
    <w:rsid w:val="00C834D4"/>
    <w:rsid w:val="00C834FD"/>
    <w:rsid w:val="00C835DB"/>
    <w:rsid w:val="00C837A5"/>
    <w:rsid w:val="00C839A3"/>
    <w:rsid w:val="00C83A0D"/>
    <w:rsid w:val="00C83A0F"/>
    <w:rsid w:val="00C83A4C"/>
    <w:rsid w:val="00C83A7F"/>
    <w:rsid w:val="00C83C48"/>
    <w:rsid w:val="00C83CF9"/>
    <w:rsid w:val="00C83D5F"/>
    <w:rsid w:val="00C83D6B"/>
    <w:rsid w:val="00C83DD7"/>
    <w:rsid w:val="00C83E1C"/>
    <w:rsid w:val="00C83EC6"/>
    <w:rsid w:val="00C8409B"/>
    <w:rsid w:val="00C840BD"/>
    <w:rsid w:val="00C8414F"/>
    <w:rsid w:val="00C8415F"/>
    <w:rsid w:val="00C84215"/>
    <w:rsid w:val="00C84462"/>
    <w:rsid w:val="00C8483A"/>
    <w:rsid w:val="00C84906"/>
    <w:rsid w:val="00C84953"/>
    <w:rsid w:val="00C84962"/>
    <w:rsid w:val="00C849F9"/>
    <w:rsid w:val="00C84AF1"/>
    <w:rsid w:val="00C84DDC"/>
    <w:rsid w:val="00C84EC9"/>
    <w:rsid w:val="00C852DA"/>
    <w:rsid w:val="00C85579"/>
    <w:rsid w:val="00C85615"/>
    <w:rsid w:val="00C8593B"/>
    <w:rsid w:val="00C859BD"/>
    <w:rsid w:val="00C85C0D"/>
    <w:rsid w:val="00C85EAA"/>
    <w:rsid w:val="00C861AF"/>
    <w:rsid w:val="00C86259"/>
    <w:rsid w:val="00C8686B"/>
    <w:rsid w:val="00C868EF"/>
    <w:rsid w:val="00C86963"/>
    <w:rsid w:val="00C86A4F"/>
    <w:rsid w:val="00C86BEB"/>
    <w:rsid w:val="00C86CE0"/>
    <w:rsid w:val="00C86D76"/>
    <w:rsid w:val="00C86F55"/>
    <w:rsid w:val="00C87045"/>
    <w:rsid w:val="00C877D8"/>
    <w:rsid w:val="00C87893"/>
    <w:rsid w:val="00C87A13"/>
    <w:rsid w:val="00C87AC7"/>
    <w:rsid w:val="00C87CDF"/>
    <w:rsid w:val="00C9001B"/>
    <w:rsid w:val="00C901A9"/>
    <w:rsid w:val="00C9073B"/>
    <w:rsid w:val="00C90A6C"/>
    <w:rsid w:val="00C90D05"/>
    <w:rsid w:val="00C90D75"/>
    <w:rsid w:val="00C91193"/>
    <w:rsid w:val="00C91C14"/>
    <w:rsid w:val="00C91E83"/>
    <w:rsid w:val="00C91EAB"/>
    <w:rsid w:val="00C922E4"/>
    <w:rsid w:val="00C9234D"/>
    <w:rsid w:val="00C92382"/>
    <w:rsid w:val="00C925C8"/>
    <w:rsid w:val="00C9264C"/>
    <w:rsid w:val="00C926AC"/>
    <w:rsid w:val="00C928A7"/>
    <w:rsid w:val="00C92A12"/>
    <w:rsid w:val="00C92B1F"/>
    <w:rsid w:val="00C92E3F"/>
    <w:rsid w:val="00C930FB"/>
    <w:rsid w:val="00C93553"/>
    <w:rsid w:val="00C93785"/>
    <w:rsid w:val="00C93832"/>
    <w:rsid w:val="00C93E59"/>
    <w:rsid w:val="00C94330"/>
    <w:rsid w:val="00C94734"/>
    <w:rsid w:val="00C947A9"/>
    <w:rsid w:val="00C949B2"/>
    <w:rsid w:val="00C94D09"/>
    <w:rsid w:val="00C94D25"/>
    <w:rsid w:val="00C950FE"/>
    <w:rsid w:val="00C951FD"/>
    <w:rsid w:val="00C95263"/>
    <w:rsid w:val="00C955CB"/>
    <w:rsid w:val="00C9565A"/>
    <w:rsid w:val="00C956BB"/>
    <w:rsid w:val="00C9571A"/>
    <w:rsid w:val="00C9583E"/>
    <w:rsid w:val="00C95A21"/>
    <w:rsid w:val="00C95B40"/>
    <w:rsid w:val="00C95C72"/>
    <w:rsid w:val="00C95CFE"/>
    <w:rsid w:val="00C95DA1"/>
    <w:rsid w:val="00C95E6D"/>
    <w:rsid w:val="00C95F61"/>
    <w:rsid w:val="00C963B7"/>
    <w:rsid w:val="00C96459"/>
    <w:rsid w:val="00C96494"/>
    <w:rsid w:val="00C964FA"/>
    <w:rsid w:val="00C9655D"/>
    <w:rsid w:val="00C96B37"/>
    <w:rsid w:val="00C96BC1"/>
    <w:rsid w:val="00C96CFC"/>
    <w:rsid w:val="00C9700B"/>
    <w:rsid w:val="00C97250"/>
    <w:rsid w:val="00C977E3"/>
    <w:rsid w:val="00C9783B"/>
    <w:rsid w:val="00C979B2"/>
    <w:rsid w:val="00C97B47"/>
    <w:rsid w:val="00C97C33"/>
    <w:rsid w:val="00C97EA2"/>
    <w:rsid w:val="00C97F47"/>
    <w:rsid w:val="00CA00ED"/>
    <w:rsid w:val="00CA0190"/>
    <w:rsid w:val="00CA0342"/>
    <w:rsid w:val="00CA0348"/>
    <w:rsid w:val="00CA03F2"/>
    <w:rsid w:val="00CA0D2E"/>
    <w:rsid w:val="00CA1173"/>
    <w:rsid w:val="00CA13B5"/>
    <w:rsid w:val="00CA1400"/>
    <w:rsid w:val="00CA1524"/>
    <w:rsid w:val="00CA15FA"/>
    <w:rsid w:val="00CA1C39"/>
    <w:rsid w:val="00CA1F11"/>
    <w:rsid w:val="00CA205C"/>
    <w:rsid w:val="00CA21BF"/>
    <w:rsid w:val="00CA2245"/>
    <w:rsid w:val="00CA238F"/>
    <w:rsid w:val="00CA2422"/>
    <w:rsid w:val="00CA2464"/>
    <w:rsid w:val="00CA27AD"/>
    <w:rsid w:val="00CA27D3"/>
    <w:rsid w:val="00CA290C"/>
    <w:rsid w:val="00CA30A6"/>
    <w:rsid w:val="00CA32B1"/>
    <w:rsid w:val="00CA33B5"/>
    <w:rsid w:val="00CA3BF3"/>
    <w:rsid w:val="00CA3CB9"/>
    <w:rsid w:val="00CA402C"/>
    <w:rsid w:val="00CA4400"/>
    <w:rsid w:val="00CA4579"/>
    <w:rsid w:val="00CA4E90"/>
    <w:rsid w:val="00CA56A1"/>
    <w:rsid w:val="00CA5724"/>
    <w:rsid w:val="00CA5A01"/>
    <w:rsid w:val="00CA5ACC"/>
    <w:rsid w:val="00CA5CC4"/>
    <w:rsid w:val="00CA5D28"/>
    <w:rsid w:val="00CA5ED9"/>
    <w:rsid w:val="00CA6050"/>
    <w:rsid w:val="00CA61BF"/>
    <w:rsid w:val="00CA6528"/>
    <w:rsid w:val="00CA6876"/>
    <w:rsid w:val="00CA68D3"/>
    <w:rsid w:val="00CA6CDD"/>
    <w:rsid w:val="00CA6D0F"/>
    <w:rsid w:val="00CA6E90"/>
    <w:rsid w:val="00CA6F3F"/>
    <w:rsid w:val="00CA7165"/>
    <w:rsid w:val="00CB017F"/>
    <w:rsid w:val="00CB02AA"/>
    <w:rsid w:val="00CB04A6"/>
    <w:rsid w:val="00CB05DA"/>
    <w:rsid w:val="00CB07C5"/>
    <w:rsid w:val="00CB07FB"/>
    <w:rsid w:val="00CB09EC"/>
    <w:rsid w:val="00CB1145"/>
    <w:rsid w:val="00CB139E"/>
    <w:rsid w:val="00CB1408"/>
    <w:rsid w:val="00CB150D"/>
    <w:rsid w:val="00CB174F"/>
    <w:rsid w:val="00CB1B8F"/>
    <w:rsid w:val="00CB1BF8"/>
    <w:rsid w:val="00CB1C8F"/>
    <w:rsid w:val="00CB1D6B"/>
    <w:rsid w:val="00CB1F6B"/>
    <w:rsid w:val="00CB1F9E"/>
    <w:rsid w:val="00CB2146"/>
    <w:rsid w:val="00CB233C"/>
    <w:rsid w:val="00CB233F"/>
    <w:rsid w:val="00CB2390"/>
    <w:rsid w:val="00CB23EF"/>
    <w:rsid w:val="00CB2591"/>
    <w:rsid w:val="00CB289A"/>
    <w:rsid w:val="00CB2911"/>
    <w:rsid w:val="00CB29A5"/>
    <w:rsid w:val="00CB2AB2"/>
    <w:rsid w:val="00CB2B83"/>
    <w:rsid w:val="00CB2E67"/>
    <w:rsid w:val="00CB2E72"/>
    <w:rsid w:val="00CB2FD4"/>
    <w:rsid w:val="00CB309A"/>
    <w:rsid w:val="00CB30AA"/>
    <w:rsid w:val="00CB371A"/>
    <w:rsid w:val="00CB3731"/>
    <w:rsid w:val="00CB37F5"/>
    <w:rsid w:val="00CB3832"/>
    <w:rsid w:val="00CB3B05"/>
    <w:rsid w:val="00CB3B37"/>
    <w:rsid w:val="00CB3C2B"/>
    <w:rsid w:val="00CB3E95"/>
    <w:rsid w:val="00CB3F00"/>
    <w:rsid w:val="00CB3FB9"/>
    <w:rsid w:val="00CB41E2"/>
    <w:rsid w:val="00CB4250"/>
    <w:rsid w:val="00CB45F3"/>
    <w:rsid w:val="00CB4BFB"/>
    <w:rsid w:val="00CB52FB"/>
    <w:rsid w:val="00CB5338"/>
    <w:rsid w:val="00CB539C"/>
    <w:rsid w:val="00CB53E2"/>
    <w:rsid w:val="00CB540F"/>
    <w:rsid w:val="00CB5435"/>
    <w:rsid w:val="00CB5541"/>
    <w:rsid w:val="00CB5AF1"/>
    <w:rsid w:val="00CB5C36"/>
    <w:rsid w:val="00CB5C47"/>
    <w:rsid w:val="00CB5C53"/>
    <w:rsid w:val="00CB60F1"/>
    <w:rsid w:val="00CB61EF"/>
    <w:rsid w:val="00CB652C"/>
    <w:rsid w:val="00CB6538"/>
    <w:rsid w:val="00CB6585"/>
    <w:rsid w:val="00CB65EE"/>
    <w:rsid w:val="00CB6841"/>
    <w:rsid w:val="00CB69DE"/>
    <w:rsid w:val="00CB6B3A"/>
    <w:rsid w:val="00CB6F1C"/>
    <w:rsid w:val="00CB6FDC"/>
    <w:rsid w:val="00CB6FEC"/>
    <w:rsid w:val="00CB737E"/>
    <w:rsid w:val="00CB740A"/>
    <w:rsid w:val="00CB7684"/>
    <w:rsid w:val="00CB7751"/>
    <w:rsid w:val="00CB77BE"/>
    <w:rsid w:val="00CB77DA"/>
    <w:rsid w:val="00CB7B5C"/>
    <w:rsid w:val="00CB7BDA"/>
    <w:rsid w:val="00CB7C84"/>
    <w:rsid w:val="00CB7CD0"/>
    <w:rsid w:val="00CB7F00"/>
    <w:rsid w:val="00CB7FB9"/>
    <w:rsid w:val="00CC00E4"/>
    <w:rsid w:val="00CC02AD"/>
    <w:rsid w:val="00CC03DA"/>
    <w:rsid w:val="00CC07FC"/>
    <w:rsid w:val="00CC085E"/>
    <w:rsid w:val="00CC09D8"/>
    <w:rsid w:val="00CC0A34"/>
    <w:rsid w:val="00CC10AF"/>
    <w:rsid w:val="00CC11FC"/>
    <w:rsid w:val="00CC1288"/>
    <w:rsid w:val="00CC156F"/>
    <w:rsid w:val="00CC15C3"/>
    <w:rsid w:val="00CC18B2"/>
    <w:rsid w:val="00CC1A0B"/>
    <w:rsid w:val="00CC1DF1"/>
    <w:rsid w:val="00CC243B"/>
    <w:rsid w:val="00CC24B0"/>
    <w:rsid w:val="00CC24FF"/>
    <w:rsid w:val="00CC253C"/>
    <w:rsid w:val="00CC274D"/>
    <w:rsid w:val="00CC2800"/>
    <w:rsid w:val="00CC2A34"/>
    <w:rsid w:val="00CC2B9D"/>
    <w:rsid w:val="00CC2BD3"/>
    <w:rsid w:val="00CC2CB0"/>
    <w:rsid w:val="00CC2E03"/>
    <w:rsid w:val="00CC335C"/>
    <w:rsid w:val="00CC393B"/>
    <w:rsid w:val="00CC3AE0"/>
    <w:rsid w:val="00CC3B0A"/>
    <w:rsid w:val="00CC3C4A"/>
    <w:rsid w:val="00CC3EFF"/>
    <w:rsid w:val="00CC4079"/>
    <w:rsid w:val="00CC4099"/>
    <w:rsid w:val="00CC445A"/>
    <w:rsid w:val="00CC4562"/>
    <w:rsid w:val="00CC45C2"/>
    <w:rsid w:val="00CC4698"/>
    <w:rsid w:val="00CC4794"/>
    <w:rsid w:val="00CC49AA"/>
    <w:rsid w:val="00CC4A61"/>
    <w:rsid w:val="00CC4B10"/>
    <w:rsid w:val="00CC4B1E"/>
    <w:rsid w:val="00CC4B2B"/>
    <w:rsid w:val="00CC4B6D"/>
    <w:rsid w:val="00CC4E3A"/>
    <w:rsid w:val="00CC4E6A"/>
    <w:rsid w:val="00CC4EE4"/>
    <w:rsid w:val="00CC513E"/>
    <w:rsid w:val="00CC518E"/>
    <w:rsid w:val="00CC5638"/>
    <w:rsid w:val="00CC5A50"/>
    <w:rsid w:val="00CC5B68"/>
    <w:rsid w:val="00CC5CC4"/>
    <w:rsid w:val="00CC5D36"/>
    <w:rsid w:val="00CC5F9B"/>
    <w:rsid w:val="00CC5FD9"/>
    <w:rsid w:val="00CC6A16"/>
    <w:rsid w:val="00CC715D"/>
    <w:rsid w:val="00CC7379"/>
    <w:rsid w:val="00CC7525"/>
    <w:rsid w:val="00CC765D"/>
    <w:rsid w:val="00CC777B"/>
    <w:rsid w:val="00CC7B56"/>
    <w:rsid w:val="00CC7CEC"/>
    <w:rsid w:val="00CD00CC"/>
    <w:rsid w:val="00CD00D6"/>
    <w:rsid w:val="00CD024C"/>
    <w:rsid w:val="00CD04AF"/>
    <w:rsid w:val="00CD04EA"/>
    <w:rsid w:val="00CD051D"/>
    <w:rsid w:val="00CD0615"/>
    <w:rsid w:val="00CD0D21"/>
    <w:rsid w:val="00CD0ECC"/>
    <w:rsid w:val="00CD0FF9"/>
    <w:rsid w:val="00CD1053"/>
    <w:rsid w:val="00CD10BB"/>
    <w:rsid w:val="00CD10FA"/>
    <w:rsid w:val="00CD13F5"/>
    <w:rsid w:val="00CD172B"/>
    <w:rsid w:val="00CD1889"/>
    <w:rsid w:val="00CD18B8"/>
    <w:rsid w:val="00CD1A47"/>
    <w:rsid w:val="00CD1F08"/>
    <w:rsid w:val="00CD23AF"/>
    <w:rsid w:val="00CD23FC"/>
    <w:rsid w:val="00CD24B1"/>
    <w:rsid w:val="00CD25AD"/>
    <w:rsid w:val="00CD262E"/>
    <w:rsid w:val="00CD26E2"/>
    <w:rsid w:val="00CD2788"/>
    <w:rsid w:val="00CD2799"/>
    <w:rsid w:val="00CD2AF7"/>
    <w:rsid w:val="00CD2E68"/>
    <w:rsid w:val="00CD2EEB"/>
    <w:rsid w:val="00CD2F1D"/>
    <w:rsid w:val="00CD31B2"/>
    <w:rsid w:val="00CD3963"/>
    <w:rsid w:val="00CD4086"/>
    <w:rsid w:val="00CD4112"/>
    <w:rsid w:val="00CD4327"/>
    <w:rsid w:val="00CD436B"/>
    <w:rsid w:val="00CD4373"/>
    <w:rsid w:val="00CD4443"/>
    <w:rsid w:val="00CD4469"/>
    <w:rsid w:val="00CD45BC"/>
    <w:rsid w:val="00CD482D"/>
    <w:rsid w:val="00CD4DEB"/>
    <w:rsid w:val="00CD4FBB"/>
    <w:rsid w:val="00CD5239"/>
    <w:rsid w:val="00CD54A8"/>
    <w:rsid w:val="00CD55F8"/>
    <w:rsid w:val="00CD5817"/>
    <w:rsid w:val="00CD5821"/>
    <w:rsid w:val="00CD5BA9"/>
    <w:rsid w:val="00CD5E49"/>
    <w:rsid w:val="00CD5FFD"/>
    <w:rsid w:val="00CD610C"/>
    <w:rsid w:val="00CD6620"/>
    <w:rsid w:val="00CD66B4"/>
    <w:rsid w:val="00CD6784"/>
    <w:rsid w:val="00CD67BB"/>
    <w:rsid w:val="00CD6D0F"/>
    <w:rsid w:val="00CD6D3C"/>
    <w:rsid w:val="00CD6E42"/>
    <w:rsid w:val="00CD6E53"/>
    <w:rsid w:val="00CD7003"/>
    <w:rsid w:val="00CD7033"/>
    <w:rsid w:val="00CD717B"/>
    <w:rsid w:val="00CD7529"/>
    <w:rsid w:val="00CD75B9"/>
    <w:rsid w:val="00CD770D"/>
    <w:rsid w:val="00CD7914"/>
    <w:rsid w:val="00CD79A1"/>
    <w:rsid w:val="00CD7A64"/>
    <w:rsid w:val="00CD7ABC"/>
    <w:rsid w:val="00CD7CFC"/>
    <w:rsid w:val="00CD7DA2"/>
    <w:rsid w:val="00CD7EBF"/>
    <w:rsid w:val="00CE0159"/>
    <w:rsid w:val="00CE0180"/>
    <w:rsid w:val="00CE0386"/>
    <w:rsid w:val="00CE0438"/>
    <w:rsid w:val="00CE0483"/>
    <w:rsid w:val="00CE0628"/>
    <w:rsid w:val="00CE085C"/>
    <w:rsid w:val="00CE0875"/>
    <w:rsid w:val="00CE089F"/>
    <w:rsid w:val="00CE0A06"/>
    <w:rsid w:val="00CE0EF5"/>
    <w:rsid w:val="00CE108C"/>
    <w:rsid w:val="00CE1135"/>
    <w:rsid w:val="00CE1441"/>
    <w:rsid w:val="00CE148F"/>
    <w:rsid w:val="00CE15FF"/>
    <w:rsid w:val="00CE18AF"/>
    <w:rsid w:val="00CE2150"/>
    <w:rsid w:val="00CE22F9"/>
    <w:rsid w:val="00CE230E"/>
    <w:rsid w:val="00CE2407"/>
    <w:rsid w:val="00CE279B"/>
    <w:rsid w:val="00CE2A10"/>
    <w:rsid w:val="00CE2AD8"/>
    <w:rsid w:val="00CE2E82"/>
    <w:rsid w:val="00CE2F1D"/>
    <w:rsid w:val="00CE3077"/>
    <w:rsid w:val="00CE31D5"/>
    <w:rsid w:val="00CE32DE"/>
    <w:rsid w:val="00CE367E"/>
    <w:rsid w:val="00CE36D8"/>
    <w:rsid w:val="00CE37EB"/>
    <w:rsid w:val="00CE3892"/>
    <w:rsid w:val="00CE3C3A"/>
    <w:rsid w:val="00CE4064"/>
    <w:rsid w:val="00CE485C"/>
    <w:rsid w:val="00CE494F"/>
    <w:rsid w:val="00CE4970"/>
    <w:rsid w:val="00CE4FE4"/>
    <w:rsid w:val="00CE503D"/>
    <w:rsid w:val="00CE5060"/>
    <w:rsid w:val="00CE5064"/>
    <w:rsid w:val="00CE5407"/>
    <w:rsid w:val="00CE5510"/>
    <w:rsid w:val="00CE556B"/>
    <w:rsid w:val="00CE5817"/>
    <w:rsid w:val="00CE5A09"/>
    <w:rsid w:val="00CE5B33"/>
    <w:rsid w:val="00CE5CE4"/>
    <w:rsid w:val="00CE5FDB"/>
    <w:rsid w:val="00CE6080"/>
    <w:rsid w:val="00CE6171"/>
    <w:rsid w:val="00CE625F"/>
    <w:rsid w:val="00CE6792"/>
    <w:rsid w:val="00CE688F"/>
    <w:rsid w:val="00CE68D3"/>
    <w:rsid w:val="00CE6A6B"/>
    <w:rsid w:val="00CE6C44"/>
    <w:rsid w:val="00CE708C"/>
    <w:rsid w:val="00CE71CD"/>
    <w:rsid w:val="00CE7422"/>
    <w:rsid w:val="00CE7472"/>
    <w:rsid w:val="00CE753C"/>
    <w:rsid w:val="00CE77D2"/>
    <w:rsid w:val="00CE79DD"/>
    <w:rsid w:val="00CE7DE8"/>
    <w:rsid w:val="00CE7ED7"/>
    <w:rsid w:val="00CE7F2D"/>
    <w:rsid w:val="00CF0125"/>
    <w:rsid w:val="00CF0219"/>
    <w:rsid w:val="00CF0276"/>
    <w:rsid w:val="00CF02CF"/>
    <w:rsid w:val="00CF02E0"/>
    <w:rsid w:val="00CF0328"/>
    <w:rsid w:val="00CF03DC"/>
    <w:rsid w:val="00CF05F9"/>
    <w:rsid w:val="00CF0645"/>
    <w:rsid w:val="00CF0664"/>
    <w:rsid w:val="00CF0B9A"/>
    <w:rsid w:val="00CF1269"/>
    <w:rsid w:val="00CF12BF"/>
    <w:rsid w:val="00CF136F"/>
    <w:rsid w:val="00CF1686"/>
    <w:rsid w:val="00CF16C6"/>
    <w:rsid w:val="00CF1871"/>
    <w:rsid w:val="00CF193E"/>
    <w:rsid w:val="00CF19CB"/>
    <w:rsid w:val="00CF1A05"/>
    <w:rsid w:val="00CF1A06"/>
    <w:rsid w:val="00CF1A94"/>
    <w:rsid w:val="00CF1AF3"/>
    <w:rsid w:val="00CF1B25"/>
    <w:rsid w:val="00CF1D4C"/>
    <w:rsid w:val="00CF1E66"/>
    <w:rsid w:val="00CF1FB7"/>
    <w:rsid w:val="00CF1FCD"/>
    <w:rsid w:val="00CF258A"/>
    <w:rsid w:val="00CF29C5"/>
    <w:rsid w:val="00CF2B43"/>
    <w:rsid w:val="00CF2BDA"/>
    <w:rsid w:val="00CF2D3E"/>
    <w:rsid w:val="00CF2DF0"/>
    <w:rsid w:val="00CF2E4D"/>
    <w:rsid w:val="00CF30F2"/>
    <w:rsid w:val="00CF3145"/>
    <w:rsid w:val="00CF3676"/>
    <w:rsid w:val="00CF38DD"/>
    <w:rsid w:val="00CF3A43"/>
    <w:rsid w:val="00CF40AC"/>
    <w:rsid w:val="00CF4133"/>
    <w:rsid w:val="00CF42CC"/>
    <w:rsid w:val="00CF477F"/>
    <w:rsid w:val="00CF4BA4"/>
    <w:rsid w:val="00CF4C84"/>
    <w:rsid w:val="00CF4D36"/>
    <w:rsid w:val="00CF4D7F"/>
    <w:rsid w:val="00CF50B0"/>
    <w:rsid w:val="00CF522B"/>
    <w:rsid w:val="00CF5236"/>
    <w:rsid w:val="00CF577E"/>
    <w:rsid w:val="00CF5817"/>
    <w:rsid w:val="00CF59E9"/>
    <w:rsid w:val="00CF61EF"/>
    <w:rsid w:val="00CF6207"/>
    <w:rsid w:val="00CF6244"/>
    <w:rsid w:val="00CF6287"/>
    <w:rsid w:val="00CF6A3E"/>
    <w:rsid w:val="00CF6C70"/>
    <w:rsid w:val="00CF6F2A"/>
    <w:rsid w:val="00CF7024"/>
    <w:rsid w:val="00CF7839"/>
    <w:rsid w:val="00CF793C"/>
    <w:rsid w:val="00CF79BF"/>
    <w:rsid w:val="00CF7DFF"/>
    <w:rsid w:val="00CF7E7C"/>
    <w:rsid w:val="00D00469"/>
    <w:rsid w:val="00D00AA0"/>
    <w:rsid w:val="00D00B1E"/>
    <w:rsid w:val="00D00B3A"/>
    <w:rsid w:val="00D00D56"/>
    <w:rsid w:val="00D00E5E"/>
    <w:rsid w:val="00D011E3"/>
    <w:rsid w:val="00D0143C"/>
    <w:rsid w:val="00D01582"/>
    <w:rsid w:val="00D01595"/>
    <w:rsid w:val="00D0187D"/>
    <w:rsid w:val="00D01885"/>
    <w:rsid w:val="00D0188E"/>
    <w:rsid w:val="00D0191D"/>
    <w:rsid w:val="00D01B31"/>
    <w:rsid w:val="00D01BB4"/>
    <w:rsid w:val="00D02127"/>
    <w:rsid w:val="00D025CC"/>
    <w:rsid w:val="00D02994"/>
    <w:rsid w:val="00D02D68"/>
    <w:rsid w:val="00D02D74"/>
    <w:rsid w:val="00D03231"/>
    <w:rsid w:val="00D0328C"/>
    <w:rsid w:val="00D03382"/>
    <w:rsid w:val="00D033E1"/>
    <w:rsid w:val="00D036EB"/>
    <w:rsid w:val="00D0375D"/>
    <w:rsid w:val="00D0395A"/>
    <w:rsid w:val="00D03976"/>
    <w:rsid w:val="00D03C65"/>
    <w:rsid w:val="00D03EFD"/>
    <w:rsid w:val="00D041AF"/>
    <w:rsid w:val="00D041C0"/>
    <w:rsid w:val="00D04326"/>
    <w:rsid w:val="00D04359"/>
    <w:rsid w:val="00D047B5"/>
    <w:rsid w:val="00D048C2"/>
    <w:rsid w:val="00D04C21"/>
    <w:rsid w:val="00D04CB8"/>
    <w:rsid w:val="00D04D88"/>
    <w:rsid w:val="00D04F2F"/>
    <w:rsid w:val="00D0547F"/>
    <w:rsid w:val="00D0564D"/>
    <w:rsid w:val="00D05C66"/>
    <w:rsid w:val="00D05C6E"/>
    <w:rsid w:val="00D05CAF"/>
    <w:rsid w:val="00D05FAD"/>
    <w:rsid w:val="00D061B8"/>
    <w:rsid w:val="00D0625B"/>
    <w:rsid w:val="00D064B3"/>
    <w:rsid w:val="00D06C24"/>
    <w:rsid w:val="00D071CA"/>
    <w:rsid w:val="00D07274"/>
    <w:rsid w:val="00D07295"/>
    <w:rsid w:val="00D07599"/>
    <w:rsid w:val="00D077DC"/>
    <w:rsid w:val="00D07A95"/>
    <w:rsid w:val="00D07AEF"/>
    <w:rsid w:val="00D07FC0"/>
    <w:rsid w:val="00D10053"/>
    <w:rsid w:val="00D100BC"/>
    <w:rsid w:val="00D101D6"/>
    <w:rsid w:val="00D102C4"/>
    <w:rsid w:val="00D10318"/>
    <w:rsid w:val="00D105E3"/>
    <w:rsid w:val="00D1065B"/>
    <w:rsid w:val="00D107C9"/>
    <w:rsid w:val="00D10911"/>
    <w:rsid w:val="00D10A5B"/>
    <w:rsid w:val="00D10B94"/>
    <w:rsid w:val="00D10BC6"/>
    <w:rsid w:val="00D10ED6"/>
    <w:rsid w:val="00D110DB"/>
    <w:rsid w:val="00D111AE"/>
    <w:rsid w:val="00D1149D"/>
    <w:rsid w:val="00D11DBB"/>
    <w:rsid w:val="00D1207B"/>
    <w:rsid w:val="00D12670"/>
    <w:rsid w:val="00D1274E"/>
    <w:rsid w:val="00D1282F"/>
    <w:rsid w:val="00D12EAD"/>
    <w:rsid w:val="00D12F12"/>
    <w:rsid w:val="00D12F96"/>
    <w:rsid w:val="00D12FEB"/>
    <w:rsid w:val="00D132AC"/>
    <w:rsid w:val="00D13566"/>
    <w:rsid w:val="00D136A0"/>
    <w:rsid w:val="00D137DB"/>
    <w:rsid w:val="00D137EF"/>
    <w:rsid w:val="00D13801"/>
    <w:rsid w:val="00D13B61"/>
    <w:rsid w:val="00D142DB"/>
    <w:rsid w:val="00D1466A"/>
    <w:rsid w:val="00D14727"/>
    <w:rsid w:val="00D14891"/>
    <w:rsid w:val="00D148F3"/>
    <w:rsid w:val="00D14B60"/>
    <w:rsid w:val="00D14F07"/>
    <w:rsid w:val="00D14F3A"/>
    <w:rsid w:val="00D150C7"/>
    <w:rsid w:val="00D15818"/>
    <w:rsid w:val="00D1588D"/>
    <w:rsid w:val="00D15DB6"/>
    <w:rsid w:val="00D15F85"/>
    <w:rsid w:val="00D160FA"/>
    <w:rsid w:val="00D162DD"/>
    <w:rsid w:val="00D16318"/>
    <w:rsid w:val="00D165F1"/>
    <w:rsid w:val="00D1669D"/>
    <w:rsid w:val="00D16748"/>
    <w:rsid w:val="00D169F3"/>
    <w:rsid w:val="00D16B58"/>
    <w:rsid w:val="00D16EF8"/>
    <w:rsid w:val="00D16FA8"/>
    <w:rsid w:val="00D1700E"/>
    <w:rsid w:val="00D17124"/>
    <w:rsid w:val="00D17139"/>
    <w:rsid w:val="00D17359"/>
    <w:rsid w:val="00D174D3"/>
    <w:rsid w:val="00D178C9"/>
    <w:rsid w:val="00D17B27"/>
    <w:rsid w:val="00D17BF0"/>
    <w:rsid w:val="00D20120"/>
    <w:rsid w:val="00D203D4"/>
    <w:rsid w:val="00D20471"/>
    <w:rsid w:val="00D204F1"/>
    <w:rsid w:val="00D2055A"/>
    <w:rsid w:val="00D207F5"/>
    <w:rsid w:val="00D20CA5"/>
    <w:rsid w:val="00D20F7F"/>
    <w:rsid w:val="00D21097"/>
    <w:rsid w:val="00D21BF8"/>
    <w:rsid w:val="00D21F5C"/>
    <w:rsid w:val="00D2216F"/>
    <w:rsid w:val="00D221B8"/>
    <w:rsid w:val="00D2244A"/>
    <w:rsid w:val="00D22812"/>
    <w:rsid w:val="00D2283F"/>
    <w:rsid w:val="00D228F5"/>
    <w:rsid w:val="00D2324B"/>
    <w:rsid w:val="00D233EB"/>
    <w:rsid w:val="00D234D1"/>
    <w:rsid w:val="00D23602"/>
    <w:rsid w:val="00D236D1"/>
    <w:rsid w:val="00D2370F"/>
    <w:rsid w:val="00D2375E"/>
    <w:rsid w:val="00D2380F"/>
    <w:rsid w:val="00D23849"/>
    <w:rsid w:val="00D23C7D"/>
    <w:rsid w:val="00D23D04"/>
    <w:rsid w:val="00D23D30"/>
    <w:rsid w:val="00D23DF3"/>
    <w:rsid w:val="00D23EF5"/>
    <w:rsid w:val="00D2410C"/>
    <w:rsid w:val="00D24410"/>
    <w:rsid w:val="00D244B8"/>
    <w:rsid w:val="00D24982"/>
    <w:rsid w:val="00D250A5"/>
    <w:rsid w:val="00D251D6"/>
    <w:rsid w:val="00D254B1"/>
    <w:rsid w:val="00D256A2"/>
    <w:rsid w:val="00D25A59"/>
    <w:rsid w:val="00D25CC0"/>
    <w:rsid w:val="00D25D65"/>
    <w:rsid w:val="00D25F64"/>
    <w:rsid w:val="00D25FEC"/>
    <w:rsid w:val="00D26247"/>
    <w:rsid w:val="00D26288"/>
    <w:rsid w:val="00D26403"/>
    <w:rsid w:val="00D2675A"/>
    <w:rsid w:val="00D26B26"/>
    <w:rsid w:val="00D26B9D"/>
    <w:rsid w:val="00D270AF"/>
    <w:rsid w:val="00D27248"/>
    <w:rsid w:val="00D2729A"/>
    <w:rsid w:val="00D273DE"/>
    <w:rsid w:val="00D27420"/>
    <w:rsid w:val="00D27729"/>
    <w:rsid w:val="00D279B1"/>
    <w:rsid w:val="00D27C18"/>
    <w:rsid w:val="00D27C8E"/>
    <w:rsid w:val="00D27E59"/>
    <w:rsid w:val="00D301CB"/>
    <w:rsid w:val="00D30402"/>
    <w:rsid w:val="00D30A32"/>
    <w:rsid w:val="00D30B8D"/>
    <w:rsid w:val="00D30DEE"/>
    <w:rsid w:val="00D311E9"/>
    <w:rsid w:val="00D31229"/>
    <w:rsid w:val="00D3162A"/>
    <w:rsid w:val="00D316C8"/>
    <w:rsid w:val="00D31916"/>
    <w:rsid w:val="00D3191B"/>
    <w:rsid w:val="00D31992"/>
    <w:rsid w:val="00D31B71"/>
    <w:rsid w:val="00D31CD2"/>
    <w:rsid w:val="00D32164"/>
    <w:rsid w:val="00D32383"/>
    <w:rsid w:val="00D32409"/>
    <w:rsid w:val="00D32652"/>
    <w:rsid w:val="00D32CFA"/>
    <w:rsid w:val="00D32EC2"/>
    <w:rsid w:val="00D337B7"/>
    <w:rsid w:val="00D339C0"/>
    <w:rsid w:val="00D33E01"/>
    <w:rsid w:val="00D33EAD"/>
    <w:rsid w:val="00D34000"/>
    <w:rsid w:val="00D34275"/>
    <w:rsid w:val="00D3436D"/>
    <w:rsid w:val="00D34466"/>
    <w:rsid w:val="00D3451F"/>
    <w:rsid w:val="00D34600"/>
    <w:rsid w:val="00D3477E"/>
    <w:rsid w:val="00D349DD"/>
    <w:rsid w:val="00D34B73"/>
    <w:rsid w:val="00D34BD5"/>
    <w:rsid w:val="00D34F58"/>
    <w:rsid w:val="00D3500A"/>
    <w:rsid w:val="00D35123"/>
    <w:rsid w:val="00D35303"/>
    <w:rsid w:val="00D35A79"/>
    <w:rsid w:val="00D35ABF"/>
    <w:rsid w:val="00D35D50"/>
    <w:rsid w:val="00D35DD6"/>
    <w:rsid w:val="00D35F45"/>
    <w:rsid w:val="00D3606B"/>
    <w:rsid w:val="00D363ED"/>
    <w:rsid w:val="00D365F8"/>
    <w:rsid w:val="00D366F5"/>
    <w:rsid w:val="00D368F8"/>
    <w:rsid w:val="00D36A4A"/>
    <w:rsid w:val="00D36CF7"/>
    <w:rsid w:val="00D36DD3"/>
    <w:rsid w:val="00D36EDC"/>
    <w:rsid w:val="00D3737E"/>
    <w:rsid w:val="00D376D9"/>
    <w:rsid w:val="00D37851"/>
    <w:rsid w:val="00D37C64"/>
    <w:rsid w:val="00D37CBA"/>
    <w:rsid w:val="00D37E9D"/>
    <w:rsid w:val="00D40827"/>
    <w:rsid w:val="00D408FA"/>
    <w:rsid w:val="00D40D3E"/>
    <w:rsid w:val="00D40F1C"/>
    <w:rsid w:val="00D4121B"/>
    <w:rsid w:val="00D4137D"/>
    <w:rsid w:val="00D41531"/>
    <w:rsid w:val="00D41B23"/>
    <w:rsid w:val="00D41C1F"/>
    <w:rsid w:val="00D41D63"/>
    <w:rsid w:val="00D41E9A"/>
    <w:rsid w:val="00D41F2F"/>
    <w:rsid w:val="00D4213B"/>
    <w:rsid w:val="00D423E7"/>
    <w:rsid w:val="00D42477"/>
    <w:rsid w:val="00D4266A"/>
    <w:rsid w:val="00D4292C"/>
    <w:rsid w:val="00D42968"/>
    <w:rsid w:val="00D429CF"/>
    <w:rsid w:val="00D42AAD"/>
    <w:rsid w:val="00D42CD1"/>
    <w:rsid w:val="00D42CD4"/>
    <w:rsid w:val="00D42D96"/>
    <w:rsid w:val="00D42E8C"/>
    <w:rsid w:val="00D42F6E"/>
    <w:rsid w:val="00D4317E"/>
    <w:rsid w:val="00D43474"/>
    <w:rsid w:val="00D43A52"/>
    <w:rsid w:val="00D43E2A"/>
    <w:rsid w:val="00D4408D"/>
    <w:rsid w:val="00D44506"/>
    <w:rsid w:val="00D44877"/>
    <w:rsid w:val="00D44E0B"/>
    <w:rsid w:val="00D44F94"/>
    <w:rsid w:val="00D4508B"/>
    <w:rsid w:val="00D45236"/>
    <w:rsid w:val="00D4534F"/>
    <w:rsid w:val="00D455A9"/>
    <w:rsid w:val="00D456BA"/>
    <w:rsid w:val="00D45752"/>
    <w:rsid w:val="00D4579D"/>
    <w:rsid w:val="00D45910"/>
    <w:rsid w:val="00D45BB0"/>
    <w:rsid w:val="00D45E31"/>
    <w:rsid w:val="00D45FAF"/>
    <w:rsid w:val="00D46321"/>
    <w:rsid w:val="00D46561"/>
    <w:rsid w:val="00D465CD"/>
    <w:rsid w:val="00D466FD"/>
    <w:rsid w:val="00D46A33"/>
    <w:rsid w:val="00D46B96"/>
    <w:rsid w:val="00D46F6B"/>
    <w:rsid w:val="00D4737F"/>
    <w:rsid w:val="00D474A8"/>
    <w:rsid w:val="00D4782D"/>
    <w:rsid w:val="00D4791F"/>
    <w:rsid w:val="00D47B25"/>
    <w:rsid w:val="00D47B8D"/>
    <w:rsid w:val="00D47E12"/>
    <w:rsid w:val="00D47E59"/>
    <w:rsid w:val="00D47ECA"/>
    <w:rsid w:val="00D47EE7"/>
    <w:rsid w:val="00D5001A"/>
    <w:rsid w:val="00D500A7"/>
    <w:rsid w:val="00D501B1"/>
    <w:rsid w:val="00D50251"/>
    <w:rsid w:val="00D5073E"/>
    <w:rsid w:val="00D50765"/>
    <w:rsid w:val="00D508B5"/>
    <w:rsid w:val="00D50BFF"/>
    <w:rsid w:val="00D5113F"/>
    <w:rsid w:val="00D51365"/>
    <w:rsid w:val="00D514E2"/>
    <w:rsid w:val="00D5155E"/>
    <w:rsid w:val="00D51886"/>
    <w:rsid w:val="00D51888"/>
    <w:rsid w:val="00D5196D"/>
    <w:rsid w:val="00D51DF2"/>
    <w:rsid w:val="00D51FC5"/>
    <w:rsid w:val="00D5211F"/>
    <w:rsid w:val="00D52596"/>
    <w:rsid w:val="00D52CC6"/>
    <w:rsid w:val="00D52E01"/>
    <w:rsid w:val="00D52FD6"/>
    <w:rsid w:val="00D536BC"/>
    <w:rsid w:val="00D53905"/>
    <w:rsid w:val="00D53D41"/>
    <w:rsid w:val="00D54011"/>
    <w:rsid w:val="00D5424D"/>
    <w:rsid w:val="00D542D1"/>
    <w:rsid w:val="00D546E2"/>
    <w:rsid w:val="00D54BA8"/>
    <w:rsid w:val="00D550B8"/>
    <w:rsid w:val="00D55233"/>
    <w:rsid w:val="00D552B2"/>
    <w:rsid w:val="00D5561F"/>
    <w:rsid w:val="00D55861"/>
    <w:rsid w:val="00D55943"/>
    <w:rsid w:val="00D55AB6"/>
    <w:rsid w:val="00D55B0C"/>
    <w:rsid w:val="00D55FDC"/>
    <w:rsid w:val="00D560DF"/>
    <w:rsid w:val="00D56130"/>
    <w:rsid w:val="00D563D0"/>
    <w:rsid w:val="00D565D6"/>
    <w:rsid w:val="00D5682B"/>
    <w:rsid w:val="00D569A8"/>
    <w:rsid w:val="00D56AA5"/>
    <w:rsid w:val="00D56B1C"/>
    <w:rsid w:val="00D56B43"/>
    <w:rsid w:val="00D56BD5"/>
    <w:rsid w:val="00D56CAE"/>
    <w:rsid w:val="00D56FCD"/>
    <w:rsid w:val="00D5718D"/>
    <w:rsid w:val="00D5730E"/>
    <w:rsid w:val="00D57387"/>
    <w:rsid w:val="00D573E6"/>
    <w:rsid w:val="00D5759A"/>
    <w:rsid w:val="00D57633"/>
    <w:rsid w:val="00D57661"/>
    <w:rsid w:val="00D6048C"/>
    <w:rsid w:val="00D604ED"/>
    <w:rsid w:val="00D606A8"/>
    <w:rsid w:val="00D60802"/>
    <w:rsid w:val="00D60B9A"/>
    <w:rsid w:val="00D61010"/>
    <w:rsid w:val="00D61195"/>
    <w:rsid w:val="00D611E6"/>
    <w:rsid w:val="00D61247"/>
    <w:rsid w:val="00D61488"/>
    <w:rsid w:val="00D61CA6"/>
    <w:rsid w:val="00D61DA2"/>
    <w:rsid w:val="00D61E31"/>
    <w:rsid w:val="00D61FA5"/>
    <w:rsid w:val="00D620F0"/>
    <w:rsid w:val="00D62295"/>
    <w:rsid w:val="00D623DD"/>
    <w:rsid w:val="00D62986"/>
    <w:rsid w:val="00D62AC1"/>
    <w:rsid w:val="00D62B0A"/>
    <w:rsid w:val="00D62CFB"/>
    <w:rsid w:val="00D62D25"/>
    <w:rsid w:val="00D63511"/>
    <w:rsid w:val="00D6357A"/>
    <w:rsid w:val="00D63774"/>
    <w:rsid w:val="00D63CE8"/>
    <w:rsid w:val="00D63E39"/>
    <w:rsid w:val="00D63FF2"/>
    <w:rsid w:val="00D640A4"/>
    <w:rsid w:val="00D64546"/>
    <w:rsid w:val="00D645E9"/>
    <w:rsid w:val="00D646FA"/>
    <w:rsid w:val="00D647BD"/>
    <w:rsid w:val="00D6485A"/>
    <w:rsid w:val="00D648EC"/>
    <w:rsid w:val="00D64903"/>
    <w:rsid w:val="00D64930"/>
    <w:rsid w:val="00D64A00"/>
    <w:rsid w:val="00D64E11"/>
    <w:rsid w:val="00D64F8D"/>
    <w:rsid w:val="00D64FA4"/>
    <w:rsid w:val="00D651C6"/>
    <w:rsid w:val="00D653CA"/>
    <w:rsid w:val="00D654C6"/>
    <w:rsid w:val="00D65838"/>
    <w:rsid w:val="00D65A2E"/>
    <w:rsid w:val="00D65D38"/>
    <w:rsid w:val="00D65D88"/>
    <w:rsid w:val="00D65E76"/>
    <w:rsid w:val="00D65ED0"/>
    <w:rsid w:val="00D65F6C"/>
    <w:rsid w:val="00D66124"/>
    <w:rsid w:val="00D66508"/>
    <w:rsid w:val="00D6658E"/>
    <w:rsid w:val="00D66611"/>
    <w:rsid w:val="00D6677C"/>
    <w:rsid w:val="00D6678B"/>
    <w:rsid w:val="00D66797"/>
    <w:rsid w:val="00D66919"/>
    <w:rsid w:val="00D66ABD"/>
    <w:rsid w:val="00D66B50"/>
    <w:rsid w:val="00D66BC1"/>
    <w:rsid w:val="00D66CA1"/>
    <w:rsid w:val="00D66DD9"/>
    <w:rsid w:val="00D670C8"/>
    <w:rsid w:val="00D676AF"/>
    <w:rsid w:val="00D677AB"/>
    <w:rsid w:val="00D6791F"/>
    <w:rsid w:val="00D67963"/>
    <w:rsid w:val="00D70204"/>
    <w:rsid w:val="00D704E2"/>
    <w:rsid w:val="00D70C45"/>
    <w:rsid w:val="00D70D9B"/>
    <w:rsid w:val="00D70F2A"/>
    <w:rsid w:val="00D713AB"/>
    <w:rsid w:val="00D714E3"/>
    <w:rsid w:val="00D7157D"/>
    <w:rsid w:val="00D71723"/>
    <w:rsid w:val="00D7180B"/>
    <w:rsid w:val="00D71823"/>
    <w:rsid w:val="00D71997"/>
    <w:rsid w:val="00D72267"/>
    <w:rsid w:val="00D72521"/>
    <w:rsid w:val="00D72AE7"/>
    <w:rsid w:val="00D73375"/>
    <w:rsid w:val="00D73410"/>
    <w:rsid w:val="00D73553"/>
    <w:rsid w:val="00D73641"/>
    <w:rsid w:val="00D736C0"/>
    <w:rsid w:val="00D73702"/>
    <w:rsid w:val="00D73716"/>
    <w:rsid w:val="00D738DD"/>
    <w:rsid w:val="00D73D0B"/>
    <w:rsid w:val="00D73F5B"/>
    <w:rsid w:val="00D73FCC"/>
    <w:rsid w:val="00D740DF"/>
    <w:rsid w:val="00D7426A"/>
    <w:rsid w:val="00D7458D"/>
    <w:rsid w:val="00D74590"/>
    <w:rsid w:val="00D74605"/>
    <w:rsid w:val="00D7474F"/>
    <w:rsid w:val="00D74996"/>
    <w:rsid w:val="00D74D69"/>
    <w:rsid w:val="00D74EFB"/>
    <w:rsid w:val="00D74F0D"/>
    <w:rsid w:val="00D75215"/>
    <w:rsid w:val="00D7547C"/>
    <w:rsid w:val="00D754DC"/>
    <w:rsid w:val="00D75681"/>
    <w:rsid w:val="00D75A1C"/>
    <w:rsid w:val="00D75ABF"/>
    <w:rsid w:val="00D75C41"/>
    <w:rsid w:val="00D75C4C"/>
    <w:rsid w:val="00D75D47"/>
    <w:rsid w:val="00D75DEB"/>
    <w:rsid w:val="00D75E57"/>
    <w:rsid w:val="00D76010"/>
    <w:rsid w:val="00D7622D"/>
    <w:rsid w:val="00D7643C"/>
    <w:rsid w:val="00D764B4"/>
    <w:rsid w:val="00D76A39"/>
    <w:rsid w:val="00D76C69"/>
    <w:rsid w:val="00D76E5D"/>
    <w:rsid w:val="00D76F51"/>
    <w:rsid w:val="00D76FB6"/>
    <w:rsid w:val="00D76FF0"/>
    <w:rsid w:val="00D7708C"/>
    <w:rsid w:val="00D770DB"/>
    <w:rsid w:val="00D7765F"/>
    <w:rsid w:val="00D77F8F"/>
    <w:rsid w:val="00D8009B"/>
    <w:rsid w:val="00D800DE"/>
    <w:rsid w:val="00D80598"/>
    <w:rsid w:val="00D80695"/>
    <w:rsid w:val="00D80A56"/>
    <w:rsid w:val="00D80DF5"/>
    <w:rsid w:val="00D80E49"/>
    <w:rsid w:val="00D80E91"/>
    <w:rsid w:val="00D811B1"/>
    <w:rsid w:val="00D81907"/>
    <w:rsid w:val="00D81A9C"/>
    <w:rsid w:val="00D81ADE"/>
    <w:rsid w:val="00D81E48"/>
    <w:rsid w:val="00D81EE2"/>
    <w:rsid w:val="00D81F13"/>
    <w:rsid w:val="00D81F84"/>
    <w:rsid w:val="00D8210B"/>
    <w:rsid w:val="00D82135"/>
    <w:rsid w:val="00D821DE"/>
    <w:rsid w:val="00D823E8"/>
    <w:rsid w:val="00D82AEC"/>
    <w:rsid w:val="00D82B10"/>
    <w:rsid w:val="00D82BCA"/>
    <w:rsid w:val="00D82F24"/>
    <w:rsid w:val="00D83372"/>
    <w:rsid w:val="00D83399"/>
    <w:rsid w:val="00D837BD"/>
    <w:rsid w:val="00D83920"/>
    <w:rsid w:val="00D83937"/>
    <w:rsid w:val="00D839CA"/>
    <w:rsid w:val="00D83D49"/>
    <w:rsid w:val="00D83E94"/>
    <w:rsid w:val="00D841EA"/>
    <w:rsid w:val="00D84247"/>
    <w:rsid w:val="00D842EF"/>
    <w:rsid w:val="00D843D7"/>
    <w:rsid w:val="00D844F4"/>
    <w:rsid w:val="00D84A8B"/>
    <w:rsid w:val="00D84EFC"/>
    <w:rsid w:val="00D84F01"/>
    <w:rsid w:val="00D8505E"/>
    <w:rsid w:val="00D85163"/>
    <w:rsid w:val="00D8533E"/>
    <w:rsid w:val="00D85347"/>
    <w:rsid w:val="00D85399"/>
    <w:rsid w:val="00D85439"/>
    <w:rsid w:val="00D85466"/>
    <w:rsid w:val="00D85A77"/>
    <w:rsid w:val="00D85C9B"/>
    <w:rsid w:val="00D85E7B"/>
    <w:rsid w:val="00D85EA1"/>
    <w:rsid w:val="00D85F51"/>
    <w:rsid w:val="00D860BF"/>
    <w:rsid w:val="00D87228"/>
    <w:rsid w:val="00D8740C"/>
    <w:rsid w:val="00D8743F"/>
    <w:rsid w:val="00D87573"/>
    <w:rsid w:val="00D87C00"/>
    <w:rsid w:val="00D87DAC"/>
    <w:rsid w:val="00D87E34"/>
    <w:rsid w:val="00D900EC"/>
    <w:rsid w:val="00D9049A"/>
    <w:rsid w:val="00D90849"/>
    <w:rsid w:val="00D9085A"/>
    <w:rsid w:val="00D9089F"/>
    <w:rsid w:val="00D908BD"/>
    <w:rsid w:val="00D90A89"/>
    <w:rsid w:val="00D90C3A"/>
    <w:rsid w:val="00D90D37"/>
    <w:rsid w:val="00D91056"/>
    <w:rsid w:val="00D915C3"/>
    <w:rsid w:val="00D91ADB"/>
    <w:rsid w:val="00D91E3A"/>
    <w:rsid w:val="00D91F98"/>
    <w:rsid w:val="00D92147"/>
    <w:rsid w:val="00D9233D"/>
    <w:rsid w:val="00D92C24"/>
    <w:rsid w:val="00D92DF2"/>
    <w:rsid w:val="00D934B6"/>
    <w:rsid w:val="00D934F5"/>
    <w:rsid w:val="00D938FA"/>
    <w:rsid w:val="00D939C2"/>
    <w:rsid w:val="00D93A1D"/>
    <w:rsid w:val="00D93BE0"/>
    <w:rsid w:val="00D93C45"/>
    <w:rsid w:val="00D93D05"/>
    <w:rsid w:val="00D94176"/>
    <w:rsid w:val="00D9422B"/>
    <w:rsid w:val="00D94433"/>
    <w:rsid w:val="00D944FD"/>
    <w:rsid w:val="00D9456E"/>
    <w:rsid w:val="00D94855"/>
    <w:rsid w:val="00D94AA5"/>
    <w:rsid w:val="00D94F7A"/>
    <w:rsid w:val="00D95189"/>
    <w:rsid w:val="00D95645"/>
    <w:rsid w:val="00D95931"/>
    <w:rsid w:val="00D959CE"/>
    <w:rsid w:val="00D95C2B"/>
    <w:rsid w:val="00D95E72"/>
    <w:rsid w:val="00D95EC7"/>
    <w:rsid w:val="00D96020"/>
    <w:rsid w:val="00D96316"/>
    <w:rsid w:val="00D963BD"/>
    <w:rsid w:val="00D96541"/>
    <w:rsid w:val="00D965CB"/>
    <w:rsid w:val="00D96737"/>
    <w:rsid w:val="00D96A35"/>
    <w:rsid w:val="00D96AC9"/>
    <w:rsid w:val="00D96BF2"/>
    <w:rsid w:val="00D96CEE"/>
    <w:rsid w:val="00D96D43"/>
    <w:rsid w:val="00D96E0F"/>
    <w:rsid w:val="00D96E51"/>
    <w:rsid w:val="00D96EB7"/>
    <w:rsid w:val="00D97086"/>
    <w:rsid w:val="00D970F7"/>
    <w:rsid w:val="00D9768A"/>
    <w:rsid w:val="00D9770B"/>
    <w:rsid w:val="00D97795"/>
    <w:rsid w:val="00D9792B"/>
    <w:rsid w:val="00D9796D"/>
    <w:rsid w:val="00D97A76"/>
    <w:rsid w:val="00D97D13"/>
    <w:rsid w:val="00D97D52"/>
    <w:rsid w:val="00D97D91"/>
    <w:rsid w:val="00DA0027"/>
    <w:rsid w:val="00DA00B4"/>
    <w:rsid w:val="00DA0270"/>
    <w:rsid w:val="00DA027A"/>
    <w:rsid w:val="00DA0961"/>
    <w:rsid w:val="00DA09D1"/>
    <w:rsid w:val="00DA0D1D"/>
    <w:rsid w:val="00DA0E37"/>
    <w:rsid w:val="00DA0FA5"/>
    <w:rsid w:val="00DA111B"/>
    <w:rsid w:val="00DA119E"/>
    <w:rsid w:val="00DA1607"/>
    <w:rsid w:val="00DA166F"/>
    <w:rsid w:val="00DA167E"/>
    <w:rsid w:val="00DA186A"/>
    <w:rsid w:val="00DA18D8"/>
    <w:rsid w:val="00DA1AB4"/>
    <w:rsid w:val="00DA1C0A"/>
    <w:rsid w:val="00DA1C6C"/>
    <w:rsid w:val="00DA1DC1"/>
    <w:rsid w:val="00DA219E"/>
    <w:rsid w:val="00DA241A"/>
    <w:rsid w:val="00DA24C6"/>
    <w:rsid w:val="00DA25CD"/>
    <w:rsid w:val="00DA283A"/>
    <w:rsid w:val="00DA2C07"/>
    <w:rsid w:val="00DA2D0F"/>
    <w:rsid w:val="00DA30F5"/>
    <w:rsid w:val="00DA3130"/>
    <w:rsid w:val="00DA35B0"/>
    <w:rsid w:val="00DA3627"/>
    <w:rsid w:val="00DA3B63"/>
    <w:rsid w:val="00DA3C72"/>
    <w:rsid w:val="00DA3C93"/>
    <w:rsid w:val="00DA3CC9"/>
    <w:rsid w:val="00DA3ED6"/>
    <w:rsid w:val="00DA4038"/>
    <w:rsid w:val="00DA40E4"/>
    <w:rsid w:val="00DA424C"/>
    <w:rsid w:val="00DA440F"/>
    <w:rsid w:val="00DA4A5B"/>
    <w:rsid w:val="00DA4AD4"/>
    <w:rsid w:val="00DA4B89"/>
    <w:rsid w:val="00DA4BEA"/>
    <w:rsid w:val="00DA4D50"/>
    <w:rsid w:val="00DA4EAF"/>
    <w:rsid w:val="00DA5150"/>
    <w:rsid w:val="00DA5152"/>
    <w:rsid w:val="00DA525B"/>
    <w:rsid w:val="00DA5293"/>
    <w:rsid w:val="00DA5C80"/>
    <w:rsid w:val="00DA5E97"/>
    <w:rsid w:val="00DA62AA"/>
    <w:rsid w:val="00DA62BA"/>
    <w:rsid w:val="00DA64C6"/>
    <w:rsid w:val="00DA64CE"/>
    <w:rsid w:val="00DA65C7"/>
    <w:rsid w:val="00DA66D3"/>
    <w:rsid w:val="00DA6A2E"/>
    <w:rsid w:val="00DA6D52"/>
    <w:rsid w:val="00DA6F14"/>
    <w:rsid w:val="00DA7142"/>
    <w:rsid w:val="00DA718E"/>
    <w:rsid w:val="00DA7735"/>
    <w:rsid w:val="00DA7781"/>
    <w:rsid w:val="00DA7DCA"/>
    <w:rsid w:val="00DA7E18"/>
    <w:rsid w:val="00DB001F"/>
    <w:rsid w:val="00DB00E9"/>
    <w:rsid w:val="00DB0104"/>
    <w:rsid w:val="00DB0946"/>
    <w:rsid w:val="00DB0A5D"/>
    <w:rsid w:val="00DB0A7F"/>
    <w:rsid w:val="00DB0E6D"/>
    <w:rsid w:val="00DB101D"/>
    <w:rsid w:val="00DB18ED"/>
    <w:rsid w:val="00DB18EE"/>
    <w:rsid w:val="00DB19E1"/>
    <w:rsid w:val="00DB1B5C"/>
    <w:rsid w:val="00DB1CAC"/>
    <w:rsid w:val="00DB1DB1"/>
    <w:rsid w:val="00DB1DC6"/>
    <w:rsid w:val="00DB1E53"/>
    <w:rsid w:val="00DB1FC1"/>
    <w:rsid w:val="00DB1FF6"/>
    <w:rsid w:val="00DB2154"/>
    <w:rsid w:val="00DB2284"/>
    <w:rsid w:val="00DB231A"/>
    <w:rsid w:val="00DB275E"/>
    <w:rsid w:val="00DB2775"/>
    <w:rsid w:val="00DB28AC"/>
    <w:rsid w:val="00DB2986"/>
    <w:rsid w:val="00DB2ABE"/>
    <w:rsid w:val="00DB2C40"/>
    <w:rsid w:val="00DB2E05"/>
    <w:rsid w:val="00DB2F2A"/>
    <w:rsid w:val="00DB30A4"/>
    <w:rsid w:val="00DB340A"/>
    <w:rsid w:val="00DB35E6"/>
    <w:rsid w:val="00DB3798"/>
    <w:rsid w:val="00DB39A1"/>
    <w:rsid w:val="00DB39F1"/>
    <w:rsid w:val="00DB3B0A"/>
    <w:rsid w:val="00DB3C2F"/>
    <w:rsid w:val="00DB3D00"/>
    <w:rsid w:val="00DB4089"/>
    <w:rsid w:val="00DB415C"/>
    <w:rsid w:val="00DB4558"/>
    <w:rsid w:val="00DB46EB"/>
    <w:rsid w:val="00DB476A"/>
    <w:rsid w:val="00DB4CA9"/>
    <w:rsid w:val="00DB4CF5"/>
    <w:rsid w:val="00DB4D79"/>
    <w:rsid w:val="00DB50CF"/>
    <w:rsid w:val="00DB5349"/>
    <w:rsid w:val="00DB537E"/>
    <w:rsid w:val="00DB53BA"/>
    <w:rsid w:val="00DB542F"/>
    <w:rsid w:val="00DB5705"/>
    <w:rsid w:val="00DB5783"/>
    <w:rsid w:val="00DB59B4"/>
    <w:rsid w:val="00DB5BA7"/>
    <w:rsid w:val="00DB5CDC"/>
    <w:rsid w:val="00DB5E91"/>
    <w:rsid w:val="00DB5F11"/>
    <w:rsid w:val="00DB5F25"/>
    <w:rsid w:val="00DB60AB"/>
    <w:rsid w:val="00DB6183"/>
    <w:rsid w:val="00DB67AF"/>
    <w:rsid w:val="00DB683B"/>
    <w:rsid w:val="00DB6DAD"/>
    <w:rsid w:val="00DB7096"/>
    <w:rsid w:val="00DB7D84"/>
    <w:rsid w:val="00DB7E0F"/>
    <w:rsid w:val="00DB7F88"/>
    <w:rsid w:val="00DC04B2"/>
    <w:rsid w:val="00DC04D8"/>
    <w:rsid w:val="00DC04FA"/>
    <w:rsid w:val="00DC086D"/>
    <w:rsid w:val="00DC0AD5"/>
    <w:rsid w:val="00DC0DBA"/>
    <w:rsid w:val="00DC0EA6"/>
    <w:rsid w:val="00DC10C5"/>
    <w:rsid w:val="00DC1162"/>
    <w:rsid w:val="00DC157E"/>
    <w:rsid w:val="00DC16F4"/>
    <w:rsid w:val="00DC18DB"/>
    <w:rsid w:val="00DC18E0"/>
    <w:rsid w:val="00DC1D00"/>
    <w:rsid w:val="00DC1E56"/>
    <w:rsid w:val="00DC26A3"/>
    <w:rsid w:val="00DC26AA"/>
    <w:rsid w:val="00DC2813"/>
    <w:rsid w:val="00DC2C01"/>
    <w:rsid w:val="00DC2DFC"/>
    <w:rsid w:val="00DC2E34"/>
    <w:rsid w:val="00DC2F06"/>
    <w:rsid w:val="00DC32A4"/>
    <w:rsid w:val="00DC331E"/>
    <w:rsid w:val="00DC3376"/>
    <w:rsid w:val="00DC35BB"/>
    <w:rsid w:val="00DC362B"/>
    <w:rsid w:val="00DC3812"/>
    <w:rsid w:val="00DC3ABA"/>
    <w:rsid w:val="00DC3C3E"/>
    <w:rsid w:val="00DC3CB9"/>
    <w:rsid w:val="00DC3EF0"/>
    <w:rsid w:val="00DC3F5B"/>
    <w:rsid w:val="00DC3FDC"/>
    <w:rsid w:val="00DC43F3"/>
    <w:rsid w:val="00DC451D"/>
    <w:rsid w:val="00DC45B0"/>
    <w:rsid w:val="00DC48A4"/>
    <w:rsid w:val="00DC48E2"/>
    <w:rsid w:val="00DC4958"/>
    <w:rsid w:val="00DC4EBB"/>
    <w:rsid w:val="00DC50AA"/>
    <w:rsid w:val="00DC5466"/>
    <w:rsid w:val="00DC5A10"/>
    <w:rsid w:val="00DC5B61"/>
    <w:rsid w:val="00DC5B90"/>
    <w:rsid w:val="00DC5D71"/>
    <w:rsid w:val="00DC5EC6"/>
    <w:rsid w:val="00DC5EDB"/>
    <w:rsid w:val="00DC5EF1"/>
    <w:rsid w:val="00DC61B5"/>
    <w:rsid w:val="00DC6294"/>
    <w:rsid w:val="00DC6485"/>
    <w:rsid w:val="00DC651E"/>
    <w:rsid w:val="00DC69DC"/>
    <w:rsid w:val="00DC6A17"/>
    <w:rsid w:val="00DC6AF8"/>
    <w:rsid w:val="00DC7143"/>
    <w:rsid w:val="00DC723C"/>
    <w:rsid w:val="00DC72E8"/>
    <w:rsid w:val="00DC7304"/>
    <w:rsid w:val="00DC762A"/>
    <w:rsid w:val="00DC7678"/>
    <w:rsid w:val="00DC7815"/>
    <w:rsid w:val="00DC7C31"/>
    <w:rsid w:val="00DD00C7"/>
    <w:rsid w:val="00DD00F0"/>
    <w:rsid w:val="00DD0156"/>
    <w:rsid w:val="00DD04D8"/>
    <w:rsid w:val="00DD0A19"/>
    <w:rsid w:val="00DD0A64"/>
    <w:rsid w:val="00DD0DB5"/>
    <w:rsid w:val="00DD0F3A"/>
    <w:rsid w:val="00DD10D0"/>
    <w:rsid w:val="00DD16B6"/>
    <w:rsid w:val="00DD1C58"/>
    <w:rsid w:val="00DD1DD2"/>
    <w:rsid w:val="00DD1DE7"/>
    <w:rsid w:val="00DD2B74"/>
    <w:rsid w:val="00DD2BA5"/>
    <w:rsid w:val="00DD2CA7"/>
    <w:rsid w:val="00DD2D4A"/>
    <w:rsid w:val="00DD2EB1"/>
    <w:rsid w:val="00DD2FA4"/>
    <w:rsid w:val="00DD2FCC"/>
    <w:rsid w:val="00DD334F"/>
    <w:rsid w:val="00DD37C6"/>
    <w:rsid w:val="00DD38C1"/>
    <w:rsid w:val="00DD3C0D"/>
    <w:rsid w:val="00DD3D92"/>
    <w:rsid w:val="00DD3D9A"/>
    <w:rsid w:val="00DD3EA0"/>
    <w:rsid w:val="00DD415F"/>
    <w:rsid w:val="00DD41AE"/>
    <w:rsid w:val="00DD41CF"/>
    <w:rsid w:val="00DD421A"/>
    <w:rsid w:val="00DD42AD"/>
    <w:rsid w:val="00DD4314"/>
    <w:rsid w:val="00DD4C9E"/>
    <w:rsid w:val="00DD4E6F"/>
    <w:rsid w:val="00DD4E98"/>
    <w:rsid w:val="00DD5134"/>
    <w:rsid w:val="00DD523F"/>
    <w:rsid w:val="00DD52AD"/>
    <w:rsid w:val="00DD531E"/>
    <w:rsid w:val="00DD5779"/>
    <w:rsid w:val="00DD5820"/>
    <w:rsid w:val="00DD5B41"/>
    <w:rsid w:val="00DD5D48"/>
    <w:rsid w:val="00DD5E24"/>
    <w:rsid w:val="00DD5F6A"/>
    <w:rsid w:val="00DD614C"/>
    <w:rsid w:val="00DD6218"/>
    <w:rsid w:val="00DD6243"/>
    <w:rsid w:val="00DD6307"/>
    <w:rsid w:val="00DD6312"/>
    <w:rsid w:val="00DD658F"/>
    <w:rsid w:val="00DD69CE"/>
    <w:rsid w:val="00DD6C53"/>
    <w:rsid w:val="00DD6F51"/>
    <w:rsid w:val="00DD71F1"/>
    <w:rsid w:val="00DD796B"/>
    <w:rsid w:val="00DD7CEA"/>
    <w:rsid w:val="00DD7F4A"/>
    <w:rsid w:val="00DE00AC"/>
    <w:rsid w:val="00DE086E"/>
    <w:rsid w:val="00DE094E"/>
    <w:rsid w:val="00DE0D85"/>
    <w:rsid w:val="00DE0E1D"/>
    <w:rsid w:val="00DE0EDD"/>
    <w:rsid w:val="00DE0F7D"/>
    <w:rsid w:val="00DE10E0"/>
    <w:rsid w:val="00DE1410"/>
    <w:rsid w:val="00DE1A3C"/>
    <w:rsid w:val="00DE231F"/>
    <w:rsid w:val="00DE2395"/>
    <w:rsid w:val="00DE2488"/>
    <w:rsid w:val="00DE2584"/>
    <w:rsid w:val="00DE2594"/>
    <w:rsid w:val="00DE2838"/>
    <w:rsid w:val="00DE2922"/>
    <w:rsid w:val="00DE29E3"/>
    <w:rsid w:val="00DE3031"/>
    <w:rsid w:val="00DE3304"/>
    <w:rsid w:val="00DE338E"/>
    <w:rsid w:val="00DE3551"/>
    <w:rsid w:val="00DE36D8"/>
    <w:rsid w:val="00DE37D2"/>
    <w:rsid w:val="00DE38D8"/>
    <w:rsid w:val="00DE3D44"/>
    <w:rsid w:val="00DE3D8D"/>
    <w:rsid w:val="00DE3E24"/>
    <w:rsid w:val="00DE409D"/>
    <w:rsid w:val="00DE40B3"/>
    <w:rsid w:val="00DE442A"/>
    <w:rsid w:val="00DE495C"/>
    <w:rsid w:val="00DE49E9"/>
    <w:rsid w:val="00DE49FF"/>
    <w:rsid w:val="00DE4D56"/>
    <w:rsid w:val="00DE4DAA"/>
    <w:rsid w:val="00DE5125"/>
    <w:rsid w:val="00DE5548"/>
    <w:rsid w:val="00DE55E6"/>
    <w:rsid w:val="00DE58CD"/>
    <w:rsid w:val="00DE6488"/>
    <w:rsid w:val="00DE64F1"/>
    <w:rsid w:val="00DE6658"/>
    <w:rsid w:val="00DE6A5B"/>
    <w:rsid w:val="00DE6E13"/>
    <w:rsid w:val="00DE6E15"/>
    <w:rsid w:val="00DE6E9F"/>
    <w:rsid w:val="00DE71C7"/>
    <w:rsid w:val="00DE7439"/>
    <w:rsid w:val="00DE7921"/>
    <w:rsid w:val="00DE7FCC"/>
    <w:rsid w:val="00DF0009"/>
    <w:rsid w:val="00DF01E5"/>
    <w:rsid w:val="00DF06C9"/>
    <w:rsid w:val="00DF07EA"/>
    <w:rsid w:val="00DF08AE"/>
    <w:rsid w:val="00DF08CF"/>
    <w:rsid w:val="00DF0A0B"/>
    <w:rsid w:val="00DF0F81"/>
    <w:rsid w:val="00DF12C4"/>
    <w:rsid w:val="00DF141D"/>
    <w:rsid w:val="00DF1555"/>
    <w:rsid w:val="00DF17CC"/>
    <w:rsid w:val="00DF1802"/>
    <w:rsid w:val="00DF1A24"/>
    <w:rsid w:val="00DF1A46"/>
    <w:rsid w:val="00DF21EF"/>
    <w:rsid w:val="00DF21F3"/>
    <w:rsid w:val="00DF224F"/>
    <w:rsid w:val="00DF2577"/>
    <w:rsid w:val="00DF28C0"/>
    <w:rsid w:val="00DF2A3A"/>
    <w:rsid w:val="00DF2ADC"/>
    <w:rsid w:val="00DF2B42"/>
    <w:rsid w:val="00DF2C86"/>
    <w:rsid w:val="00DF307A"/>
    <w:rsid w:val="00DF315A"/>
    <w:rsid w:val="00DF3288"/>
    <w:rsid w:val="00DF331D"/>
    <w:rsid w:val="00DF3660"/>
    <w:rsid w:val="00DF3698"/>
    <w:rsid w:val="00DF36A0"/>
    <w:rsid w:val="00DF38B9"/>
    <w:rsid w:val="00DF3B29"/>
    <w:rsid w:val="00DF3C07"/>
    <w:rsid w:val="00DF3D42"/>
    <w:rsid w:val="00DF3DCD"/>
    <w:rsid w:val="00DF3E31"/>
    <w:rsid w:val="00DF3E3A"/>
    <w:rsid w:val="00DF4078"/>
    <w:rsid w:val="00DF416B"/>
    <w:rsid w:val="00DF4388"/>
    <w:rsid w:val="00DF44CF"/>
    <w:rsid w:val="00DF455E"/>
    <w:rsid w:val="00DF456A"/>
    <w:rsid w:val="00DF4675"/>
    <w:rsid w:val="00DF476B"/>
    <w:rsid w:val="00DF48C9"/>
    <w:rsid w:val="00DF4993"/>
    <w:rsid w:val="00DF49F8"/>
    <w:rsid w:val="00DF4C63"/>
    <w:rsid w:val="00DF4FDB"/>
    <w:rsid w:val="00DF4FF8"/>
    <w:rsid w:val="00DF51A7"/>
    <w:rsid w:val="00DF5258"/>
    <w:rsid w:val="00DF538F"/>
    <w:rsid w:val="00DF55A3"/>
    <w:rsid w:val="00DF6013"/>
    <w:rsid w:val="00DF605B"/>
    <w:rsid w:val="00DF6073"/>
    <w:rsid w:val="00DF60CA"/>
    <w:rsid w:val="00DF60ED"/>
    <w:rsid w:val="00DF6120"/>
    <w:rsid w:val="00DF61B5"/>
    <w:rsid w:val="00DF6272"/>
    <w:rsid w:val="00DF649D"/>
    <w:rsid w:val="00DF6776"/>
    <w:rsid w:val="00DF6804"/>
    <w:rsid w:val="00DF68AA"/>
    <w:rsid w:val="00DF6C66"/>
    <w:rsid w:val="00DF6E61"/>
    <w:rsid w:val="00DF6EC0"/>
    <w:rsid w:val="00DF7080"/>
    <w:rsid w:val="00DF7247"/>
    <w:rsid w:val="00DF72AD"/>
    <w:rsid w:val="00DF72D3"/>
    <w:rsid w:val="00DF7348"/>
    <w:rsid w:val="00DF7716"/>
    <w:rsid w:val="00DF77DB"/>
    <w:rsid w:val="00DF7803"/>
    <w:rsid w:val="00DF7858"/>
    <w:rsid w:val="00DF7C50"/>
    <w:rsid w:val="00DF7D40"/>
    <w:rsid w:val="00DF7DAC"/>
    <w:rsid w:val="00E00000"/>
    <w:rsid w:val="00E0021D"/>
    <w:rsid w:val="00E0038B"/>
    <w:rsid w:val="00E0043A"/>
    <w:rsid w:val="00E00624"/>
    <w:rsid w:val="00E00DA9"/>
    <w:rsid w:val="00E00EDD"/>
    <w:rsid w:val="00E0177E"/>
    <w:rsid w:val="00E01787"/>
    <w:rsid w:val="00E018AA"/>
    <w:rsid w:val="00E0191A"/>
    <w:rsid w:val="00E019B9"/>
    <w:rsid w:val="00E01ACE"/>
    <w:rsid w:val="00E01D40"/>
    <w:rsid w:val="00E02625"/>
    <w:rsid w:val="00E02639"/>
    <w:rsid w:val="00E02DA9"/>
    <w:rsid w:val="00E02DEB"/>
    <w:rsid w:val="00E0303C"/>
    <w:rsid w:val="00E031DF"/>
    <w:rsid w:val="00E03216"/>
    <w:rsid w:val="00E03391"/>
    <w:rsid w:val="00E0378D"/>
    <w:rsid w:val="00E03835"/>
    <w:rsid w:val="00E03929"/>
    <w:rsid w:val="00E03A73"/>
    <w:rsid w:val="00E03EE0"/>
    <w:rsid w:val="00E042EC"/>
    <w:rsid w:val="00E044E7"/>
    <w:rsid w:val="00E044EE"/>
    <w:rsid w:val="00E0460D"/>
    <w:rsid w:val="00E04628"/>
    <w:rsid w:val="00E0473F"/>
    <w:rsid w:val="00E04C8E"/>
    <w:rsid w:val="00E04D3E"/>
    <w:rsid w:val="00E04E05"/>
    <w:rsid w:val="00E0547C"/>
    <w:rsid w:val="00E05672"/>
    <w:rsid w:val="00E056E9"/>
    <w:rsid w:val="00E0574E"/>
    <w:rsid w:val="00E05C81"/>
    <w:rsid w:val="00E05DA9"/>
    <w:rsid w:val="00E06635"/>
    <w:rsid w:val="00E067C2"/>
    <w:rsid w:val="00E0680B"/>
    <w:rsid w:val="00E0680C"/>
    <w:rsid w:val="00E069D6"/>
    <w:rsid w:val="00E06A2A"/>
    <w:rsid w:val="00E06FFB"/>
    <w:rsid w:val="00E07020"/>
    <w:rsid w:val="00E07111"/>
    <w:rsid w:val="00E07195"/>
    <w:rsid w:val="00E074EF"/>
    <w:rsid w:val="00E076B5"/>
    <w:rsid w:val="00E078DE"/>
    <w:rsid w:val="00E07A75"/>
    <w:rsid w:val="00E07C65"/>
    <w:rsid w:val="00E07D82"/>
    <w:rsid w:val="00E07F6B"/>
    <w:rsid w:val="00E07F96"/>
    <w:rsid w:val="00E10001"/>
    <w:rsid w:val="00E10427"/>
    <w:rsid w:val="00E106A1"/>
    <w:rsid w:val="00E106FF"/>
    <w:rsid w:val="00E1076A"/>
    <w:rsid w:val="00E1088D"/>
    <w:rsid w:val="00E10999"/>
    <w:rsid w:val="00E10A88"/>
    <w:rsid w:val="00E10B76"/>
    <w:rsid w:val="00E10D7D"/>
    <w:rsid w:val="00E11084"/>
    <w:rsid w:val="00E111A4"/>
    <w:rsid w:val="00E11263"/>
    <w:rsid w:val="00E112E0"/>
    <w:rsid w:val="00E1178E"/>
    <w:rsid w:val="00E117E5"/>
    <w:rsid w:val="00E11946"/>
    <w:rsid w:val="00E11988"/>
    <w:rsid w:val="00E11A8D"/>
    <w:rsid w:val="00E11B9D"/>
    <w:rsid w:val="00E120CE"/>
    <w:rsid w:val="00E121E9"/>
    <w:rsid w:val="00E1229C"/>
    <w:rsid w:val="00E12723"/>
    <w:rsid w:val="00E128C9"/>
    <w:rsid w:val="00E12F3E"/>
    <w:rsid w:val="00E130B6"/>
    <w:rsid w:val="00E1315A"/>
    <w:rsid w:val="00E13295"/>
    <w:rsid w:val="00E1332B"/>
    <w:rsid w:val="00E133C4"/>
    <w:rsid w:val="00E134DD"/>
    <w:rsid w:val="00E13A59"/>
    <w:rsid w:val="00E13CBC"/>
    <w:rsid w:val="00E13CEA"/>
    <w:rsid w:val="00E14074"/>
    <w:rsid w:val="00E14244"/>
    <w:rsid w:val="00E142B1"/>
    <w:rsid w:val="00E142C4"/>
    <w:rsid w:val="00E143B9"/>
    <w:rsid w:val="00E1449A"/>
    <w:rsid w:val="00E1465A"/>
    <w:rsid w:val="00E14AB6"/>
    <w:rsid w:val="00E14BE2"/>
    <w:rsid w:val="00E14C35"/>
    <w:rsid w:val="00E15526"/>
    <w:rsid w:val="00E15527"/>
    <w:rsid w:val="00E155BF"/>
    <w:rsid w:val="00E156ED"/>
    <w:rsid w:val="00E159A4"/>
    <w:rsid w:val="00E15C1A"/>
    <w:rsid w:val="00E15C5F"/>
    <w:rsid w:val="00E15CC7"/>
    <w:rsid w:val="00E15EAB"/>
    <w:rsid w:val="00E15FB7"/>
    <w:rsid w:val="00E15FC9"/>
    <w:rsid w:val="00E16103"/>
    <w:rsid w:val="00E161CE"/>
    <w:rsid w:val="00E16211"/>
    <w:rsid w:val="00E167A5"/>
    <w:rsid w:val="00E167E2"/>
    <w:rsid w:val="00E16AE5"/>
    <w:rsid w:val="00E16C21"/>
    <w:rsid w:val="00E16E02"/>
    <w:rsid w:val="00E1715B"/>
    <w:rsid w:val="00E17374"/>
    <w:rsid w:val="00E173CC"/>
    <w:rsid w:val="00E17458"/>
    <w:rsid w:val="00E1765B"/>
    <w:rsid w:val="00E17672"/>
    <w:rsid w:val="00E17B3F"/>
    <w:rsid w:val="00E17B42"/>
    <w:rsid w:val="00E17C0D"/>
    <w:rsid w:val="00E17D44"/>
    <w:rsid w:val="00E17F36"/>
    <w:rsid w:val="00E200C2"/>
    <w:rsid w:val="00E201BE"/>
    <w:rsid w:val="00E206A9"/>
    <w:rsid w:val="00E20B3E"/>
    <w:rsid w:val="00E20B74"/>
    <w:rsid w:val="00E20B8C"/>
    <w:rsid w:val="00E20C3D"/>
    <w:rsid w:val="00E20E81"/>
    <w:rsid w:val="00E20F3D"/>
    <w:rsid w:val="00E20F8E"/>
    <w:rsid w:val="00E2112C"/>
    <w:rsid w:val="00E21585"/>
    <w:rsid w:val="00E216AB"/>
    <w:rsid w:val="00E21704"/>
    <w:rsid w:val="00E21808"/>
    <w:rsid w:val="00E21A74"/>
    <w:rsid w:val="00E21C08"/>
    <w:rsid w:val="00E21CE6"/>
    <w:rsid w:val="00E22048"/>
    <w:rsid w:val="00E22206"/>
    <w:rsid w:val="00E229F8"/>
    <w:rsid w:val="00E22ABF"/>
    <w:rsid w:val="00E22B0D"/>
    <w:rsid w:val="00E23121"/>
    <w:rsid w:val="00E233FB"/>
    <w:rsid w:val="00E23411"/>
    <w:rsid w:val="00E23724"/>
    <w:rsid w:val="00E23B87"/>
    <w:rsid w:val="00E23D5E"/>
    <w:rsid w:val="00E246DE"/>
    <w:rsid w:val="00E24A1E"/>
    <w:rsid w:val="00E24FE1"/>
    <w:rsid w:val="00E25248"/>
    <w:rsid w:val="00E25378"/>
    <w:rsid w:val="00E255CB"/>
    <w:rsid w:val="00E25924"/>
    <w:rsid w:val="00E25A13"/>
    <w:rsid w:val="00E25AA8"/>
    <w:rsid w:val="00E25E79"/>
    <w:rsid w:val="00E26024"/>
    <w:rsid w:val="00E265C2"/>
    <w:rsid w:val="00E26876"/>
    <w:rsid w:val="00E26936"/>
    <w:rsid w:val="00E26A13"/>
    <w:rsid w:val="00E26C02"/>
    <w:rsid w:val="00E26C91"/>
    <w:rsid w:val="00E26DE7"/>
    <w:rsid w:val="00E26DEA"/>
    <w:rsid w:val="00E27029"/>
    <w:rsid w:val="00E2717A"/>
    <w:rsid w:val="00E271B2"/>
    <w:rsid w:val="00E2738B"/>
    <w:rsid w:val="00E2744D"/>
    <w:rsid w:val="00E27575"/>
    <w:rsid w:val="00E275EA"/>
    <w:rsid w:val="00E27711"/>
    <w:rsid w:val="00E27A05"/>
    <w:rsid w:val="00E27B19"/>
    <w:rsid w:val="00E27CDB"/>
    <w:rsid w:val="00E27F41"/>
    <w:rsid w:val="00E300D7"/>
    <w:rsid w:val="00E30425"/>
    <w:rsid w:val="00E306BE"/>
    <w:rsid w:val="00E307F1"/>
    <w:rsid w:val="00E3080A"/>
    <w:rsid w:val="00E30931"/>
    <w:rsid w:val="00E30CF3"/>
    <w:rsid w:val="00E30F70"/>
    <w:rsid w:val="00E31155"/>
    <w:rsid w:val="00E31597"/>
    <w:rsid w:val="00E31599"/>
    <w:rsid w:val="00E319CD"/>
    <w:rsid w:val="00E31A30"/>
    <w:rsid w:val="00E31E7A"/>
    <w:rsid w:val="00E31F3E"/>
    <w:rsid w:val="00E3213B"/>
    <w:rsid w:val="00E321B7"/>
    <w:rsid w:val="00E32242"/>
    <w:rsid w:val="00E3243C"/>
    <w:rsid w:val="00E325B0"/>
    <w:rsid w:val="00E326EE"/>
    <w:rsid w:val="00E32A23"/>
    <w:rsid w:val="00E32BA4"/>
    <w:rsid w:val="00E32D9C"/>
    <w:rsid w:val="00E32E64"/>
    <w:rsid w:val="00E32F49"/>
    <w:rsid w:val="00E33251"/>
    <w:rsid w:val="00E33300"/>
    <w:rsid w:val="00E333D1"/>
    <w:rsid w:val="00E334A9"/>
    <w:rsid w:val="00E33B98"/>
    <w:rsid w:val="00E33EBC"/>
    <w:rsid w:val="00E3403C"/>
    <w:rsid w:val="00E34304"/>
    <w:rsid w:val="00E34309"/>
    <w:rsid w:val="00E34520"/>
    <w:rsid w:val="00E3471B"/>
    <w:rsid w:val="00E3472D"/>
    <w:rsid w:val="00E34E40"/>
    <w:rsid w:val="00E34E87"/>
    <w:rsid w:val="00E34F70"/>
    <w:rsid w:val="00E350DD"/>
    <w:rsid w:val="00E356D0"/>
    <w:rsid w:val="00E356FC"/>
    <w:rsid w:val="00E35995"/>
    <w:rsid w:val="00E359B9"/>
    <w:rsid w:val="00E35EF1"/>
    <w:rsid w:val="00E36051"/>
    <w:rsid w:val="00E36136"/>
    <w:rsid w:val="00E363A3"/>
    <w:rsid w:val="00E3655E"/>
    <w:rsid w:val="00E368CB"/>
    <w:rsid w:val="00E36BFD"/>
    <w:rsid w:val="00E36DA4"/>
    <w:rsid w:val="00E36DF6"/>
    <w:rsid w:val="00E36E59"/>
    <w:rsid w:val="00E37167"/>
    <w:rsid w:val="00E37362"/>
    <w:rsid w:val="00E37453"/>
    <w:rsid w:val="00E375F8"/>
    <w:rsid w:val="00E376C0"/>
    <w:rsid w:val="00E378CF"/>
    <w:rsid w:val="00E37B51"/>
    <w:rsid w:val="00E4007E"/>
    <w:rsid w:val="00E400AA"/>
    <w:rsid w:val="00E402E3"/>
    <w:rsid w:val="00E403F0"/>
    <w:rsid w:val="00E40887"/>
    <w:rsid w:val="00E40AF0"/>
    <w:rsid w:val="00E40BD5"/>
    <w:rsid w:val="00E40D74"/>
    <w:rsid w:val="00E40DAD"/>
    <w:rsid w:val="00E40FB3"/>
    <w:rsid w:val="00E410D7"/>
    <w:rsid w:val="00E4112A"/>
    <w:rsid w:val="00E4119A"/>
    <w:rsid w:val="00E411D9"/>
    <w:rsid w:val="00E412FF"/>
    <w:rsid w:val="00E4151C"/>
    <w:rsid w:val="00E417CE"/>
    <w:rsid w:val="00E41A1D"/>
    <w:rsid w:val="00E41B25"/>
    <w:rsid w:val="00E41ED6"/>
    <w:rsid w:val="00E42100"/>
    <w:rsid w:val="00E42247"/>
    <w:rsid w:val="00E42264"/>
    <w:rsid w:val="00E42319"/>
    <w:rsid w:val="00E423BA"/>
    <w:rsid w:val="00E42988"/>
    <w:rsid w:val="00E42A05"/>
    <w:rsid w:val="00E42AB6"/>
    <w:rsid w:val="00E42B86"/>
    <w:rsid w:val="00E42BC5"/>
    <w:rsid w:val="00E42CC6"/>
    <w:rsid w:val="00E42D2A"/>
    <w:rsid w:val="00E42E41"/>
    <w:rsid w:val="00E43115"/>
    <w:rsid w:val="00E4311B"/>
    <w:rsid w:val="00E432F5"/>
    <w:rsid w:val="00E4332B"/>
    <w:rsid w:val="00E43413"/>
    <w:rsid w:val="00E4350C"/>
    <w:rsid w:val="00E43AD9"/>
    <w:rsid w:val="00E43C52"/>
    <w:rsid w:val="00E43D00"/>
    <w:rsid w:val="00E43E40"/>
    <w:rsid w:val="00E43F26"/>
    <w:rsid w:val="00E440C6"/>
    <w:rsid w:val="00E44155"/>
    <w:rsid w:val="00E44247"/>
    <w:rsid w:val="00E4427C"/>
    <w:rsid w:val="00E44318"/>
    <w:rsid w:val="00E444E1"/>
    <w:rsid w:val="00E44770"/>
    <w:rsid w:val="00E44789"/>
    <w:rsid w:val="00E44803"/>
    <w:rsid w:val="00E44AAE"/>
    <w:rsid w:val="00E44BCE"/>
    <w:rsid w:val="00E44C41"/>
    <w:rsid w:val="00E44C48"/>
    <w:rsid w:val="00E44D17"/>
    <w:rsid w:val="00E44EED"/>
    <w:rsid w:val="00E451B7"/>
    <w:rsid w:val="00E4578E"/>
    <w:rsid w:val="00E45822"/>
    <w:rsid w:val="00E45AFE"/>
    <w:rsid w:val="00E45B8D"/>
    <w:rsid w:val="00E45D90"/>
    <w:rsid w:val="00E45EEC"/>
    <w:rsid w:val="00E45F91"/>
    <w:rsid w:val="00E46201"/>
    <w:rsid w:val="00E46269"/>
    <w:rsid w:val="00E46D8F"/>
    <w:rsid w:val="00E46EB9"/>
    <w:rsid w:val="00E471E3"/>
    <w:rsid w:val="00E47876"/>
    <w:rsid w:val="00E47884"/>
    <w:rsid w:val="00E47B26"/>
    <w:rsid w:val="00E47C25"/>
    <w:rsid w:val="00E506E6"/>
    <w:rsid w:val="00E507EB"/>
    <w:rsid w:val="00E50872"/>
    <w:rsid w:val="00E5091F"/>
    <w:rsid w:val="00E50F7B"/>
    <w:rsid w:val="00E51396"/>
    <w:rsid w:val="00E51398"/>
    <w:rsid w:val="00E5146F"/>
    <w:rsid w:val="00E5153F"/>
    <w:rsid w:val="00E5158A"/>
    <w:rsid w:val="00E5160F"/>
    <w:rsid w:val="00E51ABF"/>
    <w:rsid w:val="00E51B38"/>
    <w:rsid w:val="00E51DC9"/>
    <w:rsid w:val="00E5207E"/>
    <w:rsid w:val="00E52373"/>
    <w:rsid w:val="00E5265A"/>
    <w:rsid w:val="00E5287C"/>
    <w:rsid w:val="00E52C9A"/>
    <w:rsid w:val="00E530B8"/>
    <w:rsid w:val="00E53269"/>
    <w:rsid w:val="00E5339A"/>
    <w:rsid w:val="00E53458"/>
    <w:rsid w:val="00E53645"/>
    <w:rsid w:val="00E53675"/>
    <w:rsid w:val="00E53880"/>
    <w:rsid w:val="00E53A27"/>
    <w:rsid w:val="00E53A5A"/>
    <w:rsid w:val="00E53B91"/>
    <w:rsid w:val="00E53BCD"/>
    <w:rsid w:val="00E53DF7"/>
    <w:rsid w:val="00E53F40"/>
    <w:rsid w:val="00E53FF7"/>
    <w:rsid w:val="00E541BD"/>
    <w:rsid w:val="00E544EE"/>
    <w:rsid w:val="00E546D1"/>
    <w:rsid w:val="00E54A42"/>
    <w:rsid w:val="00E54B17"/>
    <w:rsid w:val="00E54B1F"/>
    <w:rsid w:val="00E54B41"/>
    <w:rsid w:val="00E54C32"/>
    <w:rsid w:val="00E55029"/>
    <w:rsid w:val="00E55289"/>
    <w:rsid w:val="00E552B9"/>
    <w:rsid w:val="00E552BF"/>
    <w:rsid w:val="00E55346"/>
    <w:rsid w:val="00E55518"/>
    <w:rsid w:val="00E555FF"/>
    <w:rsid w:val="00E55620"/>
    <w:rsid w:val="00E5562C"/>
    <w:rsid w:val="00E55755"/>
    <w:rsid w:val="00E55B53"/>
    <w:rsid w:val="00E55B9C"/>
    <w:rsid w:val="00E56200"/>
    <w:rsid w:val="00E562C9"/>
    <w:rsid w:val="00E5653C"/>
    <w:rsid w:val="00E5658D"/>
    <w:rsid w:val="00E56593"/>
    <w:rsid w:val="00E56AA8"/>
    <w:rsid w:val="00E56AD9"/>
    <w:rsid w:val="00E56BA9"/>
    <w:rsid w:val="00E56BEA"/>
    <w:rsid w:val="00E56EB0"/>
    <w:rsid w:val="00E56F14"/>
    <w:rsid w:val="00E5711D"/>
    <w:rsid w:val="00E57417"/>
    <w:rsid w:val="00E574C0"/>
    <w:rsid w:val="00E57574"/>
    <w:rsid w:val="00E5765E"/>
    <w:rsid w:val="00E57697"/>
    <w:rsid w:val="00E5771C"/>
    <w:rsid w:val="00E577C2"/>
    <w:rsid w:val="00E577DB"/>
    <w:rsid w:val="00E579B3"/>
    <w:rsid w:val="00E579DF"/>
    <w:rsid w:val="00E57EF5"/>
    <w:rsid w:val="00E57FE6"/>
    <w:rsid w:val="00E6001A"/>
    <w:rsid w:val="00E601F3"/>
    <w:rsid w:val="00E6028D"/>
    <w:rsid w:val="00E603CC"/>
    <w:rsid w:val="00E60462"/>
    <w:rsid w:val="00E60530"/>
    <w:rsid w:val="00E6068F"/>
    <w:rsid w:val="00E608C8"/>
    <w:rsid w:val="00E60B74"/>
    <w:rsid w:val="00E60B88"/>
    <w:rsid w:val="00E60D63"/>
    <w:rsid w:val="00E60E5C"/>
    <w:rsid w:val="00E60F84"/>
    <w:rsid w:val="00E6106F"/>
    <w:rsid w:val="00E611A5"/>
    <w:rsid w:val="00E611C8"/>
    <w:rsid w:val="00E6120E"/>
    <w:rsid w:val="00E613B8"/>
    <w:rsid w:val="00E614DB"/>
    <w:rsid w:val="00E6183F"/>
    <w:rsid w:val="00E618B2"/>
    <w:rsid w:val="00E61B86"/>
    <w:rsid w:val="00E61CD8"/>
    <w:rsid w:val="00E61F75"/>
    <w:rsid w:val="00E6200B"/>
    <w:rsid w:val="00E6235B"/>
    <w:rsid w:val="00E625E0"/>
    <w:rsid w:val="00E6278D"/>
    <w:rsid w:val="00E62B2F"/>
    <w:rsid w:val="00E62B88"/>
    <w:rsid w:val="00E62DD1"/>
    <w:rsid w:val="00E62DFB"/>
    <w:rsid w:val="00E62F88"/>
    <w:rsid w:val="00E632D0"/>
    <w:rsid w:val="00E632D8"/>
    <w:rsid w:val="00E632FD"/>
    <w:rsid w:val="00E634E0"/>
    <w:rsid w:val="00E63809"/>
    <w:rsid w:val="00E63856"/>
    <w:rsid w:val="00E638A7"/>
    <w:rsid w:val="00E6399D"/>
    <w:rsid w:val="00E63AB6"/>
    <w:rsid w:val="00E63DC0"/>
    <w:rsid w:val="00E63ED8"/>
    <w:rsid w:val="00E64087"/>
    <w:rsid w:val="00E64104"/>
    <w:rsid w:val="00E641EB"/>
    <w:rsid w:val="00E64318"/>
    <w:rsid w:val="00E645B4"/>
    <w:rsid w:val="00E64975"/>
    <w:rsid w:val="00E64AFD"/>
    <w:rsid w:val="00E64B59"/>
    <w:rsid w:val="00E64CC0"/>
    <w:rsid w:val="00E64ECA"/>
    <w:rsid w:val="00E6513A"/>
    <w:rsid w:val="00E656FD"/>
    <w:rsid w:val="00E65775"/>
    <w:rsid w:val="00E6643B"/>
    <w:rsid w:val="00E664E5"/>
    <w:rsid w:val="00E66546"/>
    <w:rsid w:val="00E6678C"/>
    <w:rsid w:val="00E667D1"/>
    <w:rsid w:val="00E6680B"/>
    <w:rsid w:val="00E66893"/>
    <w:rsid w:val="00E668CB"/>
    <w:rsid w:val="00E66927"/>
    <w:rsid w:val="00E66C9D"/>
    <w:rsid w:val="00E66ED9"/>
    <w:rsid w:val="00E66FE9"/>
    <w:rsid w:val="00E67090"/>
    <w:rsid w:val="00E672B9"/>
    <w:rsid w:val="00E673F3"/>
    <w:rsid w:val="00E67540"/>
    <w:rsid w:val="00E675DD"/>
    <w:rsid w:val="00E67BDE"/>
    <w:rsid w:val="00E7003F"/>
    <w:rsid w:val="00E70461"/>
    <w:rsid w:val="00E705C1"/>
    <w:rsid w:val="00E70646"/>
    <w:rsid w:val="00E70709"/>
    <w:rsid w:val="00E7070D"/>
    <w:rsid w:val="00E7079D"/>
    <w:rsid w:val="00E70AA4"/>
    <w:rsid w:val="00E70BF7"/>
    <w:rsid w:val="00E70CCE"/>
    <w:rsid w:val="00E70CED"/>
    <w:rsid w:val="00E70E44"/>
    <w:rsid w:val="00E71302"/>
    <w:rsid w:val="00E7148C"/>
    <w:rsid w:val="00E71543"/>
    <w:rsid w:val="00E715A8"/>
    <w:rsid w:val="00E716A0"/>
    <w:rsid w:val="00E71743"/>
    <w:rsid w:val="00E71886"/>
    <w:rsid w:val="00E719B7"/>
    <w:rsid w:val="00E71AFD"/>
    <w:rsid w:val="00E71CA1"/>
    <w:rsid w:val="00E71D1B"/>
    <w:rsid w:val="00E71E35"/>
    <w:rsid w:val="00E71E6A"/>
    <w:rsid w:val="00E72007"/>
    <w:rsid w:val="00E7242E"/>
    <w:rsid w:val="00E724BF"/>
    <w:rsid w:val="00E725B1"/>
    <w:rsid w:val="00E725C9"/>
    <w:rsid w:val="00E72C4A"/>
    <w:rsid w:val="00E72DB7"/>
    <w:rsid w:val="00E72FFD"/>
    <w:rsid w:val="00E73075"/>
    <w:rsid w:val="00E733B8"/>
    <w:rsid w:val="00E73661"/>
    <w:rsid w:val="00E736F8"/>
    <w:rsid w:val="00E73788"/>
    <w:rsid w:val="00E7379B"/>
    <w:rsid w:val="00E73A74"/>
    <w:rsid w:val="00E73C58"/>
    <w:rsid w:val="00E73EAC"/>
    <w:rsid w:val="00E7405B"/>
    <w:rsid w:val="00E74248"/>
    <w:rsid w:val="00E74541"/>
    <w:rsid w:val="00E7484F"/>
    <w:rsid w:val="00E74E1A"/>
    <w:rsid w:val="00E74E83"/>
    <w:rsid w:val="00E7530A"/>
    <w:rsid w:val="00E75455"/>
    <w:rsid w:val="00E755C8"/>
    <w:rsid w:val="00E75741"/>
    <w:rsid w:val="00E7583D"/>
    <w:rsid w:val="00E75A01"/>
    <w:rsid w:val="00E75A6B"/>
    <w:rsid w:val="00E75D09"/>
    <w:rsid w:val="00E75D2A"/>
    <w:rsid w:val="00E75E3D"/>
    <w:rsid w:val="00E75F18"/>
    <w:rsid w:val="00E76024"/>
    <w:rsid w:val="00E7603D"/>
    <w:rsid w:val="00E76746"/>
    <w:rsid w:val="00E76B16"/>
    <w:rsid w:val="00E76C24"/>
    <w:rsid w:val="00E76EA4"/>
    <w:rsid w:val="00E77017"/>
    <w:rsid w:val="00E771F4"/>
    <w:rsid w:val="00E7741B"/>
    <w:rsid w:val="00E77A33"/>
    <w:rsid w:val="00E77A50"/>
    <w:rsid w:val="00E77B05"/>
    <w:rsid w:val="00E77CB5"/>
    <w:rsid w:val="00E77E55"/>
    <w:rsid w:val="00E79009"/>
    <w:rsid w:val="00E800F4"/>
    <w:rsid w:val="00E80778"/>
    <w:rsid w:val="00E809B4"/>
    <w:rsid w:val="00E80A09"/>
    <w:rsid w:val="00E80AB0"/>
    <w:rsid w:val="00E80B79"/>
    <w:rsid w:val="00E80C14"/>
    <w:rsid w:val="00E80C5B"/>
    <w:rsid w:val="00E80D5E"/>
    <w:rsid w:val="00E80EEA"/>
    <w:rsid w:val="00E80F2C"/>
    <w:rsid w:val="00E80F9A"/>
    <w:rsid w:val="00E81278"/>
    <w:rsid w:val="00E8136F"/>
    <w:rsid w:val="00E815E3"/>
    <w:rsid w:val="00E81811"/>
    <w:rsid w:val="00E81E90"/>
    <w:rsid w:val="00E823A7"/>
    <w:rsid w:val="00E823B5"/>
    <w:rsid w:val="00E8260C"/>
    <w:rsid w:val="00E829B7"/>
    <w:rsid w:val="00E82D9D"/>
    <w:rsid w:val="00E82EB1"/>
    <w:rsid w:val="00E835EF"/>
    <w:rsid w:val="00E83691"/>
    <w:rsid w:val="00E8373E"/>
    <w:rsid w:val="00E83A14"/>
    <w:rsid w:val="00E83AD7"/>
    <w:rsid w:val="00E83D04"/>
    <w:rsid w:val="00E83E26"/>
    <w:rsid w:val="00E841E7"/>
    <w:rsid w:val="00E842F7"/>
    <w:rsid w:val="00E84336"/>
    <w:rsid w:val="00E84450"/>
    <w:rsid w:val="00E8456F"/>
    <w:rsid w:val="00E84588"/>
    <w:rsid w:val="00E84AAC"/>
    <w:rsid w:val="00E84D45"/>
    <w:rsid w:val="00E84DBF"/>
    <w:rsid w:val="00E84E1A"/>
    <w:rsid w:val="00E8527E"/>
    <w:rsid w:val="00E8540F"/>
    <w:rsid w:val="00E8556B"/>
    <w:rsid w:val="00E857F7"/>
    <w:rsid w:val="00E85D8E"/>
    <w:rsid w:val="00E85E39"/>
    <w:rsid w:val="00E85FF3"/>
    <w:rsid w:val="00E8633D"/>
    <w:rsid w:val="00E86368"/>
    <w:rsid w:val="00E863B3"/>
    <w:rsid w:val="00E863BA"/>
    <w:rsid w:val="00E86597"/>
    <w:rsid w:val="00E86BE5"/>
    <w:rsid w:val="00E86CA5"/>
    <w:rsid w:val="00E86EB2"/>
    <w:rsid w:val="00E86EB4"/>
    <w:rsid w:val="00E86F97"/>
    <w:rsid w:val="00E86FD3"/>
    <w:rsid w:val="00E87006"/>
    <w:rsid w:val="00E87221"/>
    <w:rsid w:val="00E87269"/>
    <w:rsid w:val="00E873C1"/>
    <w:rsid w:val="00E873C7"/>
    <w:rsid w:val="00E8745B"/>
    <w:rsid w:val="00E87940"/>
    <w:rsid w:val="00E87A9B"/>
    <w:rsid w:val="00E87C4F"/>
    <w:rsid w:val="00E87F5D"/>
    <w:rsid w:val="00E90195"/>
    <w:rsid w:val="00E90271"/>
    <w:rsid w:val="00E9037A"/>
    <w:rsid w:val="00E903E3"/>
    <w:rsid w:val="00E905F3"/>
    <w:rsid w:val="00E90783"/>
    <w:rsid w:val="00E907C5"/>
    <w:rsid w:val="00E908C8"/>
    <w:rsid w:val="00E909B0"/>
    <w:rsid w:val="00E90EE4"/>
    <w:rsid w:val="00E90F57"/>
    <w:rsid w:val="00E910D9"/>
    <w:rsid w:val="00E9118D"/>
    <w:rsid w:val="00E9121E"/>
    <w:rsid w:val="00E9140B"/>
    <w:rsid w:val="00E91717"/>
    <w:rsid w:val="00E91733"/>
    <w:rsid w:val="00E91E9E"/>
    <w:rsid w:val="00E91F81"/>
    <w:rsid w:val="00E9207C"/>
    <w:rsid w:val="00E922C1"/>
    <w:rsid w:val="00E924EF"/>
    <w:rsid w:val="00E92668"/>
    <w:rsid w:val="00E927AB"/>
    <w:rsid w:val="00E931B4"/>
    <w:rsid w:val="00E93281"/>
    <w:rsid w:val="00E93352"/>
    <w:rsid w:val="00E9344D"/>
    <w:rsid w:val="00E935ED"/>
    <w:rsid w:val="00E93CE4"/>
    <w:rsid w:val="00E93E89"/>
    <w:rsid w:val="00E940F0"/>
    <w:rsid w:val="00E9431A"/>
    <w:rsid w:val="00E94580"/>
    <w:rsid w:val="00E946AB"/>
    <w:rsid w:val="00E946E8"/>
    <w:rsid w:val="00E9497B"/>
    <w:rsid w:val="00E94B72"/>
    <w:rsid w:val="00E94BBC"/>
    <w:rsid w:val="00E94E6C"/>
    <w:rsid w:val="00E94EF6"/>
    <w:rsid w:val="00E94F59"/>
    <w:rsid w:val="00E94F76"/>
    <w:rsid w:val="00E9514C"/>
    <w:rsid w:val="00E95333"/>
    <w:rsid w:val="00E9546F"/>
    <w:rsid w:val="00E95491"/>
    <w:rsid w:val="00E95629"/>
    <w:rsid w:val="00E95D70"/>
    <w:rsid w:val="00E95FC6"/>
    <w:rsid w:val="00E964DF"/>
    <w:rsid w:val="00E9654D"/>
    <w:rsid w:val="00E96673"/>
    <w:rsid w:val="00E96B45"/>
    <w:rsid w:val="00E96D8D"/>
    <w:rsid w:val="00E972B7"/>
    <w:rsid w:val="00E975AB"/>
    <w:rsid w:val="00E97808"/>
    <w:rsid w:val="00E9786A"/>
    <w:rsid w:val="00E97A71"/>
    <w:rsid w:val="00E97AD3"/>
    <w:rsid w:val="00E97C2A"/>
    <w:rsid w:val="00E97CA1"/>
    <w:rsid w:val="00E97E34"/>
    <w:rsid w:val="00EA0134"/>
    <w:rsid w:val="00EA0152"/>
    <w:rsid w:val="00EA0345"/>
    <w:rsid w:val="00EA048A"/>
    <w:rsid w:val="00EA0603"/>
    <w:rsid w:val="00EA0A0B"/>
    <w:rsid w:val="00EA0DB7"/>
    <w:rsid w:val="00EA0E9F"/>
    <w:rsid w:val="00EA0F0C"/>
    <w:rsid w:val="00EA1183"/>
    <w:rsid w:val="00EA16A9"/>
    <w:rsid w:val="00EA18C5"/>
    <w:rsid w:val="00EA190D"/>
    <w:rsid w:val="00EA1A41"/>
    <w:rsid w:val="00EA1D16"/>
    <w:rsid w:val="00EA1F74"/>
    <w:rsid w:val="00EA222F"/>
    <w:rsid w:val="00EA22F2"/>
    <w:rsid w:val="00EA25FD"/>
    <w:rsid w:val="00EA29EE"/>
    <w:rsid w:val="00EA2A18"/>
    <w:rsid w:val="00EA2BD2"/>
    <w:rsid w:val="00EA2E1D"/>
    <w:rsid w:val="00EA2FDB"/>
    <w:rsid w:val="00EA318C"/>
    <w:rsid w:val="00EA3232"/>
    <w:rsid w:val="00EA35CF"/>
    <w:rsid w:val="00EA3612"/>
    <w:rsid w:val="00EA370A"/>
    <w:rsid w:val="00EA391E"/>
    <w:rsid w:val="00EA39C2"/>
    <w:rsid w:val="00EA3AC5"/>
    <w:rsid w:val="00EA3B9B"/>
    <w:rsid w:val="00EA3C2B"/>
    <w:rsid w:val="00EA3C5E"/>
    <w:rsid w:val="00EA3F13"/>
    <w:rsid w:val="00EA3F34"/>
    <w:rsid w:val="00EA4075"/>
    <w:rsid w:val="00EA4310"/>
    <w:rsid w:val="00EA441E"/>
    <w:rsid w:val="00EA443E"/>
    <w:rsid w:val="00EA4467"/>
    <w:rsid w:val="00EA4479"/>
    <w:rsid w:val="00EA4946"/>
    <w:rsid w:val="00EA49DF"/>
    <w:rsid w:val="00EA4B38"/>
    <w:rsid w:val="00EA4D32"/>
    <w:rsid w:val="00EA4F14"/>
    <w:rsid w:val="00EA518E"/>
    <w:rsid w:val="00EA555D"/>
    <w:rsid w:val="00EA56F5"/>
    <w:rsid w:val="00EA57CF"/>
    <w:rsid w:val="00EA5B4A"/>
    <w:rsid w:val="00EA635B"/>
    <w:rsid w:val="00EA64FB"/>
    <w:rsid w:val="00EA6597"/>
    <w:rsid w:val="00EA65FB"/>
    <w:rsid w:val="00EA667C"/>
    <w:rsid w:val="00EA66C8"/>
    <w:rsid w:val="00EA6811"/>
    <w:rsid w:val="00EA68A8"/>
    <w:rsid w:val="00EA68E7"/>
    <w:rsid w:val="00EA6909"/>
    <w:rsid w:val="00EA6B15"/>
    <w:rsid w:val="00EA6D2D"/>
    <w:rsid w:val="00EA6DB1"/>
    <w:rsid w:val="00EA6EA9"/>
    <w:rsid w:val="00EA6EAA"/>
    <w:rsid w:val="00EA7245"/>
    <w:rsid w:val="00EA7594"/>
    <w:rsid w:val="00EA7C87"/>
    <w:rsid w:val="00EA7D18"/>
    <w:rsid w:val="00EA7EF7"/>
    <w:rsid w:val="00EB061D"/>
    <w:rsid w:val="00EB0956"/>
    <w:rsid w:val="00EB0980"/>
    <w:rsid w:val="00EB0BEA"/>
    <w:rsid w:val="00EB0C1B"/>
    <w:rsid w:val="00EB0C39"/>
    <w:rsid w:val="00EB0E8B"/>
    <w:rsid w:val="00EB0F81"/>
    <w:rsid w:val="00EB11D5"/>
    <w:rsid w:val="00EB157F"/>
    <w:rsid w:val="00EB1744"/>
    <w:rsid w:val="00EB1848"/>
    <w:rsid w:val="00EB19FC"/>
    <w:rsid w:val="00EB1C9E"/>
    <w:rsid w:val="00EB1CB2"/>
    <w:rsid w:val="00EB2182"/>
    <w:rsid w:val="00EB2183"/>
    <w:rsid w:val="00EB2235"/>
    <w:rsid w:val="00EB2633"/>
    <w:rsid w:val="00EB2800"/>
    <w:rsid w:val="00EB28DD"/>
    <w:rsid w:val="00EB2DC6"/>
    <w:rsid w:val="00EB2EB0"/>
    <w:rsid w:val="00EB302B"/>
    <w:rsid w:val="00EB3032"/>
    <w:rsid w:val="00EB35A8"/>
    <w:rsid w:val="00EB3814"/>
    <w:rsid w:val="00EB39D4"/>
    <w:rsid w:val="00EB3AB0"/>
    <w:rsid w:val="00EB3D99"/>
    <w:rsid w:val="00EB3DC6"/>
    <w:rsid w:val="00EB43E7"/>
    <w:rsid w:val="00EB471D"/>
    <w:rsid w:val="00EB476E"/>
    <w:rsid w:val="00EB48AD"/>
    <w:rsid w:val="00EB4B01"/>
    <w:rsid w:val="00EB4C01"/>
    <w:rsid w:val="00EB4C54"/>
    <w:rsid w:val="00EB4C7C"/>
    <w:rsid w:val="00EB4CD5"/>
    <w:rsid w:val="00EB4CDF"/>
    <w:rsid w:val="00EB4F43"/>
    <w:rsid w:val="00EB5123"/>
    <w:rsid w:val="00EB5565"/>
    <w:rsid w:val="00EB55EB"/>
    <w:rsid w:val="00EB5748"/>
    <w:rsid w:val="00EB5854"/>
    <w:rsid w:val="00EB5CD2"/>
    <w:rsid w:val="00EB62A5"/>
    <w:rsid w:val="00EB6413"/>
    <w:rsid w:val="00EB6430"/>
    <w:rsid w:val="00EB6437"/>
    <w:rsid w:val="00EB6486"/>
    <w:rsid w:val="00EB6594"/>
    <w:rsid w:val="00EB67BE"/>
    <w:rsid w:val="00EB68A7"/>
    <w:rsid w:val="00EB6973"/>
    <w:rsid w:val="00EB6C51"/>
    <w:rsid w:val="00EB6C93"/>
    <w:rsid w:val="00EB7001"/>
    <w:rsid w:val="00EB72E7"/>
    <w:rsid w:val="00EB73ED"/>
    <w:rsid w:val="00EB7559"/>
    <w:rsid w:val="00EB786E"/>
    <w:rsid w:val="00EB7C61"/>
    <w:rsid w:val="00EB7F83"/>
    <w:rsid w:val="00EC0086"/>
    <w:rsid w:val="00EC0265"/>
    <w:rsid w:val="00EC055B"/>
    <w:rsid w:val="00EC0698"/>
    <w:rsid w:val="00EC08B9"/>
    <w:rsid w:val="00EC0902"/>
    <w:rsid w:val="00EC099A"/>
    <w:rsid w:val="00EC0A48"/>
    <w:rsid w:val="00EC0B40"/>
    <w:rsid w:val="00EC0C6D"/>
    <w:rsid w:val="00EC0CEA"/>
    <w:rsid w:val="00EC0F0E"/>
    <w:rsid w:val="00EC0F43"/>
    <w:rsid w:val="00EC1186"/>
    <w:rsid w:val="00EC137B"/>
    <w:rsid w:val="00EC13ED"/>
    <w:rsid w:val="00EC1531"/>
    <w:rsid w:val="00EC1859"/>
    <w:rsid w:val="00EC1860"/>
    <w:rsid w:val="00EC1FDF"/>
    <w:rsid w:val="00EC203D"/>
    <w:rsid w:val="00EC203F"/>
    <w:rsid w:val="00EC2A33"/>
    <w:rsid w:val="00EC2AED"/>
    <w:rsid w:val="00EC2BAA"/>
    <w:rsid w:val="00EC2DA2"/>
    <w:rsid w:val="00EC2E2E"/>
    <w:rsid w:val="00EC3205"/>
    <w:rsid w:val="00EC3957"/>
    <w:rsid w:val="00EC3DC7"/>
    <w:rsid w:val="00EC3F90"/>
    <w:rsid w:val="00EC4062"/>
    <w:rsid w:val="00EC4197"/>
    <w:rsid w:val="00EC4213"/>
    <w:rsid w:val="00EC4408"/>
    <w:rsid w:val="00EC45D8"/>
    <w:rsid w:val="00EC469A"/>
    <w:rsid w:val="00EC4858"/>
    <w:rsid w:val="00EC4A27"/>
    <w:rsid w:val="00EC4B53"/>
    <w:rsid w:val="00EC50A3"/>
    <w:rsid w:val="00EC540E"/>
    <w:rsid w:val="00EC5444"/>
    <w:rsid w:val="00EC5697"/>
    <w:rsid w:val="00EC575B"/>
    <w:rsid w:val="00EC5A3F"/>
    <w:rsid w:val="00EC5B53"/>
    <w:rsid w:val="00EC5B75"/>
    <w:rsid w:val="00EC5C82"/>
    <w:rsid w:val="00EC5D83"/>
    <w:rsid w:val="00EC60D1"/>
    <w:rsid w:val="00EC62A4"/>
    <w:rsid w:val="00EC64A3"/>
    <w:rsid w:val="00EC64CE"/>
    <w:rsid w:val="00EC650C"/>
    <w:rsid w:val="00EC67BF"/>
    <w:rsid w:val="00EC69B1"/>
    <w:rsid w:val="00EC6CFD"/>
    <w:rsid w:val="00EC6D1D"/>
    <w:rsid w:val="00EC7151"/>
    <w:rsid w:val="00EC71C1"/>
    <w:rsid w:val="00EC7378"/>
    <w:rsid w:val="00EC75DB"/>
    <w:rsid w:val="00EC7B84"/>
    <w:rsid w:val="00EC7C82"/>
    <w:rsid w:val="00EC7EE8"/>
    <w:rsid w:val="00EC7F73"/>
    <w:rsid w:val="00ED0294"/>
    <w:rsid w:val="00ED0409"/>
    <w:rsid w:val="00ED07CF"/>
    <w:rsid w:val="00ED0A11"/>
    <w:rsid w:val="00ED0C18"/>
    <w:rsid w:val="00ED0C4B"/>
    <w:rsid w:val="00ED0DAE"/>
    <w:rsid w:val="00ED0E67"/>
    <w:rsid w:val="00ED111A"/>
    <w:rsid w:val="00ED1211"/>
    <w:rsid w:val="00ED12D2"/>
    <w:rsid w:val="00ED12F0"/>
    <w:rsid w:val="00ED1471"/>
    <w:rsid w:val="00ED1855"/>
    <w:rsid w:val="00ED1D4D"/>
    <w:rsid w:val="00ED22A4"/>
    <w:rsid w:val="00ED2B2D"/>
    <w:rsid w:val="00ED2BCA"/>
    <w:rsid w:val="00ED2D97"/>
    <w:rsid w:val="00ED2E4F"/>
    <w:rsid w:val="00ED2FCE"/>
    <w:rsid w:val="00ED332A"/>
    <w:rsid w:val="00ED33B0"/>
    <w:rsid w:val="00ED352C"/>
    <w:rsid w:val="00ED35B6"/>
    <w:rsid w:val="00ED3627"/>
    <w:rsid w:val="00ED362A"/>
    <w:rsid w:val="00ED3900"/>
    <w:rsid w:val="00ED3A53"/>
    <w:rsid w:val="00ED3EB4"/>
    <w:rsid w:val="00ED4056"/>
    <w:rsid w:val="00ED4062"/>
    <w:rsid w:val="00ED4555"/>
    <w:rsid w:val="00ED47E5"/>
    <w:rsid w:val="00ED4804"/>
    <w:rsid w:val="00ED4882"/>
    <w:rsid w:val="00ED4889"/>
    <w:rsid w:val="00ED4A64"/>
    <w:rsid w:val="00ED4B2A"/>
    <w:rsid w:val="00ED4C50"/>
    <w:rsid w:val="00ED5093"/>
    <w:rsid w:val="00ED5137"/>
    <w:rsid w:val="00ED52CD"/>
    <w:rsid w:val="00ED5518"/>
    <w:rsid w:val="00ED5683"/>
    <w:rsid w:val="00ED56A8"/>
    <w:rsid w:val="00ED5B61"/>
    <w:rsid w:val="00ED5C38"/>
    <w:rsid w:val="00ED5C49"/>
    <w:rsid w:val="00ED615B"/>
    <w:rsid w:val="00ED6230"/>
    <w:rsid w:val="00ED663A"/>
    <w:rsid w:val="00ED674B"/>
    <w:rsid w:val="00ED6920"/>
    <w:rsid w:val="00ED6BF5"/>
    <w:rsid w:val="00ED7E58"/>
    <w:rsid w:val="00ED7F86"/>
    <w:rsid w:val="00EE00BF"/>
    <w:rsid w:val="00EE0120"/>
    <w:rsid w:val="00EE061C"/>
    <w:rsid w:val="00EE07F4"/>
    <w:rsid w:val="00EE0A32"/>
    <w:rsid w:val="00EE0A74"/>
    <w:rsid w:val="00EE0ADE"/>
    <w:rsid w:val="00EE0B01"/>
    <w:rsid w:val="00EE0B86"/>
    <w:rsid w:val="00EE0C58"/>
    <w:rsid w:val="00EE0E63"/>
    <w:rsid w:val="00EE1127"/>
    <w:rsid w:val="00EE117D"/>
    <w:rsid w:val="00EE118C"/>
    <w:rsid w:val="00EE12B1"/>
    <w:rsid w:val="00EE1441"/>
    <w:rsid w:val="00EE1543"/>
    <w:rsid w:val="00EE1592"/>
    <w:rsid w:val="00EE1749"/>
    <w:rsid w:val="00EE1C06"/>
    <w:rsid w:val="00EE1D6C"/>
    <w:rsid w:val="00EE1D7F"/>
    <w:rsid w:val="00EE1E2C"/>
    <w:rsid w:val="00EE1E59"/>
    <w:rsid w:val="00EE1ECD"/>
    <w:rsid w:val="00EE27A8"/>
    <w:rsid w:val="00EE2824"/>
    <w:rsid w:val="00EE2DAC"/>
    <w:rsid w:val="00EE2E98"/>
    <w:rsid w:val="00EE3290"/>
    <w:rsid w:val="00EE3599"/>
    <w:rsid w:val="00EE35AD"/>
    <w:rsid w:val="00EE3614"/>
    <w:rsid w:val="00EE36F0"/>
    <w:rsid w:val="00EE3C0D"/>
    <w:rsid w:val="00EE3D6D"/>
    <w:rsid w:val="00EE3DC7"/>
    <w:rsid w:val="00EE41E3"/>
    <w:rsid w:val="00EE43F3"/>
    <w:rsid w:val="00EE4435"/>
    <w:rsid w:val="00EE4A85"/>
    <w:rsid w:val="00EE4BE4"/>
    <w:rsid w:val="00EE4D24"/>
    <w:rsid w:val="00EE51E3"/>
    <w:rsid w:val="00EE54A6"/>
    <w:rsid w:val="00EE5561"/>
    <w:rsid w:val="00EE55D8"/>
    <w:rsid w:val="00EE56DB"/>
    <w:rsid w:val="00EE56E9"/>
    <w:rsid w:val="00EE5854"/>
    <w:rsid w:val="00EE5BD6"/>
    <w:rsid w:val="00EE5C4F"/>
    <w:rsid w:val="00EE5C63"/>
    <w:rsid w:val="00EE5DDE"/>
    <w:rsid w:val="00EE5E23"/>
    <w:rsid w:val="00EE5F34"/>
    <w:rsid w:val="00EE5F93"/>
    <w:rsid w:val="00EE5F94"/>
    <w:rsid w:val="00EE625D"/>
    <w:rsid w:val="00EE6338"/>
    <w:rsid w:val="00EE660C"/>
    <w:rsid w:val="00EE66B2"/>
    <w:rsid w:val="00EE67A3"/>
    <w:rsid w:val="00EE6D6C"/>
    <w:rsid w:val="00EE6DDD"/>
    <w:rsid w:val="00EE72C8"/>
    <w:rsid w:val="00EE7733"/>
    <w:rsid w:val="00EE78DA"/>
    <w:rsid w:val="00EE7D62"/>
    <w:rsid w:val="00EE7E24"/>
    <w:rsid w:val="00EE7E3F"/>
    <w:rsid w:val="00EF01FE"/>
    <w:rsid w:val="00EF03E9"/>
    <w:rsid w:val="00EF07D7"/>
    <w:rsid w:val="00EF085F"/>
    <w:rsid w:val="00EF0870"/>
    <w:rsid w:val="00EF0B25"/>
    <w:rsid w:val="00EF0BDD"/>
    <w:rsid w:val="00EF0D39"/>
    <w:rsid w:val="00EF0D6B"/>
    <w:rsid w:val="00EF0DDF"/>
    <w:rsid w:val="00EF120E"/>
    <w:rsid w:val="00EF159A"/>
    <w:rsid w:val="00EF16A3"/>
    <w:rsid w:val="00EF1953"/>
    <w:rsid w:val="00EF19EF"/>
    <w:rsid w:val="00EF1B58"/>
    <w:rsid w:val="00EF1B61"/>
    <w:rsid w:val="00EF1DDD"/>
    <w:rsid w:val="00EF1FC3"/>
    <w:rsid w:val="00EF2601"/>
    <w:rsid w:val="00EF2744"/>
    <w:rsid w:val="00EF2B77"/>
    <w:rsid w:val="00EF2E4E"/>
    <w:rsid w:val="00EF2F39"/>
    <w:rsid w:val="00EF303E"/>
    <w:rsid w:val="00EF3078"/>
    <w:rsid w:val="00EF3444"/>
    <w:rsid w:val="00EF3491"/>
    <w:rsid w:val="00EF34CE"/>
    <w:rsid w:val="00EF3695"/>
    <w:rsid w:val="00EF3784"/>
    <w:rsid w:val="00EF382F"/>
    <w:rsid w:val="00EF3AE6"/>
    <w:rsid w:val="00EF3E45"/>
    <w:rsid w:val="00EF3EB1"/>
    <w:rsid w:val="00EF3F79"/>
    <w:rsid w:val="00EF416A"/>
    <w:rsid w:val="00EF420B"/>
    <w:rsid w:val="00EF46C0"/>
    <w:rsid w:val="00EF48D3"/>
    <w:rsid w:val="00EF4EBE"/>
    <w:rsid w:val="00EF5483"/>
    <w:rsid w:val="00EF5766"/>
    <w:rsid w:val="00EF5958"/>
    <w:rsid w:val="00EF5CEF"/>
    <w:rsid w:val="00EF60AE"/>
    <w:rsid w:val="00EF65C7"/>
    <w:rsid w:val="00EF65E3"/>
    <w:rsid w:val="00EF6A6F"/>
    <w:rsid w:val="00EF6A9C"/>
    <w:rsid w:val="00EF6B8C"/>
    <w:rsid w:val="00EF6C8E"/>
    <w:rsid w:val="00EF6E49"/>
    <w:rsid w:val="00EF70AE"/>
    <w:rsid w:val="00EF70F0"/>
    <w:rsid w:val="00EF71F1"/>
    <w:rsid w:val="00EF7319"/>
    <w:rsid w:val="00EF74E5"/>
    <w:rsid w:val="00EF7772"/>
    <w:rsid w:val="00EF7981"/>
    <w:rsid w:val="00EF7B75"/>
    <w:rsid w:val="00F000C0"/>
    <w:rsid w:val="00F000C3"/>
    <w:rsid w:val="00F001CD"/>
    <w:rsid w:val="00F003A2"/>
    <w:rsid w:val="00F00488"/>
    <w:rsid w:val="00F005E3"/>
    <w:rsid w:val="00F006AF"/>
    <w:rsid w:val="00F0084B"/>
    <w:rsid w:val="00F008E7"/>
    <w:rsid w:val="00F00B62"/>
    <w:rsid w:val="00F00DDA"/>
    <w:rsid w:val="00F00E36"/>
    <w:rsid w:val="00F011CE"/>
    <w:rsid w:val="00F0124F"/>
    <w:rsid w:val="00F01499"/>
    <w:rsid w:val="00F016B6"/>
    <w:rsid w:val="00F01E8D"/>
    <w:rsid w:val="00F021B5"/>
    <w:rsid w:val="00F02498"/>
    <w:rsid w:val="00F02858"/>
    <w:rsid w:val="00F02A80"/>
    <w:rsid w:val="00F02AC7"/>
    <w:rsid w:val="00F02B5C"/>
    <w:rsid w:val="00F02B82"/>
    <w:rsid w:val="00F02C43"/>
    <w:rsid w:val="00F02E5F"/>
    <w:rsid w:val="00F02E70"/>
    <w:rsid w:val="00F03026"/>
    <w:rsid w:val="00F03260"/>
    <w:rsid w:val="00F03267"/>
    <w:rsid w:val="00F033D3"/>
    <w:rsid w:val="00F03696"/>
    <w:rsid w:val="00F03866"/>
    <w:rsid w:val="00F03992"/>
    <w:rsid w:val="00F03B36"/>
    <w:rsid w:val="00F03ED3"/>
    <w:rsid w:val="00F03F9B"/>
    <w:rsid w:val="00F03FC2"/>
    <w:rsid w:val="00F04070"/>
    <w:rsid w:val="00F047E3"/>
    <w:rsid w:val="00F049A3"/>
    <w:rsid w:val="00F049F7"/>
    <w:rsid w:val="00F04A8B"/>
    <w:rsid w:val="00F04FE3"/>
    <w:rsid w:val="00F051A5"/>
    <w:rsid w:val="00F0535E"/>
    <w:rsid w:val="00F05415"/>
    <w:rsid w:val="00F05D65"/>
    <w:rsid w:val="00F05DFC"/>
    <w:rsid w:val="00F05E65"/>
    <w:rsid w:val="00F05E80"/>
    <w:rsid w:val="00F06280"/>
    <w:rsid w:val="00F063EF"/>
    <w:rsid w:val="00F06450"/>
    <w:rsid w:val="00F06487"/>
    <w:rsid w:val="00F065D6"/>
    <w:rsid w:val="00F065EA"/>
    <w:rsid w:val="00F06682"/>
    <w:rsid w:val="00F068D0"/>
    <w:rsid w:val="00F068F6"/>
    <w:rsid w:val="00F06945"/>
    <w:rsid w:val="00F06C2B"/>
    <w:rsid w:val="00F06D16"/>
    <w:rsid w:val="00F06E5C"/>
    <w:rsid w:val="00F06EDD"/>
    <w:rsid w:val="00F070B0"/>
    <w:rsid w:val="00F0747A"/>
    <w:rsid w:val="00F074DE"/>
    <w:rsid w:val="00F07890"/>
    <w:rsid w:val="00F07A08"/>
    <w:rsid w:val="00F07FAF"/>
    <w:rsid w:val="00F1006D"/>
    <w:rsid w:val="00F10478"/>
    <w:rsid w:val="00F10684"/>
    <w:rsid w:val="00F109DC"/>
    <w:rsid w:val="00F10F5A"/>
    <w:rsid w:val="00F1113E"/>
    <w:rsid w:val="00F111DD"/>
    <w:rsid w:val="00F11281"/>
    <w:rsid w:val="00F11298"/>
    <w:rsid w:val="00F112E1"/>
    <w:rsid w:val="00F115B1"/>
    <w:rsid w:val="00F115FC"/>
    <w:rsid w:val="00F1161C"/>
    <w:rsid w:val="00F11625"/>
    <w:rsid w:val="00F11729"/>
    <w:rsid w:val="00F1185F"/>
    <w:rsid w:val="00F120A1"/>
    <w:rsid w:val="00F120E8"/>
    <w:rsid w:val="00F123F0"/>
    <w:rsid w:val="00F12404"/>
    <w:rsid w:val="00F125B3"/>
    <w:rsid w:val="00F1274F"/>
    <w:rsid w:val="00F127DC"/>
    <w:rsid w:val="00F12845"/>
    <w:rsid w:val="00F12869"/>
    <w:rsid w:val="00F12895"/>
    <w:rsid w:val="00F12979"/>
    <w:rsid w:val="00F12AC0"/>
    <w:rsid w:val="00F12B3A"/>
    <w:rsid w:val="00F12D80"/>
    <w:rsid w:val="00F12EE8"/>
    <w:rsid w:val="00F13180"/>
    <w:rsid w:val="00F13286"/>
    <w:rsid w:val="00F135FB"/>
    <w:rsid w:val="00F138A6"/>
    <w:rsid w:val="00F13A82"/>
    <w:rsid w:val="00F13AB4"/>
    <w:rsid w:val="00F13BE3"/>
    <w:rsid w:val="00F13DB7"/>
    <w:rsid w:val="00F13F4B"/>
    <w:rsid w:val="00F143F8"/>
    <w:rsid w:val="00F14504"/>
    <w:rsid w:val="00F14805"/>
    <w:rsid w:val="00F148D3"/>
    <w:rsid w:val="00F14AFF"/>
    <w:rsid w:val="00F15037"/>
    <w:rsid w:val="00F153C2"/>
    <w:rsid w:val="00F15BD8"/>
    <w:rsid w:val="00F15CDF"/>
    <w:rsid w:val="00F15CFD"/>
    <w:rsid w:val="00F15E6F"/>
    <w:rsid w:val="00F15EC0"/>
    <w:rsid w:val="00F16691"/>
    <w:rsid w:val="00F166BF"/>
    <w:rsid w:val="00F16B2B"/>
    <w:rsid w:val="00F1702A"/>
    <w:rsid w:val="00F17240"/>
    <w:rsid w:val="00F1743A"/>
    <w:rsid w:val="00F1757C"/>
    <w:rsid w:val="00F17612"/>
    <w:rsid w:val="00F1768A"/>
    <w:rsid w:val="00F177E0"/>
    <w:rsid w:val="00F17951"/>
    <w:rsid w:val="00F17A21"/>
    <w:rsid w:val="00F17CBF"/>
    <w:rsid w:val="00F17F09"/>
    <w:rsid w:val="00F17FC8"/>
    <w:rsid w:val="00F1D9B7"/>
    <w:rsid w:val="00F20120"/>
    <w:rsid w:val="00F202A3"/>
    <w:rsid w:val="00F20501"/>
    <w:rsid w:val="00F205E4"/>
    <w:rsid w:val="00F207A7"/>
    <w:rsid w:val="00F20B98"/>
    <w:rsid w:val="00F20BD6"/>
    <w:rsid w:val="00F20E59"/>
    <w:rsid w:val="00F20EA1"/>
    <w:rsid w:val="00F20F2B"/>
    <w:rsid w:val="00F213DF"/>
    <w:rsid w:val="00F214D6"/>
    <w:rsid w:val="00F215A7"/>
    <w:rsid w:val="00F215DD"/>
    <w:rsid w:val="00F2160B"/>
    <w:rsid w:val="00F21707"/>
    <w:rsid w:val="00F219CB"/>
    <w:rsid w:val="00F21AA7"/>
    <w:rsid w:val="00F21ADD"/>
    <w:rsid w:val="00F21AE8"/>
    <w:rsid w:val="00F229DE"/>
    <w:rsid w:val="00F22ACA"/>
    <w:rsid w:val="00F22B34"/>
    <w:rsid w:val="00F22D4F"/>
    <w:rsid w:val="00F22DCC"/>
    <w:rsid w:val="00F22F97"/>
    <w:rsid w:val="00F23300"/>
    <w:rsid w:val="00F23325"/>
    <w:rsid w:val="00F23518"/>
    <w:rsid w:val="00F23B24"/>
    <w:rsid w:val="00F23D71"/>
    <w:rsid w:val="00F244BE"/>
    <w:rsid w:val="00F245CE"/>
    <w:rsid w:val="00F2499F"/>
    <w:rsid w:val="00F24A1F"/>
    <w:rsid w:val="00F24A8B"/>
    <w:rsid w:val="00F25094"/>
    <w:rsid w:val="00F251DD"/>
    <w:rsid w:val="00F2536F"/>
    <w:rsid w:val="00F253FB"/>
    <w:rsid w:val="00F25686"/>
    <w:rsid w:val="00F256F7"/>
    <w:rsid w:val="00F257A7"/>
    <w:rsid w:val="00F257F1"/>
    <w:rsid w:val="00F25AE6"/>
    <w:rsid w:val="00F25B65"/>
    <w:rsid w:val="00F25C6F"/>
    <w:rsid w:val="00F25E58"/>
    <w:rsid w:val="00F25EEF"/>
    <w:rsid w:val="00F25FB6"/>
    <w:rsid w:val="00F260D7"/>
    <w:rsid w:val="00F260EA"/>
    <w:rsid w:val="00F264AB"/>
    <w:rsid w:val="00F2681A"/>
    <w:rsid w:val="00F2682C"/>
    <w:rsid w:val="00F26884"/>
    <w:rsid w:val="00F2694A"/>
    <w:rsid w:val="00F26B45"/>
    <w:rsid w:val="00F26BD7"/>
    <w:rsid w:val="00F26C30"/>
    <w:rsid w:val="00F26D3B"/>
    <w:rsid w:val="00F26EE5"/>
    <w:rsid w:val="00F272FF"/>
    <w:rsid w:val="00F273B9"/>
    <w:rsid w:val="00F274AA"/>
    <w:rsid w:val="00F274CC"/>
    <w:rsid w:val="00F27B07"/>
    <w:rsid w:val="00F27B96"/>
    <w:rsid w:val="00F27C69"/>
    <w:rsid w:val="00F27D79"/>
    <w:rsid w:val="00F30179"/>
    <w:rsid w:val="00F301BA"/>
    <w:rsid w:val="00F301FF"/>
    <w:rsid w:val="00F30760"/>
    <w:rsid w:val="00F30B55"/>
    <w:rsid w:val="00F30B85"/>
    <w:rsid w:val="00F30FA7"/>
    <w:rsid w:val="00F3138B"/>
    <w:rsid w:val="00F3172B"/>
    <w:rsid w:val="00F319A9"/>
    <w:rsid w:val="00F31C10"/>
    <w:rsid w:val="00F3202C"/>
    <w:rsid w:val="00F32129"/>
    <w:rsid w:val="00F32538"/>
    <w:rsid w:val="00F32557"/>
    <w:rsid w:val="00F325CE"/>
    <w:rsid w:val="00F3277F"/>
    <w:rsid w:val="00F32830"/>
    <w:rsid w:val="00F3296D"/>
    <w:rsid w:val="00F32A09"/>
    <w:rsid w:val="00F32A2F"/>
    <w:rsid w:val="00F32B0E"/>
    <w:rsid w:val="00F32B17"/>
    <w:rsid w:val="00F32FCD"/>
    <w:rsid w:val="00F3307D"/>
    <w:rsid w:val="00F330B3"/>
    <w:rsid w:val="00F33257"/>
    <w:rsid w:val="00F3327C"/>
    <w:rsid w:val="00F332A9"/>
    <w:rsid w:val="00F33671"/>
    <w:rsid w:val="00F33BBD"/>
    <w:rsid w:val="00F33F05"/>
    <w:rsid w:val="00F3431C"/>
    <w:rsid w:val="00F34484"/>
    <w:rsid w:val="00F34D09"/>
    <w:rsid w:val="00F34DD7"/>
    <w:rsid w:val="00F34EEF"/>
    <w:rsid w:val="00F34FC9"/>
    <w:rsid w:val="00F351EE"/>
    <w:rsid w:val="00F353F4"/>
    <w:rsid w:val="00F353F8"/>
    <w:rsid w:val="00F35AF5"/>
    <w:rsid w:val="00F35D6F"/>
    <w:rsid w:val="00F360DA"/>
    <w:rsid w:val="00F36382"/>
    <w:rsid w:val="00F36499"/>
    <w:rsid w:val="00F367AB"/>
    <w:rsid w:val="00F368D3"/>
    <w:rsid w:val="00F36978"/>
    <w:rsid w:val="00F36A2A"/>
    <w:rsid w:val="00F36B27"/>
    <w:rsid w:val="00F36BA3"/>
    <w:rsid w:val="00F37546"/>
    <w:rsid w:val="00F37833"/>
    <w:rsid w:val="00F378E4"/>
    <w:rsid w:val="00F401F7"/>
    <w:rsid w:val="00F4020C"/>
    <w:rsid w:val="00F4027C"/>
    <w:rsid w:val="00F40321"/>
    <w:rsid w:val="00F406D4"/>
    <w:rsid w:val="00F40A01"/>
    <w:rsid w:val="00F40A0C"/>
    <w:rsid w:val="00F40A59"/>
    <w:rsid w:val="00F40B17"/>
    <w:rsid w:val="00F40BB3"/>
    <w:rsid w:val="00F40E99"/>
    <w:rsid w:val="00F4127B"/>
    <w:rsid w:val="00F4142E"/>
    <w:rsid w:val="00F415A8"/>
    <w:rsid w:val="00F418CF"/>
    <w:rsid w:val="00F41A69"/>
    <w:rsid w:val="00F41E63"/>
    <w:rsid w:val="00F42317"/>
    <w:rsid w:val="00F42424"/>
    <w:rsid w:val="00F4251C"/>
    <w:rsid w:val="00F425D1"/>
    <w:rsid w:val="00F42616"/>
    <w:rsid w:val="00F426D1"/>
    <w:rsid w:val="00F429AC"/>
    <w:rsid w:val="00F42AB6"/>
    <w:rsid w:val="00F42CC3"/>
    <w:rsid w:val="00F42D76"/>
    <w:rsid w:val="00F430D6"/>
    <w:rsid w:val="00F43276"/>
    <w:rsid w:val="00F43C1B"/>
    <w:rsid w:val="00F43C9E"/>
    <w:rsid w:val="00F43E94"/>
    <w:rsid w:val="00F43ECA"/>
    <w:rsid w:val="00F44037"/>
    <w:rsid w:val="00F4413A"/>
    <w:rsid w:val="00F445C5"/>
    <w:rsid w:val="00F4482A"/>
    <w:rsid w:val="00F448F2"/>
    <w:rsid w:val="00F44BE6"/>
    <w:rsid w:val="00F44E82"/>
    <w:rsid w:val="00F452DB"/>
    <w:rsid w:val="00F45542"/>
    <w:rsid w:val="00F457A5"/>
    <w:rsid w:val="00F4598E"/>
    <w:rsid w:val="00F45A5E"/>
    <w:rsid w:val="00F45AB7"/>
    <w:rsid w:val="00F45B7F"/>
    <w:rsid w:val="00F45DC1"/>
    <w:rsid w:val="00F45F6C"/>
    <w:rsid w:val="00F460FA"/>
    <w:rsid w:val="00F467D9"/>
    <w:rsid w:val="00F46874"/>
    <w:rsid w:val="00F4691A"/>
    <w:rsid w:val="00F46A21"/>
    <w:rsid w:val="00F47483"/>
    <w:rsid w:val="00F479BD"/>
    <w:rsid w:val="00F5004C"/>
    <w:rsid w:val="00F50138"/>
    <w:rsid w:val="00F50139"/>
    <w:rsid w:val="00F5026A"/>
    <w:rsid w:val="00F504FD"/>
    <w:rsid w:val="00F5082B"/>
    <w:rsid w:val="00F50A8B"/>
    <w:rsid w:val="00F50B06"/>
    <w:rsid w:val="00F50CD3"/>
    <w:rsid w:val="00F50DE6"/>
    <w:rsid w:val="00F50F77"/>
    <w:rsid w:val="00F51126"/>
    <w:rsid w:val="00F5122E"/>
    <w:rsid w:val="00F51251"/>
    <w:rsid w:val="00F51592"/>
    <w:rsid w:val="00F515F9"/>
    <w:rsid w:val="00F51BFA"/>
    <w:rsid w:val="00F51D4C"/>
    <w:rsid w:val="00F51E8C"/>
    <w:rsid w:val="00F5203B"/>
    <w:rsid w:val="00F52390"/>
    <w:rsid w:val="00F5253E"/>
    <w:rsid w:val="00F52744"/>
    <w:rsid w:val="00F52853"/>
    <w:rsid w:val="00F528CC"/>
    <w:rsid w:val="00F52DE9"/>
    <w:rsid w:val="00F5309F"/>
    <w:rsid w:val="00F53466"/>
    <w:rsid w:val="00F534BA"/>
    <w:rsid w:val="00F53548"/>
    <w:rsid w:val="00F54192"/>
    <w:rsid w:val="00F54351"/>
    <w:rsid w:val="00F54848"/>
    <w:rsid w:val="00F549CB"/>
    <w:rsid w:val="00F54A62"/>
    <w:rsid w:val="00F5549F"/>
    <w:rsid w:val="00F5555F"/>
    <w:rsid w:val="00F556CE"/>
    <w:rsid w:val="00F55845"/>
    <w:rsid w:val="00F55903"/>
    <w:rsid w:val="00F55A26"/>
    <w:rsid w:val="00F55A93"/>
    <w:rsid w:val="00F55C56"/>
    <w:rsid w:val="00F55C59"/>
    <w:rsid w:val="00F55CAA"/>
    <w:rsid w:val="00F55F9D"/>
    <w:rsid w:val="00F560FD"/>
    <w:rsid w:val="00F56111"/>
    <w:rsid w:val="00F561F2"/>
    <w:rsid w:val="00F56256"/>
    <w:rsid w:val="00F562F0"/>
    <w:rsid w:val="00F56BB0"/>
    <w:rsid w:val="00F56BC6"/>
    <w:rsid w:val="00F5702A"/>
    <w:rsid w:val="00F57061"/>
    <w:rsid w:val="00F57075"/>
    <w:rsid w:val="00F571F3"/>
    <w:rsid w:val="00F576D6"/>
    <w:rsid w:val="00F57762"/>
    <w:rsid w:val="00F57B08"/>
    <w:rsid w:val="00F57D2E"/>
    <w:rsid w:val="00F60137"/>
    <w:rsid w:val="00F6019F"/>
    <w:rsid w:val="00F602C4"/>
    <w:rsid w:val="00F604DE"/>
    <w:rsid w:val="00F60AD8"/>
    <w:rsid w:val="00F60C21"/>
    <w:rsid w:val="00F60C34"/>
    <w:rsid w:val="00F60C73"/>
    <w:rsid w:val="00F60CA6"/>
    <w:rsid w:val="00F60D16"/>
    <w:rsid w:val="00F60E50"/>
    <w:rsid w:val="00F60EF6"/>
    <w:rsid w:val="00F611C0"/>
    <w:rsid w:val="00F612B9"/>
    <w:rsid w:val="00F61481"/>
    <w:rsid w:val="00F614E3"/>
    <w:rsid w:val="00F6165C"/>
    <w:rsid w:val="00F6168A"/>
    <w:rsid w:val="00F61887"/>
    <w:rsid w:val="00F6190C"/>
    <w:rsid w:val="00F61CC4"/>
    <w:rsid w:val="00F62055"/>
    <w:rsid w:val="00F6216F"/>
    <w:rsid w:val="00F62461"/>
    <w:rsid w:val="00F625D5"/>
    <w:rsid w:val="00F627EC"/>
    <w:rsid w:val="00F62A3E"/>
    <w:rsid w:val="00F62A71"/>
    <w:rsid w:val="00F62CCE"/>
    <w:rsid w:val="00F62E7D"/>
    <w:rsid w:val="00F6300E"/>
    <w:rsid w:val="00F6305B"/>
    <w:rsid w:val="00F630C2"/>
    <w:rsid w:val="00F630E5"/>
    <w:rsid w:val="00F63207"/>
    <w:rsid w:val="00F63267"/>
    <w:rsid w:val="00F6326E"/>
    <w:rsid w:val="00F633F0"/>
    <w:rsid w:val="00F634D5"/>
    <w:rsid w:val="00F634FC"/>
    <w:rsid w:val="00F63529"/>
    <w:rsid w:val="00F6358C"/>
    <w:rsid w:val="00F63698"/>
    <w:rsid w:val="00F6390C"/>
    <w:rsid w:val="00F63956"/>
    <w:rsid w:val="00F63A5A"/>
    <w:rsid w:val="00F63F0A"/>
    <w:rsid w:val="00F641D5"/>
    <w:rsid w:val="00F643A2"/>
    <w:rsid w:val="00F645EC"/>
    <w:rsid w:val="00F645FA"/>
    <w:rsid w:val="00F64ABD"/>
    <w:rsid w:val="00F64F0E"/>
    <w:rsid w:val="00F65108"/>
    <w:rsid w:val="00F651B4"/>
    <w:rsid w:val="00F652D7"/>
    <w:rsid w:val="00F653B9"/>
    <w:rsid w:val="00F65458"/>
    <w:rsid w:val="00F654FB"/>
    <w:rsid w:val="00F65567"/>
    <w:rsid w:val="00F656F2"/>
    <w:rsid w:val="00F65807"/>
    <w:rsid w:val="00F6580F"/>
    <w:rsid w:val="00F65AC9"/>
    <w:rsid w:val="00F65EC5"/>
    <w:rsid w:val="00F65F4C"/>
    <w:rsid w:val="00F66298"/>
    <w:rsid w:val="00F66700"/>
    <w:rsid w:val="00F6670C"/>
    <w:rsid w:val="00F66749"/>
    <w:rsid w:val="00F66923"/>
    <w:rsid w:val="00F66933"/>
    <w:rsid w:val="00F6694E"/>
    <w:rsid w:val="00F66C03"/>
    <w:rsid w:val="00F66D17"/>
    <w:rsid w:val="00F66E45"/>
    <w:rsid w:val="00F6711F"/>
    <w:rsid w:val="00F6714B"/>
    <w:rsid w:val="00F67171"/>
    <w:rsid w:val="00F673C9"/>
    <w:rsid w:val="00F67C04"/>
    <w:rsid w:val="00F67C4D"/>
    <w:rsid w:val="00F67D74"/>
    <w:rsid w:val="00F67DE2"/>
    <w:rsid w:val="00F67E03"/>
    <w:rsid w:val="00F67F6B"/>
    <w:rsid w:val="00F67FD3"/>
    <w:rsid w:val="00F7028A"/>
    <w:rsid w:val="00F70C1B"/>
    <w:rsid w:val="00F70F91"/>
    <w:rsid w:val="00F71532"/>
    <w:rsid w:val="00F71540"/>
    <w:rsid w:val="00F7165D"/>
    <w:rsid w:val="00F719CC"/>
    <w:rsid w:val="00F71B3E"/>
    <w:rsid w:val="00F71EA3"/>
    <w:rsid w:val="00F72038"/>
    <w:rsid w:val="00F72124"/>
    <w:rsid w:val="00F72142"/>
    <w:rsid w:val="00F725FD"/>
    <w:rsid w:val="00F72693"/>
    <w:rsid w:val="00F72715"/>
    <w:rsid w:val="00F72725"/>
    <w:rsid w:val="00F727D6"/>
    <w:rsid w:val="00F72A92"/>
    <w:rsid w:val="00F72AD5"/>
    <w:rsid w:val="00F72CFB"/>
    <w:rsid w:val="00F7307E"/>
    <w:rsid w:val="00F73109"/>
    <w:rsid w:val="00F732B9"/>
    <w:rsid w:val="00F732C5"/>
    <w:rsid w:val="00F738A5"/>
    <w:rsid w:val="00F73953"/>
    <w:rsid w:val="00F73B8E"/>
    <w:rsid w:val="00F74072"/>
    <w:rsid w:val="00F741F1"/>
    <w:rsid w:val="00F7427A"/>
    <w:rsid w:val="00F74D87"/>
    <w:rsid w:val="00F74E25"/>
    <w:rsid w:val="00F750C8"/>
    <w:rsid w:val="00F752B2"/>
    <w:rsid w:val="00F7531A"/>
    <w:rsid w:val="00F75D12"/>
    <w:rsid w:val="00F75E16"/>
    <w:rsid w:val="00F75EA5"/>
    <w:rsid w:val="00F75F15"/>
    <w:rsid w:val="00F761A0"/>
    <w:rsid w:val="00F76253"/>
    <w:rsid w:val="00F7639B"/>
    <w:rsid w:val="00F76482"/>
    <w:rsid w:val="00F765FF"/>
    <w:rsid w:val="00F76757"/>
    <w:rsid w:val="00F769F8"/>
    <w:rsid w:val="00F769F9"/>
    <w:rsid w:val="00F76B30"/>
    <w:rsid w:val="00F76B5C"/>
    <w:rsid w:val="00F7703C"/>
    <w:rsid w:val="00F77077"/>
    <w:rsid w:val="00F7741C"/>
    <w:rsid w:val="00F77715"/>
    <w:rsid w:val="00F77847"/>
    <w:rsid w:val="00F77910"/>
    <w:rsid w:val="00F77A15"/>
    <w:rsid w:val="00F77B27"/>
    <w:rsid w:val="00F77EF0"/>
    <w:rsid w:val="00F8005E"/>
    <w:rsid w:val="00F800DE"/>
    <w:rsid w:val="00F80224"/>
    <w:rsid w:val="00F80378"/>
    <w:rsid w:val="00F8039E"/>
    <w:rsid w:val="00F80DEC"/>
    <w:rsid w:val="00F80E6E"/>
    <w:rsid w:val="00F80FA4"/>
    <w:rsid w:val="00F810EC"/>
    <w:rsid w:val="00F81115"/>
    <w:rsid w:val="00F818CC"/>
    <w:rsid w:val="00F81C6D"/>
    <w:rsid w:val="00F81E09"/>
    <w:rsid w:val="00F81F27"/>
    <w:rsid w:val="00F81F7E"/>
    <w:rsid w:val="00F81F81"/>
    <w:rsid w:val="00F820C6"/>
    <w:rsid w:val="00F822A8"/>
    <w:rsid w:val="00F822B6"/>
    <w:rsid w:val="00F8233B"/>
    <w:rsid w:val="00F824BB"/>
    <w:rsid w:val="00F826EE"/>
    <w:rsid w:val="00F826F0"/>
    <w:rsid w:val="00F8276B"/>
    <w:rsid w:val="00F82CE1"/>
    <w:rsid w:val="00F82D59"/>
    <w:rsid w:val="00F830C3"/>
    <w:rsid w:val="00F83230"/>
    <w:rsid w:val="00F8324C"/>
    <w:rsid w:val="00F84090"/>
    <w:rsid w:val="00F84306"/>
    <w:rsid w:val="00F84818"/>
    <w:rsid w:val="00F84947"/>
    <w:rsid w:val="00F849CD"/>
    <w:rsid w:val="00F84BF5"/>
    <w:rsid w:val="00F84CF7"/>
    <w:rsid w:val="00F84D71"/>
    <w:rsid w:val="00F84F49"/>
    <w:rsid w:val="00F84F8B"/>
    <w:rsid w:val="00F85123"/>
    <w:rsid w:val="00F85340"/>
    <w:rsid w:val="00F8541C"/>
    <w:rsid w:val="00F85702"/>
    <w:rsid w:val="00F858B1"/>
    <w:rsid w:val="00F859C5"/>
    <w:rsid w:val="00F85A88"/>
    <w:rsid w:val="00F85D3A"/>
    <w:rsid w:val="00F85D8D"/>
    <w:rsid w:val="00F86103"/>
    <w:rsid w:val="00F86156"/>
    <w:rsid w:val="00F86172"/>
    <w:rsid w:val="00F86327"/>
    <w:rsid w:val="00F863A6"/>
    <w:rsid w:val="00F86441"/>
    <w:rsid w:val="00F865B0"/>
    <w:rsid w:val="00F865CA"/>
    <w:rsid w:val="00F8672C"/>
    <w:rsid w:val="00F8684F"/>
    <w:rsid w:val="00F86895"/>
    <w:rsid w:val="00F86AD9"/>
    <w:rsid w:val="00F86BFA"/>
    <w:rsid w:val="00F8701A"/>
    <w:rsid w:val="00F870AE"/>
    <w:rsid w:val="00F87183"/>
    <w:rsid w:val="00F87270"/>
    <w:rsid w:val="00F87563"/>
    <w:rsid w:val="00F8759D"/>
    <w:rsid w:val="00F875F3"/>
    <w:rsid w:val="00F87732"/>
    <w:rsid w:val="00F8779E"/>
    <w:rsid w:val="00F878DA"/>
    <w:rsid w:val="00F878F4"/>
    <w:rsid w:val="00F87AA5"/>
    <w:rsid w:val="00F87E2A"/>
    <w:rsid w:val="00F87F07"/>
    <w:rsid w:val="00F87F72"/>
    <w:rsid w:val="00F87FC6"/>
    <w:rsid w:val="00F87FDB"/>
    <w:rsid w:val="00F90234"/>
    <w:rsid w:val="00F90240"/>
    <w:rsid w:val="00F9028D"/>
    <w:rsid w:val="00F90292"/>
    <w:rsid w:val="00F9035C"/>
    <w:rsid w:val="00F906B4"/>
    <w:rsid w:val="00F9071D"/>
    <w:rsid w:val="00F909EC"/>
    <w:rsid w:val="00F90F99"/>
    <w:rsid w:val="00F91097"/>
    <w:rsid w:val="00F91327"/>
    <w:rsid w:val="00F9134B"/>
    <w:rsid w:val="00F91399"/>
    <w:rsid w:val="00F913AC"/>
    <w:rsid w:val="00F91499"/>
    <w:rsid w:val="00F917D1"/>
    <w:rsid w:val="00F918C5"/>
    <w:rsid w:val="00F918EB"/>
    <w:rsid w:val="00F91A16"/>
    <w:rsid w:val="00F91FDC"/>
    <w:rsid w:val="00F9217C"/>
    <w:rsid w:val="00F9221F"/>
    <w:rsid w:val="00F9226D"/>
    <w:rsid w:val="00F92762"/>
    <w:rsid w:val="00F927E7"/>
    <w:rsid w:val="00F92966"/>
    <w:rsid w:val="00F92B88"/>
    <w:rsid w:val="00F92C76"/>
    <w:rsid w:val="00F92DF6"/>
    <w:rsid w:val="00F92F63"/>
    <w:rsid w:val="00F92F83"/>
    <w:rsid w:val="00F93111"/>
    <w:rsid w:val="00F931E9"/>
    <w:rsid w:val="00F935C9"/>
    <w:rsid w:val="00F9393C"/>
    <w:rsid w:val="00F93DDA"/>
    <w:rsid w:val="00F93DE0"/>
    <w:rsid w:val="00F93FF6"/>
    <w:rsid w:val="00F94251"/>
    <w:rsid w:val="00F94430"/>
    <w:rsid w:val="00F946F0"/>
    <w:rsid w:val="00F948B0"/>
    <w:rsid w:val="00F94B38"/>
    <w:rsid w:val="00F94BC6"/>
    <w:rsid w:val="00F94BE1"/>
    <w:rsid w:val="00F95087"/>
    <w:rsid w:val="00F951DF"/>
    <w:rsid w:val="00F95395"/>
    <w:rsid w:val="00F95633"/>
    <w:rsid w:val="00F956B3"/>
    <w:rsid w:val="00F958EA"/>
    <w:rsid w:val="00F958EB"/>
    <w:rsid w:val="00F9590F"/>
    <w:rsid w:val="00F95C4A"/>
    <w:rsid w:val="00F96109"/>
    <w:rsid w:val="00F961BE"/>
    <w:rsid w:val="00F96204"/>
    <w:rsid w:val="00F96550"/>
    <w:rsid w:val="00F9676E"/>
    <w:rsid w:val="00F9679C"/>
    <w:rsid w:val="00F96817"/>
    <w:rsid w:val="00F96B4B"/>
    <w:rsid w:val="00F97102"/>
    <w:rsid w:val="00F971BC"/>
    <w:rsid w:val="00F9720F"/>
    <w:rsid w:val="00F972F1"/>
    <w:rsid w:val="00F977F1"/>
    <w:rsid w:val="00F97890"/>
    <w:rsid w:val="00F979C7"/>
    <w:rsid w:val="00F97B94"/>
    <w:rsid w:val="00F97C80"/>
    <w:rsid w:val="00F97FD8"/>
    <w:rsid w:val="00FA034F"/>
    <w:rsid w:val="00FA05BD"/>
    <w:rsid w:val="00FA07DA"/>
    <w:rsid w:val="00FA080A"/>
    <w:rsid w:val="00FA09EC"/>
    <w:rsid w:val="00FA0A9A"/>
    <w:rsid w:val="00FA0ABB"/>
    <w:rsid w:val="00FA0D47"/>
    <w:rsid w:val="00FA0EB7"/>
    <w:rsid w:val="00FA1316"/>
    <w:rsid w:val="00FA1473"/>
    <w:rsid w:val="00FA1B4A"/>
    <w:rsid w:val="00FA1C27"/>
    <w:rsid w:val="00FA1D1D"/>
    <w:rsid w:val="00FA1E33"/>
    <w:rsid w:val="00FA2338"/>
    <w:rsid w:val="00FA2457"/>
    <w:rsid w:val="00FA2790"/>
    <w:rsid w:val="00FA2793"/>
    <w:rsid w:val="00FA2970"/>
    <w:rsid w:val="00FA2974"/>
    <w:rsid w:val="00FA2A7E"/>
    <w:rsid w:val="00FA2B99"/>
    <w:rsid w:val="00FA2C3E"/>
    <w:rsid w:val="00FA2CC8"/>
    <w:rsid w:val="00FA2DE9"/>
    <w:rsid w:val="00FA2F7D"/>
    <w:rsid w:val="00FA3246"/>
    <w:rsid w:val="00FA335F"/>
    <w:rsid w:val="00FA33B9"/>
    <w:rsid w:val="00FA344C"/>
    <w:rsid w:val="00FA3470"/>
    <w:rsid w:val="00FA36E6"/>
    <w:rsid w:val="00FA3770"/>
    <w:rsid w:val="00FA3798"/>
    <w:rsid w:val="00FA3A50"/>
    <w:rsid w:val="00FA3EF2"/>
    <w:rsid w:val="00FA40BF"/>
    <w:rsid w:val="00FA427D"/>
    <w:rsid w:val="00FA4409"/>
    <w:rsid w:val="00FA450F"/>
    <w:rsid w:val="00FA467B"/>
    <w:rsid w:val="00FA4A96"/>
    <w:rsid w:val="00FA4B74"/>
    <w:rsid w:val="00FA4C08"/>
    <w:rsid w:val="00FA4C40"/>
    <w:rsid w:val="00FA4CC6"/>
    <w:rsid w:val="00FA4D52"/>
    <w:rsid w:val="00FA4EE8"/>
    <w:rsid w:val="00FA4FCF"/>
    <w:rsid w:val="00FA5051"/>
    <w:rsid w:val="00FA54B0"/>
    <w:rsid w:val="00FA55C5"/>
    <w:rsid w:val="00FA579E"/>
    <w:rsid w:val="00FA5833"/>
    <w:rsid w:val="00FA5907"/>
    <w:rsid w:val="00FA6242"/>
    <w:rsid w:val="00FA641E"/>
    <w:rsid w:val="00FA64FD"/>
    <w:rsid w:val="00FA6545"/>
    <w:rsid w:val="00FA6657"/>
    <w:rsid w:val="00FA6659"/>
    <w:rsid w:val="00FA680B"/>
    <w:rsid w:val="00FA6AFF"/>
    <w:rsid w:val="00FA6B23"/>
    <w:rsid w:val="00FA6BD0"/>
    <w:rsid w:val="00FA6E72"/>
    <w:rsid w:val="00FA6EAF"/>
    <w:rsid w:val="00FA7315"/>
    <w:rsid w:val="00FA78C1"/>
    <w:rsid w:val="00FA7B86"/>
    <w:rsid w:val="00FA7B8F"/>
    <w:rsid w:val="00FA7C7D"/>
    <w:rsid w:val="00FA7E1F"/>
    <w:rsid w:val="00FA7EE7"/>
    <w:rsid w:val="00FB0308"/>
    <w:rsid w:val="00FB0A3F"/>
    <w:rsid w:val="00FB0B28"/>
    <w:rsid w:val="00FB0DFB"/>
    <w:rsid w:val="00FB0E21"/>
    <w:rsid w:val="00FB1413"/>
    <w:rsid w:val="00FB1416"/>
    <w:rsid w:val="00FB1452"/>
    <w:rsid w:val="00FB1576"/>
    <w:rsid w:val="00FB15C3"/>
    <w:rsid w:val="00FB1839"/>
    <w:rsid w:val="00FB1AEB"/>
    <w:rsid w:val="00FB1B0F"/>
    <w:rsid w:val="00FB1CD2"/>
    <w:rsid w:val="00FB1F0E"/>
    <w:rsid w:val="00FB1F78"/>
    <w:rsid w:val="00FB230D"/>
    <w:rsid w:val="00FB2317"/>
    <w:rsid w:val="00FB236C"/>
    <w:rsid w:val="00FB244B"/>
    <w:rsid w:val="00FB2770"/>
    <w:rsid w:val="00FB287F"/>
    <w:rsid w:val="00FB289C"/>
    <w:rsid w:val="00FB2954"/>
    <w:rsid w:val="00FB2A0A"/>
    <w:rsid w:val="00FB2B13"/>
    <w:rsid w:val="00FB2F33"/>
    <w:rsid w:val="00FB2F43"/>
    <w:rsid w:val="00FB2FA0"/>
    <w:rsid w:val="00FB34E0"/>
    <w:rsid w:val="00FB35B1"/>
    <w:rsid w:val="00FB386E"/>
    <w:rsid w:val="00FB3899"/>
    <w:rsid w:val="00FB3A34"/>
    <w:rsid w:val="00FB3E77"/>
    <w:rsid w:val="00FB4026"/>
    <w:rsid w:val="00FB41F5"/>
    <w:rsid w:val="00FB460A"/>
    <w:rsid w:val="00FB464E"/>
    <w:rsid w:val="00FB4C51"/>
    <w:rsid w:val="00FB4E37"/>
    <w:rsid w:val="00FB4E69"/>
    <w:rsid w:val="00FB4EF9"/>
    <w:rsid w:val="00FB5289"/>
    <w:rsid w:val="00FB5401"/>
    <w:rsid w:val="00FB5483"/>
    <w:rsid w:val="00FB54E9"/>
    <w:rsid w:val="00FB57CD"/>
    <w:rsid w:val="00FB580A"/>
    <w:rsid w:val="00FB5CB0"/>
    <w:rsid w:val="00FB6186"/>
    <w:rsid w:val="00FB62B4"/>
    <w:rsid w:val="00FB6386"/>
    <w:rsid w:val="00FB65FE"/>
    <w:rsid w:val="00FB6638"/>
    <w:rsid w:val="00FB6CF7"/>
    <w:rsid w:val="00FB7058"/>
    <w:rsid w:val="00FB71A3"/>
    <w:rsid w:val="00FB7363"/>
    <w:rsid w:val="00FB7524"/>
    <w:rsid w:val="00FB75C5"/>
    <w:rsid w:val="00FB75CA"/>
    <w:rsid w:val="00FB7802"/>
    <w:rsid w:val="00FB7A78"/>
    <w:rsid w:val="00FB7B0C"/>
    <w:rsid w:val="00FB7CE0"/>
    <w:rsid w:val="00FB7D0C"/>
    <w:rsid w:val="00FC006B"/>
    <w:rsid w:val="00FC0363"/>
    <w:rsid w:val="00FC0598"/>
    <w:rsid w:val="00FC0744"/>
    <w:rsid w:val="00FC08FB"/>
    <w:rsid w:val="00FC0DF7"/>
    <w:rsid w:val="00FC117D"/>
    <w:rsid w:val="00FC14FF"/>
    <w:rsid w:val="00FC16BF"/>
    <w:rsid w:val="00FC1702"/>
    <w:rsid w:val="00FC1767"/>
    <w:rsid w:val="00FC1BC0"/>
    <w:rsid w:val="00FC1C5D"/>
    <w:rsid w:val="00FC208B"/>
    <w:rsid w:val="00FC2207"/>
    <w:rsid w:val="00FC228E"/>
    <w:rsid w:val="00FC23ED"/>
    <w:rsid w:val="00FC24C4"/>
    <w:rsid w:val="00FC2B33"/>
    <w:rsid w:val="00FC3FC6"/>
    <w:rsid w:val="00FC402E"/>
    <w:rsid w:val="00FC4086"/>
    <w:rsid w:val="00FC415C"/>
    <w:rsid w:val="00FC431B"/>
    <w:rsid w:val="00FC4466"/>
    <w:rsid w:val="00FC48AD"/>
    <w:rsid w:val="00FC4987"/>
    <w:rsid w:val="00FC4CF9"/>
    <w:rsid w:val="00FC4D93"/>
    <w:rsid w:val="00FC51F1"/>
    <w:rsid w:val="00FC54B5"/>
    <w:rsid w:val="00FC5645"/>
    <w:rsid w:val="00FC566C"/>
    <w:rsid w:val="00FC57DD"/>
    <w:rsid w:val="00FC58A2"/>
    <w:rsid w:val="00FC59F6"/>
    <w:rsid w:val="00FC5C91"/>
    <w:rsid w:val="00FC5CD4"/>
    <w:rsid w:val="00FC5CD5"/>
    <w:rsid w:val="00FC5D9B"/>
    <w:rsid w:val="00FC5F81"/>
    <w:rsid w:val="00FC6089"/>
    <w:rsid w:val="00FC6183"/>
    <w:rsid w:val="00FC63EF"/>
    <w:rsid w:val="00FC64DD"/>
    <w:rsid w:val="00FC6A6E"/>
    <w:rsid w:val="00FC6C5F"/>
    <w:rsid w:val="00FC6F63"/>
    <w:rsid w:val="00FC722F"/>
    <w:rsid w:val="00FC7249"/>
    <w:rsid w:val="00FC7323"/>
    <w:rsid w:val="00FC7A00"/>
    <w:rsid w:val="00FC7FCF"/>
    <w:rsid w:val="00FD033E"/>
    <w:rsid w:val="00FD05A3"/>
    <w:rsid w:val="00FD05AF"/>
    <w:rsid w:val="00FD084B"/>
    <w:rsid w:val="00FD0889"/>
    <w:rsid w:val="00FD0B5C"/>
    <w:rsid w:val="00FD0BEB"/>
    <w:rsid w:val="00FD0D0B"/>
    <w:rsid w:val="00FD0E98"/>
    <w:rsid w:val="00FD0EEF"/>
    <w:rsid w:val="00FD0F90"/>
    <w:rsid w:val="00FD1310"/>
    <w:rsid w:val="00FD16FA"/>
    <w:rsid w:val="00FD1838"/>
    <w:rsid w:val="00FD19E4"/>
    <w:rsid w:val="00FD19FF"/>
    <w:rsid w:val="00FD1AE5"/>
    <w:rsid w:val="00FD1DBC"/>
    <w:rsid w:val="00FD1DC8"/>
    <w:rsid w:val="00FD1EB1"/>
    <w:rsid w:val="00FD2809"/>
    <w:rsid w:val="00FD2926"/>
    <w:rsid w:val="00FD33E1"/>
    <w:rsid w:val="00FD346D"/>
    <w:rsid w:val="00FD37FB"/>
    <w:rsid w:val="00FD3A86"/>
    <w:rsid w:val="00FD3D28"/>
    <w:rsid w:val="00FD41BF"/>
    <w:rsid w:val="00FD4425"/>
    <w:rsid w:val="00FD4469"/>
    <w:rsid w:val="00FD4592"/>
    <w:rsid w:val="00FD49F2"/>
    <w:rsid w:val="00FD4A3E"/>
    <w:rsid w:val="00FD4C20"/>
    <w:rsid w:val="00FD4C72"/>
    <w:rsid w:val="00FD4D0C"/>
    <w:rsid w:val="00FD4D9A"/>
    <w:rsid w:val="00FD4E4A"/>
    <w:rsid w:val="00FD4FCE"/>
    <w:rsid w:val="00FD5118"/>
    <w:rsid w:val="00FD5344"/>
    <w:rsid w:val="00FD54D9"/>
    <w:rsid w:val="00FD562E"/>
    <w:rsid w:val="00FD5EDA"/>
    <w:rsid w:val="00FD5F8B"/>
    <w:rsid w:val="00FD6115"/>
    <w:rsid w:val="00FD61F1"/>
    <w:rsid w:val="00FD65B0"/>
    <w:rsid w:val="00FD6788"/>
    <w:rsid w:val="00FD6B58"/>
    <w:rsid w:val="00FD6C5D"/>
    <w:rsid w:val="00FD6E9A"/>
    <w:rsid w:val="00FD7028"/>
    <w:rsid w:val="00FD761E"/>
    <w:rsid w:val="00FD7656"/>
    <w:rsid w:val="00FD77CD"/>
    <w:rsid w:val="00FD7D1F"/>
    <w:rsid w:val="00FD7D60"/>
    <w:rsid w:val="00FD7DDE"/>
    <w:rsid w:val="00FD7DF7"/>
    <w:rsid w:val="00FD7E55"/>
    <w:rsid w:val="00FE0120"/>
    <w:rsid w:val="00FE040D"/>
    <w:rsid w:val="00FE0649"/>
    <w:rsid w:val="00FE08AD"/>
    <w:rsid w:val="00FE09E0"/>
    <w:rsid w:val="00FE0A4B"/>
    <w:rsid w:val="00FE0C76"/>
    <w:rsid w:val="00FE0C7B"/>
    <w:rsid w:val="00FE0C99"/>
    <w:rsid w:val="00FE0F4D"/>
    <w:rsid w:val="00FE0F83"/>
    <w:rsid w:val="00FE0FDC"/>
    <w:rsid w:val="00FE16DE"/>
    <w:rsid w:val="00FE1AC4"/>
    <w:rsid w:val="00FE1EF9"/>
    <w:rsid w:val="00FE1F2E"/>
    <w:rsid w:val="00FE22B4"/>
    <w:rsid w:val="00FE2794"/>
    <w:rsid w:val="00FE2A6E"/>
    <w:rsid w:val="00FE2C7F"/>
    <w:rsid w:val="00FE3128"/>
    <w:rsid w:val="00FE314A"/>
    <w:rsid w:val="00FE3602"/>
    <w:rsid w:val="00FE3689"/>
    <w:rsid w:val="00FE36C6"/>
    <w:rsid w:val="00FE3726"/>
    <w:rsid w:val="00FE38EE"/>
    <w:rsid w:val="00FE39FF"/>
    <w:rsid w:val="00FE3D7A"/>
    <w:rsid w:val="00FE3DC0"/>
    <w:rsid w:val="00FE4077"/>
    <w:rsid w:val="00FE413B"/>
    <w:rsid w:val="00FE4424"/>
    <w:rsid w:val="00FE45F0"/>
    <w:rsid w:val="00FE467B"/>
    <w:rsid w:val="00FE472E"/>
    <w:rsid w:val="00FE4806"/>
    <w:rsid w:val="00FE4809"/>
    <w:rsid w:val="00FE48A8"/>
    <w:rsid w:val="00FE4902"/>
    <w:rsid w:val="00FE4B06"/>
    <w:rsid w:val="00FE4B93"/>
    <w:rsid w:val="00FE4DC8"/>
    <w:rsid w:val="00FE4EF8"/>
    <w:rsid w:val="00FE4F2E"/>
    <w:rsid w:val="00FE51F6"/>
    <w:rsid w:val="00FE5629"/>
    <w:rsid w:val="00FE587A"/>
    <w:rsid w:val="00FE58FC"/>
    <w:rsid w:val="00FE5AA7"/>
    <w:rsid w:val="00FE5AED"/>
    <w:rsid w:val="00FE5B1F"/>
    <w:rsid w:val="00FE5C79"/>
    <w:rsid w:val="00FE5CFE"/>
    <w:rsid w:val="00FE5D3C"/>
    <w:rsid w:val="00FE5DE3"/>
    <w:rsid w:val="00FE5E94"/>
    <w:rsid w:val="00FE5F1C"/>
    <w:rsid w:val="00FE62FB"/>
    <w:rsid w:val="00FE639F"/>
    <w:rsid w:val="00FE65FC"/>
    <w:rsid w:val="00FE662D"/>
    <w:rsid w:val="00FE6834"/>
    <w:rsid w:val="00FE6C33"/>
    <w:rsid w:val="00FE6D2A"/>
    <w:rsid w:val="00FE6DAC"/>
    <w:rsid w:val="00FE6DBE"/>
    <w:rsid w:val="00FE6DBF"/>
    <w:rsid w:val="00FE6F74"/>
    <w:rsid w:val="00FE7028"/>
    <w:rsid w:val="00FE7230"/>
    <w:rsid w:val="00FE74D1"/>
    <w:rsid w:val="00FE76AB"/>
    <w:rsid w:val="00FE77DC"/>
    <w:rsid w:val="00FE780E"/>
    <w:rsid w:val="00FE7D28"/>
    <w:rsid w:val="00FE7F17"/>
    <w:rsid w:val="00FE7F58"/>
    <w:rsid w:val="00FF0A24"/>
    <w:rsid w:val="00FF0C51"/>
    <w:rsid w:val="00FF100D"/>
    <w:rsid w:val="00FF1075"/>
    <w:rsid w:val="00FF136F"/>
    <w:rsid w:val="00FF174C"/>
    <w:rsid w:val="00FF1A6E"/>
    <w:rsid w:val="00FF1A9F"/>
    <w:rsid w:val="00FF2123"/>
    <w:rsid w:val="00FF21AC"/>
    <w:rsid w:val="00FF2470"/>
    <w:rsid w:val="00FF2599"/>
    <w:rsid w:val="00FF26B2"/>
    <w:rsid w:val="00FF26BE"/>
    <w:rsid w:val="00FF272A"/>
    <w:rsid w:val="00FF2817"/>
    <w:rsid w:val="00FF28F6"/>
    <w:rsid w:val="00FF2A01"/>
    <w:rsid w:val="00FF2BB9"/>
    <w:rsid w:val="00FF2BDA"/>
    <w:rsid w:val="00FF2D1D"/>
    <w:rsid w:val="00FF32FF"/>
    <w:rsid w:val="00FF37DA"/>
    <w:rsid w:val="00FF3A2F"/>
    <w:rsid w:val="00FF3B41"/>
    <w:rsid w:val="00FF426B"/>
    <w:rsid w:val="00FF45D1"/>
    <w:rsid w:val="00FF4AEF"/>
    <w:rsid w:val="00FF4B0A"/>
    <w:rsid w:val="00FF4CC2"/>
    <w:rsid w:val="00FF4E35"/>
    <w:rsid w:val="00FF5370"/>
    <w:rsid w:val="00FF53D6"/>
    <w:rsid w:val="00FF55A3"/>
    <w:rsid w:val="00FF5694"/>
    <w:rsid w:val="00FF57D3"/>
    <w:rsid w:val="00FF5BC0"/>
    <w:rsid w:val="00FF5C14"/>
    <w:rsid w:val="00FF5DE2"/>
    <w:rsid w:val="00FF5FD9"/>
    <w:rsid w:val="00FF6173"/>
    <w:rsid w:val="00FF619E"/>
    <w:rsid w:val="00FF6477"/>
    <w:rsid w:val="00FF67F8"/>
    <w:rsid w:val="00FF6892"/>
    <w:rsid w:val="00FF6B8B"/>
    <w:rsid w:val="00FF6BB3"/>
    <w:rsid w:val="00FF70CF"/>
    <w:rsid w:val="00FF743F"/>
    <w:rsid w:val="00FF74BF"/>
    <w:rsid w:val="00FF75B9"/>
    <w:rsid w:val="00FF79FA"/>
    <w:rsid w:val="00FF7D01"/>
    <w:rsid w:val="0103009C"/>
    <w:rsid w:val="010914E1"/>
    <w:rsid w:val="0127B2A2"/>
    <w:rsid w:val="01401833"/>
    <w:rsid w:val="01523355"/>
    <w:rsid w:val="015BB105"/>
    <w:rsid w:val="015D3264"/>
    <w:rsid w:val="01767B2F"/>
    <w:rsid w:val="018183B5"/>
    <w:rsid w:val="01853856"/>
    <w:rsid w:val="018CD248"/>
    <w:rsid w:val="019B5924"/>
    <w:rsid w:val="019ED92C"/>
    <w:rsid w:val="01A7EA90"/>
    <w:rsid w:val="01A7EEC2"/>
    <w:rsid w:val="01A7FA78"/>
    <w:rsid w:val="01B36235"/>
    <w:rsid w:val="01D9CA92"/>
    <w:rsid w:val="01DB6139"/>
    <w:rsid w:val="01DBEA97"/>
    <w:rsid w:val="01DD5849"/>
    <w:rsid w:val="01DE16AB"/>
    <w:rsid w:val="01DF4DCB"/>
    <w:rsid w:val="01E0FF02"/>
    <w:rsid w:val="01E72B1E"/>
    <w:rsid w:val="01ED4BE2"/>
    <w:rsid w:val="01F8CBD9"/>
    <w:rsid w:val="01FA8A3E"/>
    <w:rsid w:val="01FDC10A"/>
    <w:rsid w:val="01FDCA82"/>
    <w:rsid w:val="01FE2D51"/>
    <w:rsid w:val="021309CB"/>
    <w:rsid w:val="021FA7C0"/>
    <w:rsid w:val="022A1250"/>
    <w:rsid w:val="022CD2DA"/>
    <w:rsid w:val="02404D66"/>
    <w:rsid w:val="02451886"/>
    <w:rsid w:val="0263D2C4"/>
    <w:rsid w:val="026E2D01"/>
    <w:rsid w:val="026EDDDE"/>
    <w:rsid w:val="027584C5"/>
    <w:rsid w:val="02759D38"/>
    <w:rsid w:val="02844CCB"/>
    <w:rsid w:val="0294A218"/>
    <w:rsid w:val="0297A5F6"/>
    <w:rsid w:val="029AEA26"/>
    <w:rsid w:val="029B9772"/>
    <w:rsid w:val="02A9CF00"/>
    <w:rsid w:val="02C31CC3"/>
    <w:rsid w:val="02CB5E1B"/>
    <w:rsid w:val="02D288B5"/>
    <w:rsid w:val="02D42892"/>
    <w:rsid w:val="02D5508A"/>
    <w:rsid w:val="02E1E59C"/>
    <w:rsid w:val="02EAD1BB"/>
    <w:rsid w:val="030DD6DF"/>
    <w:rsid w:val="0322B149"/>
    <w:rsid w:val="03324D8F"/>
    <w:rsid w:val="03359CA7"/>
    <w:rsid w:val="0338981C"/>
    <w:rsid w:val="033A4C43"/>
    <w:rsid w:val="033B64D9"/>
    <w:rsid w:val="033ED0A7"/>
    <w:rsid w:val="0340F2D5"/>
    <w:rsid w:val="03485E42"/>
    <w:rsid w:val="034EEF12"/>
    <w:rsid w:val="03610914"/>
    <w:rsid w:val="0365C019"/>
    <w:rsid w:val="0369B900"/>
    <w:rsid w:val="036A14C8"/>
    <w:rsid w:val="036B23F6"/>
    <w:rsid w:val="036E3848"/>
    <w:rsid w:val="037EA72A"/>
    <w:rsid w:val="0385FA7B"/>
    <w:rsid w:val="03A0E386"/>
    <w:rsid w:val="03AEFB22"/>
    <w:rsid w:val="03CE0629"/>
    <w:rsid w:val="03E139EC"/>
    <w:rsid w:val="03E7B457"/>
    <w:rsid w:val="03F7378B"/>
    <w:rsid w:val="040195F2"/>
    <w:rsid w:val="04021529"/>
    <w:rsid w:val="0403A2F2"/>
    <w:rsid w:val="040E81E8"/>
    <w:rsid w:val="0413C6FE"/>
    <w:rsid w:val="0417392E"/>
    <w:rsid w:val="04180B4D"/>
    <w:rsid w:val="04371A02"/>
    <w:rsid w:val="0438E034"/>
    <w:rsid w:val="043C00E9"/>
    <w:rsid w:val="043DE657"/>
    <w:rsid w:val="044D9B5C"/>
    <w:rsid w:val="045034D9"/>
    <w:rsid w:val="04533B91"/>
    <w:rsid w:val="04596B88"/>
    <w:rsid w:val="045D604B"/>
    <w:rsid w:val="045E34A5"/>
    <w:rsid w:val="0463D094"/>
    <w:rsid w:val="04646FD4"/>
    <w:rsid w:val="04738FBC"/>
    <w:rsid w:val="04746173"/>
    <w:rsid w:val="047949AE"/>
    <w:rsid w:val="0482E255"/>
    <w:rsid w:val="0496606C"/>
    <w:rsid w:val="04B2C380"/>
    <w:rsid w:val="04B63286"/>
    <w:rsid w:val="04BFC566"/>
    <w:rsid w:val="04CF8364"/>
    <w:rsid w:val="04DD819F"/>
    <w:rsid w:val="04DFC995"/>
    <w:rsid w:val="04E3D199"/>
    <w:rsid w:val="04E52A11"/>
    <w:rsid w:val="04E921CA"/>
    <w:rsid w:val="04EAD03C"/>
    <w:rsid w:val="04EF5D2C"/>
    <w:rsid w:val="050BCB3F"/>
    <w:rsid w:val="05158FA1"/>
    <w:rsid w:val="05203349"/>
    <w:rsid w:val="052643BC"/>
    <w:rsid w:val="052A05C1"/>
    <w:rsid w:val="052A69F3"/>
    <w:rsid w:val="052BCB2B"/>
    <w:rsid w:val="052D09E4"/>
    <w:rsid w:val="05548927"/>
    <w:rsid w:val="055676B2"/>
    <w:rsid w:val="056DB897"/>
    <w:rsid w:val="056EF221"/>
    <w:rsid w:val="05795D7F"/>
    <w:rsid w:val="057D63FB"/>
    <w:rsid w:val="0583C5DA"/>
    <w:rsid w:val="0588C065"/>
    <w:rsid w:val="058E2539"/>
    <w:rsid w:val="058FD9D1"/>
    <w:rsid w:val="05A57D1F"/>
    <w:rsid w:val="05A891E0"/>
    <w:rsid w:val="05BAD278"/>
    <w:rsid w:val="05CA156D"/>
    <w:rsid w:val="05DB8D04"/>
    <w:rsid w:val="05FBA4E4"/>
    <w:rsid w:val="0602C276"/>
    <w:rsid w:val="061882AF"/>
    <w:rsid w:val="062346C8"/>
    <w:rsid w:val="063A864E"/>
    <w:rsid w:val="063A8E79"/>
    <w:rsid w:val="0643584B"/>
    <w:rsid w:val="065AADFB"/>
    <w:rsid w:val="066A6532"/>
    <w:rsid w:val="066E458D"/>
    <w:rsid w:val="0671ED1D"/>
    <w:rsid w:val="06990176"/>
    <w:rsid w:val="06995FFB"/>
    <w:rsid w:val="069F4864"/>
    <w:rsid w:val="069FE203"/>
    <w:rsid w:val="06AA2322"/>
    <w:rsid w:val="06AF2057"/>
    <w:rsid w:val="06BE7A2D"/>
    <w:rsid w:val="06C6DBB6"/>
    <w:rsid w:val="06EB75F0"/>
    <w:rsid w:val="06F17B15"/>
    <w:rsid w:val="070F65B9"/>
    <w:rsid w:val="071D2BE2"/>
    <w:rsid w:val="07200416"/>
    <w:rsid w:val="07236A08"/>
    <w:rsid w:val="0726A68F"/>
    <w:rsid w:val="07339811"/>
    <w:rsid w:val="07388557"/>
    <w:rsid w:val="073D11B8"/>
    <w:rsid w:val="0745B685"/>
    <w:rsid w:val="074B22A7"/>
    <w:rsid w:val="0760E04E"/>
    <w:rsid w:val="0768C84E"/>
    <w:rsid w:val="07751295"/>
    <w:rsid w:val="077D9C34"/>
    <w:rsid w:val="0788390F"/>
    <w:rsid w:val="078D3FFE"/>
    <w:rsid w:val="0791D38E"/>
    <w:rsid w:val="079264A4"/>
    <w:rsid w:val="079380BB"/>
    <w:rsid w:val="079390B0"/>
    <w:rsid w:val="07967FCD"/>
    <w:rsid w:val="079B6C8B"/>
    <w:rsid w:val="079F1FAB"/>
    <w:rsid w:val="07C000E0"/>
    <w:rsid w:val="07C2F71A"/>
    <w:rsid w:val="07CF0E3B"/>
    <w:rsid w:val="07D9A772"/>
    <w:rsid w:val="07EBE9BF"/>
    <w:rsid w:val="07EEB845"/>
    <w:rsid w:val="07EEF2B9"/>
    <w:rsid w:val="07F4E5FA"/>
    <w:rsid w:val="080157D6"/>
    <w:rsid w:val="08017E1E"/>
    <w:rsid w:val="081A79F7"/>
    <w:rsid w:val="083BBD80"/>
    <w:rsid w:val="083BC55C"/>
    <w:rsid w:val="083E9410"/>
    <w:rsid w:val="084087CB"/>
    <w:rsid w:val="084366F8"/>
    <w:rsid w:val="08531126"/>
    <w:rsid w:val="085C29A9"/>
    <w:rsid w:val="085CE86A"/>
    <w:rsid w:val="087BE14E"/>
    <w:rsid w:val="088037BE"/>
    <w:rsid w:val="0884385C"/>
    <w:rsid w:val="088B21B2"/>
    <w:rsid w:val="088BB6E1"/>
    <w:rsid w:val="089516F3"/>
    <w:rsid w:val="0898BBF0"/>
    <w:rsid w:val="089CA7A9"/>
    <w:rsid w:val="08ADCD3E"/>
    <w:rsid w:val="08B3CEF4"/>
    <w:rsid w:val="08B78932"/>
    <w:rsid w:val="08DFFABE"/>
    <w:rsid w:val="08E0E5AF"/>
    <w:rsid w:val="08E9B7A3"/>
    <w:rsid w:val="091BA448"/>
    <w:rsid w:val="093345A6"/>
    <w:rsid w:val="093B8F92"/>
    <w:rsid w:val="0942D29E"/>
    <w:rsid w:val="09447811"/>
    <w:rsid w:val="09543939"/>
    <w:rsid w:val="09564AA3"/>
    <w:rsid w:val="095DFDD1"/>
    <w:rsid w:val="095E6F6E"/>
    <w:rsid w:val="097CAFE7"/>
    <w:rsid w:val="097D7E74"/>
    <w:rsid w:val="0982DA42"/>
    <w:rsid w:val="0998D3C4"/>
    <w:rsid w:val="09B7B818"/>
    <w:rsid w:val="09CFCA9E"/>
    <w:rsid w:val="09D09F15"/>
    <w:rsid w:val="09D4D336"/>
    <w:rsid w:val="09D628A8"/>
    <w:rsid w:val="09EBFA63"/>
    <w:rsid w:val="09F43150"/>
    <w:rsid w:val="09FA9A23"/>
    <w:rsid w:val="0A0222DC"/>
    <w:rsid w:val="0A0EA9DE"/>
    <w:rsid w:val="0A17CA56"/>
    <w:rsid w:val="0A19E602"/>
    <w:rsid w:val="0A1EBAD0"/>
    <w:rsid w:val="0A242916"/>
    <w:rsid w:val="0A438030"/>
    <w:rsid w:val="0A465CE4"/>
    <w:rsid w:val="0A5EB0CA"/>
    <w:rsid w:val="0A666168"/>
    <w:rsid w:val="0A746E6C"/>
    <w:rsid w:val="0A8EC10E"/>
    <w:rsid w:val="0A980837"/>
    <w:rsid w:val="0A989FBC"/>
    <w:rsid w:val="0AA6A0E2"/>
    <w:rsid w:val="0AA93DC4"/>
    <w:rsid w:val="0AC9274D"/>
    <w:rsid w:val="0AD287D2"/>
    <w:rsid w:val="0AD992B1"/>
    <w:rsid w:val="0AE08E47"/>
    <w:rsid w:val="0AEBDCA7"/>
    <w:rsid w:val="0B010A03"/>
    <w:rsid w:val="0B083A61"/>
    <w:rsid w:val="0B172F26"/>
    <w:rsid w:val="0B3154BE"/>
    <w:rsid w:val="0B32091F"/>
    <w:rsid w:val="0B3522BA"/>
    <w:rsid w:val="0B389AF2"/>
    <w:rsid w:val="0B44504D"/>
    <w:rsid w:val="0B5D3CB9"/>
    <w:rsid w:val="0B6ACAA1"/>
    <w:rsid w:val="0B74BAC2"/>
    <w:rsid w:val="0B762472"/>
    <w:rsid w:val="0B7CEE73"/>
    <w:rsid w:val="0B84B1DE"/>
    <w:rsid w:val="0BAC92F4"/>
    <w:rsid w:val="0BAE1349"/>
    <w:rsid w:val="0BAE1B7B"/>
    <w:rsid w:val="0BBFEC8D"/>
    <w:rsid w:val="0BC8EEDF"/>
    <w:rsid w:val="0BD21212"/>
    <w:rsid w:val="0BD7D75D"/>
    <w:rsid w:val="0BEA31B7"/>
    <w:rsid w:val="0BF48852"/>
    <w:rsid w:val="0BFEB0CC"/>
    <w:rsid w:val="0C12B641"/>
    <w:rsid w:val="0C145C54"/>
    <w:rsid w:val="0C15B253"/>
    <w:rsid w:val="0C18BD90"/>
    <w:rsid w:val="0C2F1AA4"/>
    <w:rsid w:val="0C338823"/>
    <w:rsid w:val="0C415A23"/>
    <w:rsid w:val="0C50E2F2"/>
    <w:rsid w:val="0C538162"/>
    <w:rsid w:val="0C556269"/>
    <w:rsid w:val="0C58B333"/>
    <w:rsid w:val="0C6CB877"/>
    <w:rsid w:val="0C6F6F60"/>
    <w:rsid w:val="0C7BD9D0"/>
    <w:rsid w:val="0C944EF6"/>
    <w:rsid w:val="0C9AC030"/>
    <w:rsid w:val="0C9F78DF"/>
    <w:rsid w:val="0CB7E9D2"/>
    <w:rsid w:val="0CC012AD"/>
    <w:rsid w:val="0CC5FDA3"/>
    <w:rsid w:val="0CDA9339"/>
    <w:rsid w:val="0CE7C1A2"/>
    <w:rsid w:val="0CE9F5D6"/>
    <w:rsid w:val="0CEAFDEC"/>
    <w:rsid w:val="0CEB3613"/>
    <w:rsid w:val="0CEFE184"/>
    <w:rsid w:val="0D113796"/>
    <w:rsid w:val="0D19B653"/>
    <w:rsid w:val="0D1C33F9"/>
    <w:rsid w:val="0D2978B8"/>
    <w:rsid w:val="0D2B02FC"/>
    <w:rsid w:val="0D301D9B"/>
    <w:rsid w:val="0D33DD08"/>
    <w:rsid w:val="0D36E26F"/>
    <w:rsid w:val="0D3E5F53"/>
    <w:rsid w:val="0D4095DE"/>
    <w:rsid w:val="0D5C35AE"/>
    <w:rsid w:val="0D6B3E7A"/>
    <w:rsid w:val="0D6C0928"/>
    <w:rsid w:val="0D6DDB64"/>
    <w:rsid w:val="0D77D4A2"/>
    <w:rsid w:val="0D7F1CA7"/>
    <w:rsid w:val="0D7F7CC8"/>
    <w:rsid w:val="0D82FEA0"/>
    <w:rsid w:val="0D862D1C"/>
    <w:rsid w:val="0D883D81"/>
    <w:rsid w:val="0D95249D"/>
    <w:rsid w:val="0DA0C37A"/>
    <w:rsid w:val="0DB1B60F"/>
    <w:rsid w:val="0DBA84B5"/>
    <w:rsid w:val="0DD2812E"/>
    <w:rsid w:val="0DE4542D"/>
    <w:rsid w:val="0DF6F372"/>
    <w:rsid w:val="0E02A866"/>
    <w:rsid w:val="0E21E3FE"/>
    <w:rsid w:val="0E27028A"/>
    <w:rsid w:val="0E4263AE"/>
    <w:rsid w:val="0E429F80"/>
    <w:rsid w:val="0E4BEA41"/>
    <w:rsid w:val="0E4EB5BF"/>
    <w:rsid w:val="0E523054"/>
    <w:rsid w:val="0E66FC41"/>
    <w:rsid w:val="0E67097A"/>
    <w:rsid w:val="0E783D07"/>
    <w:rsid w:val="0E7906C2"/>
    <w:rsid w:val="0E8512D5"/>
    <w:rsid w:val="0E9546DD"/>
    <w:rsid w:val="0EBE9ED6"/>
    <w:rsid w:val="0EC7E428"/>
    <w:rsid w:val="0EC7EA89"/>
    <w:rsid w:val="0ECA5419"/>
    <w:rsid w:val="0ECA664D"/>
    <w:rsid w:val="0ED220F9"/>
    <w:rsid w:val="0ED6C784"/>
    <w:rsid w:val="0EF55DAF"/>
    <w:rsid w:val="0EF97383"/>
    <w:rsid w:val="0F085C96"/>
    <w:rsid w:val="0F192656"/>
    <w:rsid w:val="0F1B70BF"/>
    <w:rsid w:val="0F31BC2E"/>
    <w:rsid w:val="0F393DF7"/>
    <w:rsid w:val="0F41A0A0"/>
    <w:rsid w:val="0F4DEFED"/>
    <w:rsid w:val="0F54C2FB"/>
    <w:rsid w:val="0F568700"/>
    <w:rsid w:val="0F69DC2A"/>
    <w:rsid w:val="0F7AEA61"/>
    <w:rsid w:val="0F86821F"/>
    <w:rsid w:val="0F8995E3"/>
    <w:rsid w:val="0F98BF7A"/>
    <w:rsid w:val="0F9E5420"/>
    <w:rsid w:val="0F9FD920"/>
    <w:rsid w:val="0F9FE3A4"/>
    <w:rsid w:val="0FA0E04B"/>
    <w:rsid w:val="0FB3B995"/>
    <w:rsid w:val="0FB851A8"/>
    <w:rsid w:val="0FBA0523"/>
    <w:rsid w:val="0FC1959D"/>
    <w:rsid w:val="0FE4072E"/>
    <w:rsid w:val="0FE913EC"/>
    <w:rsid w:val="0FFC35D5"/>
    <w:rsid w:val="10046DD7"/>
    <w:rsid w:val="1008DED9"/>
    <w:rsid w:val="100D1A5F"/>
    <w:rsid w:val="101D21DE"/>
    <w:rsid w:val="102271C0"/>
    <w:rsid w:val="102D30D8"/>
    <w:rsid w:val="103D42D3"/>
    <w:rsid w:val="103FBA86"/>
    <w:rsid w:val="1057FF97"/>
    <w:rsid w:val="10586D09"/>
    <w:rsid w:val="105DEA88"/>
    <w:rsid w:val="107AE44E"/>
    <w:rsid w:val="1082A03A"/>
    <w:rsid w:val="108AA578"/>
    <w:rsid w:val="10912D63"/>
    <w:rsid w:val="109D7075"/>
    <w:rsid w:val="10ABD5A9"/>
    <w:rsid w:val="10AC035C"/>
    <w:rsid w:val="10B6D31B"/>
    <w:rsid w:val="10BE5C07"/>
    <w:rsid w:val="10C0517B"/>
    <w:rsid w:val="10C684B1"/>
    <w:rsid w:val="10E66747"/>
    <w:rsid w:val="10F1E469"/>
    <w:rsid w:val="10F8B0FD"/>
    <w:rsid w:val="11049508"/>
    <w:rsid w:val="11070490"/>
    <w:rsid w:val="110976AB"/>
    <w:rsid w:val="110BA8D9"/>
    <w:rsid w:val="110ED7E8"/>
    <w:rsid w:val="1123EEE2"/>
    <w:rsid w:val="11241128"/>
    <w:rsid w:val="113DAED1"/>
    <w:rsid w:val="1153B068"/>
    <w:rsid w:val="115B0DE9"/>
    <w:rsid w:val="1177FCE9"/>
    <w:rsid w:val="11821800"/>
    <w:rsid w:val="119E486E"/>
    <w:rsid w:val="11A93829"/>
    <w:rsid w:val="11B75676"/>
    <w:rsid w:val="11CF1446"/>
    <w:rsid w:val="11D37324"/>
    <w:rsid w:val="11D3F1D0"/>
    <w:rsid w:val="11D866A7"/>
    <w:rsid w:val="11DBFD78"/>
    <w:rsid w:val="11DE681F"/>
    <w:rsid w:val="11E85E1D"/>
    <w:rsid w:val="11EC1145"/>
    <w:rsid w:val="11F8AC0E"/>
    <w:rsid w:val="11FD15F2"/>
    <w:rsid w:val="11FF94F9"/>
    <w:rsid w:val="120860FA"/>
    <w:rsid w:val="120FECB6"/>
    <w:rsid w:val="121E0BF4"/>
    <w:rsid w:val="12208DCF"/>
    <w:rsid w:val="1221DCC8"/>
    <w:rsid w:val="1222275B"/>
    <w:rsid w:val="1227EB37"/>
    <w:rsid w:val="122B9B5C"/>
    <w:rsid w:val="123A6B2D"/>
    <w:rsid w:val="123A80D9"/>
    <w:rsid w:val="12508F63"/>
    <w:rsid w:val="1253EE6C"/>
    <w:rsid w:val="125945A0"/>
    <w:rsid w:val="125D3E67"/>
    <w:rsid w:val="12612A9A"/>
    <w:rsid w:val="1265AA1F"/>
    <w:rsid w:val="126E0A39"/>
    <w:rsid w:val="1274EE3C"/>
    <w:rsid w:val="1282C6C6"/>
    <w:rsid w:val="12906CB9"/>
    <w:rsid w:val="12911CC1"/>
    <w:rsid w:val="1294E201"/>
    <w:rsid w:val="12975C0C"/>
    <w:rsid w:val="12AFEEC3"/>
    <w:rsid w:val="12BCFAC9"/>
    <w:rsid w:val="12C9D458"/>
    <w:rsid w:val="12DBA27B"/>
    <w:rsid w:val="12E0E9EA"/>
    <w:rsid w:val="12E2C0D1"/>
    <w:rsid w:val="12E59A74"/>
    <w:rsid w:val="12EACA98"/>
    <w:rsid w:val="12ED1D6B"/>
    <w:rsid w:val="12EDA5E2"/>
    <w:rsid w:val="12EDC17F"/>
    <w:rsid w:val="12F4AC51"/>
    <w:rsid w:val="12FA9D6B"/>
    <w:rsid w:val="13029F60"/>
    <w:rsid w:val="130774C2"/>
    <w:rsid w:val="130DFE62"/>
    <w:rsid w:val="1312B739"/>
    <w:rsid w:val="131D73AE"/>
    <w:rsid w:val="1324479F"/>
    <w:rsid w:val="1341A15F"/>
    <w:rsid w:val="1342CF8A"/>
    <w:rsid w:val="1344A49D"/>
    <w:rsid w:val="134708D8"/>
    <w:rsid w:val="1348F463"/>
    <w:rsid w:val="1351C9F7"/>
    <w:rsid w:val="13542011"/>
    <w:rsid w:val="1358B93F"/>
    <w:rsid w:val="135C3B02"/>
    <w:rsid w:val="135D2447"/>
    <w:rsid w:val="13647899"/>
    <w:rsid w:val="136598D0"/>
    <w:rsid w:val="13675905"/>
    <w:rsid w:val="13846525"/>
    <w:rsid w:val="1391C078"/>
    <w:rsid w:val="13949ABE"/>
    <w:rsid w:val="139BC99A"/>
    <w:rsid w:val="139D7B15"/>
    <w:rsid w:val="13A8A4E7"/>
    <w:rsid w:val="13A9534F"/>
    <w:rsid w:val="13AAF1BA"/>
    <w:rsid w:val="13AE6F45"/>
    <w:rsid w:val="13AF87DB"/>
    <w:rsid w:val="13B94CEA"/>
    <w:rsid w:val="13BDC5E6"/>
    <w:rsid w:val="13BE1F13"/>
    <w:rsid w:val="13C53AA5"/>
    <w:rsid w:val="13C76DCF"/>
    <w:rsid w:val="13C8C3C6"/>
    <w:rsid w:val="13D00447"/>
    <w:rsid w:val="13F5A100"/>
    <w:rsid w:val="140622CE"/>
    <w:rsid w:val="1407497F"/>
    <w:rsid w:val="1407CA33"/>
    <w:rsid w:val="140BD6BB"/>
    <w:rsid w:val="14116714"/>
    <w:rsid w:val="141C6BA9"/>
    <w:rsid w:val="142E526A"/>
    <w:rsid w:val="142F576F"/>
    <w:rsid w:val="143479E9"/>
    <w:rsid w:val="1445A0A9"/>
    <w:rsid w:val="1454AECD"/>
    <w:rsid w:val="1456151F"/>
    <w:rsid w:val="1456A482"/>
    <w:rsid w:val="145B37F7"/>
    <w:rsid w:val="145B3C87"/>
    <w:rsid w:val="145B94DA"/>
    <w:rsid w:val="145CCB85"/>
    <w:rsid w:val="145D4EF5"/>
    <w:rsid w:val="1461821C"/>
    <w:rsid w:val="1463CF3A"/>
    <w:rsid w:val="1466BA1D"/>
    <w:rsid w:val="1468DA41"/>
    <w:rsid w:val="146CE8E3"/>
    <w:rsid w:val="146F43DF"/>
    <w:rsid w:val="1470CFA0"/>
    <w:rsid w:val="14724E67"/>
    <w:rsid w:val="147E573B"/>
    <w:rsid w:val="148B3F7A"/>
    <w:rsid w:val="148F183E"/>
    <w:rsid w:val="14955FC3"/>
    <w:rsid w:val="149C6B83"/>
    <w:rsid w:val="149CF5BE"/>
    <w:rsid w:val="14A4F1FD"/>
    <w:rsid w:val="14B63496"/>
    <w:rsid w:val="14CE03C6"/>
    <w:rsid w:val="14D6C6A7"/>
    <w:rsid w:val="14D76721"/>
    <w:rsid w:val="14F0B435"/>
    <w:rsid w:val="14F717D3"/>
    <w:rsid w:val="150699CE"/>
    <w:rsid w:val="151402B7"/>
    <w:rsid w:val="15216133"/>
    <w:rsid w:val="152B7C17"/>
    <w:rsid w:val="15436B3E"/>
    <w:rsid w:val="154B7D19"/>
    <w:rsid w:val="1553731C"/>
    <w:rsid w:val="155422A8"/>
    <w:rsid w:val="155873D9"/>
    <w:rsid w:val="155AADE3"/>
    <w:rsid w:val="155C641D"/>
    <w:rsid w:val="15621703"/>
    <w:rsid w:val="156747C5"/>
    <w:rsid w:val="15695E01"/>
    <w:rsid w:val="156BB864"/>
    <w:rsid w:val="15786D35"/>
    <w:rsid w:val="157E9179"/>
    <w:rsid w:val="15860DA7"/>
    <w:rsid w:val="158B010B"/>
    <w:rsid w:val="158D917D"/>
    <w:rsid w:val="159822AF"/>
    <w:rsid w:val="15A8680B"/>
    <w:rsid w:val="15B52D35"/>
    <w:rsid w:val="15BFEFFB"/>
    <w:rsid w:val="15C17BB8"/>
    <w:rsid w:val="15C379C3"/>
    <w:rsid w:val="15EC617F"/>
    <w:rsid w:val="15F908CE"/>
    <w:rsid w:val="15FA6415"/>
    <w:rsid w:val="15FAD7D8"/>
    <w:rsid w:val="16001411"/>
    <w:rsid w:val="160674A5"/>
    <w:rsid w:val="162BC640"/>
    <w:rsid w:val="16335C3F"/>
    <w:rsid w:val="1663DF11"/>
    <w:rsid w:val="16684222"/>
    <w:rsid w:val="1671AA80"/>
    <w:rsid w:val="167C035D"/>
    <w:rsid w:val="167F614F"/>
    <w:rsid w:val="167FB92A"/>
    <w:rsid w:val="16A66DD8"/>
    <w:rsid w:val="16AD1F76"/>
    <w:rsid w:val="16B4346B"/>
    <w:rsid w:val="16BBE870"/>
    <w:rsid w:val="16D10782"/>
    <w:rsid w:val="16D25D4D"/>
    <w:rsid w:val="16D4F71E"/>
    <w:rsid w:val="16DC3439"/>
    <w:rsid w:val="16DD1C70"/>
    <w:rsid w:val="16DED3F6"/>
    <w:rsid w:val="16E81CD6"/>
    <w:rsid w:val="16EAF1D8"/>
    <w:rsid w:val="16EC8A56"/>
    <w:rsid w:val="16F9CDFA"/>
    <w:rsid w:val="170938AC"/>
    <w:rsid w:val="170C6E8E"/>
    <w:rsid w:val="171262DB"/>
    <w:rsid w:val="1718B441"/>
    <w:rsid w:val="171E7257"/>
    <w:rsid w:val="171F3F6E"/>
    <w:rsid w:val="171F4794"/>
    <w:rsid w:val="1727CD4A"/>
    <w:rsid w:val="172F7EEF"/>
    <w:rsid w:val="1739968E"/>
    <w:rsid w:val="173B0BD1"/>
    <w:rsid w:val="174054F5"/>
    <w:rsid w:val="176641D5"/>
    <w:rsid w:val="176AE3C3"/>
    <w:rsid w:val="176D5AED"/>
    <w:rsid w:val="176F1D9A"/>
    <w:rsid w:val="1771B4EC"/>
    <w:rsid w:val="1777EA9E"/>
    <w:rsid w:val="177A892F"/>
    <w:rsid w:val="17866212"/>
    <w:rsid w:val="17890D7F"/>
    <w:rsid w:val="178CE823"/>
    <w:rsid w:val="17979AEC"/>
    <w:rsid w:val="17A61FCA"/>
    <w:rsid w:val="17A69A6C"/>
    <w:rsid w:val="17A98E5C"/>
    <w:rsid w:val="17AC44E1"/>
    <w:rsid w:val="17B2FBF2"/>
    <w:rsid w:val="17B54146"/>
    <w:rsid w:val="17B68B8F"/>
    <w:rsid w:val="17D0CA8C"/>
    <w:rsid w:val="17D2494A"/>
    <w:rsid w:val="17D42E6A"/>
    <w:rsid w:val="17E02DEF"/>
    <w:rsid w:val="17E99B9A"/>
    <w:rsid w:val="17F04A08"/>
    <w:rsid w:val="17F2B88E"/>
    <w:rsid w:val="17F634AE"/>
    <w:rsid w:val="17FDADA3"/>
    <w:rsid w:val="17FEE251"/>
    <w:rsid w:val="1802C39C"/>
    <w:rsid w:val="1806D24C"/>
    <w:rsid w:val="18076B04"/>
    <w:rsid w:val="180781E4"/>
    <w:rsid w:val="1808765A"/>
    <w:rsid w:val="180CC699"/>
    <w:rsid w:val="1814B9FF"/>
    <w:rsid w:val="1815F935"/>
    <w:rsid w:val="181A5E05"/>
    <w:rsid w:val="18324E56"/>
    <w:rsid w:val="18386215"/>
    <w:rsid w:val="183CCAC9"/>
    <w:rsid w:val="183E17D5"/>
    <w:rsid w:val="183E8F83"/>
    <w:rsid w:val="1840324A"/>
    <w:rsid w:val="1845DC1C"/>
    <w:rsid w:val="18518423"/>
    <w:rsid w:val="1851CE9B"/>
    <w:rsid w:val="18559A50"/>
    <w:rsid w:val="1865FCAF"/>
    <w:rsid w:val="18689D78"/>
    <w:rsid w:val="186A7210"/>
    <w:rsid w:val="186B226C"/>
    <w:rsid w:val="1878A542"/>
    <w:rsid w:val="188CC783"/>
    <w:rsid w:val="189F83FA"/>
    <w:rsid w:val="18AAB37B"/>
    <w:rsid w:val="18B1E972"/>
    <w:rsid w:val="18BBF1BF"/>
    <w:rsid w:val="18BCBBD9"/>
    <w:rsid w:val="18CB6A56"/>
    <w:rsid w:val="18CEB1E5"/>
    <w:rsid w:val="18D0BC9C"/>
    <w:rsid w:val="18DAB256"/>
    <w:rsid w:val="18DC0D59"/>
    <w:rsid w:val="18E17F5D"/>
    <w:rsid w:val="18E2C62A"/>
    <w:rsid w:val="18F109CE"/>
    <w:rsid w:val="191993F3"/>
    <w:rsid w:val="19264DD0"/>
    <w:rsid w:val="192E9876"/>
    <w:rsid w:val="19312BD9"/>
    <w:rsid w:val="19437D70"/>
    <w:rsid w:val="194DB798"/>
    <w:rsid w:val="194E17B0"/>
    <w:rsid w:val="194E2C9E"/>
    <w:rsid w:val="19570271"/>
    <w:rsid w:val="195AC6C9"/>
    <w:rsid w:val="1964A633"/>
    <w:rsid w:val="19653389"/>
    <w:rsid w:val="1973F5E4"/>
    <w:rsid w:val="1981FC76"/>
    <w:rsid w:val="1990B6D1"/>
    <w:rsid w:val="19AC87E5"/>
    <w:rsid w:val="19AFDE47"/>
    <w:rsid w:val="19C9447D"/>
    <w:rsid w:val="19CD0851"/>
    <w:rsid w:val="19D81ECD"/>
    <w:rsid w:val="19F07051"/>
    <w:rsid w:val="19F3AAAC"/>
    <w:rsid w:val="19F77AD8"/>
    <w:rsid w:val="1A0D5C0B"/>
    <w:rsid w:val="1A125B69"/>
    <w:rsid w:val="1A1F753D"/>
    <w:rsid w:val="1A20809B"/>
    <w:rsid w:val="1A288661"/>
    <w:rsid w:val="1A33FBB0"/>
    <w:rsid w:val="1A44F818"/>
    <w:rsid w:val="1A4F4A8A"/>
    <w:rsid w:val="1A5324A0"/>
    <w:rsid w:val="1A5608DD"/>
    <w:rsid w:val="1A5F2D1B"/>
    <w:rsid w:val="1A66C31A"/>
    <w:rsid w:val="1A6D10E8"/>
    <w:rsid w:val="1A74805C"/>
    <w:rsid w:val="1A8E9358"/>
    <w:rsid w:val="1A92C153"/>
    <w:rsid w:val="1A9751FA"/>
    <w:rsid w:val="1AA0ABA8"/>
    <w:rsid w:val="1AA3CC3F"/>
    <w:rsid w:val="1AB066B3"/>
    <w:rsid w:val="1AB14DE5"/>
    <w:rsid w:val="1AB4A9AD"/>
    <w:rsid w:val="1AB5260C"/>
    <w:rsid w:val="1AB9F38D"/>
    <w:rsid w:val="1ABB9AE0"/>
    <w:rsid w:val="1AC5249C"/>
    <w:rsid w:val="1ACF8532"/>
    <w:rsid w:val="1AD6EE87"/>
    <w:rsid w:val="1AEC5DF0"/>
    <w:rsid w:val="1AF88FC1"/>
    <w:rsid w:val="1AFEBB15"/>
    <w:rsid w:val="1B020B59"/>
    <w:rsid w:val="1B04342D"/>
    <w:rsid w:val="1B0C4B2C"/>
    <w:rsid w:val="1B115A16"/>
    <w:rsid w:val="1B118CCF"/>
    <w:rsid w:val="1B124DEB"/>
    <w:rsid w:val="1B284747"/>
    <w:rsid w:val="1B2C00B1"/>
    <w:rsid w:val="1B3B3F83"/>
    <w:rsid w:val="1B3C7014"/>
    <w:rsid w:val="1B47624D"/>
    <w:rsid w:val="1B5211B0"/>
    <w:rsid w:val="1B5F2D05"/>
    <w:rsid w:val="1B69666E"/>
    <w:rsid w:val="1B6B70D2"/>
    <w:rsid w:val="1B72F176"/>
    <w:rsid w:val="1B788F5A"/>
    <w:rsid w:val="1B79E43A"/>
    <w:rsid w:val="1B843771"/>
    <w:rsid w:val="1B8C5C8C"/>
    <w:rsid w:val="1B961E90"/>
    <w:rsid w:val="1BA19C97"/>
    <w:rsid w:val="1BAAFB3D"/>
    <w:rsid w:val="1BB96FBA"/>
    <w:rsid w:val="1BC05632"/>
    <w:rsid w:val="1BCB9FEB"/>
    <w:rsid w:val="1BCDB360"/>
    <w:rsid w:val="1BD6BFB4"/>
    <w:rsid w:val="1BDB7413"/>
    <w:rsid w:val="1C19EFE5"/>
    <w:rsid w:val="1C1A490D"/>
    <w:rsid w:val="1C3377D9"/>
    <w:rsid w:val="1C3436CF"/>
    <w:rsid w:val="1C36B4AD"/>
    <w:rsid w:val="1C376FA3"/>
    <w:rsid w:val="1C465130"/>
    <w:rsid w:val="1C4D2513"/>
    <w:rsid w:val="1C563AB4"/>
    <w:rsid w:val="1C5FD375"/>
    <w:rsid w:val="1C64A53F"/>
    <w:rsid w:val="1C67C489"/>
    <w:rsid w:val="1C6A1C4E"/>
    <w:rsid w:val="1C6CC6BC"/>
    <w:rsid w:val="1C7E2444"/>
    <w:rsid w:val="1C7EB1C1"/>
    <w:rsid w:val="1C8101C6"/>
    <w:rsid w:val="1C93F3FC"/>
    <w:rsid w:val="1C9FE35E"/>
    <w:rsid w:val="1CA071E2"/>
    <w:rsid w:val="1CA23BF9"/>
    <w:rsid w:val="1CA349B1"/>
    <w:rsid w:val="1CA59F34"/>
    <w:rsid w:val="1CB174D8"/>
    <w:rsid w:val="1CBCC484"/>
    <w:rsid w:val="1CCA32DD"/>
    <w:rsid w:val="1CD5F802"/>
    <w:rsid w:val="1CE8632C"/>
    <w:rsid w:val="1CEAF771"/>
    <w:rsid w:val="1CF5E0A3"/>
    <w:rsid w:val="1D103BEC"/>
    <w:rsid w:val="1D15B278"/>
    <w:rsid w:val="1D2B8183"/>
    <w:rsid w:val="1D2CE270"/>
    <w:rsid w:val="1D59F679"/>
    <w:rsid w:val="1D7ABC60"/>
    <w:rsid w:val="1D7D04AB"/>
    <w:rsid w:val="1D97FD6C"/>
    <w:rsid w:val="1D99E518"/>
    <w:rsid w:val="1DA11F5F"/>
    <w:rsid w:val="1DA29D2A"/>
    <w:rsid w:val="1DC3EFA1"/>
    <w:rsid w:val="1DEB1559"/>
    <w:rsid w:val="1DEC7939"/>
    <w:rsid w:val="1DEDB6E8"/>
    <w:rsid w:val="1E08AEEF"/>
    <w:rsid w:val="1E152CB5"/>
    <w:rsid w:val="1E2064A9"/>
    <w:rsid w:val="1E24FAF3"/>
    <w:rsid w:val="1E2BEF0D"/>
    <w:rsid w:val="1E33536F"/>
    <w:rsid w:val="1E3361EE"/>
    <w:rsid w:val="1E3C2AA5"/>
    <w:rsid w:val="1E3C67CB"/>
    <w:rsid w:val="1E45B617"/>
    <w:rsid w:val="1E4BD1E5"/>
    <w:rsid w:val="1E52B35E"/>
    <w:rsid w:val="1E5D38F1"/>
    <w:rsid w:val="1E6552D0"/>
    <w:rsid w:val="1E680358"/>
    <w:rsid w:val="1E6E3B93"/>
    <w:rsid w:val="1E755452"/>
    <w:rsid w:val="1E7E3F64"/>
    <w:rsid w:val="1E808D46"/>
    <w:rsid w:val="1E809163"/>
    <w:rsid w:val="1E8C6B5D"/>
    <w:rsid w:val="1E921D70"/>
    <w:rsid w:val="1E9BEA65"/>
    <w:rsid w:val="1EA10582"/>
    <w:rsid w:val="1EA3A1DA"/>
    <w:rsid w:val="1EA7CDC1"/>
    <w:rsid w:val="1EA95B1C"/>
    <w:rsid w:val="1EB1DDA3"/>
    <w:rsid w:val="1EBC7DB1"/>
    <w:rsid w:val="1EC0D4FF"/>
    <w:rsid w:val="1EC875D4"/>
    <w:rsid w:val="1EE05FAF"/>
    <w:rsid w:val="1EE43BEB"/>
    <w:rsid w:val="1EFA01F5"/>
    <w:rsid w:val="1EFA65D7"/>
    <w:rsid w:val="1EFBD1FE"/>
    <w:rsid w:val="1EFC8217"/>
    <w:rsid w:val="1F04DF88"/>
    <w:rsid w:val="1F2012DD"/>
    <w:rsid w:val="1F307BF2"/>
    <w:rsid w:val="1F3B147F"/>
    <w:rsid w:val="1F466319"/>
    <w:rsid w:val="1F4EAEF5"/>
    <w:rsid w:val="1F504617"/>
    <w:rsid w:val="1F67DFFE"/>
    <w:rsid w:val="1F69A8C9"/>
    <w:rsid w:val="1F714441"/>
    <w:rsid w:val="1F7EC3AE"/>
    <w:rsid w:val="1F8BB53C"/>
    <w:rsid w:val="1F9A9A65"/>
    <w:rsid w:val="1FAC85AE"/>
    <w:rsid w:val="1FAC90BF"/>
    <w:rsid w:val="1FB310AF"/>
    <w:rsid w:val="1FC4B40B"/>
    <w:rsid w:val="1FCB357B"/>
    <w:rsid w:val="1FCFC106"/>
    <w:rsid w:val="1FD95771"/>
    <w:rsid w:val="1FDEC487"/>
    <w:rsid w:val="1FE8D2FB"/>
    <w:rsid w:val="1FE90170"/>
    <w:rsid w:val="1FF58979"/>
    <w:rsid w:val="20050F8E"/>
    <w:rsid w:val="20106F83"/>
    <w:rsid w:val="2010D211"/>
    <w:rsid w:val="202861C4"/>
    <w:rsid w:val="20316C6A"/>
    <w:rsid w:val="203842A1"/>
    <w:rsid w:val="204A694E"/>
    <w:rsid w:val="2050FD0E"/>
    <w:rsid w:val="205CB572"/>
    <w:rsid w:val="20617059"/>
    <w:rsid w:val="20679D27"/>
    <w:rsid w:val="2069DE05"/>
    <w:rsid w:val="206EFFA4"/>
    <w:rsid w:val="207053E3"/>
    <w:rsid w:val="207E5816"/>
    <w:rsid w:val="208E655F"/>
    <w:rsid w:val="2097FB18"/>
    <w:rsid w:val="20B85356"/>
    <w:rsid w:val="20C5AF4B"/>
    <w:rsid w:val="20C8B050"/>
    <w:rsid w:val="20CA1D1E"/>
    <w:rsid w:val="20CC4C47"/>
    <w:rsid w:val="20D0C38D"/>
    <w:rsid w:val="20D10170"/>
    <w:rsid w:val="20D4D14A"/>
    <w:rsid w:val="20DB0B9A"/>
    <w:rsid w:val="20E7373B"/>
    <w:rsid w:val="20FC94EF"/>
    <w:rsid w:val="20FD58DA"/>
    <w:rsid w:val="21003437"/>
    <w:rsid w:val="2105A908"/>
    <w:rsid w:val="2114F112"/>
    <w:rsid w:val="211A90AE"/>
    <w:rsid w:val="2129B46D"/>
    <w:rsid w:val="212EC324"/>
    <w:rsid w:val="2132B5B9"/>
    <w:rsid w:val="21383028"/>
    <w:rsid w:val="213959C3"/>
    <w:rsid w:val="213CC36E"/>
    <w:rsid w:val="21412424"/>
    <w:rsid w:val="2144AD2B"/>
    <w:rsid w:val="2151ABE1"/>
    <w:rsid w:val="2165AF76"/>
    <w:rsid w:val="2171751E"/>
    <w:rsid w:val="2181A289"/>
    <w:rsid w:val="218E9517"/>
    <w:rsid w:val="2195B71A"/>
    <w:rsid w:val="2199B0F5"/>
    <w:rsid w:val="21A3CBCA"/>
    <w:rsid w:val="21A3F034"/>
    <w:rsid w:val="21A6230F"/>
    <w:rsid w:val="21AB7F42"/>
    <w:rsid w:val="21C600B1"/>
    <w:rsid w:val="21CA84B2"/>
    <w:rsid w:val="21D9329A"/>
    <w:rsid w:val="22071299"/>
    <w:rsid w:val="221CC0E4"/>
    <w:rsid w:val="22380027"/>
    <w:rsid w:val="22437564"/>
    <w:rsid w:val="22470192"/>
    <w:rsid w:val="22493DDE"/>
    <w:rsid w:val="225DC757"/>
    <w:rsid w:val="22733972"/>
    <w:rsid w:val="2290A363"/>
    <w:rsid w:val="2299C498"/>
    <w:rsid w:val="22A084F6"/>
    <w:rsid w:val="22AE8A53"/>
    <w:rsid w:val="22B67615"/>
    <w:rsid w:val="22BEAD3F"/>
    <w:rsid w:val="22CA6BBA"/>
    <w:rsid w:val="22D95D16"/>
    <w:rsid w:val="22E4E5B4"/>
    <w:rsid w:val="22E84C5F"/>
    <w:rsid w:val="22F1CB88"/>
    <w:rsid w:val="23038BAD"/>
    <w:rsid w:val="2309BAA9"/>
    <w:rsid w:val="231372DE"/>
    <w:rsid w:val="2326CA86"/>
    <w:rsid w:val="232C9E11"/>
    <w:rsid w:val="2339EEF5"/>
    <w:rsid w:val="23413AA9"/>
    <w:rsid w:val="2347092E"/>
    <w:rsid w:val="23483434"/>
    <w:rsid w:val="2348983C"/>
    <w:rsid w:val="2348EE70"/>
    <w:rsid w:val="234AB935"/>
    <w:rsid w:val="2350549C"/>
    <w:rsid w:val="235627B5"/>
    <w:rsid w:val="235D83F7"/>
    <w:rsid w:val="23621B37"/>
    <w:rsid w:val="236860A8"/>
    <w:rsid w:val="23720B7D"/>
    <w:rsid w:val="23732E41"/>
    <w:rsid w:val="23747C8D"/>
    <w:rsid w:val="2374F3A6"/>
    <w:rsid w:val="2376773F"/>
    <w:rsid w:val="2376F226"/>
    <w:rsid w:val="23791A29"/>
    <w:rsid w:val="237C0C94"/>
    <w:rsid w:val="23852E02"/>
    <w:rsid w:val="238FF77D"/>
    <w:rsid w:val="23910AD1"/>
    <w:rsid w:val="23914F67"/>
    <w:rsid w:val="2399F2F3"/>
    <w:rsid w:val="239A8DFF"/>
    <w:rsid w:val="239C42B8"/>
    <w:rsid w:val="23A06957"/>
    <w:rsid w:val="23A79E9D"/>
    <w:rsid w:val="23AD1B13"/>
    <w:rsid w:val="23B1A92C"/>
    <w:rsid w:val="23B5A370"/>
    <w:rsid w:val="23C87A48"/>
    <w:rsid w:val="23CDA8EE"/>
    <w:rsid w:val="23D82C9B"/>
    <w:rsid w:val="23F02BB7"/>
    <w:rsid w:val="23F100DE"/>
    <w:rsid w:val="23F46A5D"/>
    <w:rsid w:val="23F786F1"/>
    <w:rsid w:val="240121BA"/>
    <w:rsid w:val="240229D6"/>
    <w:rsid w:val="24163752"/>
    <w:rsid w:val="24182755"/>
    <w:rsid w:val="241AACA0"/>
    <w:rsid w:val="241D7F19"/>
    <w:rsid w:val="2427CE3C"/>
    <w:rsid w:val="24288405"/>
    <w:rsid w:val="242A1186"/>
    <w:rsid w:val="24322BC2"/>
    <w:rsid w:val="24475CDF"/>
    <w:rsid w:val="244C78F7"/>
    <w:rsid w:val="244FF4F5"/>
    <w:rsid w:val="2458CAC3"/>
    <w:rsid w:val="2471DF28"/>
    <w:rsid w:val="247833F2"/>
    <w:rsid w:val="247F487C"/>
    <w:rsid w:val="2481D668"/>
    <w:rsid w:val="2488FB24"/>
    <w:rsid w:val="248F2327"/>
    <w:rsid w:val="24916DEB"/>
    <w:rsid w:val="2498D108"/>
    <w:rsid w:val="24BA4F15"/>
    <w:rsid w:val="24C4ED45"/>
    <w:rsid w:val="24C79D03"/>
    <w:rsid w:val="24D55055"/>
    <w:rsid w:val="24EBBB80"/>
    <w:rsid w:val="24F82475"/>
    <w:rsid w:val="25134DD7"/>
    <w:rsid w:val="25196448"/>
    <w:rsid w:val="251BDADB"/>
    <w:rsid w:val="252F4930"/>
    <w:rsid w:val="253519E4"/>
    <w:rsid w:val="25388739"/>
    <w:rsid w:val="253A93E5"/>
    <w:rsid w:val="2541A651"/>
    <w:rsid w:val="255322C8"/>
    <w:rsid w:val="2556E02C"/>
    <w:rsid w:val="2570D18E"/>
    <w:rsid w:val="2572A247"/>
    <w:rsid w:val="2573E45F"/>
    <w:rsid w:val="2583B61F"/>
    <w:rsid w:val="258642FC"/>
    <w:rsid w:val="2589586B"/>
    <w:rsid w:val="258B77E7"/>
    <w:rsid w:val="25A610A6"/>
    <w:rsid w:val="25AAABCB"/>
    <w:rsid w:val="25BAF5AD"/>
    <w:rsid w:val="25DD2B88"/>
    <w:rsid w:val="25E3FD8F"/>
    <w:rsid w:val="25E9F90F"/>
    <w:rsid w:val="25F7AC5E"/>
    <w:rsid w:val="26162263"/>
    <w:rsid w:val="263C05DB"/>
    <w:rsid w:val="264993E1"/>
    <w:rsid w:val="265A7134"/>
    <w:rsid w:val="265C91AB"/>
    <w:rsid w:val="2666D18F"/>
    <w:rsid w:val="2669A6F2"/>
    <w:rsid w:val="268134AD"/>
    <w:rsid w:val="2684D468"/>
    <w:rsid w:val="268577C7"/>
    <w:rsid w:val="268A4C1E"/>
    <w:rsid w:val="268FD560"/>
    <w:rsid w:val="26A4628B"/>
    <w:rsid w:val="26B365B2"/>
    <w:rsid w:val="26B5D6DB"/>
    <w:rsid w:val="26BBC193"/>
    <w:rsid w:val="26CA1C00"/>
    <w:rsid w:val="26CE1F7E"/>
    <w:rsid w:val="26EAED31"/>
    <w:rsid w:val="26EB996B"/>
    <w:rsid w:val="26F78EC1"/>
    <w:rsid w:val="26FF130D"/>
    <w:rsid w:val="270952B2"/>
    <w:rsid w:val="270E5791"/>
    <w:rsid w:val="2719C5E2"/>
    <w:rsid w:val="271FFF62"/>
    <w:rsid w:val="27220D45"/>
    <w:rsid w:val="2731CAAD"/>
    <w:rsid w:val="2735762C"/>
    <w:rsid w:val="27444B3C"/>
    <w:rsid w:val="27541D10"/>
    <w:rsid w:val="277514C4"/>
    <w:rsid w:val="278347FF"/>
    <w:rsid w:val="27864B56"/>
    <w:rsid w:val="27B327E2"/>
    <w:rsid w:val="27BB39C9"/>
    <w:rsid w:val="27CBE1A1"/>
    <w:rsid w:val="27D7CD44"/>
    <w:rsid w:val="27E7216A"/>
    <w:rsid w:val="28091049"/>
    <w:rsid w:val="28160F91"/>
    <w:rsid w:val="28315A43"/>
    <w:rsid w:val="2832D4A5"/>
    <w:rsid w:val="284EF822"/>
    <w:rsid w:val="28583672"/>
    <w:rsid w:val="28601313"/>
    <w:rsid w:val="28709F0E"/>
    <w:rsid w:val="287D342D"/>
    <w:rsid w:val="288395EC"/>
    <w:rsid w:val="2886F269"/>
    <w:rsid w:val="2893FC55"/>
    <w:rsid w:val="28A584D4"/>
    <w:rsid w:val="28B00DF7"/>
    <w:rsid w:val="28C4271C"/>
    <w:rsid w:val="28CB8DED"/>
    <w:rsid w:val="28D30731"/>
    <w:rsid w:val="28D6C5F0"/>
    <w:rsid w:val="28E1DA94"/>
    <w:rsid w:val="28F40DC2"/>
    <w:rsid w:val="28F8E357"/>
    <w:rsid w:val="290BAB8D"/>
    <w:rsid w:val="290CF171"/>
    <w:rsid w:val="291A70ED"/>
    <w:rsid w:val="291AD172"/>
    <w:rsid w:val="291CA88B"/>
    <w:rsid w:val="2926DB89"/>
    <w:rsid w:val="292E8BC3"/>
    <w:rsid w:val="292ED90B"/>
    <w:rsid w:val="29377F0E"/>
    <w:rsid w:val="293B6F97"/>
    <w:rsid w:val="293C279F"/>
    <w:rsid w:val="29415024"/>
    <w:rsid w:val="2946A0E0"/>
    <w:rsid w:val="295F8079"/>
    <w:rsid w:val="2961675F"/>
    <w:rsid w:val="2964BAEC"/>
    <w:rsid w:val="2964E0F0"/>
    <w:rsid w:val="296F6C31"/>
    <w:rsid w:val="2982E3CA"/>
    <w:rsid w:val="298E0023"/>
    <w:rsid w:val="2990D260"/>
    <w:rsid w:val="29A43E87"/>
    <w:rsid w:val="29AD78FD"/>
    <w:rsid w:val="29B9AD08"/>
    <w:rsid w:val="29C188A5"/>
    <w:rsid w:val="29C3AF55"/>
    <w:rsid w:val="29C59BF0"/>
    <w:rsid w:val="29CBA223"/>
    <w:rsid w:val="29D776EB"/>
    <w:rsid w:val="29DE9A44"/>
    <w:rsid w:val="29DEDBAE"/>
    <w:rsid w:val="29EAB752"/>
    <w:rsid w:val="29EBEC08"/>
    <w:rsid w:val="29EDF2BE"/>
    <w:rsid w:val="29FF0451"/>
    <w:rsid w:val="2A05EF3A"/>
    <w:rsid w:val="2A1478B0"/>
    <w:rsid w:val="2A277C3D"/>
    <w:rsid w:val="2A342D1C"/>
    <w:rsid w:val="2A3741E2"/>
    <w:rsid w:val="2A4521DD"/>
    <w:rsid w:val="2A45BED7"/>
    <w:rsid w:val="2A4D6793"/>
    <w:rsid w:val="2A5C8A34"/>
    <w:rsid w:val="2A6804CF"/>
    <w:rsid w:val="2A718BBA"/>
    <w:rsid w:val="2A775D76"/>
    <w:rsid w:val="2A7CD5CE"/>
    <w:rsid w:val="2A81122F"/>
    <w:rsid w:val="2A9127B6"/>
    <w:rsid w:val="2A9F9A11"/>
    <w:rsid w:val="2AA48CE4"/>
    <w:rsid w:val="2AABC23E"/>
    <w:rsid w:val="2AB0D898"/>
    <w:rsid w:val="2AB4F2C9"/>
    <w:rsid w:val="2AB768EA"/>
    <w:rsid w:val="2AC97CBE"/>
    <w:rsid w:val="2AD2E687"/>
    <w:rsid w:val="2AD4342E"/>
    <w:rsid w:val="2AD7188D"/>
    <w:rsid w:val="2AD99E69"/>
    <w:rsid w:val="2ADA0757"/>
    <w:rsid w:val="2AEFC3A7"/>
    <w:rsid w:val="2AFA8DFC"/>
    <w:rsid w:val="2AFCE41E"/>
    <w:rsid w:val="2B08CF5E"/>
    <w:rsid w:val="2B0C19E9"/>
    <w:rsid w:val="2B2456E5"/>
    <w:rsid w:val="2B29D0BF"/>
    <w:rsid w:val="2B2CD3D3"/>
    <w:rsid w:val="2B2EF5BF"/>
    <w:rsid w:val="2B3093E0"/>
    <w:rsid w:val="2B342E0C"/>
    <w:rsid w:val="2B4EE19A"/>
    <w:rsid w:val="2B4EEDD5"/>
    <w:rsid w:val="2B5EE1AA"/>
    <w:rsid w:val="2B63E72E"/>
    <w:rsid w:val="2B686628"/>
    <w:rsid w:val="2B699A3A"/>
    <w:rsid w:val="2B6A1AD4"/>
    <w:rsid w:val="2B72676C"/>
    <w:rsid w:val="2B8ACAD0"/>
    <w:rsid w:val="2B8DB008"/>
    <w:rsid w:val="2BA0F555"/>
    <w:rsid w:val="2BA8BB2B"/>
    <w:rsid w:val="2BB120C9"/>
    <w:rsid w:val="2BB58E05"/>
    <w:rsid w:val="2BBCDEA6"/>
    <w:rsid w:val="2BC752D8"/>
    <w:rsid w:val="2BD0D64D"/>
    <w:rsid w:val="2BD95E89"/>
    <w:rsid w:val="2BE5BA5F"/>
    <w:rsid w:val="2BE71E02"/>
    <w:rsid w:val="2BEF5C8C"/>
    <w:rsid w:val="2BF43126"/>
    <w:rsid w:val="2C006B69"/>
    <w:rsid w:val="2C0FF526"/>
    <w:rsid w:val="2C11003D"/>
    <w:rsid w:val="2C1270B8"/>
    <w:rsid w:val="2C20EBA7"/>
    <w:rsid w:val="2C218A30"/>
    <w:rsid w:val="2C251624"/>
    <w:rsid w:val="2C278BD8"/>
    <w:rsid w:val="2C2D4B3E"/>
    <w:rsid w:val="2C2DD95F"/>
    <w:rsid w:val="2C44C02F"/>
    <w:rsid w:val="2C5569B1"/>
    <w:rsid w:val="2C56DF54"/>
    <w:rsid w:val="2C58DCD4"/>
    <w:rsid w:val="2C5CFE03"/>
    <w:rsid w:val="2C5E5153"/>
    <w:rsid w:val="2C6D8FB3"/>
    <w:rsid w:val="2C6FC5A9"/>
    <w:rsid w:val="2C754AA9"/>
    <w:rsid w:val="2C7B7D70"/>
    <w:rsid w:val="2CACF3AF"/>
    <w:rsid w:val="2CB07FB0"/>
    <w:rsid w:val="2CB24902"/>
    <w:rsid w:val="2CC155D4"/>
    <w:rsid w:val="2CCE54BB"/>
    <w:rsid w:val="2CD4C9D8"/>
    <w:rsid w:val="2CD94671"/>
    <w:rsid w:val="2CE1F466"/>
    <w:rsid w:val="2CE7D810"/>
    <w:rsid w:val="2CFB89F8"/>
    <w:rsid w:val="2D063E41"/>
    <w:rsid w:val="2D0A6597"/>
    <w:rsid w:val="2D0FC772"/>
    <w:rsid w:val="2D1AAA6F"/>
    <w:rsid w:val="2D1EBA90"/>
    <w:rsid w:val="2D357B7E"/>
    <w:rsid w:val="2D37F044"/>
    <w:rsid w:val="2D433D5A"/>
    <w:rsid w:val="2D49556E"/>
    <w:rsid w:val="2D55DA6D"/>
    <w:rsid w:val="2D7018DC"/>
    <w:rsid w:val="2D7A02D2"/>
    <w:rsid w:val="2D7B4C87"/>
    <w:rsid w:val="2D800FFF"/>
    <w:rsid w:val="2D845E66"/>
    <w:rsid w:val="2D87DB80"/>
    <w:rsid w:val="2D8E6C86"/>
    <w:rsid w:val="2D96E881"/>
    <w:rsid w:val="2D98618D"/>
    <w:rsid w:val="2D99F47C"/>
    <w:rsid w:val="2D9C94CB"/>
    <w:rsid w:val="2DA26DC0"/>
    <w:rsid w:val="2DA6BBFE"/>
    <w:rsid w:val="2DB1FB9D"/>
    <w:rsid w:val="2DB2D8DD"/>
    <w:rsid w:val="2DB5C115"/>
    <w:rsid w:val="2DB708EA"/>
    <w:rsid w:val="2DBCC198"/>
    <w:rsid w:val="2DBF6698"/>
    <w:rsid w:val="2DEEE54D"/>
    <w:rsid w:val="2DEFCD9C"/>
    <w:rsid w:val="2DF42FB1"/>
    <w:rsid w:val="2DF88B36"/>
    <w:rsid w:val="2DFB46A3"/>
    <w:rsid w:val="2E0D2555"/>
    <w:rsid w:val="2E1F157C"/>
    <w:rsid w:val="2E210FCA"/>
    <w:rsid w:val="2E247131"/>
    <w:rsid w:val="2E2CB801"/>
    <w:rsid w:val="2E32F5F1"/>
    <w:rsid w:val="2E3FB066"/>
    <w:rsid w:val="2E4AA1B2"/>
    <w:rsid w:val="2E4B8276"/>
    <w:rsid w:val="2E5D5CE4"/>
    <w:rsid w:val="2E6DFA35"/>
    <w:rsid w:val="2E6F9A70"/>
    <w:rsid w:val="2E7BDA08"/>
    <w:rsid w:val="2E918757"/>
    <w:rsid w:val="2EAE4459"/>
    <w:rsid w:val="2EAF3D52"/>
    <w:rsid w:val="2EBDA46B"/>
    <w:rsid w:val="2ECD9847"/>
    <w:rsid w:val="2ECEFDCD"/>
    <w:rsid w:val="2EE2BD80"/>
    <w:rsid w:val="2EE50444"/>
    <w:rsid w:val="2EE83A69"/>
    <w:rsid w:val="2EE9B378"/>
    <w:rsid w:val="2EEBA1AB"/>
    <w:rsid w:val="2EF47096"/>
    <w:rsid w:val="2EF57C1F"/>
    <w:rsid w:val="2F04058A"/>
    <w:rsid w:val="2F066769"/>
    <w:rsid w:val="2F177321"/>
    <w:rsid w:val="2F1BFD1F"/>
    <w:rsid w:val="2F1F0814"/>
    <w:rsid w:val="2F1F750E"/>
    <w:rsid w:val="2F230667"/>
    <w:rsid w:val="2F26F2B6"/>
    <w:rsid w:val="2F4398F7"/>
    <w:rsid w:val="2F4D1240"/>
    <w:rsid w:val="2F51554F"/>
    <w:rsid w:val="2F5835B0"/>
    <w:rsid w:val="2F618B2F"/>
    <w:rsid w:val="2F661A1F"/>
    <w:rsid w:val="2F67CFCC"/>
    <w:rsid w:val="2F73419C"/>
    <w:rsid w:val="2F7A5CCD"/>
    <w:rsid w:val="2F7F4B3F"/>
    <w:rsid w:val="2F92FF07"/>
    <w:rsid w:val="2FAD2744"/>
    <w:rsid w:val="2FD27495"/>
    <w:rsid w:val="2FD508A9"/>
    <w:rsid w:val="2FD541B4"/>
    <w:rsid w:val="2FEB8EAA"/>
    <w:rsid w:val="2FF6318C"/>
    <w:rsid w:val="3010206A"/>
    <w:rsid w:val="301725CA"/>
    <w:rsid w:val="301A6444"/>
    <w:rsid w:val="3022C017"/>
    <w:rsid w:val="302DAEAA"/>
    <w:rsid w:val="30332E22"/>
    <w:rsid w:val="30373AA1"/>
    <w:rsid w:val="30437D48"/>
    <w:rsid w:val="3045FFF3"/>
    <w:rsid w:val="304CB369"/>
    <w:rsid w:val="305023CA"/>
    <w:rsid w:val="305B84B4"/>
    <w:rsid w:val="306517CA"/>
    <w:rsid w:val="3065D1E1"/>
    <w:rsid w:val="307462BC"/>
    <w:rsid w:val="307AE3A1"/>
    <w:rsid w:val="308A24FC"/>
    <w:rsid w:val="30959C8E"/>
    <w:rsid w:val="309E4A96"/>
    <w:rsid w:val="30B7DC0B"/>
    <w:rsid w:val="30BE4735"/>
    <w:rsid w:val="30C5138C"/>
    <w:rsid w:val="30C9490C"/>
    <w:rsid w:val="30D9F7E6"/>
    <w:rsid w:val="30DE9E2F"/>
    <w:rsid w:val="30F35542"/>
    <w:rsid w:val="30FB264C"/>
    <w:rsid w:val="31138E63"/>
    <w:rsid w:val="31213D0C"/>
    <w:rsid w:val="31516021"/>
    <w:rsid w:val="315981AA"/>
    <w:rsid w:val="315FC8D2"/>
    <w:rsid w:val="3163B558"/>
    <w:rsid w:val="316B4B48"/>
    <w:rsid w:val="319E1235"/>
    <w:rsid w:val="319E5AAB"/>
    <w:rsid w:val="31B5BBC4"/>
    <w:rsid w:val="31B9FD49"/>
    <w:rsid w:val="31BC74E2"/>
    <w:rsid w:val="31CA6B97"/>
    <w:rsid w:val="31CC4F83"/>
    <w:rsid w:val="31D7D817"/>
    <w:rsid w:val="31D84CDC"/>
    <w:rsid w:val="31D8F143"/>
    <w:rsid w:val="31E8C689"/>
    <w:rsid w:val="31F46100"/>
    <w:rsid w:val="31F4FEBE"/>
    <w:rsid w:val="32084D1C"/>
    <w:rsid w:val="32091C37"/>
    <w:rsid w:val="32096010"/>
    <w:rsid w:val="32154477"/>
    <w:rsid w:val="3222C608"/>
    <w:rsid w:val="3229975D"/>
    <w:rsid w:val="3232F9A0"/>
    <w:rsid w:val="3238D21D"/>
    <w:rsid w:val="324057BC"/>
    <w:rsid w:val="325222E4"/>
    <w:rsid w:val="3254B18B"/>
    <w:rsid w:val="32648A1E"/>
    <w:rsid w:val="327A515F"/>
    <w:rsid w:val="328E6034"/>
    <w:rsid w:val="329B592F"/>
    <w:rsid w:val="329C32A2"/>
    <w:rsid w:val="329C3F0A"/>
    <w:rsid w:val="32ABF794"/>
    <w:rsid w:val="32B9EF90"/>
    <w:rsid w:val="32BCC0AD"/>
    <w:rsid w:val="32DC5C0E"/>
    <w:rsid w:val="32E61F56"/>
    <w:rsid w:val="32F5C1AC"/>
    <w:rsid w:val="32FBB237"/>
    <w:rsid w:val="33075699"/>
    <w:rsid w:val="3308C537"/>
    <w:rsid w:val="33103A07"/>
    <w:rsid w:val="33123CB8"/>
    <w:rsid w:val="33194A74"/>
    <w:rsid w:val="331AD886"/>
    <w:rsid w:val="331DA82D"/>
    <w:rsid w:val="3321D9EF"/>
    <w:rsid w:val="33221FD5"/>
    <w:rsid w:val="333DC28B"/>
    <w:rsid w:val="3349421B"/>
    <w:rsid w:val="334CC44E"/>
    <w:rsid w:val="335A3776"/>
    <w:rsid w:val="335DC294"/>
    <w:rsid w:val="336AC440"/>
    <w:rsid w:val="337093D0"/>
    <w:rsid w:val="33886028"/>
    <w:rsid w:val="33897187"/>
    <w:rsid w:val="33984676"/>
    <w:rsid w:val="33BA6CD5"/>
    <w:rsid w:val="33BDD946"/>
    <w:rsid w:val="33BE3D4A"/>
    <w:rsid w:val="33CBC8D4"/>
    <w:rsid w:val="3400F7D4"/>
    <w:rsid w:val="3411DEC9"/>
    <w:rsid w:val="34184FE1"/>
    <w:rsid w:val="3423FE1C"/>
    <w:rsid w:val="3425C8D3"/>
    <w:rsid w:val="34281E23"/>
    <w:rsid w:val="342A9A8E"/>
    <w:rsid w:val="34333E96"/>
    <w:rsid w:val="343DFD9E"/>
    <w:rsid w:val="3445640F"/>
    <w:rsid w:val="344B6723"/>
    <w:rsid w:val="344F8A6F"/>
    <w:rsid w:val="344FA8ED"/>
    <w:rsid w:val="3451ED49"/>
    <w:rsid w:val="346A157E"/>
    <w:rsid w:val="346C0277"/>
    <w:rsid w:val="3474A69A"/>
    <w:rsid w:val="347CAB40"/>
    <w:rsid w:val="3495E092"/>
    <w:rsid w:val="349E9373"/>
    <w:rsid w:val="34AFE069"/>
    <w:rsid w:val="34C84F48"/>
    <w:rsid w:val="34CB9852"/>
    <w:rsid w:val="34D8EBDD"/>
    <w:rsid w:val="34E83044"/>
    <w:rsid w:val="34E8A387"/>
    <w:rsid w:val="34EEE27C"/>
    <w:rsid w:val="34F425AE"/>
    <w:rsid w:val="34F99DB0"/>
    <w:rsid w:val="34FA8A38"/>
    <w:rsid w:val="3507E103"/>
    <w:rsid w:val="350A7A8B"/>
    <w:rsid w:val="351425AE"/>
    <w:rsid w:val="351585D8"/>
    <w:rsid w:val="3525A684"/>
    <w:rsid w:val="35311A50"/>
    <w:rsid w:val="353A76A9"/>
    <w:rsid w:val="3549065D"/>
    <w:rsid w:val="356CE522"/>
    <w:rsid w:val="35755425"/>
    <w:rsid w:val="357928D4"/>
    <w:rsid w:val="35814CF5"/>
    <w:rsid w:val="35816867"/>
    <w:rsid w:val="3583BA07"/>
    <w:rsid w:val="35883AC4"/>
    <w:rsid w:val="358A68E0"/>
    <w:rsid w:val="358DCE9C"/>
    <w:rsid w:val="359895C1"/>
    <w:rsid w:val="35A0093B"/>
    <w:rsid w:val="35A3913D"/>
    <w:rsid w:val="35B6FB8A"/>
    <w:rsid w:val="35C96223"/>
    <w:rsid w:val="35CB6F9A"/>
    <w:rsid w:val="35D6EC68"/>
    <w:rsid w:val="35D717B6"/>
    <w:rsid w:val="35DFF5F9"/>
    <w:rsid w:val="35E31638"/>
    <w:rsid w:val="35E9A50B"/>
    <w:rsid w:val="35EBD414"/>
    <w:rsid w:val="35F4DCCA"/>
    <w:rsid w:val="35FEF8C4"/>
    <w:rsid w:val="3603F87C"/>
    <w:rsid w:val="36095190"/>
    <w:rsid w:val="360E4962"/>
    <w:rsid w:val="362BB0A3"/>
    <w:rsid w:val="362DB90C"/>
    <w:rsid w:val="3634CB59"/>
    <w:rsid w:val="366E8F01"/>
    <w:rsid w:val="3683B7C9"/>
    <w:rsid w:val="3689558D"/>
    <w:rsid w:val="368B8099"/>
    <w:rsid w:val="368C916D"/>
    <w:rsid w:val="3692580F"/>
    <w:rsid w:val="36961A9C"/>
    <w:rsid w:val="3696F4D5"/>
    <w:rsid w:val="36A15384"/>
    <w:rsid w:val="36A5B129"/>
    <w:rsid w:val="36A64789"/>
    <w:rsid w:val="36AF6D3B"/>
    <w:rsid w:val="36B9C47F"/>
    <w:rsid w:val="36BB6C0E"/>
    <w:rsid w:val="36C5E43A"/>
    <w:rsid w:val="36DC19C4"/>
    <w:rsid w:val="36DC2B4F"/>
    <w:rsid w:val="36DDD5C9"/>
    <w:rsid w:val="36EB0102"/>
    <w:rsid w:val="36ED44A7"/>
    <w:rsid w:val="36F8761D"/>
    <w:rsid w:val="36F8CFDA"/>
    <w:rsid w:val="36FAFBD6"/>
    <w:rsid w:val="36FC10DA"/>
    <w:rsid w:val="370737AD"/>
    <w:rsid w:val="370C15C0"/>
    <w:rsid w:val="37164D47"/>
    <w:rsid w:val="372ACF50"/>
    <w:rsid w:val="3731A31C"/>
    <w:rsid w:val="37417031"/>
    <w:rsid w:val="3754A5CB"/>
    <w:rsid w:val="3754D1FA"/>
    <w:rsid w:val="375D71F3"/>
    <w:rsid w:val="3761D733"/>
    <w:rsid w:val="376FAEC5"/>
    <w:rsid w:val="37762D4E"/>
    <w:rsid w:val="377EE699"/>
    <w:rsid w:val="3784AC8E"/>
    <w:rsid w:val="37970DE9"/>
    <w:rsid w:val="37A99F9F"/>
    <w:rsid w:val="37AA27C7"/>
    <w:rsid w:val="37AC4576"/>
    <w:rsid w:val="37BFAEA8"/>
    <w:rsid w:val="37C37A5D"/>
    <w:rsid w:val="37C9BC73"/>
    <w:rsid w:val="37CC4C13"/>
    <w:rsid w:val="37D0D204"/>
    <w:rsid w:val="37DCC2DB"/>
    <w:rsid w:val="37DCF75E"/>
    <w:rsid w:val="37E5B087"/>
    <w:rsid w:val="380CB48E"/>
    <w:rsid w:val="38143009"/>
    <w:rsid w:val="381D939C"/>
    <w:rsid w:val="381F264F"/>
    <w:rsid w:val="3822F7F8"/>
    <w:rsid w:val="383EE83C"/>
    <w:rsid w:val="384C3293"/>
    <w:rsid w:val="385CD73B"/>
    <w:rsid w:val="385E17B8"/>
    <w:rsid w:val="3867CB27"/>
    <w:rsid w:val="386832F8"/>
    <w:rsid w:val="38711973"/>
    <w:rsid w:val="387A2D7E"/>
    <w:rsid w:val="38813EE4"/>
    <w:rsid w:val="3889679A"/>
    <w:rsid w:val="38991CC5"/>
    <w:rsid w:val="389E4D90"/>
    <w:rsid w:val="38A971EB"/>
    <w:rsid w:val="38AF155B"/>
    <w:rsid w:val="38B0EAEA"/>
    <w:rsid w:val="38BC6290"/>
    <w:rsid w:val="38C51378"/>
    <w:rsid w:val="38DE03AF"/>
    <w:rsid w:val="38E401F6"/>
    <w:rsid w:val="38F37AB4"/>
    <w:rsid w:val="39125BE8"/>
    <w:rsid w:val="39292C9C"/>
    <w:rsid w:val="392F4C8F"/>
    <w:rsid w:val="39357E07"/>
    <w:rsid w:val="3939030A"/>
    <w:rsid w:val="394C0449"/>
    <w:rsid w:val="394C32AC"/>
    <w:rsid w:val="39566BB1"/>
    <w:rsid w:val="39615D4F"/>
    <w:rsid w:val="396BC320"/>
    <w:rsid w:val="397B4320"/>
    <w:rsid w:val="39859F87"/>
    <w:rsid w:val="398618E2"/>
    <w:rsid w:val="398F15CF"/>
    <w:rsid w:val="39A835C0"/>
    <w:rsid w:val="39B4CB90"/>
    <w:rsid w:val="39B664AF"/>
    <w:rsid w:val="39DA78BC"/>
    <w:rsid w:val="39DC089B"/>
    <w:rsid w:val="39E50CA0"/>
    <w:rsid w:val="39EF80A7"/>
    <w:rsid w:val="39F66202"/>
    <w:rsid w:val="39FF6EC6"/>
    <w:rsid w:val="3A067B22"/>
    <w:rsid w:val="3A115E3F"/>
    <w:rsid w:val="3A26ACFD"/>
    <w:rsid w:val="3A4C7A76"/>
    <w:rsid w:val="3A50FCA0"/>
    <w:rsid w:val="3A519932"/>
    <w:rsid w:val="3A54FA9F"/>
    <w:rsid w:val="3A56FC93"/>
    <w:rsid w:val="3A60FEA9"/>
    <w:rsid w:val="3A65E363"/>
    <w:rsid w:val="3A70A62C"/>
    <w:rsid w:val="3A71D886"/>
    <w:rsid w:val="3A896F4E"/>
    <w:rsid w:val="3A964B71"/>
    <w:rsid w:val="3A97C0E6"/>
    <w:rsid w:val="3AA48C77"/>
    <w:rsid w:val="3AB343B6"/>
    <w:rsid w:val="3AB48E66"/>
    <w:rsid w:val="3ABA4AEC"/>
    <w:rsid w:val="3AC2D8C9"/>
    <w:rsid w:val="3AC49F64"/>
    <w:rsid w:val="3AD5D117"/>
    <w:rsid w:val="3ADA6D71"/>
    <w:rsid w:val="3AE4228A"/>
    <w:rsid w:val="3AFEDC44"/>
    <w:rsid w:val="3B105269"/>
    <w:rsid w:val="3B18D9D6"/>
    <w:rsid w:val="3B58863A"/>
    <w:rsid w:val="3B58C0A3"/>
    <w:rsid w:val="3B62D7CD"/>
    <w:rsid w:val="3B679C6A"/>
    <w:rsid w:val="3B7ED7E1"/>
    <w:rsid w:val="3B81D5C6"/>
    <w:rsid w:val="3B8713D8"/>
    <w:rsid w:val="3B878555"/>
    <w:rsid w:val="3B90C517"/>
    <w:rsid w:val="3B94A7D7"/>
    <w:rsid w:val="3B96708C"/>
    <w:rsid w:val="3B97CC7D"/>
    <w:rsid w:val="3B9D805E"/>
    <w:rsid w:val="3BA4EFCD"/>
    <w:rsid w:val="3BB85405"/>
    <w:rsid w:val="3BD65207"/>
    <w:rsid w:val="3BF4DCF7"/>
    <w:rsid w:val="3BF8BD5A"/>
    <w:rsid w:val="3BF9AA64"/>
    <w:rsid w:val="3BFAFD81"/>
    <w:rsid w:val="3BFBDC5C"/>
    <w:rsid w:val="3C09A629"/>
    <w:rsid w:val="3C1203A4"/>
    <w:rsid w:val="3C17EC21"/>
    <w:rsid w:val="3C239F08"/>
    <w:rsid w:val="3C29D60F"/>
    <w:rsid w:val="3C2F0005"/>
    <w:rsid w:val="3C3049F0"/>
    <w:rsid w:val="3C316B4E"/>
    <w:rsid w:val="3C3E1E27"/>
    <w:rsid w:val="3C3E5B05"/>
    <w:rsid w:val="3C49E7AE"/>
    <w:rsid w:val="3C4C5935"/>
    <w:rsid w:val="3C54BF96"/>
    <w:rsid w:val="3C5BFE05"/>
    <w:rsid w:val="3C621C89"/>
    <w:rsid w:val="3C64822A"/>
    <w:rsid w:val="3C6C28FB"/>
    <w:rsid w:val="3C7366FD"/>
    <w:rsid w:val="3C927BE3"/>
    <w:rsid w:val="3C9307A8"/>
    <w:rsid w:val="3C938301"/>
    <w:rsid w:val="3C98EFCF"/>
    <w:rsid w:val="3C9DD0C7"/>
    <w:rsid w:val="3CA2F255"/>
    <w:rsid w:val="3CB0864C"/>
    <w:rsid w:val="3CB7FF4A"/>
    <w:rsid w:val="3CB827FC"/>
    <w:rsid w:val="3CB95E39"/>
    <w:rsid w:val="3CBAC375"/>
    <w:rsid w:val="3CBC0911"/>
    <w:rsid w:val="3CC671B7"/>
    <w:rsid w:val="3CC8FF95"/>
    <w:rsid w:val="3CDBA576"/>
    <w:rsid w:val="3CE04F7C"/>
    <w:rsid w:val="3CE17D24"/>
    <w:rsid w:val="3CE5434A"/>
    <w:rsid w:val="3CE7A821"/>
    <w:rsid w:val="3CFF3A37"/>
    <w:rsid w:val="3D04105D"/>
    <w:rsid w:val="3D12204C"/>
    <w:rsid w:val="3D22F27B"/>
    <w:rsid w:val="3D246033"/>
    <w:rsid w:val="3D27D7FD"/>
    <w:rsid w:val="3D316247"/>
    <w:rsid w:val="3D3397DB"/>
    <w:rsid w:val="3D33AD24"/>
    <w:rsid w:val="3D3651F4"/>
    <w:rsid w:val="3D365D06"/>
    <w:rsid w:val="3D392214"/>
    <w:rsid w:val="3D53429E"/>
    <w:rsid w:val="3D56DE0A"/>
    <w:rsid w:val="3D6CA413"/>
    <w:rsid w:val="3D955D8F"/>
    <w:rsid w:val="3D994950"/>
    <w:rsid w:val="3DC00EB8"/>
    <w:rsid w:val="3DD3A9FC"/>
    <w:rsid w:val="3DE9EF0D"/>
    <w:rsid w:val="3DEB486A"/>
    <w:rsid w:val="3DF31283"/>
    <w:rsid w:val="3DF88E76"/>
    <w:rsid w:val="3DFE0DCC"/>
    <w:rsid w:val="3E1ADF44"/>
    <w:rsid w:val="3E252751"/>
    <w:rsid w:val="3E515D69"/>
    <w:rsid w:val="3E595FE3"/>
    <w:rsid w:val="3E625A61"/>
    <w:rsid w:val="3E65F6DC"/>
    <w:rsid w:val="3E7AC49F"/>
    <w:rsid w:val="3E7BFF1A"/>
    <w:rsid w:val="3E7C5BB6"/>
    <w:rsid w:val="3E7D2747"/>
    <w:rsid w:val="3E839E7D"/>
    <w:rsid w:val="3E8FD7FE"/>
    <w:rsid w:val="3EA07463"/>
    <w:rsid w:val="3EAD418A"/>
    <w:rsid w:val="3EB0178D"/>
    <w:rsid w:val="3EB65FAA"/>
    <w:rsid w:val="3EC7190A"/>
    <w:rsid w:val="3ECC817E"/>
    <w:rsid w:val="3ECDFF08"/>
    <w:rsid w:val="3ED4665D"/>
    <w:rsid w:val="3ED7137E"/>
    <w:rsid w:val="3EEA3F02"/>
    <w:rsid w:val="3EF1B92B"/>
    <w:rsid w:val="3EFF6DBC"/>
    <w:rsid w:val="3F0B2831"/>
    <w:rsid w:val="3F0CE52E"/>
    <w:rsid w:val="3F1D7F98"/>
    <w:rsid w:val="3F1E183B"/>
    <w:rsid w:val="3F21E44F"/>
    <w:rsid w:val="3F22D523"/>
    <w:rsid w:val="3F30AE7F"/>
    <w:rsid w:val="3F4FDE14"/>
    <w:rsid w:val="3F5A5370"/>
    <w:rsid w:val="3F67B696"/>
    <w:rsid w:val="3F69FD03"/>
    <w:rsid w:val="3F86ABDD"/>
    <w:rsid w:val="3F891399"/>
    <w:rsid w:val="3F8C7CA1"/>
    <w:rsid w:val="3F98980C"/>
    <w:rsid w:val="3F9A5975"/>
    <w:rsid w:val="3FA32A4E"/>
    <w:rsid w:val="3FABBAA5"/>
    <w:rsid w:val="3FB75052"/>
    <w:rsid w:val="3FBC0F27"/>
    <w:rsid w:val="3FCF0714"/>
    <w:rsid w:val="3FCFE799"/>
    <w:rsid w:val="3FD242EE"/>
    <w:rsid w:val="3FD40963"/>
    <w:rsid w:val="3FE2EC5E"/>
    <w:rsid w:val="3FEA364B"/>
    <w:rsid w:val="3FEC8438"/>
    <w:rsid w:val="3FEF03D9"/>
    <w:rsid w:val="3FF340E0"/>
    <w:rsid w:val="3FF64C8D"/>
    <w:rsid w:val="3FF97091"/>
    <w:rsid w:val="3FFB14CE"/>
    <w:rsid w:val="400BCC8B"/>
    <w:rsid w:val="4019C89F"/>
    <w:rsid w:val="404A9075"/>
    <w:rsid w:val="40570359"/>
    <w:rsid w:val="406297E5"/>
    <w:rsid w:val="406BA8BA"/>
    <w:rsid w:val="407987CD"/>
    <w:rsid w:val="4084F55F"/>
    <w:rsid w:val="409266F3"/>
    <w:rsid w:val="409D1E8A"/>
    <w:rsid w:val="40A73BD4"/>
    <w:rsid w:val="40A7F858"/>
    <w:rsid w:val="40B4F526"/>
    <w:rsid w:val="40B5EEEB"/>
    <w:rsid w:val="40BA31F1"/>
    <w:rsid w:val="40BFE513"/>
    <w:rsid w:val="40C37201"/>
    <w:rsid w:val="40C3FD0C"/>
    <w:rsid w:val="40CBF4BE"/>
    <w:rsid w:val="40CDFC68"/>
    <w:rsid w:val="40CE2D0E"/>
    <w:rsid w:val="40CEABEA"/>
    <w:rsid w:val="40D26B01"/>
    <w:rsid w:val="40D46CD9"/>
    <w:rsid w:val="40EAADE0"/>
    <w:rsid w:val="40EAEE76"/>
    <w:rsid w:val="40FBE348"/>
    <w:rsid w:val="40FF02DD"/>
    <w:rsid w:val="410174C6"/>
    <w:rsid w:val="4107C53D"/>
    <w:rsid w:val="410D2BB9"/>
    <w:rsid w:val="411EEF1F"/>
    <w:rsid w:val="41276874"/>
    <w:rsid w:val="412EB9BE"/>
    <w:rsid w:val="41312FA3"/>
    <w:rsid w:val="413AB4E4"/>
    <w:rsid w:val="413C9647"/>
    <w:rsid w:val="413EFAAF"/>
    <w:rsid w:val="414DF7CF"/>
    <w:rsid w:val="414EBD89"/>
    <w:rsid w:val="41543D94"/>
    <w:rsid w:val="415D78D0"/>
    <w:rsid w:val="415F8B66"/>
    <w:rsid w:val="4176596F"/>
    <w:rsid w:val="418009B0"/>
    <w:rsid w:val="41849461"/>
    <w:rsid w:val="418592DE"/>
    <w:rsid w:val="41926776"/>
    <w:rsid w:val="41987F17"/>
    <w:rsid w:val="419C2BC9"/>
    <w:rsid w:val="419E59DE"/>
    <w:rsid w:val="41A1C16F"/>
    <w:rsid w:val="41AE07FC"/>
    <w:rsid w:val="41B14921"/>
    <w:rsid w:val="41B57839"/>
    <w:rsid w:val="41CF4216"/>
    <w:rsid w:val="41D2C5A6"/>
    <w:rsid w:val="41E83EF0"/>
    <w:rsid w:val="41FD21DB"/>
    <w:rsid w:val="41FFBBA1"/>
    <w:rsid w:val="4215A010"/>
    <w:rsid w:val="4232F232"/>
    <w:rsid w:val="4235FC60"/>
    <w:rsid w:val="423AD7A3"/>
    <w:rsid w:val="4248C34F"/>
    <w:rsid w:val="424A9E15"/>
    <w:rsid w:val="424FB792"/>
    <w:rsid w:val="4272D694"/>
    <w:rsid w:val="427E63A7"/>
    <w:rsid w:val="42814248"/>
    <w:rsid w:val="428D315D"/>
    <w:rsid w:val="42988348"/>
    <w:rsid w:val="42A06B6C"/>
    <w:rsid w:val="42A1FD08"/>
    <w:rsid w:val="42B5E995"/>
    <w:rsid w:val="42BA82F8"/>
    <w:rsid w:val="42BAEA72"/>
    <w:rsid w:val="42BB84DD"/>
    <w:rsid w:val="42BD2A2A"/>
    <w:rsid w:val="42BF486F"/>
    <w:rsid w:val="42C033A5"/>
    <w:rsid w:val="42C4DA85"/>
    <w:rsid w:val="42CFED16"/>
    <w:rsid w:val="42DFA963"/>
    <w:rsid w:val="42E7CB09"/>
    <w:rsid w:val="42E9A42D"/>
    <w:rsid w:val="42EC38E2"/>
    <w:rsid w:val="42F049DB"/>
    <w:rsid w:val="42F4227F"/>
    <w:rsid w:val="42F4FE84"/>
    <w:rsid w:val="42F70B9E"/>
    <w:rsid w:val="4302D831"/>
    <w:rsid w:val="4308E3B4"/>
    <w:rsid w:val="431DF800"/>
    <w:rsid w:val="4326C27F"/>
    <w:rsid w:val="4337D87F"/>
    <w:rsid w:val="434F6E71"/>
    <w:rsid w:val="43504DD8"/>
    <w:rsid w:val="4350BBF0"/>
    <w:rsid w:val="4351F7FC"/>
    <w:rsid w:val="4359D85D"/>
    <w:rsid w:val="43621E70"/>
    <w:rsid w:val="4387C63E"/>
    <w:rsid w:val="439A844C"/>
    <w:rsid w:val="439A863A"/>
    <w:rsid w:val="43A03BF9"/>
    <w:rsid w:val="43B0E43C"/>
    <w:rsid w:val="43B2E2D1"/>
    <w:rsid w:val="43B32D34"/>
    <w:rsid w:val="43B3DC24"/>
    <w:rsid w:val="43B3FBC5"/>
    <w:rsid w:val="43B5BBDB"/>
    <w:rsid w:val="43B5FFBF"/>
    <w:rsid w:val="43BB065E"/>
    <w:rsid w:val="43C29FE5"/>
    <w:rsid w:val="43C88454"/>
    <w:rsid w:val="43CC8FB7"/>
    <w:rsid w:val="43D1E82C"/>
    <w:rsid w:val="43EA6C88"/>
    <w:rsid w:val="43F43CD0"/>
    <w:rsid w:val="43FF12FA"/>
    <w:rsid w:val="440102E5"/>
    <w:rsid w:val="44045961"/>
    <w:rsid w:val="440CB64D"/>
    <w:rsid w:val="440F64B6"/>
    <w:rsid w:val="44102FBE"/>
    <w:rsid w:val="44130A4A"/>
    <w:rsid w:val="44214FDC"/>
    <w:rsid w:val="4423933E"/>
    <w:rsid w:val="442397DC"/>
    <w:rsid w:val="44254318"/>
    <w:rsid w:val="442FC415"/>
    <w:rsid w:val="442FD99B"/>
    <w:rsid w:val="443D7C38"/>
    <w:rsid w:val="444B9DCA"/>
    <w:rsid w:val="444FD59A"/>
    <w:rsid w:val="4450F599"/>
    <w:rsid w:val="4453DE9F"/>
    <w:rsid w:val="445B9057"/>
    <w:rsid w:val="446CF734"/>
    <w:rsid w:val="4477F1FA"/>
    <w:rsid w:val="447B3655"/>
    <w:rsid w:val="447DDA48"/>
    <w:rsid w:val="44873A7D"/>
    <w:rsid w:val="448F940E"/>
    <w:rsid w:val="449D1D8C"/>
    <w:rsid w:val="44A52695"/>
    <w:rsid w:val="44AC0332"/>
    <w:rsid w:val="44BF022E"/>
    <w:rsid w:val="44C85A6E"/>
    <w:rsid w:val="44DE76E0"/>
    <w:rsid w:val="44E18DAB"/>
    <w:rsid w:val="44F9BFC4"/>
    <w:rsid w:val="44FF32E6"/>
    <w:rsid w:val="450773E2"/>
    <w:rsid w:val="450DE754"/>
    <w:rsid w:val="452048BC"/>
    <w:rsid w:val="4529B325"/>
    <w:rsid w:val="4531A3A3"/>
    <w:rsid w:val="45347264"/>
    <w:rsid w:val="453E0A20"/>
    <w:rsid w:val="4545A97E"/>
    <w:rsid w:val="455C74C2"/>
    <w:rsid w:val="456E21A7"/>
    <w:rsid w:val="4572F61B"/>
    <w:rsid w:val="457F1560"/>
    <w:rsid w:val="4588E7F2"/>
    <w:rsid w:val="4591E3AD"/>
    <w:rsid w:val="4592F5D5"/>
    <w:rsid w:val="459927BA"/>
    <w:rsid w:val="45A43884"/>
    <w:rsid w:val="45AB683C"/>
    <w:rsid w:val="45BB9A75"/>
    <w:rsid w:val="45C4479D"/>
    <w:rsid w:val="45CBBCF2"/>
    <w:rsid w:val="45D04829"/>
    <w:rsid w:val="45D74E64"/>
    <w:rsid w:val="45DB1DD7"/>
    <w:rsid w:val="45DBFE33"/>
    <w:rsid w:val="461466B1"/>
    <w:rsid w:val="4622D819"/>
    <w:rsid w:val="4632EB15"/>
    <w:rsid w:val="46344F63"/>
    <w:rsid w:val="463A5A82"/>
    <w:rsid w:val="46492F81"/>
    <w:rsid w:val="46542C26"/>
    <w:rsid w:val="466091F8"/>
    <w:rsid w:val="4664C143"/>
    <w:rsid w:val="466D2C6C"/>
    <w:rsid w:val="467360B7"/>
    <w:rsid w:val="4686CB5C"/>
    <w:rsid w:val="4686E57B"/>
    <w:rsid w:val="4697F39F"/>
    <w:rsid w:val="4699F9A0"/>
    <w:rsid w:val="469E34DB"/>
    <w:rsid w:val="46A881FE"/>
    <w:rsid w:val="46AEF7A5"/>
    <w:rsid w:val="46AF8224"/>
    <w:rsid w:val="46B4990B"/>
    <w:rsid w:val="46BDABC0"/>
    <w:rsid w:val="46BEA630"/>
    <w:rsid w:val="46C35FC9"/>
    <w:rsid w:val="46CA4484"/>
    <w:rsid w:val="46CA7F55"/>
    <w:rsid w:val="46DBAF04"/>
    <w:rsid w:val="46EE6AAF"/>
    <w:rsid w:val="46FDB178"/>
    <w:rsid w:val="46FF1199"/>
    <w:rsid w:val="4702F85D"/>
    <w:rsid w:val="470DA1A3"/>
    <w:rsid w:val="471270DA"/>
    <w:rsid w:val="47143EEB"/>
    <w:rsid w:val="47168490"/>
    <w:rsid w:val="472E51A4"/>
    <w:rsid w:val="4736E4DE"/>
    <w:rsid w:val="473A1D95"/>
    <w:rsid w:val="475D8EF6"/>
    <w:rsid w:val="4768B43D"/>
    <w:rsid w:val="4769F8FB"/>
    <w:rsid w:val="47771509"/>
    <w:rsid w:val="47847DC5"/>
    <w:rsid w:val="4792EBD0"/>
    <w:rsid w:val="47944A73"/>
    <w:rsid w:val="4798ABF1"/>
    <w:rsid w:val="47A65B6B"/>
    <w:rsid w:val="47ABF8E3"/>
    <w:rsid w:val="47AD91D1"/>
    <w:rsid w:val="47AF7D9E"/>
    <w:rsid w:val="47BBFF43"/>
    <w:rsid w:val="47CC2A22"/>
    <w:rsid w:val="47DD2443"/>
    <w:rsid w:val="47E5D169"/>
    <w:rsid w:val="47E6803D"/>
    <w:rsid w:val="47E6998D"/>
    <w:rsid w:val="47EC77BF"/>
    <w:rsid w:val="47F2CA54"/>
    <w:rsid w:val="47FDA1F7"/>
    <w:rsid w:val="47FFC60A"/>
    <w:rsid w:val="480E1FD7"/>
    <w:rsid w:val="4813BA8B"/>
    <w:rsid w:val="48163B3F"/>
    <w:rsid w:val="481734B3"/>
    <w:rsid w:val="48179D5F"/>
    <w:rsid w:val="4825FC8C"/>
    <w:rsid w:val="482833F0"/>
    <w:rsid w:val="483BB720"/>
    <w:rsid w:val="4849E19F"/>
    <w:rsid w:val="484BAF52"/>
    <w:rsid w:val="484D32F8"/>
    <w:rsid w:val="484DF577"/>
    <w:rsid w:val="485E99DD"/>
    <w:rsid w:val="48620934"/>
    <w:rsid w:val="486468C4"/>
    <w:rsid w:val="486CBC18"/>
    <w:rsid w:val="486E3EAE"/>
    <w:rsid w:val="4875D2D1"/>
    <w:rsid w:val="4875F3D1"/>
    <w:rsid w:val="4876D539"/>
    <w:rsid w:val="487FAD46"/>
    <w:rsid w:val="48813CF0"/>
    <w:rsid w:val="488958DF"/>
    <w:rsid w:val="488C5B2B"/>
    <w:rsid w:val="489CEACB"/>
    <w:rsid w:val="48A95A02"/>
    <w:rsid w:val="48AD563A"/>
    <w:rsid w:val="48B04A43"/>
    <w:rsid w:val="48B29090"/>
    <w:rsid w:val="48B37A07"/>
    <w:rsid w:val="48B87589"/>
    <w:rsid w:val="48B96C59"/>
    <w:rsid w:val="48BEA2A1"/>
    <w:rsid w:val="48DF3584"/>
    <w:rsid w:val="48E7D41C"/>
    <w:rsid w:val="48F14E84"/>
    <w:rsid w:val="48F90A7C"/>
    <w:rsid w:val="4907E105"/>
    <w:rsid w:val="49160F39"/>
    <w:rsid w:val="4916B080"/>
    <w:rsid w:val="491D2AA0"/>
    <w:rsid w:val="491D4DCD"/>
    <w:rsid w:val="4924D637"/>
    <w:rsid w:val="49299076"/>
    <w:rsid w:val="49301101"/>
    <w:rsid w:val="493BFB8C"/>
    <w:rsid w:val="493F8AA8"/>
    <w:rsid w:val="4941B5E4"/>
    <w:rsid w:val="49480798"/>
    <w:rsid w:val="4954DAA3"/>
    <w:rsid w:val="49555FBA"/>
    <w:rsid w:val="495BDDB8"/>
    <w:rsid w:val="4963F45C"/>
    <w:rsid w:val="496A2587"/>
    <w:rsid w:val="4971453D"/>
    <w:rsid w:val="49753675"/>
    <w:rsid w:val="49819413"/>
    <w:rsid w:val="4982D31E"/>
    <w:rsid w:val="498E6D14"/>
    <w:rsid w:val="49910CEF"/>
    <w:rsid w:val="499B3B1F"/>
    <w:rsid w:val="49A0F0CD"/>
    <w:rsid w:val="49A63A7C"/>
    <w:rsid w:val="49A9E768"/>
    <w:rsid w:val="49B210D3"/>
    <w:rsid w:val="49CC234E"/>
    <w:rsid w:val="49CEDD20"/>
    <w:rsid w:val="49CFD276"/>
    <w:rsid w:val="49E24393"/>
    <w:rsid w:val="49E44514"/>
    <w:rsid w:val="49E84272"/>
    <w:rsid w:val="49F3FD7D"/>
    <w:rsid w:val="49F6B8E7"/>
    <w:rsid w:val="49F92DD2"/>
    <w:rsid w:val="49F98BAA"/>
    <w:rsid w:val="4A2C43D3"/>
    <w:rsid w:val="4A50139A"/>
    <w:rsid w:val="4A540B09"/>
    <w:rsid w:val="4A5BF8AA"/>
    <w:rsid w:val="4A5FE7E6"/>
    <w:rsid w:val="4A65D739"/>
    <w:rsid w:val="4A6E2A19"/>
    <w:rsid w:val="4A7FF972"/>
    <w:rsid w:val="4A863B86"/>
    <w:rsid w:val="4A86FB7C"/>
    <w:rsid w:val="4A8FFDE1"/>
    <w:rsid w:val="4A920195"/>
    <w:rsid w:val="4AA09DDE"/>
    <w:rsid w:val="4AC3FF72"/>
    <w:rsid w:val="4AF430A8"/>
    <w:rsid w:val="4AFB9716"/>
    <w:rsid w:val="4AFE727D"/>
    <w:rsid w:val="4B223259"/>
    <w:rsid w:val="4B279CC3"/>
    <w:rsid w:val="4B2B6FFF"/>
    <w:rsid w:val="4B2F8A49"/>
    <w:rsid w:val="4B380221"/>
    <w:rsid w:val="4B447F47"/>
    <w:rsid w:val="4B4F1DA4"/>
    <w:rsid w:val="4B613BB9"/>
    <w:rsid w:val="4B7212B2"/>
    <w:rsid w:val="4B7BD2F5"/>
    <w:rsid w:val="4B7FCC58"/>
    <w:rsid w:val="4B839161"/>
    <w:rsid w:val="4B8712C3"/>
    <w:rsid w:val="4B8CE53B"/>
    <w:rsid w:val="4B8E9F6C"/>
    <w:rsid w:val="4B90D675"/>
    <w:rsid w:val="4B936939"/>
    <w:rsid w:val="4B93E047"/>
    <w:rsid w:val="4B9ADD2B"/>
    <w:rsid w:val="4B9E0C08"/>
    <w:rsid w:val="4B9FC982"/>
    <w:rsid w:val="4BB544A4"/>
    <w:rsid w:val="4BC8ECA1"/>
    <w:rsid w:val="4BC98536"/>
    <w:rsid w:val="4BCDB01B"/>
    <w:rsid w:val="4BD0C7B1"/>
    <w:rsid w:val="4BE38353"/>
    <w:rsid w:val="4BECEBC9"/>
    <w:rsid w:val="4BED8E36"/>
    <w:rsid w:val="4BFFF14F"/>
    <w:rsid w:val="4C0D340A"/>
    <w:rsid w:val="4C1998BD"/>
    <w:rsid w:val="4C1A1E4B"/>
    <w:rsid w:val="4C1B5FB6"/>
    <w:rsid w:val="4C1B8FF4"/>
    <w:rsid w:val="4C2437FD"/>
    <w:rsid w:val="4C3D6F3E"/>
    <w:rsid w:val="4C559CE2"/>
    <w:rsid w:val="4C59D8C2"/>
    <w:rsid w:val="4C647DA2"/>
    <w:rsid w:val="4C74940A"/>
    <w:rsid w:val="4C7E2390"/>
    <w:rsid w:val="4C8374C3"/>
    <w:rsid w:val="4C8843A6"/>
    <w:rsid w:val="4C95FFEE"/>
    <w:rsid w:val="4CA8E34E"/>
    <w:rsid w:val="4CC65597"/>
    <w:rsid w:val="4CCBB136"/>
    <w:rsid w:val="4CCEEB65"/>
    <w:rsid w:val="4CD83551"/>
    <w:rsid w:val="4CE0110A"/>
    <w:rsid w:val="4CEB8FE6"/>
    <w:rsid w:val="4CED717C"/>
    <w:rsid w:val="4CEF538C"/>
    <w:rsid w:val="4CF25C70"/>
    <w:rsid w:val="4CFB5A94"/>
    <w:rsid w:val="4D06AA2C"/>
    <w:rsid w:val="4D11418C"/>
    <w:rsid w:val="4D186F1D"/>
    <w:rsid w:val="4D1F4A95"/>
    <w:rsid w:val="4D4B262F"/>
    <w:rsid w:val="4D4D6B62"/>
    <w:rsid w:val="4D4DFC90"/>
    <w:rsid w:val="4D4E4A55"/>
    <w:rsid w:val="4D4F22FC"/>
    <w:rsid w:val="4D54846C"/>
    <w:rsid w:val="4D5AFF53"/>
    <w:rsid w:val="4D6E60BC"/>
    <w:rsid w:val="4D709DC7"/>
    <w:rsid w:val="4D71333A"/>
    <w:rsid w:val="4D72F79F"/>
    <w:rsid w:val="4D74892B"/>
    <w:rsid w:val="4D7B68EC"/>
    <w:rsid w:val="4D81227B"/>
    <w:rsid w:val="4D85CB15"/>
    <w:rsid w:val="4D888133"/>
    <w:rsid w:val="4D8FFE02"/>
    <w:rsid w:val="4DAAB58A"/>
    <w:rsid w:val="4DAE966F"/>
    <w:rsid w:val="4DBE685A"/>
    <w:rsid w:val="4DC57178"/>
    <w:rsid w:val="4DE60E8C"/>
    <w:rsid w:val="4DE7AF5C"/>
    <w:rsid w:val="4DEFA6DB"/>
    <w:rsid w:val="4DF29641"/>
    <w:rsid w:val="4DF8D5E6"/>
    <w:rsid w:val="4DFD0199"/>
    <w:rsid w:val="4DFFACA3"/>
    <w:rsid w:val="4E094BE7"/>
    <w:rsid w:val="4E24D3D8"/>
    <w:rsid w:val="4E2B76A0"/>
    <w:rsid w:val="4E2F4DE7"/>
    <w:rsid w:val="4E3112A5"/>
    <w:rsid w:val="4E5039FA"/>
    <w:rsid w:val="4E6BBF05"/>
    <w:rsid w:val="4E7F9E25"/>
    <w:rsid w:val="4EA8731C"/>
    <w:rsid w:val="4EB10C84"/>
    <w:rsid w:val="4EB7325F"/>
    <w:rsid w:val="4EBC3477"/>
    <w:rsid w:val="4EBE188A"/>
    <w:rsid w:val="4EC60610"/>
    <w:rsid w:val="4EC96329"/>
    <w:rsid w:val="4ED356F7"/>
    <w:rsid w:val="4ED36E4A"/>
    <w:rsid w:val="4EE4DD0B"/>
    <w:rsid w:val="4EEC74FF"/>
    <w:rsid w:val="4EEE38FC"/>
    <w:rsid w:val="4EF82FF4"/>
    <w:rsid w:val="4EF91F07"/>
    <w:rsid w:val="4F0030D6"/>
    <w:rsid w:val="4F03CB61"/>
    <w:rsid w:val="4F06B433"/>
    <w:rsid w:val="4F0A4147"/>
    <w:rsid w:val="4F0AFE84"/>
    <w:rsid w:val="4F16CDAD"/>
    <w:rsid w:val="4F1D143E"/>
    <w:rsid w:val="4F1D89F6"/>
    <w:rsid w:val="4F24F328"/>
    <w:rsid w:val="4F27D0CF"/>
    <w:rsid w:val="4F294750"/>
    <w:rsid w:val="4F2AE6A4"/>
    <w:rsid w:val="4F3E2B03"/>
    <w:rsid w:val="4F3ECA75"/>
    <w:rsid w:val="4F4E29D6"/>
    <w:rsid w:val="4F5F99D2"/>
    <w:rsid w:val="4F622FF4"/>
    <w:rsid w:val="4F6B5646"/>
    <w:rsid w:val="4F70FFCB"/>
    <w:rsid w:val="4F802819"/>
    <w:rsid w:val="4F89878D"/>
    <w:rsid w:val="4F8CFFDF"/>
    <w:rsid w:val="4F8E02D2"/>
    <w:rsid w:val="4F8F7300"/>
    <w:rsid w:val="4F9A3FA2"/>
    <w:rsid w:val="4F9CB054"/>
    <w:rsid w:val="4F9D7492"/>
    <w:rsid w:val="4FA2FABD"/>
    <w:rsid w:val="4FA84CFA"/>
    <w:rsid w:val="4FAE8D11"/>
    <w:rsid w:val="4FAFE9E4"/>
    <w:rsid w:val="4FB57A6C"/>
    <w:rsid w:val="4FDD817F"/>
    <w:rsid w:val="4FDEB1DA"/>
    <w:rsid w:val="4FE42E1A"/>
    <w:rsid w:val="4FFB0DE6"/>
    <w:rsid w:val="5011F2EE"/>
    <w:rsid w:val="5013DBB6"/>
    <w:rsid w:val="5017B226"/>
    <w:rsid w:val="501F186B"/>
    <w:rsid w:val="50293C53"/>
    <w:rsid w:val="5029D362"/>
    <w:rsid w:val="502FC50C"/>
    <w:rsid w:val="5030FB8E"/>
    <w:rsid w:val="50353E1C"/>
    <w:rsid w:val="503AFAA2"/>
    <w:rsid w:val="504467E9"/>
    <w:rsid w:val="5044D4E0"/>
    <w:rsid w:val="5044F77E"/>
    <w:rsid w:val="505620F0"/>
    <w:rsid w:val="50603F90"/>
    <w:rsid w:val="50609AC6"/>
    <w:rsid w:val="5066F661"/>
    <w:rsid w:val="506C0EF8"/>
    <w:rsid w:val="508C731F"/>
    <w:rsid w:val="508D6D32"/>
    <w:rsid w:val="509B69C7"/>
    <w:rsid w:val="509ED997"/>
    <w:rsid w:val="50AA8747"/>
    <w:rsid w:val="50B57F19"/>
    <w:rsid w:val="50C00159"/>
    <w:rsid w:val="50CD4F04"/>
    <w:rsid w:val="50D96173"/>
    <w:rsid w:val="50DBEAD2"/>
    <w:rsid w:val="50E4468E"/>
    <w:rsid w:val="50F2E144"/>
    <w:rsid w:val="5104FA39"/>
    <w:rsid w:val="510CF18D"/>
    <w:rsid w:val="51277D3C"/>
    <w:rsid w:val="513AB2B4"/>
    <w:rsid w:val="513CD931"/>
    <w:rsid w:val="514A5D72"/>
    <w:rsid w:val="514B3AA6"/>
    <w:rsid w:val="514FBCCF"/>
    <w:rsid w:val="5151C343"/>
    <w:rsid w:val="51549BC1"/>
    <w:rsid w:val="515716B5"/>
    <w:rsid w:val="516CA850"/>
    <w:rsid w:val="51713108"/>
    <w:rsid w:val="5178E3F0"/>
    <w:rsid w:val="5184A155"/>
    <w:rsid w:val="51872283"/>
    <w:rsid w:val="519001D2"/>
    <w:rsid w:val="5192F7A7"/>
    <w:rsid w:val="5196CDE4"/>
    <w:rsid w:val="51A03678"/>
    <w:rsid w:val="51B17E7A"/>
    <w:rsid w:val="51B6EF6D"/>
    <w:rsid w:val="51BE45C1"/>
    <w:rsid w:val="51D40E0D"/>
    <w:rsid w:val="51DF0FA3"/>
    <w:rsid w:val="51E67679"/>
    <w:rsid w:val="51E9F2C4"/>
    <w:rsid w:val="51F69C36"/>
    <w:rsid w:val="51F9D8D5"/>
    <w:rsid w:val="51FE8E31"/>
    <w:rsid w:val="52052BE8"/>
    <w:rsid w:val="520C2768"/>
    <w:rsid w:val="520F7ED3"/>
    <w:rsid w:val="520F9887"/>
    <w:rsid w:val="5222667E"/>
    <w:rsid w:val="5227C8ED"/>
    <w:rsid w:val="522B2AFD"/>
    <w:rsid w:val="522B9FA7"/>
    <w:rsid w:val="523CA783"/>
    <w:rsid w:val="523DDAEC"/>
    <w:rsid w:val="52433FFD"/>
    <w:rsid w:val="52481E1D"/>
    <w:rsid w:val="52542083"/>
    <w:rsid w:val="52601C7A"/>
    <w:rsid w:val="526208CE"/>
    <w:rsid w:val="526B5277"/>
    <w:rsid w:val="52738829"/>
    <w:rsid w:val="52769FA1"/>
    <w:rsid w:val="52809262"/>
    <w:rsid w:val="528285E0"/>
    <w:rsid w:val="5282DE32"/>
    <w:rsid w:val="528D5377"/>
    <w:rsid w:val="52AA0C1D"/>
    <w:rsid w:val="52ADCD4B"/>
    <w:rsid w:val="52B79FE1"/>
    <w:rsid w:val="52C7F119"/>
    <w:rsid w:val="52D07EA3"/>
    <w:rsid w:val="52E28582"/>
    <w:rsid w:val="52ED1A11"/>
    <w:rsid w:val="5306F8BF"/>
    <w:rsid w:val="5314060D"/>
    <w:rsid w:val="531498DF"/>
    <w:rsid w:val="53164A73"/>
    <w:rsid w:val="532607A9"/>
    <w:rsid w:val="532E47E4"/>
    <w:rsid w:val="5353B75F"/>
    <w:rsid w:val="535A263F"/>
    <w:rsid w:val="536599CA"/>
    <w:rsid w:val="536BF534"/>
    <w:rsid w:val="53731038"/>
    <w:rsid w:val="537D3301"/>
    <w:rsid w:val="537EF797"/>
    <w:rsid w:val="53852C42"/>
    <w:rsid w:val="538A9769"/>
    <w:rsid w:val="538E5FA7"/>
    <w:rsid w:val="53925938"/>
    <w:rsid w:val="53ADDF87"/>
    <w:rsid w:val="53B08C55"/>
    <w:rsid w:val="53B66B56"/>
    <w:rsid w:val="53C2EB03"/>
    <w:rsid w:val="53C2ED6D"/>
    <w:rsid w:val="53CB2A21"/>
    <w:rsid w:val="53D13794"/>
    <w:rsid w:val="53D4BAC5"/>
    <w:rsid w:val="53E5A1BB"/>
    <w:rsid w:val="53E778F7"/>
    <w:rsid w:val="53EA7C94"/>
    <w:rsid w:val="53EFC8DE"/>
    <w:rsid w:val="5403AD70"/>
    <w:rsid w:val="540A128F"/>
    <w:rsid w:val="540D493E"/>
    <w:rsid w:val="54130C62"/>
    <w:rsid w:val="541DCB75"/>
    <w:rsid w:val="54257748"/>
    <w:rsid w:val="542665EF"/>
    <w:rsid w:val="54391E47"/>
    <w:rsid w:val="543B7DF2"/>
    <w:rsid w:val="5445FD5C"/>
    <w:rsid w:val="54474D50"/>
    <w:rsid w:val="544E42FE"/>
    <w:rsid w:val="5452D17B"/>
    <w:rsid w:val="545BDEB9"/>
    <w:rsid w:val="5466DADE"/>
    <w:rsid w:val="546A5B23"/>
    <w:rsid w:val="547DF2C0"/>
    <w:rsid w:val="54844DB3"/>
    <w:rsid w:val="549F06D7"/>
    <w:rsid w:val="54B22A6B"/>
    <w:rsid w:val="54B5AF1A"/>
    <w:rsid w:val="54C39A3A"/>
    <w:rsid w:val="54C3B25B"/>
    <w:rsid w:val="54C742CC"/>
    <w:rsid w:val="54CB89B3"/>
    <w:rsid w:val="54D885B2"/>
    <w:rsid w:val="54E39AD7"/>
    <w:rsid w:val="54E949E6"/>
    <w:rsid w:val="54E9DED8"/>
    <w:rsid w:val="54EFE3EE"/>
    <w:rsid w:val="54F6AD1C"/>
    <w:rsid w:val="54FFE95D"/>
    <w:rsid w:val="5508836F"/>
    <w:rsid w:val="550B5348"/>
    <w:rsid w:val="550E7232"/>
    <w:rsid w:val="5524F52F"/>
    <w:rsid w:val="55276844"/>
    <w:rsid w:val="5529D6BA"/>
    <w:rsid w:val="5533BD80"/>
    <w:rsid w:val="5533EAC7"/>
    <w:rsid w:val="5547B426"/>
    <w:rsid w:val="554B8CA9"/>
    <w:rsid w:val="5550A49D"/>
    <w:rsid w:val="5552CEC6"/>
    <w:rsid w:val="555A979D"/>
    <w:rsid w:val="5579797C"/>
    <w:rsid w:val="557A15B7"/>
    <w:rsid w:val="5582C50E"/>
    <w:rsid w:val="55841E37"/>
    <w:rsid w:val="558702BD"/>
    <w:rsid w:val="559912CB"/>
    <w:rsid w:val="559B3467"/>
    <w:rsid w:val="55A02B2B"/>
    <w:rsid w:val="55A26CD5"/>
    <w:rsid w:val="55ABAE67"/>
    <w:rsid w:val="55ABFDAD"/>
    <w:rsid w:val="55B35EF7"/>
    <w:rsid w:val="55B7297D"/>
    <w:rsid w:val="55F44B05"/>
    <w:rsid w:val="55F69B82"/>
    <w:rsid w:val="55F6B07A"/>
    <w:rsid w:val="5621875A"/>
    <w:rsid w:val="5630E410"/>
    <w:rsid w:val="563EFF02"/>
    <w:rsid w:val="5649FEBD"/>
    <w:rsid w:val="564CBDB0"/>
    <w:rsid w:val="565424B9"/>
    <w:rsid w:val="5660509C"/>
    <w:rsid w:val="56631491"/>
    <w:rsid w:val="56723CF0"/>
    <w:rsid w:val="567B8D81"/>
    <w:rsid w:val="56829786"/>
    <w:rsid w:val="56860DC8"/>
    <w:rsid w:val="5687C5CC"/>
    <w:rsid w:val="5690385B"/>
    <w:rsid w:val="56A1562E"/>
    <w:rsid w:val="56A1E626"/>
    <w:rsid w:val="56A42E51"/>
    <w:rsid w:val="56A5B7DF"/>
    <w:rsid w:val="56AA7367"/>
    <w:rsid w:val="56AA7D96"/>
    <w:rsid w:val="56C4C06C"/>
    <w:rsid w:val="56C94606"/>
    <w:rsid w:val="56C9F740"/>
    <w:rsid w:val="56D1D668"/>
    <w:rsid w:val="56D29FBC"/>
    <w:rsid w:val="56DA74C9"/>
    <w:rsid w:val="56DCB3BC"/>
    <w:rsid w:val="56E5F20A"/>
    <w:rsid w:val="56E78635"/>
    <w:rsid w:val="56FD0093"/>
    <w:rsid w:val="570CC5B0"/>
    <w:rsid w:val="570CE78E"/>
    <w:rsid w:val="57285278"/>
    <w:rsid w:val="57291BBE"/>
    <w:rsid w:val="5734E39E"/>
    <w:rsid w:val="573B593D"/>
    <w:rsid w:val="57447FD4"/>
    <w:rsid w:val="5748071C"/>
    <w:rsid w:val="574A34AF"/>
    <w:rsid w:val="574B5E1C"/>
    <w:rsid w:val="574F7640"/>
    <w:rsid w:val="574FDB58"/>
    <w:rsid w:val="57500D15"/>
    <w:rsid w:val="57548A6A"/>
    <w:rsid w:val="57554143"/>
    <w:rsid w:val="5757376D"/>
    <w:rsid w:val="575A984E"/>
    <w:rsid w:val="575B27C1"/>
    <w:rsid w:val="576051D9"/>
    <w:rsid w:val="5760F1AB"/>
    <w:rsid w:val="57651B95"/>
    <w:rsid w:val="5784243B"/>
    <w:rsid w:val="57A23BAF"/>
    <w:rsid w:val="57A6131A"/>
    <w:rsid w:val="57B11DD4"/>
    <w:rsid w:val="57BBA4C9"/>
    <w:rsid w:val="57BCFB7D"/>
    <w:rsid w:val="57BD523F"/>
    <w:rsid w:val="57C2378F"/>
    <w:rsid w:val="57C29E4E"/>
    <w:rsid w:val="57C960F8"/>
    <w:rsid w:val="57CFD94F"/>
    <w:rsid w:val="57D19457"/>
    <w:rsid w:val="57E1BE51"/>
    <w:rsid w:val="57F80A07"/>
    <w:rsid w:val="57F92177"/>
    <w:rsid w:val="57FB91E2"/>
    <w:rsid w:val="581150C6"/>
    <w:rsid w:val="58170DE5"/>
    <w:rsid w:val="581EEF2E"/>
    <w:rsid w:val="582C1011"/>
    <w:rsid w:val="582D8D09"/>
    <w:rsid w:val="5830DAA0"/>
    <w:rsid w:val="583D5213"/>
    <w:rsid w:val="583D888B"/>
    <w:rsid w:val="58447C4F"/>
    <w:rsid w:val="584BB7A7"/>
    <w:rsid w:val="58573EC4"/>
    <w:rsid w:val="585B9B61"/>
    <w:rsid w:val="5864EDF5"/>
    <w:rsid w:val="5867066B"/>
    <w:rsid w:val="586C46D7"/>
    <w:rsid w:val="5877C38C"/>
    <w:rsid w:val="5883D9A7"/>
    <w:rsid w:val="588B27CC"/>
    <w:rsid w:val="588D0634"/>
    <w:rsid w:val="588F9DF5"/>
    <w:rsid w:val="5895542E"/>
    <w:rsid w:val="5897DBC0"/>
    <w:rsid w:val="589A18C7"/>
    <w:rsid w:val="589A32A7"/>
    <w:rsid w:val="589CCC0C"/>
    <w:rsid w:val="58A7A69C"/>
    <w:rsid w:val="58ACF78D"/>
    <w:rsid w:val="58BD6A63"/>
    <w:rsid w:val="58C30B39"/>
    <w:rsid w:val="58D63921"/>
    <w:rsid w:val="58DA1B5E"/>
    <w:rsid w:val="58DB8919"/>
    <w:rsid w:val="58F29235"/>
    <w:rsid w:val="58FBE14D"/>
    <w:rsid w:val="58FEFF89"/>
    <w:rsid w:val="590567A7"/>
    <w:rsid w:val="5906EC5F"/>
    <w:rsid w:val="59095D94"/>
    <w:rsid w:val="590B4D69"/>
    <w:rsid w:val="590D1CD7"/>
    <w:rsid w:val="59252C10"/>
    <w:rsid w:val="592A50CB"/>
    <w:rsid w:val="5931825C"/>
    <w:rsid w:val="59477D0F"/>
    <w:rsid w:val="59498C6F"/>
    <w:rsid w:val="594ACC2C"/>
    <w:rsid w:val="5952A109"/>
    <w:rsid w:val="5953C18F"/>
    <w:rsid w:val="595A1958"/>
    <w:rsid w:val="595A7DDA"/>
    <w:rsid w:val="59601525"/>
    <w:rsid w:val="5964325F"/>
    <w:rsid w:val="5979EB5E"/>
    <w:rsid w:val="59851AF4"/>
    <w:rsid w:val="59873B0B"/>
    <w:rsid w:val="5987457D"/>
    <w:rsid w:val="5987B340"/>
    <w:rsid w:val="598C198E"/>
    <w:rsid w:val="598C48D7"/>
    <w:rsid w:val="598DE341"/>
    <w:rsid w:val="59993259"/>
    <w:rsid w:val="599A83BD"/>
    <w:rsid w:val="599C3825"/>
    <w:rsid w:val="59A052AD"/>
    <w:rsid w:val="59B5D79A"/>
    <w:rsid w:val="59BBEA43"/>
    <w:rsid w:val="59BFA3A0"/>
    <w:rsid w:val="59C3212A"/>
    <w:rsid w:val="59C3BDD5"/>
    <w:rsid w:val="59CE3205"/>
    <w:rsid w:val="59D26520"/>
    <w:rsid w:val="59E13C2E"/>
    <w:rsid w:val="59E2B8C1"/>
    <w:rsid w:val="59E49B56"/>
    <w:rsid w:val="59F4900F"/>
    <w:rsid w:val="5A085730"/>
    <w:rsid w:val="5A0EC4A1"/>
    <w:rsid w:val="5A2D5366"/>
    <w:rsid w:val="5A3188EB"/>
    <w:rsid w:val="5A38697D"/>
    <w:rsid w:val="5A4FF06C"/>
    <w:rsid w:val="5A67883F"/>
    <w:rsid w:val="5A72C9CA"/>
    <w:rsid w:val="5A81CE80"/>
    <w:rsid w:val="5A83CB28"/>
    <w:rsid w:val="5A8767D5"/>
    <w:rsid w:val="5A8B632F"/>
    <w:rsid w:val="5A935CDF"/>
    <w:rsid w:val="5A9A7969"/>
    <w:rsid w:val="5A9B2288"/>
    <w:rsid w:val="5AA7E02D"/>
    <w:rsid w:val="5AA83CC5"/>
    <w:rsid w:val="5AAFA730"/>
    <w:rsid w:val="5AB5CBFF"/>
    <w:rsid w:val="5AC032E5"/>
    <w:rsid w:val="5AD21F1B"/>
    <w:rsid w:val="5AD39B52"/>
    <w:rsid w:val="5AD3A961"/>
    <w:rsid w:val="5AD73C84"/>
    <w:rsid w:val="5ADD3D1A"/>
    <w:rsid w:val="5AE4DAE8"/>
    <w:rsid w:val="5AE583AE"/>
    <w:rsid w:val="5AF03630"/>
    <w:rsid w:val="5AF26775"/>
    <w:rsid w:val="5AFEAB1C"/>
    <w:rsid w:val="5B058D2B"/>
    <w:rsid w:val="5B08FB0F"/>
    <w:rsid w:val="5B1AD0A8"/>
    <w:rsid w:val="5B1B935A"/>
    <w:rsid w:val="5B2BC7FC"/>
    <w:rsid w:val="5B535E7F"/>
    <w:rsid w:val="5B53D833"/>
    <w:rsid w:val="5B574C58"/>
    <w:rsid w:val="5B6AE110"/>
    <w:rsid w:val="5B844F4E"/>
    <w:rsid w:val="5B85B203"/>
    <w:rsid w:val="5B9EA515"/>
    <w:rsid w:val="5BA0A172"/>
    <w:rsid w:val="5BB2922B"/>
    <w:rsid w:val="5BB37566"/>
    <w:rsid w:val="5BBB197C"/>
    <w:rsid w:val="5BC15F19"/>
    <w:rsid w:val="5BC214DD"/>
    <w:rsid w:val="5BE3035F"/>
    <w:rsid w:val="5BED6AAC"/>
    <w:rsid w:val="5BEE4D04"/>
    <w:rsid w:val="5BEE5C15"/>
    <w:rsid w:val="5BF3C77E"/>
    <w:rsid w:val="5C04A089"/>
    <w:rsid w:val="5C071B1C"/>
    <w:rsid w:val="5C0B0C25"/>
    <w:rsid w:val="5C19D3F5"/>
    <w:rsid w:val="5C1E3328"/>
    <w:rsid w:val="5C2924B9"/>
    <w:rsid w:val="5C2EC536"/>
    <w:rsid w:val="5C2F2712"/>
    <w:rsid w:val="5C2FEFEE"/>
    <w:rsid w:val="5C30ADB1"/>
    <w:rsid w:val="5C31B202"/>
    <w:rsid w:val="5C339101"/>
    <w:rsid w:val="5C3612E9"/>
    <w:rsid w:val="5C52A3FB"/>
    <w:rsid w:val="5C6B0AAB"/>
    <w:rsid w:val="5C74E2D7"/>
    <w:rsid w:val="5C7F7658"/>
    <w:rsid w:val="5C882866"/>
    <w:rsid w:val="5C8CA333"/>
    <w:rsid w:val="5C8F1816"/>
    <w:rsid w:val="5C921CDD"/>
    <w:rsid w:val="5C94E554"/>
    <w:rsid w:val="5C97D4B2"/>
    <w:rsid w:val="5CC74453"/>
    <w:rsid w:val="5CCC3DFD"/>
    <w:rsid w:val="5CE24C65"/>
    <w:rsid w:val="5CEA3C4D"/>
    <w:rsid w:val="5CEBF380"/>
    <w:rsid w:val="5CFBB077"/>
    <w:rsid w:val="5D005843"/>
    <w:rsid w:val="5D0EF300"/>
    <w:rsid w:val="5D21CD97"/>
    <w:rsid w:val="5D290558"/>
    <w:rsid w:val="5D29A81F"/>
    <w:rsid w:val="5D392C7E"/>
    <w:rsid w:val="5D39883B"/>
    <w:rsid w:val="5D39BB7C"/>
    <w:rsid w:val="5D471C30"/>
    <w:rsid w:val="5D610E61"/>
    <w:rsid w:val="5D62179C"/>
    <w:rsid w:val="5D6635C0"/>
    <w:rsid w:val="5D6E9171"/>
    <w:rsid w:val="5D7F71D6"/>
    <w:rsid w:val="5D843397"/>
    <w:rsid w:val="5D8E0B07"/>
    <w:rsid w:val="5D9FB234"/>
    <w:rsid w:val="5DAAF168"/>
    <w:rsid w:val="5DABAB34"/>
    <w:rsid w:val="5DACDCF8"/>
    <w:rsid w:val="5DAE18D1"/>
    <w:rsid w:val="5DC25E78"/>
    <w:rsid w:val="5DCD8716"/>
    <w:rsid w:val="5DE68E47"/>
    <w:rsid w:val="5DEC4E98"/>
    <w:rsid w:val="5E0E9B21"/>
    <w:rsid w:val="5E183A65"/>
    <w:rsid w:val="5E18E917"/>
    <w:rsid w:val="5E1FAA42"/>
    <w:rsid w:val="5E326E31"/>
    <w:rsid w:val="5E469595"/>
    <w:rsid w:val="5E58C66F"/>
    <w:rsid w:val="5E5C3F54"/>
    <w:rsid w:val="5E5C9EF7"/>
    <w:rsid w:val="5E63E03D"/>
    <w:rsid w:val="5E6979D5"/>
    <w:rsid w:val="5E72D066"/>
    <w:rsid w:val="5E77C622"/>
    <w:rsid w:val="5E784644"/>
    <w:rsid w:val="5E951511"/>
    <w:rsid w:val="5E96B3A0"/>
    <w:rsid w:val="5E97A22A"/>
    <w:rsid w:val="5E9C0732"/>
    <w:rsid w:val="5EA8E8A9"/>
    <w:rsid w:val="5EC8AC2F"/>
    <w:rsid w:val="5ECFF6C1"/>
    <w:rsid w:val="5EE131E2"/>
    <w:rsid w:val="5EEC504C"/>
    <w:rsid w:val="5F01EDD2"/>
    <w:rsid w:val="5F02FDB6"/>
    <w:rsid w:val="5F0436E2"/>
    <w:rsid w:val="5F07F668"/>
    <w:rsid w:val="5F0A94AF"/>
    <w:rsid w:val="5F1708BA"/>
    <w:rsid w:val="5F1B84EC"/>
    <w:rsid w:val="5F232CC1"/>
    <w:rsid w:val="5F24A7EF"/>
    <w:rsid w:val="5F27A5D6"/>
    <w:rsid w:val="5F2C7C83"/>
    <w:rsid w:val="5F2D90A5"/>
    <w:rsid w:val="5F319B7F"/>
    <w:rsid w:val="5F3B70E0"/>
    <w:rsid w:val="5F41C842"/>
    <w:rsid w:val="5F5131DC"/>
    <w:rsid w:val="5F644C9E"/>
    <w:rsid w:val="5F68A8CC"/>
    <w:rsid w:val="5F707D2C"/>
    <w:rsid w:val="5F761B8F"/>
    <w:rsid w:val="5F7AB889"/>
    <w:rsid w:val="5F821D63"/>
    <w:rsid w:val="5F8B93E8"/>
    <w:rsid w:val="5F8FD05C"/>
    <w:rsid w:val="5FA0932A"/>
    <w:rsid w:val="5FA15E3C"/>
    <w:rsid w:val="5FBD258A"/>
    <w:rsid w:val="5FBE4444"/>
    <w:rsid w:val="5FC23610"/>
    <w:rsid w:val="5FE5DDFE"/>
    <w:rsid w:val="5FF15BD5"/>
    <w:rsid w:val="5FF83F87"/>
    <w:rsid w:val="600D7903"/>
    <w:rsid w:val="6011C3B9"/>
    <w:rsid w:val="60242C73"/>
    <w:rsid w:val="602B12F8"/>
    <w:rsid w:val="604348C2"/>
    <w:rsid w:val="604521A6"/>
    <w:rsid w:val="60467EF6"/>
    <w:rsid w:val="6056EA13"/>
    <w:rsid w:val="606254F5"/>
    <w:rsid w:val="606343A7"/>
    <w:rsid w:val="6065E6D7"/>
    <w:rsid w:val="607C235F"/>
    <w:rsid w:val="608DF63A"/>
    <w:rsid w:val="60B4DC66"/>
    <w:rsid w:val="60CDAF14"/>
    <w:rsid w:val="60DE977C"/>
    <w:rsid w:val="60DF79D2"/>
    <w:rsid w:val="60E09A0F"/>
    <w:rsid w:val="60E1388C"/>
    <w:rsid w:val="60FAF0D8"/>
    <w:rsid w:val="6111E483"/>
    <w:rsid w:val="61162335"/>
    <w:rsid w:val="61289376"/>
    <w:rsid w:val="612ED73A"/>
    <w:rsid w:val="61357EEF"/>
    <w:rsid w:val="6141414D"/>
    <w:rsid w:val="614A4811"/>
    <w:rsid w:val="614D081B"/>
    <w:rsid w:val="614F0F5E"/>
    <w:rsid w:val="6151E738"/>
    <w:rsid w:val="6157F970"/>
    <w:rsid w:val="6161416E"/>
    <w:rsid w:val="61616242"/>
    <w:rsid w:val="6176E883"/>
    <w:rsid w:val="6177A9C8"/>
    <w:rsid w:val="6187C8E6"/>
    <w:rsid w:val="61894D03"/>
    <w:rsid w:val="61A3C63F"/>
    <w:rsid w:val="61AE73C5"/>
    <w:rsid w:val="61B93DD2"/>
    <w:rsid w:val="61BC0AF1"/>
    <w:rsid w:val="61BCAEAC"/>
    <w:rsid w:val="61BFA34B"/>
    <w:rsid w:val="61D41127"/>
    <w:rsid w:val="61D7646B"/>
    <w:rsid w:val="61E2C04C"/>
    <w:rsid w:val="61F6D0F1"/>
    <w:rsid w:val="61FBB7BA"/>
    <w:rsid w:val="620DF500"/>
    <w:rsid w:val="622B2CB8"/>
    <w:rsid w:val="622E32E3"/>
    <w:rsid w:val="62321A46"/>
    <w:rsid w:val="6249DD59"/>
    <w:rsid w:val="624ED0B0"/>
    <w:rsid w:val="62584AF6"/>
    <w:rsid w:val="625A24D9"/>
    <w:rsid w:val="626B2C0A"/>
    <w:rsid w:val="626D9355"/>
    <w:rsid w:val="62735571"/>
    <w:rsid w:val="6279E777"/>
    <w:rsid w:val="6284989D"/>
    <w:rsid w:val="6284A22E"/>
    <w:rsid w:val="628A0429"/>
    <w:rsid w:val="62947BEF"/>
    <w:rsid w:val="62AB3E2D"/>
    <w:rsid w:val="62B1C692"/>
    <w:rsid w:val="62B43516"/>
    <w:rsid w:val="62CEF051"/>
    <w:rsid w:val="62D3C818"/>
    <w:rsid w:val="62DBDB4D"/>
    <w:rsid w:val="62E0E9F2"/>
    <w:rsid w:val="62E34969"/>
    <w:rsid w:val="62E80E69"/>
    <w:rsid w:val="62ECB6F7"/>
    <w:rsid w:val="62F2043C"/>
    <w:rsid w:val="62F25E25"/>
    <w:rsid w:val="62F3D9F7"/>
    <w:rsid w:val="630D2C6A"/>
    <w:rsid w:val="631B6575"/>
    <w:rsid w:val="632E5D56"/>
    <w:rsid w:val="63390C75"/>
    <w:rsid w:val="6358E34B"/>
    <w:rsid w:val="637827CF"/>
    <w:rsid w:val="63889820"/>
    <w:rsid w:val="638C2AEC"/>
    <w:rsid w:val="63928F01"/>
    <w:rsid w:val="63A29879"/>
    <w:rsid w:val="63B1A385"/>
    <w:rsid w:val="63C21726"/>
    <w:rsid w:val="63E0EBB9"/>
    <w:rsid w:val="63E94DEA"/>
    <w:rsid w:val="63EFD6E3"/>
    <w:rsid w:val="6402D7D9"/>
    <w:rsid w:val="6417CE13"/>
    <w:rsid w:val="641EEAE5"/>
    <w:rsid w:val="64228D44"/>
    <w:rsid w:val="6422EB75"/>
    <w:rsid w:val="6429D72F"/>
    <w:rsid w:val="642A0602"/>
    <w:rsid w:val="642B7F78"/>
    <w:rsid w:val="6436FBAD"/>
    <w:rsid w:val="643FEB66"/>
    <w:rsid w:val="6440AFEF"/>
    <w:rsid w:val="6446E972"/>
    <w:rsid w:val="644FFEFB"/>
    <w:rsid w:val="645D8385"/>
    <w:rsid w:val="6462635C"/>
    <w:rsid w:val="6467EA5D"/>
    <w:rsid w:val="64711859"/>
    <w:rsid w:val="6471F8F5"/>
    <w:rsid w:val="6474A560"/>
    <w:rsid w:val="649B4CD0"/>
    <w:rsid w:val="64A64B10"/>
    <w:rsid w:val="64B74A4C"/>
    <w:rsid w:val="64BB13CD"/>
    <w:rsid w:val="64BEF987"/>
    <w:rsid w:val="64C194B7"/>
    <w:rsid w:val="64C2C1A0"/>
    <w:rsid w:val="64D11FAF"/>
    <w:rsid w:val="64D999AD"/>
    <w:rsid w:val="64D9B687"/>
    <w:rsid w:val="64E3F50E"/>
    <w:rsid w:val="64ECDCBA"/>
    <w:rsid w:val="64ED8774"/>
    <w:rsid w:val="64F1B0BB"/>
    <w:rsid w:val="64F42014"/>
    <w:rsid w:val="64FF9F89"/>
    <w:rsid w:val="6505F524"/>
    <w:rsid w:val="652A5DFD"/>
    <w:rsid w:val="652AAA76"/>
    <w:rsid w:val="652F6D3B"/>
    <w:rsid w:val="653A921B"/>
    <w:rsid w:val="654F440A"/>
    <w:rsid w:val="655A191F"/>
    <w:rsid w:val="655AEB60"/>
    <w:rsid w:val="6567380E"/>
    <w:rsid w:val="65708122"/>
    <w:rsid w:val="6570AEAF"/>
    <w:rsid w:val="6573509F"/>
    <w:rsid w:val="65742057"/>
    <w:rsid w:val="65866A2D"/>
    <w:rsid w:val="659578F0"/>
    <w:rsid w:val="65974187"/>
    <w:rsid w:val="65A00CEF"/>
    <w:rsid w:val="65A46E90"/>
    <w:rsid w:val="65A4FF48"/>
    <w:rsid w:val="65BB0D69"/>
    <w:rsid w:val="65CFBC4F"/>
    <w:rsid w:val="65D1D829"/>
    <w:rsid w:val="65DB8DA4"/>
    <w:rsid w:val="65EDEF69"/>
    <w:rsid w:val="65F64467"/>
    <w:rsid w:val="660A446A"/>
    <w:rsid w:val="66178E70"/>
    <w:rsid w:val="661D008D"/>
    <w:rsid w:val="66282705"/>
    <w:rsid w:val="664D2F9D"/>
    <w:rsid w:val="665A5069"/>
    <w:rsid w:val="6664B4A6"/>
    <w:rsid w:val="66697290"/>
    <w:rsid w:val="6677E923"/>
    <w:rsid w:val="667F3FFA"/>
    <w:rsid w:val="667F4553"/>
    <w:rsid w:val="6684C6C6"/>
    <w:rsid w:val="6695452F"/>
    <w:rsid w:val="669A1B76"/>
    <w:rsid w:val="669F45C2"/>
    <w:rsid w:val="66A8B581"/>
    <w:rsid w:val="66ACB2FF"/>
    <w:rsid w:val="66C2621C"/>
    <w:rsid w:val="66C71A1D"/>
    <w:rsid w:val="66D0C30C"/>
    <w:rsid w:val="66DB3AA5"/>
    <w:rsid w:val="66DF992C"/>
    <w:rsid w:val="66E8FC65"/>
    <w:rsid w:val="66F5370C"/>
    <w:rsid w:val="67060F79"/>
    <w:rsid w:val="671810C4"/>
    <w:rsid w:val="671962A8"/>
    <w:rsid w:val="6720D030"/>
    <w:rsid w:val="67364488"/>
    <w:rsid w:val="6738AF3D"/>
    <w:rsid w:val="673C1B04"/>
    <w:rsid w:val="673D8A12"/>
    <w:rsid w:val="67498E83"/>
    <w:rsid w:val="6753CEBE"/>
    <w:rsid w:val="675B3D2A"/>
    <w:rsid w:val="675E92B4"/>
    <w:rsid w:val="675FB39D"/>
    <w:rsid w:val="6766E128"/>
    <w:rsid w:val="677747B0"/>
    <w:rsid w:val="677D8826"/>
    <w:rsid w:val="6782CE98"/>
    <w:rsid w:val="6785DA05"/>
    <w:rsid w:val="6788C42F"/>
    <w:rsid w:val="6789D346"/>
    <w:rsid w:val="678A3307"/>
    <w:rsid w:val="6794F393"/>
    <w:rsid w:val="67B23507"/>
    <w:rsid w:val="67B731DB"/>
    <w:rsid w:val="67C73EDF"/>
    <w:rsid w:val="67DB9439"/>
    <w:rsid w:val="67DCFFCB"/>
    <w:rsid w:val="67F55E63"/>
    <w:rsid w:val="68048F6F"/>
    <w:rsid w:val="680DE189"/>
    <w:rsid w:val="6815C92C"/>
    <w:rsid w:val="68187E07"/>
    <w:rsid w:val="6822A614"/>
    <w:rsid w:val="68272F24"/>
    <w:rsid w:val="6847858F"/>
    <w:rsid w:val="685D2290"/>
    <w:rsid w:val="685F63BA"/>
    <w:rsid w:val="686140B0"/>
    <w:rsid w:val="6868CEB3"/>
    <w:rsid w:val="686957C9"/>
    <w:rsid w:val="68723156"/>
    <w:rsid w:val="68795F1F"/>
    <w:rsid w:val="687EBC14"/>
    <w:rsid w:val="689B8E5D"/>
    <w:rsid w:val="68ABDCAC"/>
    <w:rsid w:val="68AD1333"/>
    <w:rsid w:val="68B282BD"/>
    <w:rsid w:val="68C643A8"/>
    <w:rsid w:val="68D27BFB"/>
    <w:rsid w:val="68D28B1C"/>
    <w:rsid w:val="68E58224"/>
    <w:rsid w:val="68EF68B3"/>
    <w:rsid w:val="68F276C0"/>
    <w:rsid w:val="6908F374"/>
    <w:rsid w:val="690E02D3"/>
    <w:rsid w:val="69111D7D"/>
    <w:rsid w:val="69127C52"/>
    <w:rsid w:val="691C3D66"/>
    <w:rsid w:val="691FD0B4"/>
    <w:rsid w:val="692BDD6E"/>
    <w:rsid w:val="693158D9"/>
    <w:rsid w:val="6935EF70"/>
    <w:rsid w:val="693FEE69"/>
    <w:rsid w:val="6940674C"/>
    <w:rsid w:val="6945D769"/>
    <w:rsid w:val="694A095D"/>
    <w:rsid w:val="6959E48F"/>
    <w:rsid w:val="695BB51D"/>
    <w:rsid w:val="695E74AB"/>
    <w:rsid w:val="695ED868"/>
    <w:rsid w:val="69636E3D"/>
    <w:rsid w:val="69656B70"/>
    <w:rsid w:val="6969AFE9"/>
    <w:rsid w:val="6971E92E"/>
    <w:rsid w:val="697BA0C6"/>
    <w:rsid w:val="698300FD"/>
    <w:rsid w:val="698C3908"/>
    <w:rsid w:val="6992B133"/>
    <w:rsid w:val="699B5212"/>
    <w:rsid w:val="699B69C2"/>
    <w:rsid w:val="69AF0561"/>
    <w:rsid w:val="69AF7F90"/>
    <w:rsid w:val="69B1B2DC"/>
    <w:rsid w:val="69C5D24E"/>
    <w:rsid w:val="69D2C2F5"/>
    <w:rsid w:val="69D4F64D"/>
    <w:rsid w:val="69E72ACE"/>
    <w:rsid w:val="69F2835C"/>
    <w:rsid w:val="6A0FE565"/>
    <w:rsid w:val="6A148DA1"/>
    <w:rsid w:val="6A15210A"/>
    <w:rsid w:val="6A1CC678"/>
    <w:rsid w:val="6A210D3F"/>
    <w:rsid w:val="6A233A69"/>
    <w:rsid w:val="6A3598DD"/>
    <w:rsid w:val="6A383930"/>
    <w:rsid w:val="6A3B44E9"/>
    <w:rsid w:val="6A4B45F0"/>
    <w:rsid w:val="6A4BA8EC"/>
    <w:rsid w:val="6A52D4F3"/>
    <w:rsid w:val="6A58C9AB"/>
    <w:rsid w:val="6A62727B"/>
    <w:rsid w:val="6A84BAD9"/>
    <w:rsid w:val="6A864664"/>
    <w:rsid w:val="6A8DBB35"/>
    <w:rsid w:val="6A9471A0"/>
    <w:rsid w:val="6A9518A7"/>
    <w:rsid w:val="6A996D65"/>
    <w:rsid w:val="6A9A7967"/>
    <w:rsid w:val="6AA06667"/>
    <w:rsid w:val="6AA71FE7"/>
    <w:rsid w:val="6AD478F9"/>
    <w:rsid w:val="6ADC2EF0"/>
    <w:rsid w:val="6ADF38CC"/>
    <w:rsid w:val="6AF52B3A"/>
    <w:rsid w:val="6AF63F56"/>
    <w:rsid w:val="6B14B564"/>
    <w:rsid w:val="6B265506"/>
    <w:rsid w:val="6B2B6271"/>
    <w:rsid w:val="6B2CB636"/>
    <w:rsid w:val="6B2F8165"/>
    <w:rsid w:val="6B3038D1"/>
    <w:rsid w:val="6B342313"/>
    <w:rsid w:val="6B3F9C81"/>
    <w:rsid w:val="6B4925B0"/>
    <w:rsid w:val="6B4E4221"/>
    <w:rsid w:val="6B4F819F"/>
    <w:rsid w:val="6B52679B"/>
    <w:rsid w:val="6B598393"/>
    <w:rsid w:val="6B6C91C9"/>
    <w:rsid w:val="6B760ECD"/>
    <w:rsid w:val="6B81E1A8"/>
    <w:rsid w:val="6B87B1B1"/>
    <w:rsid w:val="6B8C2F7B"/>
    <w:rsid w:val="6B99D54A"/>
    <w:rsid w:val="6BA18560"/>
    <w:rsid w:val="6BA2E3D4"/>
    <w:rsid w:val="6BB30A73"/>
    <w:rsid w:val="6BB43456"/>
    <w:rsid w:val="6BB877D5"/>
    <w:rsid w:val="6BBB1394"/>
    <w:rsid w:val="6BC6BB29"/>
    <w:rsid w:val="6BCCF9EA"/>
    <w:rsid w:val="6BE1E641"/>
    <w:rsid w:val="6C18F80F"/>
    <w:rsid w:val="6C1E4DA8"/>
    <w:rsid w:val="6C26BFAB"/>
    <w:rsid w:val="6C29BF75"/>
    <w:rsid w:val="6C2E748F"/>
    <w:rsid w:val="6C2FF144"/>
    <w:rsid w:val="6C32ABCB"/>
    <w:rsid w:val="6C3F8D35"/>
    <w:rsid w:val="6C5010FA"/>
    <w:rsid w:val="6C58548E"/>
    <w:rsid w:val="6C5A8389"/>
    <w:rsid w:val="6C5B6A83"/>
    <w:rsid w:val="6C613058"/>
    <w:rsid w:val="6C64A953"/>
    <w:rsid w:val="6C677632"/>
    <w:rsid w:val="6C692248"/>
    <w:rsid w:val="6C71C4DC"/>
    <w:rsid w:val="6C746F93"/>
    <w:rsid w:val="6C920E12"/>
    <w:rsid w:val="6C9B4606"/>
    <w:rsid w:val="6CA070D6"/>
    <w:rsid w:val="6CA2351B"/>
    <w:rsid w:val="6CAEE387"/>
    <w:rsid w:val="6CB06DE3"/>
    <w:rsid w:val="6CB43D7D"/>
    <w:rsid w:val="6CC7AD8C"/>
    <w:rsid w:val="6CD0B81E"/>
    <w:rsid w:val="6CD3FFDA"/>
    <w:rsid w:val="6CD55683"/>
    <w:rsid w:val="6CE4327E"/>
    <w:rsid w:val="6CE94F11"/>
    <w:rsid w:val="6CE994E6"/>
    <w:rsid w:val="6CEF95D4"/>
    <w:rsid w:val="6CFBB528"/>
    <w:rsid w:val="6D11C1E6"/>
    <w:rsid w:val="6D224372"/>
    <w:rsid w:val="6D228012"/>
    <w:rsid w:val="6D28DFBA"/>
    <w:rsid w:val="6D543EDB"/>
    <w:rsid w:val="6D5E1DCD"/>
    <w:rsid w:val="6D63271B"/>
    <w:rsid w:val="6D6E3320"/>
    <w:rsid w:val="6D6ED1F8"/>
    <w:rsid w:val="6D874010"/>
    <w:rsid w:val="6D8C5B4D"/>
    <w:rsid w:val="6D917A53"/>
    <w:rsid w:val="6D93BF25"/>
    <w:rsid w:val="6DA1C856"/>
    <w:rsid w:val="6DC40AD7"/>
    <w:rsid w:val="6DC4DC0B"/>
    <w:rsid w:val="6DD95991"/>
    <w:rsid w:val="6DE53C3B"/>
    <w:rsid w:val="6DEFB30C"/>
    <w:rsid w:val="6DF21822"/>
    <w:rsid w:val="6DF46A81"/>
    <w:rsid w:val="6DFD8140"/>
    <w:rsid w:val="6E109A69"/>
    <w:rsid w:val="6E130C60"/>
    <w:rsid w:val="6E15B27F"/>
    <w:rsid w:val="6E222C30"/>
    <w:rsid w:val="6E2DEE44"/>
    <w:rsid w:val="6E2F742F"/>
    <w:rsid w:val="6E385AE1"/>
    <w:rsid w:val="6E3EC358"/>
    <w:rsid w:val="6E5FA3E6"/>
    <w:rsid w:val="6E640B80"/>
    <w:rsid w:val="6E6D6A29"/>
    <w:rsid w:val="6E70E0AD"/>
    <w:rsid w:val="6E82B175"/>
    <w:rsid w:val="6E8F3A43"/>
    <w:rsid w:val="6E93AB3C"/>
    <w:rsid w:val="6E93B316"/>
    <w:rsid w:val="6E973D72"/>
    <w:rsid w:val="6E9B81EA"/>
    <w:rsid w:val="6E9D4705"/>
    <w:rsid w:val="6EA368E1"/>
    <w:rsid w:val="6EACA15E"/>
    <w:rsid w:val="6EB14C48"/>
    <w:rsid w:val="6EB75057"/>
    <w:rsid w:val="6EBA63BE"/>
    <w:rsid w:val="6EC03A1B"/>
    <w:rsid w:val="6EC25E4D"/>
    <w:rsid w:val="6EC2944D"/>
    <w:rsid w:val="6EC4E287"/>
    <w:rsid w:val="6EC6213A"/>
    <w:rsid w:val="6EC7B4D1"/>
    <w:rsid w:val="6ED7D622"/>
    <w:rsid w:val="6EDE0F2E"/>
    <w:rsid w:val="6EE21FB9"/>
    <w:rsid w:val="6EFAA27C"/>
    <w:rsid w:val="6F0CA739"/>
    <w:rsid w:val="6F129D62"/>
    <w:rsid w:val="6F2D2012"/>
    <w:rsid w:val="6F2EA0B0"/>
    <w:rsid w:val="6F54FCD2"/>
    <w:rsid w:val="6F59B913"/>
    <w:rsid w:val="6F5F9DCF"/>
    <w:rsid w:val="6F60264F"/>
    <w:rsid w:val="6F66F634"/>
    <w:rsid w:val="6F8570BC"/>
    <w:rsid w:val="6F85B574"/>
    <w:rsid w:val="6F95E152"/>
    <w:rsid w:val="6F9797E9"/>
    <w:rsid w:val="6FB495A0"/>
    <w:rsid w:val="6FC39DDE"/>
    <w:rsid w:val="6FD4EE71"/>
    <w:rsid w:val="6FE1C37A"/>
    <w:rsid w:val="6FE4D0E8"/>
    <w:rsid w:val="6FECB709"/>
    <w:rsid w:val="6FFBD5EA"/>
    <w:rsid w:val="6FFE253F"/>
    <w:rsid w:val="6FFF15CB"/>
    <w:rsid w:val="7000120E"/>
    <w:rsid w:val="70005055"/>
    <w:rsid w:val="70042DE6"/>
    <w:rsid w:val="701070DE"/>
    <w:rsid w:val="702284F4"/>
    <w:rsid w:val="7026C8F7"/>
    <w:rsid w:val="702C7014"/>
    <w:rsid w:val="70305709"/>
    <w:rsid w:val="703CB966"/>
    <w:rsid w:val="70456274"/>
    <w:rsid w:val="70484A25"/>
    <w:rsid w:val="704F85FC"/>
    <w:rsid w:val="7068841E"/>
    <w:rsid w:val="70AEE62A"/>
    <w:rsid w:val="70C8B464"/>
    <w:rsid w:val="70CAD1F8"/>
    <w:rsid w:val="70CE32C6"/>
    <w:rsid w:val="70D9A13F"/>
    <w:rsid w:val="70E41546"/>
    <w:rsid w:val="70E93FE9"/>
    <w:rsid w:val="710940CE"/>
    <w:rsid w:val="71166AFA"/>
    <w:rsid w:val="7126AE34"/>
    <w:rsid w:val="71294FC3"/>
    <w:rsid w:val="712B49B3"/>
    <w:rsid w:val="712B9649"/>
    <w:rsid w:val="71348577"/>
    <w:rsid w:val="713F0026"/>
    <w:rsid w:val="7144705B"/>
    <w:rsid w:val="714565FC"/>
    <w:rsid w:val="714EE062"/>
    <w:rsid w:val="71518F26"/>
    <w:rsid w:val="71530C68"/>
    <w:rsid w:val="71587FD5"/>
    <w:rsid w:val="715F1BD9"/>
    <w:rsid w:val="7162BC3E"/>
    <w:rsid w:val="7169C1FA"/>
    <w:rsid w:val="718E2960"/>
    <w:rsid w:val="718EB4F2"/>
    <w:rsid w:val="71940719"/>
    <w:rsid w:val="719DFF84"/>
    <w:rsid w:val="71BB351A"/>
    <w:rsid w:val="71CFC3C8"/>
    <w:rsid w:val="71D4EC83"/>
    <w:rsid w:val="71D6FC81"/>
    <w:rsid w:val="71D87951"/>
    <w:rsid w:val="71E2DF51"/>
    <w:rsid w:val="71E3B93D"/>
    <w:rsid w:val="71E5EA34"/>
    <w:rsid w:val="71F3EF85"/>
    <w:rsid w:val="720185CE"/>
    <w:rsid w:val="720552B9"/>
    <w:rsid w:val="720BF35A"/>
    <w:rsid w:val="72127C97"/>
    <w:rsid w:val="721A690E"/>
    <w:rsid w:val="721EBC3F"/>
    <w:rsid w:val="721F3753"/>
    <w:rsid w:val="721FF8DD"/>
    <w:rsid w:val="7220B75B"/>
    <w:rsid w:val="723BB817"/>
    <w:rsid w:val="723BEB96"/>
    <w:rsid w:val="724D1A7A"/>
    <w:rsid w:val="72503F8A"/>
    <w:rsid w:val="7251F996"/>
    <w:rsid w:val="726F1846"/>
    <w:rsid w:val="7289F20A"/>
    <w:rsid w:val="729C241F"/>
    <w:rsid w:val="72A0438D"/>
    <w:rsid w:val="72A5ADF7"/>
    <w:rsid w:val="72A999A0"/>
    <w:rsid w:val="72AA81CD"/>
    <w:rsid w:val="72CA8695"/>
    <w:rsid w:val="72CB7D1B"/>
    <w:rsid w:val="72CCB7E6"/>
    <w:rsid w:val="72CE0762"/>
    <w:rsid w:val="72EC2A64"/>
    <w:rsid w:val="72ECA327"/>
    <w:rsid w:val="72ECF6F0"/>
    <w:rsid w:val="72F1CCAD"/>
    <w:rsid w:val="72FD943C"/>
    <w:rsid w:val="73097C58"/>
    <w:rsid w:val="731BAF1D"/>
    <w:rsid w:val="7320F126"/>
    <w:rsid w:val="7325753B"/>
    <w:rsid w:val="733550C8"/>
    <w:rsid w:val="733ABC20"/>
    <w:rsid w:val="734C8790"/>
    <w:rsid w:val="7361D0AD"/>
    <w:rsid w:val="736689B1"/>
    <w:rsid w:val="7372026A"/>
    <w:rsid w:val="738A4E48"/>
    <w:rsid w:val="73B4E871"/>
    <w:rsid w:val="73CF2239"/>
    <w:rsid w:val="73E8D4A2"/>
    <w:rsid w:val="73ECAD5A"/>
    <w:rsid w:val="73EFE8BF"/>
    <w:rsid w:val="73F05EAD"/>
    <w:rsid w:val="7404B807"/>
    <w:rsid w:val="740864FB"/>
    <w:rsid w:val="741C6184"/>
    <w:rsid w:val="7425A53F"/>
    <w:rsid w:val="7429078F"/>
    <w:rsid w:val="74369506"/>
    <w:rsid w:val="74443D26"/>
    <w:rsid w:val="746DBC88"/>
    <w:rsid w:val="74783F8C"/>
    <w:rsid w:val="747A6758"/>
    <w:rsid w:val="748FF484"/>
    <w:rsid w:val="74943C55"/>
    <w:rsid w:val="7494BE1B"/>
    <w:rsid w:val="749F0ED3"/>
    <w:rsid w:val="74A5A38A"/>
    <w:rsid w:val="74AC7F36"/>
    <w:rsid w:val="74B6F48C"/>
    <w:rsid w:val="74CD5606"/>
    <w:rsid w:val="74E60FAF"/>
    <w:rsid w:val="74F2C6E0"/>
    <w:rsid w:val="74FB5FBA"/>
    <w:rsid w:val="750B1BC6"/>
    <w:rsid w:val="750CF8C3"/>
    <w:rsid w:val="750DF70A"/>
    <w:rsid w:val="7512FC70"/>
    <w:rsid w:val="7522BFF1"/>
    <w:rsid w:val="7523614E"/>
    <w:rsid w:val="75317A21"/>
    <w:rsid w:val="754DF72A"/>
    <w:rsid w:val="755DC16F"/>
    <w:rsid w:val="755E45FD"/>
    <w:rsid w:val="756FC1FF"/>
    <w:rsid w:val="7579DAD5"/>
    <w:rsid w:val="7586A851"/>
    <w:rsid w:val="758EA709"/>
    <w:rsid w:val="75991BA9"/>
    <w:rsid w:val="759C71B7"/>
    <w:rsid w:val="75A310CE"/>
    <w:rsid w:val="75A3C957"/>
    <w:rsid w:val="75AC1A4A"/>
    <w:rsid w:val="75AC9724"/>
    <w:rsid w:val="75BF03CC"/>
    <w:rsid w:val="75C4CED2"/>
    <w:rsid w:val="75CBB89F"/>
    <w:rsid w:val="75D1F905"/>
    <w:rsid w:val="75DCCC0D"/>
    <w:rsid w:val="75E27943"/>
    <w:rsid w:val="760FF1B4"/>
    <w:rsid w:val="76130554"/>
    <w:rsid w:val="76131340"/>
    <w:rsid w:val="7617F030"/>
    <w:rsid w:val="761B2E65"/>
    <w:rsid w:val="761EDDA4"/>
    <w:rsid w:val="762132A8"/>
    <w:rsid w:val="76345537"/>
    <w:rsid w:val="764FB370"/>
    <w:rsid w:val="76535CF3"/>
    <w:rsid w:val="76594892"/>
    <w:rsid w:val="765CB2EB"/>
    <w:rsid w:val="765E31D3"/>
    <w:rsid w:val="76766EB2"/>
    <w:rsid w:val="767C6720"/>
    <w:rsid w:val="767EED8E"/>
    <w:rsid w:val="76812E42"/>
    <w:rsid w:val="76863A0B"/>
    <w:rsid w:val="7686B060"/>
    <w:rsid w:val="7689940A"/>
    <w:rsid w:val="769CB4B3"/>
    <w:rsid w:val="769CF1B8"/>
    <w:rsid w:val="769EE29D"/>
    <w:rsid w:val="769F0A3F"/>
    <w:rsid w:val="769FF715"/>
    <w:rsid w:val="76AB5D32"/>
    <w:rsid w:val="76B0E6A8"/>
    <w:rsid w:val="76B7072C"/>
    <w:rsid w:val="76CFB373"/>
    <w:rsid w:val="76DBD8A8"/>
    <w:rsid w:val="76DC959F"/>
    <w:rsid w:val="76FA0DA8"/>
    <w:rsid w:val="77043791"/>
    <w:rsid w:val="7725CF69"/>
    <w:rsid w:val="77327331"/>
    <w:rsid w:val="773CA6F5"/>
    <w:rsid w:val="774676AE"/>
    <w:rsid w:val="7758B89E"/>
    <w:rsid w:val="775B7C02"/>
    <w:rsid w:val="77714B02"/>
    <w:rsid w:val="77791F1A"/>
    <w:rsid w:val="777EBA21"/>
    <w:rsid w:val="779ECB69"/>
    <w:rsid w:val="77A2D5A1"/>
    <w:rsid w:val="77AAC900"/>
    <w:rsid w:val="77B10675"/>
    <w:rsid w:val="77B75344"/>
    <w:rsid w:val="77B9B00F"/>
    <w:rsid w:val="77C3B9AF"/>
    <w:rsid w:val="77CB679F"/>
    <w:rsid w:val="77D0CF6A"/>
    <w:rsid w:val="77E7431A"/>
    <w:rsid w:val="77F1C507"/>
    <w:rsid w:val="78004788"/>
    <w:rsid w:val="780EC2F6"/>
    <w:rsid w:val="781050FA"/>
    <w:rsid w:val="7815555D"/>
    <w:rsid w:val="78175023"/>
    <w:rsid w:val="781C0FAB"/>
    <w:rsid w:val="781D0D21"/>
    <w:rsid w:val="781D3A76"/>
    <w:rsid w:val="782832F5"/>
    <w:rsid w:val="782A61EF"/>
    <w:rsid w:val="78368D94"/>
    <w:rsid w:val="783C68BC"/>
    <w:rsid w:val="78423988"/>
    <w:rsid w:val="78462A38"/>
    <w:rsid w:val="78473024"/>
    <w:rsid w:val="784C048F"/>
    <w:rsid w:val="7853B9B0"/>
    <w:rsid w:val="78566A1A"/>
    <w:rsid w:val="78675A9B"/>
    <w:rsid w:val="786D09F6"/>
    <w:rsid w:val="7877519C"/>
    <w:rsid w:val="787995CC"/>
    <w:rsid w:val="787F1357"/>
    <w:rsid w:val="78833CD6"/>
    <w:rsid w:val="78837976"/>
    <w:rsid w:val="788F824D"/>
    <w:rsid w:val="78A19525"/>
    <w:rsid w:val="78A26409"/>
    <w:rsid w:val="78AE91B4"/>
    <w:rsid w:val="78AFB2F3"/>
    <w:rsid w:val="78B34B5B"/>
    <w:rsid w:val="78B58097"/>
    <w:rsid w:val="78FDCF4F"/>
    <w:rsid w:val="79023A1A"/>
    <w:rsid w:val="79207C71"/>
    <w:rsid w:val="7925F852"/>
    <w:rsid w:val="7943846E"/>
    <w:rsid w:val="79463DE7"/>
    <w:rsid w:val="794946AC"/>
    <w:rsid w:val="794EAEDF"/>
    <w:rsid w:val="79605196"/>
    <w:rsid w:val="7967D127"/>
    <w:rsid w:val="7969F972"/>
    <w:rsid w:val="796D682D"/>
    <w:rsid w:val="79789803"/>
    <w:rsid w:val="7979C66D"/>
    <w:rsid w:val="798859F0"/>
    <w:rsid w:val="79888579"/>
    <w:rsid w:val="7995048B"/>
    <w:rsid w:val="799A11E3"/>
    <w:rsid w:val="799FA48C"/>
    <w:rsid w:val="79A1AD00"/>
    <w:rsid w:val="79BDF399"/>
    <w:rsid w:val="79D6798A"/>
    <w:rsid w:val="79DD9243"/>
    <w:rsid w:val="79DF1205"/>
    <w:rsid w:val="79E308BB"/>
    <w:rsid w:val="79F64629"/>
    <w:rsid w:val="79F78D8D"/>
    <w:rsid w:val="7A02F445"/>
    <w:rsid w:val="7A0BACD6"/>
    <w:rsid w:val="7A0C3835"/>
    <w:rsid w:val="7A118691"/>
    <w:rsid w:val="7A15A17C"/>
    <w:rsid w:val="7A1EB087"/>
    <w:rsid w:val="7A253C8F"/>
    <w:rsid w:val="7A2BDF26"/>
    <w:rsid w:val="7A344303"/>
    <w:rsid w:val="7A3BB080"/>
    <w:rsid w:val="7A49127F"/>
    <w:rsid w:val="7A4BFB16"/>
    <w:rsid w:val="7A5F488A"/>
    <w:rsid w:val="7A6C66CB"/>
    <w:rsid w:val="7A6CDECE"/>
    <w:rsid w:val="7A70A73F"/>
    <w:rsid w:val="7A712648"/>
    <w:rsid w:val="7A759450"/>
    <w:rsid w:val="7A7A1F05"/>
    <w:rsid w:val="7A7D3F2B"/>
    <w:rsid w:val="7A88BF12"/>
    <w:rsid w:val="7A964C18"/>
    <w:rsid w:val="7A9688C1"/>
    <w:rsid w:val="7AAA46E3"/>
    <w:rsid w:val="7AABCC55"/>
    <w:rsid w:val="7AB37902"/>
    <w:rsid w:val="7AB6AB01"/>
    <w:rsid w:val="7AC22A87"/>
    <w:rsid w:val="7AC22BB5"/>
    <w:rsid w:val="7ACA6C73"/>
    <w:rsid w:val="7ACDF853"/>
    <w:rsid w:val="7AD6DAF3"/>
    <w:rsid w:val="7AE4808D"/>
    <w:rsid w:val="7B002DA9"/>
    <w:rsid w:val="7B02985D"/>
    <w:rsid w:val="7B0E9966"/>
    <w:rsid w:val="7B0F77C9"/>
    <w:rsid w:val="7B16D823"/>
    <w:rsid w:val="7B2482AC"/>
    <w:rsid w:val="7B3063B2"/>
    <w:rsid w:val="7B34545A"/>
    <w:rsid w:val="7B3AC82C"/>
    <w:rsid w:val="7B53821B"/>
    <w:rsid w:val="7B5EBE70"/>
    <w:rsid w:val="7B61B04E"/>
    <w:rsid w:val="7B6837A7"/>
    <w:rsid w:val="7B6A9987"/>
    <w:rsid w:val="7B75EE48"/>
    <w:rsid w:val="7B7E3938"/>
    <w:rsid w:val="7B84D3CE"/>
    <w:rsid w:val="7B866745"/>
    <w:rsid w:val="7B968AF2"/>
    <w:rsid w:val="7B992E66"/>
    <w:rsid w:val="7BC62376"/>
    <w:rsid w:val="7BC7B5B7"/>
    <w:rsid w:val="7BCF67EF"/>
    <w:rsid w:val="7BE83DC2"/>
    <w:rsid w:val="7BEB2CD7"/>
    <w:rsid w:val="7BF45C2F"/>
    <w:rsid w:val="7BFDCFCC"/>
    <w:rsid w:val="7C003F3E"/>
    <w:rsid w:val="7C09DB18"/>
    <w:rsid w:val="7C29C5C3"/>
    <w:rsid w:val="7C2FBCFA"/>
    <w:rsid w:val="7C39ADD6"/>
    <w:rsid w:val="7C40634A"/>
    <w:rsid w:val="7C4FC1C0"/>
    <w:rsid w:val="7C4FD24B"/>
    <w:rsid w:val="7C628C9D"/>
    <w:rsid w:val="7C62D557"/>
    <w:rsid w:val="7C81ACD8"/>
    <w:rsid w:val="7C8EF6AE"/>
    <w:rsid w:val="7C9770FD"/>
    <w:rsid w:val="7CA0AB60"/>
    <w:rsid w:val="7CA2ACFD"/>
    <w:rsid w:val="7CA854CE"/>
    <w:rsid w:val="7CAA67D1"/>
    <w:rsid w:val="7CAFE12B"/>
    <w:rsid w:val="7CB44B86"/>
    <w:rsid w:val="7CB65A02"/>
    <w:rsid w:val="7CBD0161"/>
    <w:rsid w:val="7CC1FB3E"/>
    <w:rsid w:val="7CD4242B"/>
    <w:rsid w:val="7CD9FB8A"/>
    <w:rsid w:val="7CDBBA57"/>
    <w:rsid w:val="7CE5CE5A"/>
    <w:rsid w:val="7CE6799F"/>
    <w:rsid w:val="7CFC0231"/>
    <w:rsid w:val="7D11BDC8"/>
    <w:rsid w:val="7D14891A"/>
    <w:rsid w:val="7D3900FC"/>
    <w:rsid w:val="7D39AC5A"/>
    <w:rsid w:val="7D3DD2FB"/>
    <w:rsid w:val="7D4A610C"/>
    <w:rsid w:val="7D71912B"/>
    <w:rsid w:val="7D71B5EA"/>
    <w:rsid w:val="7D7672E5"/>
    <w:rsid w:val="7D91E98C"/>
    <w:rsid w:val="7D9D7FFA"/>
    <w:rsid w:val="7DA2337B"/>
    <w:rsid w:val="7DA8D45A"/>
    <w:rsid w:val="7DABB8DF"/>
    <w:rsid w:val="7DB2D94E"/>
    <w:rsid w:val="7DB6F17F"/>
    <w:rsid w:val="7DEA7635"/>
    <w:rsid w:val="7E081C31"/>
    <w:rsid w:val="7E084148"/>
    <w:rsid w:val="7E08A93B"/>
    <w:rsid w:val="7E09F8A2"/>
    <w:rsid w:val="7E1FE637"/>
    <w:rsid w:val="7E2E5A1F"/>
    <w:rsid w:val="7E2E728F"/>
    <w:rsid w:val="7E3DE187"/>
    <w:rsid w:val="7E626408"/>
    <w:rsid w:val="7E627462"/>
    <w:rsid w:val="7E671058"/>
    <w:rsid w:val="7E6BD2F9"/>
    <w:rsid w:val="7E7D1844"/>
    <w:rsid w:val="7E9011D0"/>
    <w:rsid w:val="7E9732DA"/>
    <w:rsid w:val="7EA0D715"/>
    <w:rsid w:val="7EAE7316"/>
    <w:rsid w:val="7EB06779"/>
    <w:rsid w:val="7EBC2FEB"/>
    <w:rsid w:val="7EC903D4"/>
    <w:rsid w:val="7ECC555C"/>
    <w:rsid w:val="7ED09209"/>
    <w:rsid w:val="7EF83C15"/>
    <w:rsid w:val="7EFFB28A"/>
    <w:rsid w:val="7F19F518"/>
    <w:rsid w:val="7F33C310"/>
    <w:rsid w:val="7F3418C2"/>
    <w:rsid w:val="7F397A3A"/>
    <w:rsid w:val="7F406351"/>
    <w:rsid w:val="7F545D37"/>
    <w:rsid w:val="7F559006"/>
    <w:rsid w:val="7F57249A"/>
    <w:rsid w:val="7F58EDCB"/>
    <w:rsid w:val="7F6074AF"/>
    <w:rsid w:val="7F6CB23A"/>
    <w:rsid w:val="7F7139EE"/>
    <w:rsid w:val="7F744149"/>
    <w:rsid w:val="7F74C3F7"/>
    <w:rsid w:val="7F754E3D"/>
    <w:rsid w:val="7F79D51B"/>
    <w:rsid w:val="7F959BAA"/>
    <w:rsid w:val="7F9F31CD"/>
    <w:rsid w:val="7FA5F0FA"/>
    <w:rsid w:val="7FB343EB"/>
    <w:rsid w:val="7FCD7EBC"/>
    <w:rsid w:val="7FE88CE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AFA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hu"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36"/>
  </w:style>
  <w:style w:type="paragraph" w:styleId="Heading1">
    <w:name w:val="heading 1"/>
    <w:basedOn w:val="Normal"/>
    <w:next w:val="Text1"/>
    <w:link w:val="Heading1Char"/>
    <w:uiPriority w:val="9"/>
    <w:qFormat/>
    <w:rsid w:val="14F0B435"/>
    <w:pPr>
      <w:keepNext/>
      <w:tabs>
        <w:tab w:val="num" w:pos="850"/>
      </w:tabs>
      <w:spacing w:before="360" w:after="0"/>
      <w:ind w:left="850" w:hanging="850"/>
      <w:jc w:val="both"/>
      <w:outlineLvl w:val="0"/>
    </w:pPr>
    <w:rPr>
      <w:rFonts w:ascii="Times New Roman" w:eastAsiaTheme="majorEastAsia" w:hAnsi="Times New Roman" w:cs="Times New Roman"/>
      <w:b/>
      <w:smallCaps/>
      <w:sz w:val="24"/>
    </w:rPr>
  </w:style>
  <w:style w:type="paragraph" w:styleId="Heading2">
    <w:name w:val="heading 2"/>
    <w:basedOn w:val="Normal"/>
    <w:next w:val="Text1"/>
    <w:link w:val="Heading2Char"/>
    <w:uiPriority w:val="9"/>
    <w:unhideWhenUsed/>
    <w:qFormat/>
    <w:rsid w:val="14F0B435"/>
    <w:pPr>
      <w:keepNext/>
      <w:spacing w:before="40" w:after="0"/>
      <w:ind w:left="130" w:firstLine="720"/>
      <w:jc w:val="both"/>
      <w:outlineLvl w:val="1"/>
    </w:pPr>
    <w:rPr>
      <w:rFonts w:ascii="Times New Roman" w:eastAsiaTheme="minorEastAsia" w:hAnsi="Times New Roman" w:cs="Times New Roman"/>
      <w:b/>
      <w:sz w:val="24"/>
      <w:u w:val="single"/>
    </w:rPr>
  </w:style>
  <w:style w:type="paragraph" w:styleId="Heading3">
    <w:name w:val="heading 3"/>
    <w:basedOn w:val="Normal"/>
    <w:next w:val="Text1"/>
    <w:link w:val="Heading3Char"/>
    <w:uiPriority w:val="9"/>
    <w:unhideWhenUsed/>
    <w:qFormat/>
    <w:rsid w:val="14F0B435"/>
    <w:pPr>
      <w:keepNext/>
      <w:spacing w:before="240" w:after="0"/>
      <w:ind w:left="851"/>
      <w:jc w:val="both"/>
      <w:outlineLvl w:val="2"/>
    </w:pPr>
    <w:rPr>
      <w:rFonts w:ascii="Times New Roman" w:eastAsiaTheme="minorEastAsia" w:hAnsi="Times New Roman" w:cs="Times New Roman"/>
      <w:sz w:val="24"/>
      <w:u w:val="single"/>
    </w:rPr>
  </w:style>
  <w:style w:type="paragraph" w:styleId="Heading4">
    <w:name w:val="heading 4"/>
    <w:basedOn w:val="Normal"/>
    <w:next w:val="Text1"/>
    <w:link w:val="Heading4Char"/>
    <w:uiPriority w:val="9"/>
    <w:unhideWhenUsed/>
    <w:qFormat/>
    <w:rsid w:val="29DEDBAE"/>
    <w:pPr>
      <w:keepNext/>
      <w:numPr>
        <w:ilvl w:val="3"/>
        <w:numId w:val="7"/>
      </w:numPr>
      <w:spacing w:before="40" w:after="0"/>
      <w:jc w:val="both"/>
      <w:outlineLvl w:val="3"/>
    </w:pPr>
    <w:rPr>
      <w:rFonts w:ascii="Times New Roman" w:eastAsiaTheme="majorEastAsia" w:hAnsi="Times New Roman" w:cs="Times New Roman"/>
      <w:sz w:val="24"/>
    </w:rPr>
  </w:style>
  <w:style w:type="paragraph" w:styleId="Heading5">
    <w:name w:val="heading 5"/>
    <w:basedOn w:val="Normal"/>
    <w:next w:val="Normal"/>
    <w:link w:val="Heading5Char"/>
    <w:uiPriority w:val="9"/>
    <w:unhideWhenUsed/>
    <w:qFormat/>
    <w:rsid w:val="00510B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10B5B"/>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510B5B"/>
    <w:pPr>
      <w:keepNext/>
      <w:keepLines/>
      <w:spacing w:before="40" w:after="0"/>
      <w:outlineLvl w:val="6"/>
    </w:pPr>
    <w:rPr>
      <w:rFonts w:asciiTheme="majorHAnsi" w:eastAsiaTheme="majorEastAsia" w:hAnsiTheme="majorHAnsi" w:cstheme="majorBidi"/>
      <w:i/>
      <w:color w:val="243F60"/>
    </w:rPr>
  </w:style>
  <w:style w:type="paragraph" w:styleId="Heading8">
    <w:name w:val="heading 8"/>
    <w:basedOn w:val="Normal"/>
    <w:next w:val="Normal"/>
    <w:link w:val="Heading8Char"/>
    <w:uiPriority w:val="9"/>
    <w:unhideWhenUsed/>
    <w:qFormat/>
    <w:rsid w:val="00510B5B"/>
    <w:pPr>
      <w:keepNext/>
      <w:keepLines/>
      <w:spacing w:before="40" w:after="0"/>
      <w:outlineLvl w:val="7"/>
    </w:pPr>
    <w:rPr>
      <w:rFonts w:asciiTheme="majorHAnsi" w:eastAsiaTheme="majorEastAsia" w:hAnsiTheme="majorHAnsi" w:cstheme="majorBidi"/>
      <w:color w:val="272727"/>
      <w:sz w:val="21"/>
    </w:rPr>
  </w:style>
  <w:style w:type="paragraph" w:styleId="Heading9">
    <w:name w:val="heading 9"/>
    <w:basedOn w:val="Normal"/>
    <w:next w:val="Normal"/>
    <w:link w:val="Heading9Char"/>
    <w:uiPriority w:val="9"/>
    <w:unhideWhenUsed/>
    <w:qFormat/>
    <w:rsid w:val="00510B5B"/>
    <w:pPr>
      <w:keepNext/>
      <w:keepLines/>
      <w:spacing w:before="40" w:after="0"/>
      <w:outlineLvl w:val="8"/>
    </w:pPr>
    <w:rPr>
      <w:rFonts w:asciiTheme="majorHAnsi" w:eastAsiaTheme="majorEastAsia" w:hAnsiTheme="majorHAnsi" w:cstheme="majorBidi"/>
      <w:i/>
      <w:color w:val="272727"/>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80D"/>
    <w:rPr>
      <w:rFonts w:ascii="Times New Roman" w:eastAsiaTheme="majorEastAsia" w:hAnsi="Times New Roman" w:cs="Times New Roman"/>
      <w:b/>
      <w:smallCaps/>
      <w:sz w:val="24"/>
    </w:rPr>
  </w:style>
  <w:style w:type="character" w:customStyle="1" w:styleId="Heading2Char">
    <w:name w:val="Heading 2 Char"/>
    <w:basedOn w:val="DefaultParagraphFont"/>
    <w:link w:val="Heading2"/>
    <w:uiPriority w:val="9"/>
    <w:rsid w:val="00B4580D"/>
    <w:rPr>
      <w:rFonts w:ascii="Times New Roman" w:eastAsiaTheme="minorEastAsia" w:hAnsi="Times New Roman" w:cs="Times New Roman"/>
      <w:b/>
      <w:sz w:val="24"/>
      <w:u w:val="single"/>
    </w:rPr>
  </w:style>
  <w:style w:type="character" w:customStyle="1" w:styleId="Heading3Char">
    <w:name w:val="Heading 3 Char"/>
    <w:basedOn w:val="DefaultParagraphFont"/>
    <w:link w:val="Heading3"/>
    <w:uiPriority w:val="9"/>
    <w:rsid w:val="00B4580D"/>
    <w:rPr>
      <w:rFonts w:ascii="Times New Roman" w:eastAsiaTheme="minorEastAsia" w:hAnsi="Times New Roman" w:cs="Times New Roman"/>
      <w:sz w:val="24"/>
      <w:u w:val="single"/>
    </w:rPr>
  </w:style>
  <w:style w:type="character" w:customStyle="1" w:styleId="Heading4Char">
    <w:name w:val="Heading 4 Char"/>
    <w:basedOn w:val="DefaultParagraphFont"/>
    <w:link w:val="Heading4"/>
    <w:uiPriority w:val="9"/>
    <w:rsid w:val="00B4580D"/>
    <w:rPr>
      <w:rFonts w:ascii="Times New Roman" w:eastAsiaTheme="majorEastAsia" w:hAnsi="Times New Roman" w:cs="Times New Roman"/>
      <w:sz w:val="24"/>
    </w:rPr>
  </w:style>
  <w:style w:type="paragraph" w:styleId="Header">
    <w:name w:val="header"/>
    <w:basedOn w:val="Normal"/>
    <w:link w:val="HeaderChar"/>
    <w:uiPriority w:val="99"/>
    <w:unhideWhenUsed/>
    <w:rsid w:val="14F0B435"/>
    <w:pPr>
      <w:tabs>
        <w:tab w:val="center" w:pos="4535"/>
        <w:tab w:val="right" w:pos="9071"/>
      </w:tabs>
      <w:spacing w:after="120"/>
      <w:jc w:val="both"/>
    </w:pPr>
    <w:rPr>
      <w:rFonts w:ascii="Times New Roman" w:eastAsiaTheme="minorEastAsia" w:hAnsi="Times New Roman" w:cs="Times New Roman"/>
      <w:sz w:val="24"/>
    </w:rPr>
  </w:style>
  <w:style w:type="character" w:customStyle="1" w:styleId="HeaderChar">
    <w:name w:val="Header Char"/>
    <w:basedOn w:val="DefaultParagraphFont"/>
    <w:link w:val="Header"/>
    <w:uiPriority w:val="99"/>
    <w:rsid w:val="00B4580D"/>
    <w:rPr>
      <w:rFonts w:ascii="Times New Roman" w:eastAsiaTheme="minorEastAsia" w:hAnsi="Times New Roman" w:cs="Times New Roman"/>
      <w:sz w:val="24"/>
    </w:rPr>
  </w:style>
  <w:style w:type="paragraph" w:styleId="Footer">
    <w:name w:val="footer"/>
    <w:basedOn w:val="Normal"/>
    <w:link w:val="FooterChar"/>
    <w:uiPriority w:val="99"/>
    <w:unhideWhenUsed/>
    <w:rsid w:val="14F0B435"/>
    <w:pPr>
      <w:tabs>
        <w:tab w:val="center" w:pos="4535"/>
        <w:tab w:val="right" w:pos="9071"/>
        <w:tab w:val="right" w:pos="9921"/>
      </w:tabs>
      <w:spacing w:before="360" w:after="0"/>
      <w:ind w:left="-850" w:right="-850"/>
    </w:pPr>
    <w:rPr>
      <w:rFonts w:ascii="Times New Roman" w:eastAsiaTheme="minorEastAsia" w:hAnsi="Times New Roman" w:cs="Times New Roman"/>
      <w:sz w:val="24"/>
    </w:rPr>
  </w:style>
  <w:style w:type="character" w:customStyle="1" w:styleId="FooterChar">
    <w:name w:val="Footer Char"/>
    <w:basedOn w:val="DefaultParagraphFont"/>
    <w:link w:val="Footer"/>
    <w:uiPriority w:val="99"/>
    <w:rsid w:val="00B4580D"/>
    <w:rPr>
      <w:rFonts w:ascii="Times New Roman" w:eastAsiaTheme="minorEastAsia" w:hAnsi="Times New Roman" w:cs="Times New Roman"/>
      <w:sz w:val="24"/>
    </w:rPr>
  </w:style>
  <w:style w:type="paragraph" w:styleId="FootnoteText">
    <w:name w:val="footnote text"/>
    <w:basedOn w:val="Normal"/>
    <w:link w:val="FootnoteTextChar"/>
    <w:uiPriority w:val="99"/>
    <w:unhideWhenUsed/>
    <w:rsid w:val="14F0B435"/>
    <w:pPr>
      <w:keepNext/>
      <w:spacing w:after="0"/>
      <w:ind w:left="720" w:hanging="720"/>
      <w:jc w:val="both"/>
    </w:pPr>
    <w:rPr>
      <w:rFonts w:ascii="Times New Roman" w:eastAsiaTheme="minorEastAsia" w:hAnsi="Times New Roman" w:cs="Times New Roman"/>
      <w:sz w:val="20"/>
    </w:rPr>
  </w:style>
  <w:style w:type="character" w:customStyle="1" w:styleId="FootnoteTextChar">
    <w:name w:val="Footnote Text Char"/>
    <w:basedOn w:val="DefaultParagraphFont"/>
    <w:link w:val="FootnoteText"/>
    <w:uiPriority w:val="99"/>
    <w:rsid w:val="00B4580D"/>
    <w:rPr>
      <w:rFonts w:ascii="Times New Roman" w:eastAsiaTheme="minorEastAsia" w:hAnsi="Times New Roman" w:cs="Times New Roman"/>
      <w:sz w:val="20"/>
    </w:rPr>
  </w:style>
  <w:style w:type="paragraph" w:styleId="TOCHeading">
    <w:name w:val="TOC Heading"/>
    <w:basedOn w:val="Normal"/>
    <w:next w:val="Normal"/>
    <w:uiPriority w:val="39"/>
    <w:unhideWhenUsed/>
    <w:qFormat/>
    <w:rsid w:val="14F0B435"/>
    <w:pPr>
      <w:keepNext/>
      <w:spacing w:before="40" w:after="0"/>
      <w:jc w:val="center"/>
    </w:pPr>
    <w:rPr>
      <w:rFonts w:ascii="Times New Roman" w:eastAsiaTheme="minorEastAsia" w:hAnsi="Times New Roman" w:cs="Times New Roman"/>
      <w:b/>
      <w:sz w:val="28"/>
    </w:rPr>
  </w:style>
  <w:style w:type="paragraph" w:styleId="TOC1">
    <w:name w:val="toc 1"/>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2">
    <w:name w:val="toc 2"/>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3">
    <w:name w:val="toc 3"/>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4">
    <w:name w:val="toc 4"/>
    <w:basedOn w:val="Normal"/>
    <w:next w:val="Normal"/>
    <w:uiPriority w:val="39"/>
    <w:unhideWhenUsed/>
    <w:rsid w:val="14F0B435"/>
    <w:pPr>
      <w:keepNext/>
      <w:tabs>
        <w:tab w:val="right" w:leader="dot" w:pos="9071"/>
      </w:tabs>
      <w:spacing w:before="60" w:after="0"/>
      <w:ind w:hanging="850"/>
      <w:jc w:val="both"/>
    </w:pPr>
    <w:rPr>
      <w:rFonts w:ascii="Times New Roman" w:eastAsiaTheme="minorEastAsia" w:hAnsi="Times New Roman" w:cs="Times New Roman"/>
      <w:sz w:val="24"/>
    </w:rPr>
  </w:style>
  <w:style w:type="paragraph" w:styleId="TOC5">
    <w:name w:val="toc 5"/>
    <w:basedOn w:val="Normal"/>
    <w:next w:val="Normal"/>
    <w:uiPriority w:val="39"/>
    <w:unhideWhenUsed/>
    <w:rsid w:val="14F0B435"/>
    <w:pPr>
      <w:keepNext/>
      <w:tabs>
        <w:tab w:val="right" w:leader="dot" w:pos="9071"/>
      </w:tabs>
      <w:spacing w:before="300" w:after="0"/>
      <w:jc w:val="both"/>
    </w:pPr>
    <w:rPr>
      <w:rFonts w:ascii="Times New Roman" w:eastAsiaTheme="minorEastAsia" w:hAnsi="Times New Roman" w:cs="Times New Roman"/>
      <w:sz w:val="24"/>
    </w:rPr>
  </w:style>
  <w:style w:type="paragraph" w:styleId="TOC6">
    <w:name w:val="toc 6"/>
    <w:basedOn w:val="Normal"/>
    <w:next w:val="Normal"/>
    <w:uiPriority w:val="39"/>
    <w:unhideWhenUsed/>
    <w:rsid w:val="14F0B435"/>
    <w:pPr>
      <w:keepNext/>
      <w:tabs>
        <w:tab w:val="right" w:leader="dot" w:pos="9071"/>
      </w:tabs>
      <w:spacing w:before="240" w:after="0"/>
      <w:jc w:val="both"/>
    </w:pPr>
    <w:rPr>
      <w:rFonts w:ascii="Times New Roman" w:eastAsiaTheme="minorEastAsia" w:hAnsi="Times New Roman" w:cs="Times New Roman"/>
      <w:sz w:val="24"/>
    </w:rPr>
  </w:style>
  <w:style w:type="paragraph" w:styleId="TOC7">
    <w:name w:val="toc 7"/>
    <w:basedOn w:val="Normal"/>
    <w:next w:val="Normal"/>
    <w:uiPriority w:val="39"/>
    <w:unhideWhenUsed/>
    <w:rsid w:val="14F0B435"/>
    <w:pPr>
      <w:keepNext/>
      <w:tabs>
        <w:tab w:val="right" w:leader="dot" w:pos="9071"/>
      </w:tabs>
      <w:spacing w:before="180" w:after="0"/>
      <w:jc w:val="both"/>
    </w:pPr>
    <w:rPr>
      <w:rFonts w:ascii="Times New Roman" w:eastAsiaTheme="minorEastAsia" w:hAnsi="Times New Roman" w:cs="Times New Roman"/>
      <w:sz w:val="24"/>
    </w:rPr>
  </w:style>
  <w:style w:type="paragraph" w:styleId="TOC8">
    <w:name w:val="toc 8"/>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styleId="TOC9">
    <w:name w:val="toc 9"/>
    <w:basedOn w:val="Normal"/>
    <w:next w:val="Normal"/>
    <w:uiPriority w:val="39"/>
    <w:unhideWhenUsed/>
    <w:rsid w:val="14F0B435"/>
    <w:pPr>
      <w:keepNext/>
      <w:tabs>
        <w:tab w:val="right" w:leader="dot" w:pos="9071"/>
      </w:tabs>
      <w:spacing w:before="40" w:after="0"/>
      <w:jc w:val="both"/>
    </w:pPr>
    <w:rPr>
      <w:rFonts w:ascii="Times New Roman" w:eastAsiaTheme="minorEastAsia" w:hAnsi="Times New Roman" w:cs="Times New Roman"/>
      <w:sz w:val="24"/>
    </w:rPr>
  </w:style>
  <w:style w:type="paragraph" w:customStyle="1" w:styleId="HeaderLandscape">
    <w:name w:val="HeaderLandscape"/>
    <w:basedOn w:val="Normal"/>
    <w:uiPriority w:val="1"/>
    <w:rsid w:val="14F0B435"/>
    <w:pPr>
      <w:tabs>
        <w:tab w:val="center" w:pos="7285"/>
        <w:tab w:val="right" w:pos="14003"/>
      </w:tabs>
      <w:spacing w:after="120"/>
      <w:jc w:val="both"/>
    </w:pPr>
    <w:rPr>
      <w:rFonts w:ascii="Times New Roman" w:eastAsiaTheme="minorEastAsia" w:hAnsi="Times New Roman" w:cs="Times New Roman"/>
      <w:sz w:val="24"/>
    </w:rPr>
  </w:style>
  <w:style w:type="paragraph" w:customStyle="1" w:styleId="FooterLandscape">
    <w:name w:val="FooterLandscape"/>
    <w:basedOn w:val="Normal"/>
    <w:uiPriority w:val="1"/>
    <w:rsid w:val="14F0B435"/>
    <w:pPr>
      <w:tabs>
        <w:tab w:val="center" w:pos="7285"/>
        <w:tab w:val="center" w:pos="10913"/>
        <w:tab w:val="right" w:pos="15137"/>
      </w:tabs>
      <w:spacing w:before="360" w:after="0"/>
      <w:ind w:left="-567" w:right="-567"/>
    </w:pPr>
    <w:rPr>
      <w:rFonts w:ascii="Times New Roman" w:eastAsiaTheme="minorEastAsia" w:hAnsi="Times New Roman" w:cs="Times New Roman"/>
      <w:sz w:val="24"/>
    </w:rPr>
  </w:style>
  <w:style w:type="character" w:styleId="FootnoteReference">
    <w:name w:val="footnote reference"/>
    <w:basedOn w:val="DefaultParagraphFont"/>
    <w:uiPriority w:val="99"/>
    <w:semiHidden/>
    <w:unhideWhenUsed/>
    <w:rsid w:val="00B4580D"/>
    <w:rPr>
      <w:shd w:val="clear" w:color="auto" w:fill="auto"/>
      <w:vertAlign w:val="superscript"/>
    </w:rPr>
  </w:style>
  <w:style w:type="paragraph" w:customStyle="1" w:styleId="HeaderSensitivity">
    <w:name w:val="Header Sensitivity"/>
    <w:basedOn w:val="Normal"/>
    <w:uiPriority w:val="1"/>
    <w:rsid w:val="14F0B43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uiPriority w:val="1"/>
    <w:rsid w:val="14F0B435"/>
    <w:pPr>
      <w:spacing w:after="120" w:line="240" w:lineRule="auto"/>
      <w:jc w:val="right"/>
    </w:pPr>
    <w:rPr>
      <w:rFonts w:ascii="Times New Roman" w:hAnsi="Times New Roman" w:cs="Times New Roman"/>
      <w:sz w:val="28"/>
    </w:rPr>
  </w:style>
  <w:style w:type="paragraph" w:customStyle="1" w:styleId="FooterSensitivity">
    <w:name w:val="Footer Sensitivity"/>
    <w:basedOn w:val="Normal"/>
    <w:uiPriority w:val="1"/>
    <w:rsid w:val="14F0B43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ext1">
    <w:name w:val="Text 1"/>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Text2">
    <w:name w:val="Text 2"/>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Text3">
    <w:name w:val="Text 3"/>
    <w:basedOn w:val="Normal"/>
    <w:uiPriority w:val="1"/>
    <w:rsid w:val="14F0B435"/>
    <w:pPr>
      <w:keepNext/>
      <w:spacing w:before="40" w:after="0"/>
      <w:ind w:left="1984"/>
      <w:jc w:val="both"/>
    </w:pPr>
    <w:rPr>
      <w:rFonts w:ascii="Times New Roman" w:eastAsiaTheme="minorEastAsia" w:hAnsi="Times New Roman" w:cs="Times New Roman"/>
      <w:sz w:val="24"/>
    </w:rPr>
  </w:style>
  <w:style w:type="paragraph" w:customStyle="1" w:styleId="Text4">
    <w:name w:val="Text 4"/>
    <w:basedOn w:val="Normal"/>
    <w:uiPriority w:val="1"/>
    <w:rsid w:val="14F0B435"/>
    <w:pPr>
      <w:keepNext/>
      <w:spacing w:before="40" w:after="0"/>
      <w:ind w:left="2551"/>
      <w:jc w:val="both"/>
    </w:pPr>
    <w:rPr>
      <w:rFonts w:ascii="Times New Roman" w:eastAsiaTheme="minorEastAsia" w:hAnsi="Times New Roman" w:cs="Times New Roman"/>
      <w:sz w:val="24"/>
    </w:rPr>
  </w:style>
  <w:style w:type="paragraph" w:customStyle="1" w:styleId="NormalCentered">
    <w:name w:val="Normal Centered"/>
    <w:basedOn w:val="Normal"/>
    <w:uiPriority w:val="1"/>
    <w:rsid w:val="14F0B435"/>
    <w:pPr>
      <w:keepNext/>
      <w:spacing w:before="40" w:after="0"/>
      <w:jc w:val="center"/>
    </w:pPr>
    <w:rPr>
      <w:rFonts w:ascii="Times New Roman" w:eastAsiaTheme="minorEastAsia" w:hAnsi="Times New Roman" w:cs="Times New Roman"/>
      <w:sz w:val="24"/>
    </w:rPr>
  </w:style>
  <w:style w:type="paragraph" w:customStyle="1" w:styleId="NormalLeft">
    <w:name w:val="Normal Left"/>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NormalRight">
    <w:name w:val="Normal Right"/>
    <w:basedOn w:val="Normal"/>
    <w:uiPriority w:val="1"/>
    <w:rsid w:val="14F0B435"/>
    <w:pPr>
      <w:keepNext/>
      <w:spacing w:before="40" w:after="0"/>
      <w:jc w:val="right"/>
    </w:pPr>
    <w:rPr>
      <w:rFonts w:ascii="Times New Roman" w:eastAsiaTheme="minorEastAsia" w:hAnsi="Times New Roman" w:cs="Times New Roman"/>
      <w:sz w:val="24"/>
    </w:rPr>
  </w:style>
  <w:style w:type="paragraph" w:customStyle="1" w:styleId="QuotedText">
    <w:name w:val="Quoted Text"/>
    <w:basedOn w:val="Normal"/>
    <w:uiPriority w:val="1"/>
    <w:rsid w:val="14F0B435"/>
    <w:pPr>
      <w:keepNext/>
      <w:spacing w:before="40" w:after="0"/>
      <w:ind w:left="1417"/>
      <w:jc w:val="both"/>
    </w:pPr>
    <w:rPr>
      <w:rFonts w:ascii="Times New Roman" w:eastAsiaTheme="minorEastAsia" w:hAnsi="Times New Roman" w:cs="Times New Roman"/>
      <w:sz w:val="24"/>
    </w:rPr>
  </w:style>
  <w:style w:type="paragraph" w:customStyle="1" w:styleId="Point0">
    <w:name w:val="Point 0"/>
    <w:basedOn w:val="Normal"/>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Point1">
    <w:name w:val="Point 1"/>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Point2">
    <w:name w:val="Point 2"/>
    <w:basedOn w:val="Normal"/>
    <w:uiPriority w:val="1"/>
    <w:rsid w:val="14F0B435"/>
    <w:pPr>
      <w:keepNext/>
      <w:spacing w:before="40" w:after="0"/>
      <w:ind w:left="1984" w:hanging="567"/>
      <w:jc w:val="both"/>
    </w:pPr>
    <w:rPr>
      <w:rFonts w:ascii="Times New Roman" w:eastAsiaTheme="minorEastAsia" w:hAnsi="Times New Roman" w:cs="Times New Roman"/>
      <w:sz w:val="24"/>
    </w:rPr>
  </w:style>
  <w:style w:type="paragraph" w:customStyle="1" w:styleId="Point3">
    <w:name w:val="Point 3"/>
    <w:basedOn w:val="Normal"/>
    <w:uiPriority w:val="1"/>
    <w:rsid w:val="14F0B435"/>
    <w:pPr>
      <w:keepNext/>
      <w:spacing w:before="40" w:after="0"/>
      <w:ind w:left="2551" w:hanging="567"/>
      <w:jc w:val="both"/>
    </w:pPr>
    <w:rPr>
      <w:rFonts w:ascii="Times New Roman" w:eastAsiaTheme="minorEastAsia" w:hAnsi="Times New Roman" w:cs="Times New Roman"/>
      <w:sz w:val="24"/>
    </w:rPr>
  </w:style>
  <w:style w:type="paragraph" w:customStyle="1" w:styleId="Point4">
    <w:name w:val="Point 4"/>
    <w:basedOn w:val="Normal"/>
    <w:uiPriority w:val="1"/>
    <w:rsid w:val="14F0B435"/>
    <w:pPr>
      <w:keepNext/>
      <w:spacing w:before="40" w:after="0"/>
      <w:ind w:left="3118" w:hanging="567"/>
      <w:jc w:val="both"/>
    </w:pPr>
    <w:rPr>
      <w:rFonts w:ascii="Times New Roman" w:eastAsiaTheme="minorEastAsia" w:hAnsi="Times New Roman" w:cs="Times New Roman"/>
      <w:sz w:val="24"/>
    </w:rPr>
  </w:style>
  <w:style w:type="paragraph" w:customStyle="1" w:styleId="Tiret0">
    <w:name w:val="Tiret 0"/>
    <w:basedOn w:val="Point0"/>
    <w:uiPriority w:val="1"/>
    <w:rsid w:val="00B4580D"/>
    <w:pPr>
      <w:numPr>
        <w:numId w:val="1"/>
      </w:numPr>
    </w:pPr>
  </w:style>
  <w:style w:type="paragraph" w:customStyle="1" w:styleId="Tiret1">
    <w:name w:val="Tiret 1"/>
    <w:basedOn w:val="Point1"/>
    <w:uiPriority w:val="1"/>
    <w:rsid w:val="00B4580D"/>
    <w:pPr>
      <w:numPr>
        <w:numId w:val="2"/>
      </w:numPr>
    </w:pPr>
  </w:style>
  <w:style w:type="paragraph" w:customStyle="1" w:styleId="Tiret2">
    <w:name w:val="Tiret 2"/>
    <w:basedOn w:val="Point2"/>
    <w:uiPriority w:val="1"/>
    <w:rsid w:val="00B4580D"/>
    <w:pPr>
      <w:numPr>
        <w:numId w:val="3"/>
      </w:numPr>
    </w:pPr>
  </w:style>
  <w:style w:type="paragraph" w:customStyle="1" w:styleId="Tiret3">
    <w:name w:val="Tiret 3"/>
    <w:basedOn w:val="Point3"/>
    <w:uiPriority w:val="1"/>
    <w:rsid w:val="00B4580D"/>
    <w:pPr>
      <w:numPr>
        <w:numId w:val="4"/>
      </w:numPr>
    </w:pPr>
  </w:style>
  <w:style w:type="paragraph" w:customStyle="1" w:styleId="Tiret4">
    <w:name w:val="Tiret 4"/>
    <w:basedOn w:val="Point4"/>
    <w:uiPriority w:val="1"/>
    <w:rsid w:val="00B4580D"/>
    <w:pPr>
      <w:numPr>
        <w:numId w:val="5"/>
      </w:numPr>
    </w:pPr>
  </w:style>
  <w:style w:type="paragraph" w:customStyle="1" w:styleId="PointDouble0">
    <w:name w:val="PointDouble 0"/>
    <w:basedOn w:val="Normal"/>
    <w:uiPriority w:val="1"/>
    <w:rsid w:val="14F0B435"/>
    <w:pPr>
      <w:keepNext/>
      <w:tabs>
        <w:tab w:val="left" w:pos="850"/>
      </w:tabs>
      <w:spacing w:before="40" w:after="0"/>
      <w:ind w:left="1417" w:hanging="1417"/>
      <w:jc w:val="both"/>
    </w:pPr>
    <w:rPr>
      <w:rFonts w:ascii="Times New Roman" w:eastAsiaTheme="minorEastAsia" w:hAnsi="Times New Roman" w:cs="Times New Roman"/>
      <w:sz w:val="24"/>
    </w:rPr>
  </w:style>
  <w:style w:type="paragraph" w:customStyle="1" w:styleId="PointDouble1">
    <w:name w:val="PointDouble 1"/>
    <w:basedOn w:val="Normal"/>
    <w:uiPriority w:val="1"/>
    <w:rsid w:val="14F0B435"/>
    <w:pPr>
      <w:keepNext/>
      <w:tabs>
        <w:tab w:val="left" w:pos="1417"/>
      </w:tabs>
      <w:spacing w:before="40" w:after="0"/>
      <w:ind w:left="1984" w:hanging="1134"/>
      <w:jc w:val="both"/>
    </w:pPr>
    <w:rPr>
      <w:rFonts w:ascii="Times New Roman" w:eastAsiaTheme="minorEastAsia" w:hAnsi="Times New Roman" w:cs="Times New Roman"/>
      <w:sz w:val="24"/>
    </w:rPr>
  </w:style>
  <w:style w:type="paragraph" w:customStyle="1" w:styleId="PointDouble2">
    <w:name w:val="PointDouble 2"/>
    <w:basedOn w:val="Normal"/>
    <w:uiPriority w:val="1"/>
    <w:rsid w:val="14F0B435"/>
    <w:pPr>
      <w:keepNext/>
      <w:tabs>
        <w:tab w:val="left" w:pos="1984"/>
      </w:tabs>
      <w:spacing w:before="40" w:after="0"/>
      <w:ind w:left="2551" w:hanging="1134"/>
      <w:jc w:val="both"/>
    </w:pPr>
    <w:rPr>
      <w:rFonts w:ascii="Times New Roman" w:eastAsiaTheme="minorEastAsia" w:hAnsi="Times New Roman" w:cs="Times New Roman"/>
      <w:sz w:val="24"/>
    </w:rPr>
  </w:style>
  <w:style w:type="paragraph" w:customStyle="1" w:styleId="PointDouble3">
    <w:name w:val="PointDouble 3"/>
    <w:basedOn w:val="Normal"/>
    <w:uiPriority w:val="1"/>
    <w:rsid w:val="14F0B435"/>
    <w:pPr>
      <w:keepNext/>
      <w:tabs>
        <w:tab w:val="left" w:pos="2551"/>
      </w:tabs>
      <w:spacing w:before="40" w:after="0"/>
      <w:ind w:left="3118" w:hanging="1134"/>
      <w:jc w:val="both"/>
    </w:pPr>
    <w:rPr>
      <w:rFonts w:ascii="Times New Roman" w:eastAsiaTheme="minorEastAsia" w:hAnsi="Times New Roman" w:cs="Times New Roman"/>
      <w:sz w:val="24"/>
    </w:rPr>
  </w:style>
  <w:style w:type="paragraph" w:customStyle="1" w:styleId="PointDouble4">
    <w:name w:val="PointDouble 4"/>
    <w:basedOn w:val="Normal"/>
    <w:uiPriority w:val="1"/>
    <w:rsid w:val="14F0B435"/>
    <w:pPr>
      <w:keepNext/>
      <w:tabs>
        <w:tab w:val="left" w:pos="3118"/>
      </w:tabs>
      <w:spacing w:before="40" w:after="0"/>
      <w:ind w:left="3685" w:hanging="1134"/>
      <w:jc w:val="both"/>
    </w:pPr>
    <w:rPr>
      <w:rFonts w:ascii="Times New Roman" w:eastAsiaTheme="minorEastAsia" w:hAnsi="Times New Roman" w:cs="Times New Roman"/>
      <w:sz w:val="24"/>
    </w:rPr>
  </w:style>
  <w:style w:type="paragraph" w:customStyle="1" w:styleId="PointTriple0">
    <w:name w:val="PointTriple 0"/>
    <w:basedOn w:val="Normal"/>
    <w:uiPriority w:val="1"/>
    <w:rsid w:val="14F0B435"/>
    <w:pPr>
      <w:keepNext/>
      <w:tabs>
        <w:tab w:val="left" w:pos="850"/>
        <w:tab w:val="left" w:pos="1417"/>
      </w:tabs>
      <w:spacing w:before="40" w:after="0"/>
      <w:ind w:left="1984" w:hanging="1984"/>
      <w:jc w:val="both"/>
    </w:pPr>
    <w:rPr>
      <w:rFonts w:ascii="Times New Roman" w:eastAsiaTheme="minorEastAsia" w:hAnsi="Times New Roman" w:cs="Times New Roman"/>
      <w:sz w:val="24"/>
    </w:rPr>
  </w:style>
  <w:style w:type="paragraph" w:customStyle="1" w:styleId="PointTriple1">
    <w:name w:val="PointTriple 1"/>
    <w:basedOn w:val="Normal"/>
    <w:uiPriority w:val="1"/>
    <w:rsid w:val="14F0B435"/>
    <w:pPr>
      <w:keepNext/>
      <w:tabs>
        <w:tab w:val="left" w:pos="1417"/>
        <w:tab w:val="left" w:pos="1984"/>
      </w:tabs>
      <w:spacing w:before="40" w:after="0"/>
      <w:ind w:left="2551" w:hanging="1701"/>
      <w:jc w:val="both"/>
    </w:pPr>
    <w:rPr>
      <w:rFonts w:ascii="Times New Roman" w:eastAsiaTheme="minorEastAsia" w:hAnsi="Times New Roman" w:cs="Times New Roman"/>
      <w:sz w:val="24"/>
    </w:rPr>
  </w:style>
  <w:style w:type="paragraph" w:customStyle="1" w:styleId="PointTriple2">
    <w:name w:val="PointTriple 2"/>
    <w:basedOn w:val="Normal"/>
    <w:uiPriority w:val="1"/>
    <w:rsid w:val="14F0B435"/>
    <w:pPr>
      <w:keepNext/>
      <w:tabs>
        <w:tab w:val="left" w:pos="1984"/>
        <w:tab w:val="left" w:pos="2551"/>
      </w:tabs>
      <w:spacing w:before="40" w:after="0"/>
      <w:ind w:left="3118" w:hanging="1701"/>
      <w:jc w:val="both"/>
    </w:pPr>
    <w:rPr>
      <w:rFonts w:ascii="Times New Roman" w:eastAsiaTheme="minorEastAsia" w:hAnsi="Times New Roman" w:cs="Times New Roman"/>
      <w:sz w:val="24"/>
    </w:rPr>
  </w:style>
  <w:style w:type="paragraph" w:customStyle="1" w:styleId="PointTriple3">
    <w:name w:val="PointTriple 3"/>
    <w:basedOn w:val="Normal"/>
    <w:uiPriority w:val="1"/>
    <w:rsid w:val="14F0B435"/>
    <w:pPr>
      <w:keepNext/>
      <w:tabs>
        <w:tab w:val="left" w:pos="2551"/>
        <w:tab w:val="left" w:pos="3118"/>
      </w:tabs>
      <w:spacing w:before="40" w:after="0"/>
      <w:ind w:left="3685" w:hanging="1701"/>
      <w:jc w:val="both"/>
    </w:pPr>
    <w:rPr>
      <w:rFonts w:ascii="Times New Roman" w:eastAsiaTheme="minorEastAsia" w:hAnsi="Times New Roman" w:cs="Times New Roman"/>
      <w:sz w:val="24"/>
    </w:rPr>
  </w:style>
  <w:style w:type="paragraph" w:customStyle="1" w:styleId="PointTriple4">
    <w:name w:val="PointTriple 4"/>
    <w:basedOn w:val="Normal"/>
    <w:uiPriority w:val="1"/>
    <w:rsid w:val="14F0B435"/>
    <w:pPr>
      <w:keepNext/>
      <w:tabs>
        <w:tab w:val="left" w:pos="3118"/>
        <w:tab w:val="left" w:pos="3685"/>
      </w:tabs>
      <w:spacing w:before="40" w:after="0"/>
      <w:ind w:left="4252" w:hanging="1701"/>
      <w:jc w:val="both"/>
    </w:pPr>
    <w:rPr>
      <w:rFonts w:ascii="Times New Roman" w:eastAsiaTheme="minorEastAsia" w:hAnsi="Times New Roman" w:cs="Times New Roman"/>
      <w:sz w:val="24"/>
    </w:rPr>
  </w:style>
  <w:style w:type="paragraph" w:customStyle="1" w:styleId="NumPar1">
    <w:name w:val="NumPar 1"/>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2">
    <w:name w:val="NumPar 2"/>
    <w:basedOn w:val="Normal"/>
    <w:next w:val="Text1"/>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NumPar3">
    <w:name w:val="NumPar 3"/>
    <w:basedOn w:val="Normal"/>
    <w:next w:val="Text1"/>
    <w:uiPriority w:val="1"/>
    <w:rsid w:val="29DEDBAE"/>
    <w:pPr>
      <w:keepNext/>
      <w:numPr>
        <w:ilvl w:val="2"/>
        <w:numId w:val="6"/>
      </w:numPr>
      <w:spacing w:before="40" w:after="0"/>
      <w:jc w:val="both"/>
    </w:pPr>
    <w:rPr>
      <w:rFonts w:ascii="Times New Roman" w:eastAsiaTheme="minorEastAsia" w:hAnsi="Times New Roman" w:cs="Times New Roman"/>
      <w:sz w:val="24"/>
    </w:rPr>
  </w:style>
  <w:style w:type="paragraph" w:customStyle="1" w:styleId="NumPar4">
    <w:name w:val="NumPar 4"/>
    <w:basedOn w:val="Normal"/>
    <w:next w:val="Text1"/>
    <w:uiPriority w:val="1"/>
    <w:rsid w:val="29DEDBAE"/>
    <w:pPr>
      <w:keepNext/>
      <w:numPr>
        <w:ilvl w:val="3"/>
        <w:numId w:val="6"/>
      </w:numPr>
      <w:spacing w:before="40" w:after="0"/>
      <w:jc w:val="both"/>
    </w:pPr>
    <w:rPr>
      <w:rFonts w:ascii="Times New Roman" w:eastAsiaTheme="minorEastAsia" w:hAnsi="Times New Roman" w:cs="Times New Roman"/>
      <w:sz w:val="24"/>
    </w:rPr>
  </w:style>
  <w:style w:type="paragraph" w:customStyle="1" w:styleId="ManualNumPar1">
    <w:name w:val="Manual NumPar 1"/>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2">
    <w:name w:val="Manual NumPar 2"/>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3">
    <w:name w:val="Manual NumPar 3"/>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ManualNumPar4">
    <w:name w:val="Manual NumPar 4"/>
    <w:basedOn w:val="Normal"/>
    <w:next w:val="Text1"/>
    <w:uiPriority w:val="1"/>
    <w:rsid w:val="14F0B435"/>
    <w:pPr>
      <w:keepNext/>
      <w:spacing w:before="40" w:after="0"/>
      <w:ind w:hanging="850"/>
      <w:jc w:val="both"/>
    </w:pPr>
    <w:rPr>
      <w:rFonts w:ascii="Times New Roman" w:eastAsiaTheme="minorEastAsia" w:hAnsi="Times New Roman" w:cs="Times New Roman"/>
      <w:sz w:val="24"/>
    </w:rPr>
  </w:style>
  <w:style w:type="paragraph" w:customStyle="1" w:styleId="QuotedNumPar">
    <w:name w:val="Quoted NumPar"/>
    <w:basedOn w:val="Normal"/>
    <w:uiPriority w:val="1"/>
    <w:rsid w:val="14F0B435"/>
    <w:pPr>
      <w:keepNext/>
      <w:spacing w:before="40" w:after="0"/>
      <w:ind w:left="1417" w:hanging="567"/>
      <w:jc w:val="both"/>
    </w:pPr>
    <w:rPr>
      <w:rFonts w:ascii="Times New Roman" w:eastAsiaTheme="minorEastAsia" w:hAnsi="Times New Roman" w:cs="Times New Roman"/>
      <w:sz w:val="24"/>
    </w:rPr>
  </w:style>
  <w:style w:type="paragraph" w:customStyle="1" w:styleId="ManualHeading1">
    <w:name w:val="Manual Heading 1"/>
    <w:basedOn w:val="Normal"/>
    <w:next w:val="Text1"/>
    <w:uiPriority w:val="1"/>
    <w:rsid w:val="14F0B435"/>
    <w:pPr>
      <w:keepNext/>
      <w:tabs>
        <w:tab w:val="left" w:pos="850"/>
      </w:tabs>
      <w:spacing w:before="360" w:after="0"/>
      <w:ind w:hanging="850"/>
      <w:jc w:val="both"/>
      <w:outlineLvl w:val="0"/>
    </w:pPr>
    <w:rPr>
      <w:rFonts w:ascii="Times New Roman" w:eastAsiaTheme="minorEastAsia" w:hAnsi="Times New Roman" w:cs="Times New Roman"/>
      <w:b/>
      <w:smallCaps/>
      <w:sz w:val="24"/>
    </w:rPr>
  </w:style>
  <w:style w:type="paragraph" w:customStyle="1" w:styleId="ManualHeading2">
    <w:name w:val="Manual Heading 2"/>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b/>
      <w:sz w:val="24"/>
    </w:rPr>
  </w:style>
  <w:style w:type="paragraph" w:customStyle="1" w:styleId="ManualHeading3">
    <w:name w:val="Manual Heading 3"/>
    <w:basedOn w:val="Normal"/>
    <w:next w:val="Text1"/>
    <w:uiPriority w:val="1"/>
    <w:rsid w:val="14F0B435"/>
    <w:pPr>
      <w:keepNext/>
      <w:tabs>
        <w:tab w:val="left" w:pos="850"/>
      </w:tabs>
      <w:spacing w:before="40" w:after="0"/>
      <w:ind w:hanging="850"/>
      <w:jc w:val="both"/>
    </w:pPr>
    <w:rPr>
      <w:rFonts w:ascii="Times New Roman" w:eastAsiaTheme="minorEastAsia" w:hAnsi="Times New Roman" w:cs="Times New Roman"/>
      <w:i/>
      <w:sz w:val="24"/>
    </w:rPr>
  </w:style>
  <w:style w:type="paragraph" w:customStyle="1" w:styleId="ManualHeading4">
    <w:name w:val="Manual Heading 4"/>
    <w:basedOn w:val="Normal"/>
    <w:next w:val="Text1"/>
    <w:uiPriority w:val="1"/>
    <w:rsid w:val="14F0B435"/>
    <w:pPr>
      <w:keepNext/>
      <w:tabs>
        <w:tab w:val="left" w:pos="850"/>
      </w:tabs>
      <w:spacing w:before="40" w:after="0"/>
      <w:ind w:hanging="850"/>
      <w:jc w:val="both"/>
      <w:outlineLvl w:val="3"/>
    </w:pPr>
    <w:rPr>
      <w:rFonts w:ascii="Times New Roman" w:eastAsiaTheme="minorEastAsia" w:hAnsi="Times New Roman" w:cs="Times New Roman"/>
      <w:sz w:val="24"/>
    </w:rPr>
  </w:style>
  <w:style w:type="paragraph" w:customStyle="1" w:styleId="ChapterTitle">
    <w:name w:val="ChapterTitle"/>
    <w:basedOn w:val="Normal"/>
    <w:next w:val="Normal"/>
    <w:uiPriority w:val="1"/>
    <w:rsid w:val="14F0B435"/>
    <w:pPr>
      <w:keepNext/>
      <w:spacing w:before="40" w:after="360"/>
      <w:jc w:val="center"/>
    </w:pPr>
    <w:rPr>
      <w:rFonts w:ascii="Times New Roman" w:eastAsiaTheme="minorEastAsia" w:hAnsi="Times New Roman" w:cs="Times New Roman"/>
      <w:b/>
      <w:sz w:val="32"/>
    </w:rPr>
  </w:style>
  <w:style w:type="paragraph" w:customStyle="1" w:styleId="PartTitle">
    <w:name w:val="PartTitle"/>
    <w:basedOn w:val="Normal"/>
    <w:next w:val="ChapterTitle"/>
    <w:uiPriority w:val="1"/>
    <w:rsid w:val="14F0B435"/>
    <w:pPr>
      <w:keepNext/>
      <w:spacing w:before="40" w:after="360"/>
      <w:jc w:val="center"/>
    </w:pPr>
    <w:rPr>
      <w:rFonts w:ascii="Times New Roman" w:eastAsiaTheme="minorEastAsia" w:hAnsi="Times New Roman" w:cs="Times New Roman"/>
      <w:b/>
      <w:sz w:val="36"/>
    </w:rPr>
  </w:style>
  <w:style w:type="paragraph" w:customStyle="1" w:styleId="SectionTitle">
    <w:name w:val="SectionTitle"/>
    <w:basedOn w:val="Normal"/>
    <w:next w:val="Heading1"/>
    <w:uiPriority w:val="1"/>
    <w:rsid w:val="14F0B435"/>
    <w:pPr>
      <w:keepNext/>
      <w:spacing w:before="40" w:after="360"/>
      <w:jc w:val="center"/>
    </w:pPr>
    <w:rPr>
      <w:rFonts w:ascii="Times New Roman" w:eastAsiaTheme="minorEastAsia" w:hAnsi="Times New Roman" w:cs="Times New Roman"/>
      <w:b/>
      <w:smallCaps/>
      <w:sz w:val="28"/>
    </w:rPr>
  </w:style>
  <w:style w:type="paragraph" w:customStyle="1" w:styleId="TableTitle">
    <w:name w:val="Table Title"/>
    <w:basedOn w:val="Normal"/>
    <w:next w:val="Normal"/>
    <w:uiPriority w:val="1"/>
    <w:rsid w:val="14F0B435"/>
    <w:pPr>
      <w:keepNext/>
      <w:spacing w:before="40" w:after="0"/>
      <w:jc w:val="center"/>
    </w:pPr>
    <w:rPr>
      <w:rFonts w:ascii="Times New Roman" w:eastAsiaTheme="minorEastAsia" w:hAnsi="Times New Roman" w:cs="Times New Roman"/>
      <w:b/>
      <w:sz w:val="24"/>
    </w:rPr>
  </w:style>
  <w:style w:type="character" w:customStyle="1" w:styleId="Marker">
    <w:name w:val="Marker"/>
    <w:basedOn w:val="DefaultParagraphFont"/>
    <w:rsid w:val="00EE72C8"/>
    <w:rPr>
      <w:color w:val="0000FF"/>
      <w:shd w:val="clear" w:color="auto" w:fill="auto"/>
    </w:rPr>
  </w:style>
  <w:style w:type="character" w:customStyle="1" w:styleId="Marker1">
    <w:name w:val="Marker1"/>
    <w:basedOn w:val="DefaultParagraphFont"/>
    <w:rsid w:val="00B4580D"/>
    <w:rPr>
      <w:color w:val="008000"/>
      <w:shd w:val="clear" w:color="auto" w:fill="auto"/>
    </w:rPr>
  </w:style>
  <w:style w:type="character" w:customStyle="1" w:styleId="Marker2">
    <w:name w:val="Marker2"/>
    <w:basedOn w:val="DefaultParagraphFont"/>
    <w:rsid w:val="00B4580D"/>
    <w:rPr>
      <w:color w:val="FF0000"/>
      <w:shd w:val="clear" w:color="auto" w:fill="auto"/>
    </w:rPr>
  </w:style>
  <w:style w:type="paragraph" w:customStyle="1" w:styleId="Point0number">
    <w:name w:val="Point 0 (numb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number">
    <w:name w:val="Point 1 (number)"/>
    <w:basedOn w:val="Normal"/>
    <w:uiPriority w:val="1"/>
    <w:rsid w:val="29DEDBAE"/>
    <w:pPr>
      <w:keepNext/>
      <w:numPr>
        <w:ilvl w:val="2"/>
        <w:numId w:val="8"/>
      </w:numPr>
      <w:spacing w:before="40" w:after="0"/>
      <w:jc w:val="both"/>
    </w:pPr>
    <w:rPr>
      <w:rFonts w:ascii="Times New Roman" w:eastAsiaTheme="minorEastAsia" w:hAnsi="Times New Roman" w:cs="Times New Roman"/>
      <w:sz w:val="24"/>
    </w:rPr>
  </w:style>
  <w:style w:type="paragraph" w:customStyle="1" w:styleId="Point2number">
    <w:name w:val="Point 2 (number)"/>
    <w:basedOn w:val="Normal"/>
    <w:uiPriority w:val="1"/>
    <w:rsid w:val="29DEDBAE"/>
    <w:pPr>
      <w:keepNext/>
      <w:numPr>
        <w:ilvl w:val="4"/>
        <w:numId w:val="8"/>
      </w:numPr>
      <w:spacing w:before="40" w:after="0"/>
      <w:jc w:val="both"/>
    </w:pPr>
    <w:rPr>
      <w:rFonts w:ascii="Times New Roman" w:eastAsiaTheme="minorEastAsia" w:hAnsi="Times New Roman" w:cs="Times New Roman"/>
      <w:sz w:val="24"/>
    </w:rPr>
  </w:style>
  <w:style w:type="paragraph" w:customStyle="1" w:styleId="Point3number">
    <w:name w:val="Point 3 (number)"/>
    <w:basedOn w:val="Normal"/>
    <w:uiPriority w:val="1"/>
    <w:rsid w:val="29DEDBAE"/>
    <w:pPr>
      <w:keepNext/>
      <w:numPr>
        <w:ilvl w:val="6"/>
        <w:numId w:val="8"/>
      </w:numPr>
      <w:spacing w:before="40" w:after="0"/>
      <w:jc w:val="both"/>
    </w:pPr>
    <w:rPr>
      <w:rFonts w:ascii="Times New Roman" w:eastAsiaTheme="minorEastAsia" w:hAnsi="Times New Roman" w:cs="Times New Roman"/>
      <w:sz w:val="24"/>
    </w:rPr>
  </w:style>
  <w:style w:type="paragraph" w:customStyle="1" w:styleId="Point0letter">
    <w:name w:val="Point 0 (letter)"/>
    <w:basedOn w:val="Normal"/>
    <w:uiPriority w:val="1"/>
    <w:rsid w:val="14F0B435"/>
    <w:pPr>
      <w:keepNext/>
      <w:tabs>
        <w:tab w:val="num" w:pos="850"/>
      </w:tabs>
      <w:spacing w:before="40" w:after="0"/>
      <w:ind w:left="850" w:hanging="850"/>
      <w:jc w:val="both"/>
    </w:pPr>
    <w:rPr>
      <w:rFonts w:ascii="Times New Roman" w:eastAsiaTheme="minorEastAsia" w:hAnsi="Times New Roman" w:cs="Times New Roman"/>
      <w:sz w:val="24"/>
    </w:rPr>
  </w:style>
  <w:style w:type="paragraph" w:customStyle="1" w:styleId="Point1letter">
    <w:name w:val="Point 1 (letter)"/>
    <w:basedOn w:val="Normal"/>
    <w:uiPriority w:val="1"/>
    <w:rsid w:val="29DEDBAE"/>
    <w:pPr>
      <w:keepNext/>
      <w:numPr>
        <w:ilvl w:val="3"/>
        <w:numId w:val="8"/>
      </w:numPr>
      <w:spacing w:before="40" w:after="0"/>
      <w:jc w:val="both"/>
    </w:pPr>
    <w:rPr>
      <w:rFonts w:ascii="Times New Roman" w:eastAsiaTheme="minorEastAsia" w:hAnsi="Times New Roman" w:cs="Times New Roman"/>
      <w:sz w:val="24"/>
    </w:rPr>
  </w:style>
  <w:style w:type="paragraph" w:customStyle="1" w:styleId="Point2letter">
    <w:name w:val="Point 2 (letter)"/>
    <w:basedOn w:val="Normal"/>
    <w:uiPriority w:val="1"/>
    <w:rsid w:val="29DEDBAE"/>
    <w:pPr>
      <w:keepNext/>
      <w:numPr>
        <w:ilvl w:val="5"/>
        <w:numId w:val="8"/>
      </w:numPr>
      <w:spacing w:before="40" w:after="0"/>
      <w:jc w:val="both"/>
    </w:pPr>
    <w:rPr>
      <w:rFonts w:ascii="Times New Roman" w:eastAsiaTheme="minorEastAsia" w:hAnsi="Times New Roman" w:cs="Times New Roman"/>
      <w:sz w:val="24"/>
    </w:rPr>
  </w:style>
  <w:style w:type="paragraph" w:customStyle="1" w:styleId="Point3letter">
    <w:name w:val="Point 3 (letter)"/>
    <w:basedOn w:val="Normal"/>
    <w:uiPriority w:val="1"/>
    <w:rsid w:val="29DEDBAE"/>
    <w:pPr>
      <w:keepNext/>
      <w:numPr>
        <w:ilvl w:val="7"/>
        <w:numId w:val="8"/>
      </w:numPr>
      <w:spacing w:before="40" w:after="0"/>
      <w:jc w:val="both"/>
    </w:pPr>
    <w:rPr>
      <w:rFonts w:ascii="Times New Roman" w:eastAsiaTheme="minorEastAsia" w:hAnsi="Times New Roman" w:cs="Times New Roman"/>
      <w:sz w:val="24"/>
    </w:rPr>
  </w:style>
  <w:style w:type="paragraph" w:customStyle="1" w:styleId="Point4letter">
    <w:name w:val="Point 4 (letter)"/>
    <w:basedOn w:val="Normal"/>
    <w:uiPriority w:val="1"/>
    <w:rsid w:val="29DEDBAE"/>
    <w:pPr>
      <w:keepNext/>
      <w:numPr>
        <w:ilvl w:val="8"/>
        <w:numId w:val="8"/>
      </w:numPr>
      <w:spacing w:before="40" w:after="0"/>
      <w:jc w:val="both"/>
    </w:pPr>
    <w:rPr>
      <w:rFonts w:ascii="Times New Roman" w:eastAsiaTheme="minorEastAsia" w:hAnsi="Times New Roman" w:cs="Times New Roman"/>
      <w:sz w:val="24"/>
    </w:rPr>
  </w:style>
  <w:style w:type="paragraph" w:customStyle="1" w:styleId="Bullet0">
    <w:name w:val="Bullet 0"/>
    <w:basedOn w:val="Normal"/>
    <w:uiPriority w:val="1"/>
    <w:rsid w:val="29DEDBAE"/>
    <w:pPr>
      <w:keepNext/>
      <w:numPr>
        <w:numId w:val="9"/>
      </w:numPr>
      <w:spacing w:before="40" w:after="0"/>
      <w:jc w:val="both"/>
    </w:pPr>
    <w:rPr>
      <w:rFonts w:ascii="Times New Roman" w:eastAsiaTheme="minorEastAsia" w:hAnsi="Times New Roman" w:cs="Times New Roman"/>
      <w:sz w:val="24"/>
    </w:rPr>
  </w:style>
  <w:style w:type="paragraph" w:customStyle="1" w:styleId="Bullet1">
    <w:name w:val="Bullet 1"/>
    <w:basedOn w:val="Normal"/>
    <w:uiPriority w:val="1"/>
    <w:rsid w:val="29DEDBAE"/>
    <w:pPr>
      <w:keepNext/>
      <w:numPr>
        <w:numId w:val="10"/>
      </w:numPr>
      <w:spacing w:before="40" w:after="0"/>
      <w:jc w:val="both"/>
    </w:pPr>
    <w:rPr>
      <w:rFonts w:ascii="Times New Roman" w:eastAsiaTheme="minorEastAsia" w:hAnsi="Times New Roman" w:cs="Times New Roman"/>
      <w:sz w:val="24"/>
    </w:rPr>
  </w:style>
  <w:style w:type="paragraph" w:customStyle="1" w:styleId="Bullet2">
    <w:name w:val="Bullet 2"/>
    <w:basedOn w:val="Normal"/>
    <w:uiPriority w:val="1"/>
    <w:rsid w:val="29DEDBAE"/>
    <w:pPr>
      <w:keepNext/>
      <w:numPr>
        <w:numId w:val="11"/>
      </w:numPr>
      <w:spacing w:before="40" w:after="0"/>
      <w:jc w:val="both"/>
    </w:pPr>
    <w:rPr>
      <w:rFonts w:ascii="Times New Roman" w:eastAsiaTheme="minorEastAsia" w:hAnsi="Times New Roman" w:cs="Times New Roman"/>
      <w:sz w:val="24"/>
    </w:rPr>
  </w:style>
  <w:style w:type="paragraph" w:customStyle="1" w:styleId="Bullet3">
    <w:name w:val="Bullet 3"/>
    <w:basedOn w:val="Normal"/>
    <w:uiPriority w:val="1"/>
    <w:rsid w:val="29DEDBAE"/>
    <w:pPr>
      <w:keepNext/>
      <w:numPr>
        <w:numId w:val="12"/>
      </w:numPr>
      <w:spacing w:before="40" w:after="0"/>
      <w:jc w:val="both"/>
    </w:pPr>
    <w:rPr>
      <w:rFonts w:ascii="Times New Roman" w:eastAsiaTheme="minorEastAsia" w:hAnsi="Times New Roman" w:cs="Times New Roman"/>
      <w:sz w:val="24"/>
    </w:rPr>
  </w:style>
  <w:style w:type="paragraph" w:customStyle="1" w:styleId="Bullet4">
    <w:name w:val="Bullet 4"/>
    <w:basedOn w:val="Normal"/>
    <w:uiPriority w:val="1"/>
    <w:rsid w:val="29DEDBAE"/>
    <w:pPr>
      <w:keepNext/>
      <w:numPr>
        <w:numId w:val="13"/>
      </w:numPr>
      <w:spacing w:before="40" w:after="0"/>
      <w:jc w:val="both"/>
    </w:pPr>
    <w:rPr>
      <w:rFonts w:ascii="Times New Roman" w:eastAsiaTheme="minorEastAsia" w:hAnsi="Times New Roman" w:cs="Times New Roman"/>
      <w:sz w:val="24"/>
    </w:rPr>
  </w:style>
  <w:style w:type="paragraph" w:customStyle="1" w:styleId="Langue">
    <w:name w:val="Langue"/>
    <w:basedOn w:val="Normal"/>
    <w:next w:val="Rfrenceinterne"/>
    <w:uiPriority w:val="1"/>
    <w:rsid w:val="14F0B435"/>
    <w:pPr>
      <w:keepNext/>
      <w:spacing w:after="600"/>
      <w:jc w:val="center"/>
    </w:pPr>
    <w:rPr>
      <w:rFonts w:ascii="Times New Roman" w:eastAsiaTheme="minorEastAsia" w:hAnsi="Times New Roman" w:cs="Times New Roman"/>
      <w:b/>
      <w:caps/>
      <w:sz w:val="24"/>
    </w:rPr>
  </w:style>
  <w:style w:type="paragraph" w:customStyle="1" w:styleId="Nomdelinstitution">
    <w:name w:val="Nom de l'institution"/>
    <w:basedOn w:val="Normal"/>
    <w:next w:val="Emission"/>
    <w:uiPriority w:val="1"/>
    <w:rsid w:val="14F0B435"/>
    <w:pPr>
      <w:keepNext/>
      <w:spacing w:after="0"/>
      <w:jc w:val="both"/>
    </w:pPr>
    <w:rPr>
      <w:rFonts w:ascii="Arial" w:eastAsiaTheme="minorEastAsia" w:hAnsi="Arial" w:cs="Arial"/>
      <w:sz w:val="24"/>
    </w:rPr>
  </w:style>
  <w:style w:type="paragraph" w:customStyle="1" w:styleId="Emission">
    <w:name w:val="Emission"/>
    <w:basedOn w:val="Normal"/>
    <w:next w:val="Rfrence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stitutionnelle">
    <w:name w:val="Référence institutionnell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Pagedecouverture">
    <w:name w:val="Page de couverture"/>
    <w:basedOn w:val="Normal"/>
    <w:next w:val="Normal"/>
    <w:link w:val="PagedecouvertureChar"/>
    <w:uiPriority w:val="1"/>
    <w:rsid w:val="14F0B435"/>
    <w:pPr>
      <w:keepNext/>
      <w:spacing w:after="0"/>
      <w:jc w:val="both"/>
    </w:pPr>
    <w:rPr>
      <w:rFonts w:ascii="Times New Roman" w:eastAsiaTheme="minorEastAsia" w:hAnsi="Times New Roman" w:cs="Times New Roman"/>
      <w:sz w:val="24"/>
    </w:rPr>
  </w:style>
  <w:style w:type="paragraph" w:customStyle="1" w:styleId="Declassification">
    <w:name w:val="Declassification"/>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isclaimer">
    <w:name w:val="Disclaimer"/>
    <w:basedOn w:val="Normal"/>
    <w:uiPriority w:val="1"/>
    <w:rsid w:val="14F0B435"/>
    <w:pPr>
      <w:keepNext/>
      <w:spacing w:before="40" w:after="0"/>
      <w:jc w:val="both"/>
    </w:pPr>
    <w:rPr>
      <w:rFonts w:ascii="Times New Roman" w:eastAsiaTheme="minorEastAsia" w:hAnsi="Times New Roman" w:cs="Times New Roman"/>
      <w:sz w:val="24"/>
    </w:rPr>
  </w:style>
  <w:style w:type="paragraph" w:customStyle="1" w:styleId="SecurityMarking">
    <w:name w:val="SecurityMarking"/>
    <w:basedOn w:val="Normal"/>
    <w:uiPriority w:val="1"/>
    <w:rsid w:val="00B4580D"/>
    <w:pPr>
      <w:spacing w:after="0"/>
      <w:ind w:left="5103"/>
    </w:pPr>
    <w:rPr>
      <w:rFonts w:ascii="Times New Roman" w:hAnsi="Times New Roman" w:cs="Times New Roman"/>
      <w:sz w:val="28"/>
    </w:rPr>
  </w:style>
  <w:style w:type="paragraph" w:customStyle="1" w:styleId="DateMarking">
    <w:name w:val="DateMarking"/>
    <w:basedOn w:val="Normal"/>
    <w:uiPriority w:val="1"/>
    <w:rsid w:val="00B4580D"/>
    <w:pPr>
      <w:spacing w:after="0"/>
      <w:ind w:left="5103"/>
    </w:pPr>
    <w:rPr>
      <w:rFonts w:ascii="Times New Roman" w:hAnsi="Times New Roman" w:cs="Times New Roman"/>
      <w:i/>
      <w:sz w:val="28"/>
    </w:rPr>
  </w:style>
  <w:style w:type="paragraph" w:customStyle="1" w:styleId="ReleasableTo">
    <w:name w:val="ReleasableTo"/>
    <w:basedOn w:val="Normal"/>
    <w:uiPriority w:val="1"/>
    <w:rsid w:val="00B4580D"/>
    <w:pPr>
      <w:spacing w:after="0"/>
      <w:ind w:left="5103"/>
    </w:pPr>
    <w:rPr>
      <w:rFonts w:ascii="Times New Roman" w:hAnsi="Times New Roman" w:cs="Times New Roman"/>
      <w:i/>
      <w:sz w:val="28"/>
    </w:rPr>
  </w:style>
  <w:style w:type="paragraph" w:customStyle="1" w:styleId="Annexetitreexpos">
    <w:name w:val="Annexe titre (exposé)"/>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
    <w:name w:val="Annex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nnexetitrefichefinancire">
    <w:name w:val="Annexe titre (fiche financiè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Applicationdirecte">
    <w:name w:val="Application directe"/>
    <w:basedOn w:val="Normal"/>
    <w:next w:val="Fait"/>
    <w:uiPriority w:val="1"/>
    <w:rsid w:val="14F0B435"/>
    <w:pPr>
      <w:keepNext/>
      <w:spacing w:before="480" w:after="0"/>
      <w:jc w:val="both"/>
    </w:pPr>
    <w:rPr>
      <w:rFonts w:ascii="Times New Roman" w:eastAsiaTheme="minorEastAsia" w:hAnsi="Times New Roman" w:cs="Times New Roman"/>
      <w:sz w:val="24"/>
    </w:rPr>
  </w:style>
  <w:style w:type="paragraph" w:customStyle="1" w:styleId="Avertissementtitre">
    <w:name w:val="Avertissement titre"/>
    <w:basedOn w:val="Normal"/>
    <w:next w:val="Normal"/>
    <w:uiPriority w:val="1"/>
    <w:rsid w:val="14F0B435"/>
    <w:pPr>
      <w:keepNext/>
      <w:spacing w:before="480" w:after="0"/>
      <w:jc w:val="both"/>
    </w:pPr>
    <w:rPr>
      <w:rFonts w:ascii="Times New Roman" w:eastAsiaTheme="minorEastAsia" w:hAnsi="Times New Roman" w:cs="Times New Roman"/>
      <w:sz w:val="24"/>
      <w:u w:val="single"/>
    </w:rPr>
  </w:style>
  <w:style w:type="paragraph" w:customStyle="1" w:styleId="Confidence">
    <w:name w:val="Confidence"/>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Confidentialit">
    <w:name w:val="Confidentialité"/>
    <w:basedOn w:val="Normal"/>
    <w:next w:val="TypedudocumentPagedecouverture"/>
    <w:uiPriority w:val="1"/>
    <w:rsid w:val="14F0B435"/>
    <w:pPr>
      <w:keepNext/>
      <w:spacing w:before="240" w:after="0"/>
      <w:ind w:left="5103"/>
      <w:jc w:val="both"/>
    </w:pPr>
    <w:rPr>
      <w:rFonts w:ascii="Times New Roman" w:eastAsiaTheme="minorEastAsia" w:hAnsi="Times New Roman" w:cs="Times New Roman"/>
      <w:i/>
      <w:sz w:val="32"/>
    </w:rPr>
  </w:style>
  <w:style w:type="paragraph" w:customStyle="1" w:styleId="Considrant">
    <w:name w:val="Considérant"/>
    <w:basedOn w:val="Normal"/>
    <w:uiPriority w:val="1"/>
    <w:rsid w:val="29DEDBAE"/>
    <w:pPr>
      <w:keepNext/>
      <w:numPr>
        <w:numId w:val="14"/>
      </w:numPr>
      <w:spacing w:before="40" w:after="0"/>
      <w:jc w:val="both"/>
    </w:pPr>
    <w:rPr>
      <w:rFonts w:ascii="Times New Roman" w:eastAsiaTheme="minorEastAsia" w:hAnsi="Times New Roman" w:cs="Times New Roman"/>
      <w:sz w:val="24"/>
    </w:rPr>
  </w:style>
  <w:style w:type="paragraph" w:customStyle="1" w:styleId="Corrigendum">
    <w:name w:val="Corrigendum"/>
    <w:basedOn w:val="Normal"/>
    <w:next w:val="Normal"/>
    <w:uiPriority w:val="1"/>
    <w:rsid w:val="14F0B435"/>
    <w:pPr>
      <w:keepNext/>
      <w:spacing w:after="0"/>
      <w:jc w:val="both"/>
    </w:pPr>
    <w:rPr>
      <w:rFonts w:ascii="Times New Roman" w:eastAsiaTheme="minorEastAsia" w:hAnsi="Times New Roman" w:cs="Times New Roman"/>
      <w:sz w:val="24"/>
    </w:rPr>
  </w:style>
  <w:style w:type="paragraph" w:customStyle="1" w:styleId="Datedadoption">
    <w:name w:val="Date d'adoption"/>
    <w:basedOn w:val="Normal"/>
    <w:next w:val="IntrtEEE"/>
    <w:uiPriority w:val="1"/>
    <w:rsid w:val="14F0B435"/>
    <w:pPr>
      <w:keepNext/>
      <w:spacing w:before="360" w:after="0"/>
      <w:jc w:val="center"/>
    </w:pPr>
    <w:rPr>
      <w:rFonts w:ascii="Times New Roman" w:eastAsiaTheme="minorEastAsia" w:hAnsi="Times New Roman" w:cs="Times New Roman"/>
      <w:b/>
      <w:sz w:val="24"/>
    </w:rPr>
  </w:style>
  <w:style w:type="paragraph" w:customStyle="1" w:styleId="Exposdesmotifstitre">
    <w:name w:val="Exposé des motifs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Fait">
    <w:name w:val="Fait à"/>
    <w:basedOn w:val="Normal"/>
    <w:next w:val="Institutionquisigne"/>
    <w:uiPriority w:val="1"/>
    <w:rsid w:val="14F0B435"/>
    <w:pPr>
      <w:keepNext/>
      <w:spacing w:before="40" w:after="0"/>
      <w:jc w:val="both"/>
    </w:pPr>
    <w:rPr>
      <w:rFonts w:ascii="Times New Roman" w:eastAsiaTheme="minorEastAsia" w:hAnsi="Times New Roman" w:cs="Times New Roman"/>
      <w:sz w:val="24"/>
    </w:rPr>
  </w:style>
  <w:style w:type="paragraph" w:customStyle="1" w:styleId="Formuledadoption">
    <w:name w:val="Formule d'adoption"/>
    <w:basedOn w:val="Normal"/>
    <w:next w:val="Titrearticle"/>
    <w:uiPriority w:val="1"/>
    <w:rsid w:val="14F0B435"/>
    <w:pPr>
      <w:keepNext/>
      <w:spacing w:before="40" w:after="0"/>
      <w:jc w:val="both"/>
    </w:pPr>
    <w:rPr>
      <w:rFonts w:ascii="Times New Roman" w:eastAsiaTheme="minorEastAsia" w:hAnsi="Times New Roman" w:cs="Times New Roman"/>
      <w:sz w:val="24"/>
    </w:rPr>
  </w:style>
  <w:style w:type="paragraph" w:customStyle="1" w:styleId="Institutionquiagit">
    <w:name w:val="Institution qui agit"/>
    <w:basedOn w:val="Normal"/>
    <w:next w:val="Normal"/>
    <w:uiPriority w:val="1"/>
    <w:rsid w:val="14F0B435"/>
    <w:pPr>
      <w:keepNext/>
      <w:spacing w:before="600" w:after="0"/>
      <w:jc w:val="both"/>
    </w:pPr>
    <w:rPr>
      <w:rFonts w:ascii="Times New Roman" w:eastAsiaTheme="minorEastAsia" w:hAnsi="Times New Roman" w:cs="Times New Roman"/>
      <w:sz w:val="24"/>
    </w:rPr>
  </w:style>
  <w:style w:type="paragraph" w:customStyle="1" w:styleId="Institutionquisigne">
    <w:name w:val="Institution qui signe"/>
    <w:basedOn w:val="Normal"/>
    <w:next w:val="Personnequisigne"/>
    <w:uiPriority w:val="1"/>
    <w:rsid w:val="14F0B435"/>
    <w:pPr>
      <w:keepNext/>
      <w:tabs>
        <w:tab w:val="left" w:pos="4252"/>
      </w:tabs>
      <w:spacing w:before="720" w:after="0"/>
      <w:jc w:val="both"/>
    </w:pPr>
    <w:rPr>
      <w:rFonts w:ascii="Times New Roman" w:eastAsiaTheme="minorEastAsia" w:hAnsi="Times New Roman" w:cs="Times New Roman"/>
      <w:i/>
      <w:sz w:val="24"/>
    </w:rPr>
  </w:style>
  <w:style w:type="paragraph" w:customStyle="1" w:styleId="ManualConsidrant">
    <w:name w:val="Manual Considérant"/>
    <w:basedOn w:val="Normal"/>
    <w:uiPriority w:val="1"/>
    <w:rsid w:val="14F0B435"/>
    <w:pPr>
      <w:keepNext/>
      <w:spacing w:before="40" w:after="0"/>
      <w:ind w:left="709" w:hanging="709"/>
      <w:jc w:val="both"/>
    </w:pPr>
    <w:rPr>
      <w:rFonts w:ascii="Times New Roman" w:eastAsiaTheme="minorEastAsia" w:hAnsi="Times New Roman" w:cs="Times New Roman"/>
      <w:sz w:val="24"/>
    </w:rPr>
  </w:style>
  <w:style w:type="paragraph" w:customStyle="1" w:styleId="Personnequisigne">
    <w:name w:val="Personne qui signe"/>
    <w:basedOn w:val="Normal"/>
    <w:next w:val="Institutionquisigne"/>
    <w:uiPriority w:val="1"/>
    <w:rsid w:val="14F0B435"/>
    <w:pPr>
      <w:keepNext/>
      <w:tabs>
        <w:tab w:val="left" w:pos="4252"/>
      </w:tabs>
      <w:spacing w:after="0"/>
      <w:jc w:val="both"/>
    </w:pPr>
    <w:rPr>
      <w:rFonts w:ascii="Times New Roman" w:eastAsiaTheme="minorEastAsia" w:hAnsi="Times New Roman" w:cs="Times New Roman"/>
      <w:i/>
      <w:sz w:val="24"/>
    </w:rPr>
  </w:style>
  <w:style w:type="paragraph" w:customStyle="1" w:styleId="Rfrenceinterinstitutionnelle">
    <w:name w:val="Référence interinstitutionnelle"/>
    <w:basedOn w:val="Normal"/>
    <w:next w:val="Statut"/>
    <w:uiPriority w:val="1"/>
    <w:rsid w:val="14F0B435"/>
    <w:pPr>
      <w:keepNext/>
      <w:spacing w:after="0"/>
      <w:ind w:left="5103"/>
      <w:jc w:val="both"/>
    </w:pPr>
    <w:rPr>
      <w:rFonts w:ascii="Times New Roman" w:eastAsiaTheme="minorEastAsia" w:hAnsi="Times New Roman" w:cs="Times New Roman"/>
      <w:sz w:val="24"/>
    </w:rPr>
  </w:style>
  <w:style w:type="paragraph" w:customStyle="1" w:styleId="Rfrenceinterne">
    <w:name w:val="Référence interne"/>
    <w:basedOn w:val="Normal"/>
    <w:next w:val="Rfrenceinterinstitutionnelle"/>
    <w:uiPriority w:val="1"/>
    <w:rsid w:val="14F0B435"/>
    <w:pPr>
      <w:keepNext/>
      <w:spacing w:after="0"/>
      <w:ind w:left="5103"/>
      <w:jc w:val="both"/>
    </w:pPr>
    <w:rPr>
      <w:rFonts w:ascii="Times New Roman" w:eastAsiaTheme="minorEastAsia" w:hAnsi="Times New Roman" w:cs="Times New Roman"/>
      <w:sz w:val="24"/>
    </w:rPr>
  </w:style>
  <w:style w:type="paragraph" w:customStyle="1" w:styleId="Statut">
    <w:name w:val="Statut"/>
    <w:basedOn w:val="Normal"/>
    <w:next w:val="Typedudocument"/>
    <w:uiPriority w:val="1"/>
    <w:rsid w:val="14F0B435"/>
    <w:pPr>
      <w:keepNext/>
      <w:spacing w:after="0"/>
      <w:jc w:val="center"/>
    </w:pPr>
    <w:rPr>
      <w:rFonts w:ascii="Times New Roman" w:eastAsiaTheme="minorEastAsia" w:hAnsi="Times New Roman" w:cs="Times New Roman"/>
      <w:sz w:val="24"/>
    </w:rPr>
  </w:style>
  <w:style w:type="paragraph" w:customStyle="1" w:styleId="Titrearticle">
    <w:name w:val="Titre article"/>
    <w:basedOn w:val="Normal"/>
    <w:next w:val="Normal"/>
    <w:uiPriority w:val="1"/>
    <w:rsid w:val="14F0B435"/>
    <w:pPr>
      <w:keepNext/>
      <w:spacing w:before="360" w:after="0"/>
      <w:jc w:val="center"/>
    </w:pPr>
    <w:rPr>
      <w:rFonts w:ascii="Times New Roman" w:eastAsiaTheme="minorEastAsia" w:hAnsi="Times New Roman" w:cs="Times New Roman"/>
      <w:i/>
      <w:sz w:val="24"/>
    </w:rPr>
  </w:style>
  <w:style w:type="paragraph" w:customStyle="1" w:styleId="Typedudocument">
    <w:name w:val="Type du document"/>
    <w:basedOn w:val="Normal"/>
    <w:next w:val="Accompagnant"/>
    <w:uiPriority w:val="1"/>
    <w:rsid w:val="14F0B435"/>
    <w:pPr>
      <w:keepNext/>
      <w:spacing w:before="360" w:after="180"/>
      <w:jc w:val="center"/>
    </w:pPr>
    <w:rPr>
      <w:rFonts w:ascii="Times New Roman" w:eastAsiaTheme="minorEastAsia" w:hAnsi="Times New Roman" w:cs="Times New Roman"/>
      <w:b/>
      <w:sz w:val="24"/>
    </w:rPr>
  </w:style>
  <w:style w:type="character" w:customStyle="1" w:styleId="Added">
    <w:name w:val="Added"/>
    <w:basedOn w:val="DefaultParagraphFont"/>
    <w:rsid w:val="00B4580D"/>
    <w:rPr>
      <w:b/>
      <w:u w:val="single"/>
      <w:shd w:val="clear" w:color="auto" w:fill="auto"/>
    </w:rPr>
  </w:style>
  <w:style w:type="character" w:customStyle="1" w:styleId="Deleted">
    <w:name w:val="Deleted"/>
    <w:basedOn w:val="DefaultParagraphFont"/>
    <w:rsid w:val="00B4580D"/>
    <w:rPr>
      <w:strike/>
      <w:dstrike w:val="0"/>
      <w:shd w:val="clear" w:color="auto" w:fill="auto"/>
    </w:rPr>
  </w:style>
  <w:style w:type="paragraph" w:customStyle="1" w:styleId="Address">
    <w:name w:val="Address"/>
    <w:basedOn w:val="Normal"/>
    <w:next w:val="Normal"/>
    <w:uiPriority w:val="1"/>
    <w:rsid w:val="14F0B435"/>
    <w:pPr>
      <w:keepNext/>
      <w:keepLines/>
      <w:spacing w:before="40" w:after="0"/>
      <w:ind w:left="3402"/>
      <w:jc w:val="both"/>
    </w:pPr>
    <w:rPr>
      <w:rFonts w:ascii="Times New Roman" w:eastAsiaTheme="minorEastAsia" w:hAnsi="Times New Roman" w:cs="Times New Roman"/>
      <w:sz w:val="24"/>
    </w:rPr>
  </w:style>
  <w:style w:type="paragraph" w:customStyle="1" w:styleId="Objetexterne">
    <w:name w:val="Objet externe"/>
    <w:basedOn w:val="Normal"/>
    <w:next w:val="Normal"/>
    <w:uiPriority w:val="1"/>
    <w:rsid w:val="14F0B435"/>
    <w:pPr>
      <w:keepNext/>
      <w:spacing w:before="40" w:after="0"/>
      <w:jc w:val="both"/>
    </w:pPr>
    <w:rPr>
      <w:rFonts w:ascii="Times New Roman" w:eastAsiaTheme="minorEastAsia" w:hAnsi="Times New Roman" w:cs="Times New Roman"/>
      <w:i/>
      <w:caps/>
      <w:sz w:val="24"/>
    </w:rPr>
  </w:style>
  <w:style w:type="paragraph" w:customStyle="1" w:styleId="Supertitre">
    <w:name w:val="Supertitre"/>
    <w:basedOn w:val="Normal"/>
    <w:next w:val="Normal"/>
    <w:uiPriority w:val="1"/>
    <w:rsid w:val="14F0B435"/>
    <w:pPr>
      <w:keepNext/>
      <w:spacing w:after="600"/>
      <w:jc w:val="center"/>
    </w:pPr>
    <w:rPr>
      <w:rFonts w:ascii="Times New Roman" w:eastAsiaTheme="minorEastAsia" w:hAnsi="Times New Roman" w:cs="Times New Roman"/>
      <w:b/>
      <w:sz w:val="24"/>
    </w:rPr>
  </w:style>
  <w:style w:type="paragraph" w:customStyle="1" w:styleId="Languesfaisantfoi">
    <w:name w:val="Langues faisant foi"/>
    <w:basedOn w:val="Normal"/>
    <w:next w:val="Normal"/>
    <w:uiPriority w:val="1"/>
    <w:rsid w:val="14F0B435"/>
    <w:pPr>
      <w:keepNext/>
      <w:spacing w:before="360" w:after="0"/>
      <w:jc w:val="center"/>
    </w:pPr>
    <w:rPr>
      <w:rFonts w:ascii="Times New Roman" w:eastAsiaTheme="minorEastAsia" w:hAnsi="Times New Roman" w:cs="Times New Roman"/>
      <w:sz w:val="24"/>
    </w:rPr>
  </w:style>
  <w:style w:type="paragraph" w:customStyle="1" w:styleId="Rfrencecroise">
    <w:name w:val="Référence croisée"/>
    <w:basedOn w:val="Normal"/>
    <w:uiPriority w:val="1"/>
    <w:rsid w:val="14F0B435"/>
    <w:pPr>
      <w:keepNext/>
      <w:spacing w:after="0"/>
      <w:jc w:val="center"/>
    </w:pPr>
    <w:rPr>
      <w:rFonts w:ascii="Times New Roman" w:eastAsiaTheme="minorEastAsia" w:hAnsi="Times New Roman" w:cs="Times New Roman"/>
      <w:sz w:val="24"/>
    </w:rPr>
  </w:style>
  <w:style w:type="paragraph" w:customStyle="1" w:styleId="Fichefinanciretitre">
    <w:name w:val="Fiche financière titre"/>
    <w:basedOn w:val="Normal"/>
    <w:next w:val="Normal"/>
    <w:uiPriority w:val="1"/>
    <w:rsid w:val="14F0B435"/>
    <w:pPr>
      <w:keepNext/>
      <w:spacing w:before="40" w:after="0"/>
      <w:jc w:val="center"/>
    </w:pPr>
    <w:rPr>
      <w:rFonts w:ascii="Times New Roman" w:eastAsiaTheme="minorEastAsia" w:hAnsi="Times New Roman" w:cs="Times New Roman"/>
      <w:b/>
      <w:sz w:val="24"/>
      <w:u w:val="single"/>
    </w:rPr>
  </w:style>
  <w:style w:type="paragraph" w:customStyle="1" w:styleId="DatedadoptionPagedecouverture">
    <w:name w:val="Date d'adoption (Page de couverture)"/>
    <w:basedOn w:val="Datedadoption"/>
    <w:next w:val="IntrtEEEPagedecouverture"/>
    <w:uiPriority w:val="1"/>
    <w:rsid w:val="00B4580D"/>
  </w:style>
  <w:style w:type="paragraph" w:customStyle="1" w:styleId="RfrenceinterinstitutionnellePagedecouverture">
    <w:name w:val="Référence interinstitutionnelle (Page de couverture)"/>
    <w:basedOn w:val="Rfrenceinterinstitutionnelle"/>
    <w:next w:val="Confidentialit"/>
    <w:uiPriority w:val="1"/>
    <w:rsid w:val="00B4580D"/>
  </w:style>
  <w:style w:type="paragraph" w:customStyle="1" w:styleId="StatutPagedecouverture">
    <w:name w:val="Statut (Page de couverture)"/>
    <w:basedOn w:val="Statut"/>
    <w:next w:val="TypedudocumentPagedecouverture"/>
    <w:uiPriority w:val="1"/>
    <w:rsid w:val="00B4580D"/>
  </w:style>
  <w:style w:type="paragraph" w:customStyle="1" w:styleId="TypedudocumentPagedecouverture">
    <w:name w:val="Type du document (Page de couverture)"/>
    <w:basedOn w:val="Typedudocument"/>
    <w:next w:val="AccompagnantPagedecouverture"/>
    <w:uiPriority w:val="1"/>
    <w:rsid w:val="00B4580D"/>
  </w:style>
  <w:style w:type="paragraph" w:customStyle="1" w:styleId="Volume">
    <w:name w:val="Volume"/>
    <w:basedOn w:val="Normal"/>
    <w:next w:val="Confidentialit"/>
    <w:uiPriority w:val="1"/>
    <w:rsid w:val="14F0B435"/>
    <w:pPr>
      <w:keepNext/>
      <w:spacing w:after="0"/>
      <w:ind w:left="5103"/>
      <w:jc w:val="both"/>
    </w:pPr>
    <w:rPr>
      <w:rFonts w:ascii="Times New Roman" w:eastAsiaTheme="minorEastAsia" w:hAnsi="Times New Roman" w:cs="Times New Roman"/>
      <w:sz w:val="24"/>
    </w:rPr>
  </w:style>
  <w:style w:type="paragraph" w:customStyle="1" w:styleId="IntrtEEE">
    <w:name w:val="Intérêt EEE"/>
    <w:basedOn w:val="Languesfaisantfoi"/>
    <w:next w:val="Normal"/>
    <w:uiPriority w:val="1"/>
    <w:rsid w:val="00B4580D"/>
  </w:style>
  <w:style w:type="paragraph" w:customStyle="1" w:styleId="Accompagnant">
    <w:name w:val="Accompagnant"/>
    <w:basedOn w:val="Normal"/>
    <w:next w:val="Typeacteprincipal"/>
    <w:uiPriority w:val="1"/>
    <w:rsid w:val="14F0B435"/>
    <w:pPr>
      <w:keepNext/>
      <w:spacing w:before="180" w:after="0"/>
      <w:jc w:val="center"/>
    </w:pPr>
    <w:rPr>
      <w:rFonts w:ascii="Times New Roman" w:eastAsiaTheme="minorEastAsia" w:hAnsi="Times New Roman" w:cs="Times New Roman"/>
      <w:b/>
      <w:sz w:val="24"/>
    </w:rPr>
  </w:style>
  <w:style w:type="paragraph" w:customStyle="1" w:styleId="Typeacteprincipal">
    <w:name w:val="Type acte principal"/>
    <w:basedOn w:val="Normal"/>
    <w:next w:val="Objetacteprincipal"/>
    <w:uiPriority w:val="1"/>
    <w:rsid w:val="14F0B435"/>
    <w:pPr>
      <w:keepNext/>
      <w:spacing w:after="0"/>
      <w:jc w:val="center"/>
    </w:pPr>
    <w:rPr>
      <w:rFonts w:ascii="Times New Roman" w:eastAsiaTheme="minorEastAsia" w:hAnsi="Times New Roman" w:cs="Times New Roman"/>
      <w:b/>
      <w:sz w:val="24"/>
    </w:rPr>
  </w:style>
  <w:style w:type="paragraph" w:customStyle="1" w:styleId="Objetacteprincipal">
    <w:name w:val="Objet acte principal"/>
    <w:basedOn w:val="Normal"/>
    <w:next w:val="Titrearticle"/>
    <w:uiPriority w:val="1"/>
    <w:rsid w:val="14F0B435"/>
    <w:pPr>
      <w:keepNext/>
      <w:spacing w:after="360"/>
      <w:jc w:val="center"/>
    </w:pPr>
    <w:rPr>
      <w:rFonts w:ascii="Times New Roman" w:eastAsiaTheme="minorEastAsia" w:hAnsi="Times New Roman" w:cs="Times New Roman"/>
      <w:b/>
      <w:sz w:val="24"/>
    </w:rPr>
  </w:style>
  <w:style w:type="paragraph" w:customStyle="1" w:styleId="IntrtEEEPagedecouverture">
    <w:name w:val="Intérêt EEE (Page de couverture)"/>
    <w:basedOn w:val="IntrtEEE"/>
    <w:next w:val="Rfrencecroise"/>
    <w:uiPriority w:val="1"/>
    <w:rsid w:val="00B4580D"/>
  </w:style>
  <w:style w:type="paragraph" w:customStyle="1" w:styleId="AccompagnantPagedecouverture">
    <w:name w:val="Accompagnant (Page de couverture)"/>
    <w:basedOn w:val="Accompagnant"/>
    <w:next w:val="TypeacteprincipalPagedecouverture"/>
    <w:uiPriority w:val="1"/>
    <w:rsid w:val="00B4580D"/>
  </w:style>
  <w:style w:type="paragraph" w:customStyle="1" w:styleId="TypeacteprincipalPagedecouverture">
    <w:name w:val="Type acte principal (Page de couverture)"/>
    <w:basedOn w:val="Typeacteprincipal"/>
    <w:next w:val="ObjetacteprincipalPagedecouverture"/>
    <w:uiPriority w:val="1"/>
    <w:rsid w:val="00B4580D"/>
  </w:style>
  <w:style w:type="paragraph" w:customStyle="1" w:styleId="ObjetacteprincipalPagedecouverture">
    <w:name w:val="Objet acte principal (Page de couverture)"/>
    <w:basedOn w:val="Objetacteprincipal"/>
    <w:next w:val="Rfrencecroise"/>
    <w:uiPriority w:val="1"/>
    <w:rsid w:val="00B4580D"/>
  </w:style>
  <w:style w:type="paragraph" w:customStyle="1" w:styleId="LanguesfaisantfoiPagedecouverture">
    <w:name w:val="Langues faisant foi (Page de couverture)"/>
    <w:basedOn w:val="Normal"/>
    <w:next w:val="Normal"/>
    <w:uiPriority w:val="1"/>
    <w:rsid w:val="14F0B435"/>
    <w:pPr>
      <w:keepNext/>
      <w:spacing w:before="360" w:after="0"/>
      <w:jc w:val="center"/>
    </w:pPr>
    <w:rPr>
      <w:rFonts w:ascii="Times New Roman" w:eastAsiaTheme="minorEastAsia" w:hAnsi="Times New Roman" w:cs="Times New Roman"/>
      <w:sz w:val="24"/>
    </w:rPr>
  </w:style>
  <w:style w:type="character" w:styleId="CommentReference">
    <w:name w:val="annotation reference"/>
    <w:basedOn w:val="DefaultParagraphFont"/>
    <w:uiPriority w:val="99"/>
    <w:unhideWhenUsed/>
    <w:rsid w:val="00B4580D"/>
    <w:rPr>
      <w:sz w:val="16"/>
    </w:rPr>
  </w:style>
  <w:style w:type="paragraph" w:styleId="CommentText">
    <w:name w:val="annotation text"/>
    <w:basedOn w:val="Normal"/>
    <w:link w:val="CommentTextChar"/>
    <w:uiPriority w:val="99"/>
    <w:unhideWhenUsed/>
    <w:rsid w:val="14F0B435"/>
    <w:pPr>
      <w:keepNext/>
      <w:spacing w:before="40" w:after="0"/>
      <w:jc w:val="both"/>
    </w:pPr>
    <w:rPr>
      <w:rFonts w:ascii="Times New Roman" w:eastAsiaTheme="minorEastAsia" w:hAnsi="Times New Roman" w:cs="Times New Roman"/>
      <w:sz w:val="20"/>
    </w:rPr>
  </w:style>
  <w:style w:type="character" w:customStyle="1" w:styleId="CommentTextChar">
    <w:name w:val="Comment Text Char"/>
    <w:basedOn w:val="DefaultParagraphFont"/>
    <w:link w:val="CommentText"/>
    <w:uiPriority w:val="99"/>
    <w:rsid w:val="00B4580D"/>
    <w:rPr>
      <w:rFonts w:ascii="Times New Roman" w:eastAsiaTheme="minorEastAsia" w:hAnsi="Times New Roman" w:cs="Times New Roman"/>
      <w:sz w:val="20"/>
    </w:rPr>
  </w:style>
  <w:style w:type="paragraph" w:styleId="ListParagraph">
    <w:name w:val="List Paragraph"/>
    <w:basedOn w:val="Normal"/>
    <w:link w:val="ListParagraphChar"/>
    <w:uiPriority w:val="34"/>
    <w:qFormat/>
    <w:rsid w:val="14F0B435"/>
    <w:pPr>
      <w:keepNext/>
      <w:spacing w:after="160"/>
      <w:ind w:left="1571" w:hanging="360"/>
      <w:contextualSpacing/>
      <w:jc w:val="both"/>
    </w:pPr>
    <w:rPr>
      <w:rFonts w:ascii="Times New Roman" w:eastAsiaTheme="minorEastAsia" w:hAnsi="Times New Roman" w:cs="Times New Roman"/>
      <w:sz w:val="24"/>
    </w:rPr>
  </w:style>
  <w:style w:type="character" w:customStyle="1" w:styleId="ListParagraphChar">
    <w:name w:val="List Paragraph Char"/>
    <w:basedOn w:val="DefaultParagraphFont"/>
    <w:link w:val="ListParagraph"/>
    <w:uiPriority w:val="1"/>
    <w:qFormat/>
    <w:rsid w:val="00B4580D"/>
    <w:rPr>
      <w:rFonts w:ascii="Times New Roman" w:eastAsiaTheme="minorEastAsia" w:hAnsi="Times New Roman" w:cs="Times New Roman"/>
      <w:sz w:val="24"/>
    </w:rPr>
  </w:style>
  <w:style w:type="character" w:styleId="IntenseEmphasis">
    <w:name w:val="Intense Emphasis"/>
    <w:basedOn w:val="DefaultParagraphFont"/>
    <w:uiPriority w:val="21"/>
    <w:qFormat/>
    <w:rsid w:val="00B4580D"/>
    <w:rPr>
      <w:i/>
      <w:color w:val="4F81BD" w:themeColor="accent1"/>
    </w:rPr>
  </w:style>
  <w:style w:type="paragraph" w:styleId="BalloonText">
    <w:name w:val="Balloon Text"/>
    <w:basedOn w:val="Normal"/>
    <w:link w:val="BalloonTextChar"/>
    <w:uiPriority w:val="99"/>
    <w:semiHidden/>
    <w:unhideWhenUsed/>
    <w:rsid w:val="14F0B435"/>
    <w:pPr>
      <w:keepNext/>
      <w:spacing w:after="0"/>
      <w:jc w:val="both"/>
    </w:pPr>
    <w:rPr>
      <w:rFonts w:ascii="Segoe UI" w:eastAsiaTheme="minorEastAsia" w:hAnsi="Segoe UI" w:cs="Segoe UI"/>
      <w:sz w:val="18"/>
    </w:rPr>
  </w:style>
  <w:style w:type="character" w:customStyle="1" w:styleId="BalloonTextChar">
    <w:name w:val="Balloon Text Char"/>
    <w:basedOn w:val="DefaultParagraphFont"/>
    <w:link w:val="BalloonText"/>
    <w:uiPriority w:val="99"/>
    <w:semiHidden/>
    <w:rsid w:val="00B4580D"/>
    <w:rPr>
      <w:rFonts w:ascii="Segoe UI" w:eastAsiaTheme="minorEastAsia" w:hAnsi="Segoe UI" w:cs="Segoe UI"/>
      <w:sz w:val="18"/>
    </w:rPr>
  </w:style>
  <w:style w:type="paragraph" w:styleId="ListBullet">
    <w:name w:val="List Bullet"/>
    <w:basedOn w:val="Normal"/>
    <w:uiPriority w:val="99"/>
    <w:semiHidden/>
    <w:unhideWhenUsed/>
    <w:rsid w:val="29DEDBAE"/>
    <w:pPr>
      <w:keepNext/>
      <w:numPr>
        <w:numId w:val="15"/>
      </w:numPr>
      <w:spacing w:before="40" w:after="0"/>
      <w:contextualSpacing/>
      <w:jc w:val="both"/>
    </w:pPr>
    <w:rPr>
      <w:rFonts w:ascii="Times New Roman" w:eastAsiaTheme="minorEastAsia" w:hAnsi="Times New Roman" w:cs="Times New Roman"/>
      <w:sz w:val="24"/>
    </w:rPr>
  </w:style>
  <w:style w:type="paragraph" w:styleId="ListBullet2">
    <w:name w:val="List Bullet 2"/>
    <w:basedOn w:val="Normal"/>
    <w:uiPriority w:val="99"/>
    <w:semiHidden/>
    <w:unhideWhenUsed/>
    <w:rsid w:val="29DEDBAE"/>
    <w:pPr>
      <w:keepNext/>
      <w:numPr>
        <w:numId w:val="16"/>
      </w:numPr>
      <w:spacing w:before="40" w:after="0"/>
      <w:contextualSpacing/>
      <w:jc w:val="both"/>
    </w:pPr>
    <w:rPr>
      <w:rFonts w:ascii="Times New Roman" w:eastAsiaTheme="minorEastAsia" w:hAnsi="Times New Roman" w:cs="Times New Roman"/>
      <w:sz w:val="24"/>
    </w:rPr>
  </w:style>
  <w:style w:type="paragraph" w:styleId="ListBullet3">
    <w:name w:val="List Bullet 3"/>
    <w:basedOn w:val="Normal"/>
    <w:uiPriority w:val="99"/>
    <w:semiHidden/>
    <w:unhideWhenUsed/>
    <w:rsid w:val="29DEDBAE"/>
    <w:pPr>
      <w:keepNext/>
      <w:numPr>
        <w:numId w:val="17"/>
      </w:numPr>
      <w:spacing w:before="40" w:after="0"/>
      <w:contextualSpacing/>
      <w:jc w:val="both"/>
    </w:pPr>
    <w:rPr>
      <w:rFonts w:ascii="Times New Roman" w:eastAsiaTheme="minorEastAsia" w:hAnsi="Times New Roman" w:cs="Times New Roman"/>
      <w:sz w:val="24"/>
    </w:rPr>
  </w:style>
  <w:style w:type="paragraph" w:styleId="ListBullet4">
    <w:name w:val="List Bullet 4"/>
    <w:basedOn w:val="Normal"/>
    <w:uiPriority w:val="99"/>
    <w:semiHidden/>
    <w:unhideWhenUsed/>
    <w:rsid w:val="29DEDBAE"/>
    <w:pPr>
      <w:keepNext/>
      <w:numPr>
        <w:numId w:val="18"/>
      </w:numPr>
      <w:spacing w:before="40" w:after="0"/>
      <w:contextualSpacing/>
      <w:jc w:val="both"/>
    </w:pPr>
    <w:rPr>
      <w:rFonts w:ascii="Times New Roman" w:eastAsiaTheme="minorEastAsia" w:hAnsi="Times New Roman" w:cs="Times New Roman"/>
      <w:sz w:val="24"/>
    </w:rPr>
  </w:style>
  <w:style w:type="paragraph" w:styleId="CommentSubject">
    <w:name w:val="annotation subject"/>
    <w:basedOn w:val="CommentText"/>
    <w:next w:val="CommentText"/>
    <w:link w:val="CommentSubjectChar"/>
    <w:uiPriority w:val="99"/>
    <w:semiHidden/>
    <w:unhideWhenUsed/>
    <w:rsid w:val="00B4580D"/>
    <w:rPr>
      <w:b/>
    </w:rPr>
  </w:style>
  <w:style w:type="character" w:customStyle="1" w:styleId="CommentSubjectChar">
    <w:name w:val="Comment Subject Char"/>
    <w:basedOn w:val="CommentTextChar"/>
    <w:link w:val="CommentSubject"/>
    <w:uiPriority w:val="99"/>
    <w:semiHidden/>
    <w:rsid w:val="00B4580D"/>
    <w:rPr>
      <w:rFonts w:ascii="Times New Roman" w:eastAsiaTheme="minorEastAsia" w:hAnsi="Times New Roman" w:cs="Times New Roman"/>
      <w:b/>
      <w:sz w:val="20"/>
    </w:rPr>
  </w:style>
  <w:style w:type="paragraph" w:styleId="Revision">
    <w:name w:val="Revision"/>
    <w:hidden/>
    <w:uiPriority w:val="99"/>
    <w:semiHidden/>
    <w:rsid w:val="00B4580D"/>
    <w:pPr>
      <w:spacing w:after="0" w:line="240" w:lineRule="auto"/>
    </w:pPr>
    <w:rPr>
      <w:rFonts w:ascii="Times New Roman" w:hAnsi="Times New Roman" w:cs="Times New Roman"/>
      <w:sz w:val="24"/>
    </w:rPr>
  </w:style>
  <w:style w:type="paragraph" w:customStyle="1" w:styleId="Default">
    <w:name w:val="Default"/>
    <w:rsid w:val="00B4580D"/>
    <w:pPr>
      <w:autoSpaceDE w:val="0"/>
      <w:autoSpaceDN w:val="0"/>
      <w:adjustRightInd w:val="0"/>
      <w:spacing w:after="0" w:line="240" w:lineRule="auto"/>
    </w:pPr>
    <w:rPr>
      <w:rFonts w:ascii="Times New Roman" w:hAnsi="Times New Roman" w:cs="Times New Roman"/>
      <w:color w:val="000000"/>
      <w:sz w:val="24"/>
    </w:rPr>
  </w:style>
  <w:style w:type="character" w:styleId="Hyperlink">
    <w:name w:val="Hyperlink"/>
    <w:basedOn w:val="DefaultParagraphFont"/>
    <w:uiPriority w:val="99"/>
    <w:unhideWhenUsed/>
    <w:rsid w:val="00B4580D"/>
    <w:rPr>
      <w:color w:val="0000FF" w:themeColor="hyperlink"/>
      <w:u w:val="single"/>
    </w:rPr>
  </w:style>
  <w:style w:type="paragraph" w:customStyle="1" w:styleId="paragraph">
    <w:name w:val="paragraph"/>
    <w:basedOn w:val="Normal"/>
    <w:rsid w:val="14F0B435"/>
    <w:pPr>
      <w:spacing w:beforeAutospacing="1" w:afterAutospacing="1"/>
      <w:ind w:left="851"/>
    </w:pPr>
    <w:rPr>
      <w:rFonts w:ascii="Times New Roman" w:eastAsia="Times New Roman" w:hAnsi="Times New Roman" w:cs="Times New Roman"/>
      <w:sz w:val="24"/>
    </w:rPr>
  </w:style>
  <w:style w:type="character" w:customStyle="1" w:styleId="normaltextrun">
    <w:name w:val="normaltextrun"/>
    <w:basedOn w:val="DefaultParagraphFont"/>
    <w:rsid w:val="00B4580D"/>
  </w:style>
  <w:style w:type="table" w:styleId="TableGrid">
    <w:name w:val="Table Grid"/>
    <w:basedOn w:val="TableNormal"/>
    <w:uiPriority w:val="59"/>
    <w:rsid w:val="00B458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B458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2">
    <w:name w:val="Body text|2_"/>
    <w:basedOn w:val="DefaultParagraphFont"/>
    <w:link w:val="Bodytext20"/>
    <w:rsid w:val="00B4580D"/>
    <w:rPr>
      <w:rFonts w:ascii="Calibri" w:eastAsia="Calibri" w:hAnsi="Calibri" w:cs="Calibri"/>
      <w:sz w:val="21"/>
      <w:shd w:val="clear" w:color="auto" w:fill="FFFFFF"/>
    </w:rPr>
  </w:style>
  <w:style w:type="character" w:customStyle="1" w:styleId="Bodytext2Italic">
    <w:name w:val="Body text|2 + Italic"/>
    <w:basedOn w:val="Bodytext2"/>
    <w:semiHidden/>
    <w:unhideWhenUsed/>
    <w:rsid w:val="00B4580D"/>
    <w:rPr>
      <w:rFonts w:ascii="Calibri" w:eastAsia="Calibri" w:hAnsi="Calibri" w:cs="Calibri"/>
      <w:i/>
      <w:color w:val="000000"/>
      <w:position w:val="0"/>
      <w:sz w:val="21"/>
      <w:shd w:val="clear" w:color="auto" w:fill="FFFFFF"/>
    </w:rPr>
  </w:style>
  <w:style w:type="character" w:customStyle="1" w:styleId="Heading81">
    <w:name w:val="Heading #8|1_"/>
    <w:basedOn w:val="DefaultParagraphFont"/>
    <w:link w:val="Heading810"/>
    <w:rsid w:val="00B4580D"/>
    <w:rPr>
      <w:rFonts w:ascii="Calibri" w:eastAsia="Calibri" w:hAnsi="Calibri" w:cs="Calibri"/>
      <w:b/>
      <w:sz w:val="21"/>
      <w:shd w:val="clear" w:color="auto" w:fill="FFFFFF"/>
    </w:rPr>
  </w:style>
  <w:style w:type="paragraph" w:customStyle="1" w:styleId="Bodytext20">
    <w:name w:val="Body text|2"/>
    <w:basedOn w:val="Normal"/>
    <w:link w:val="Bodytext2"/>
    <w:qFormat/>
    <w:rsid w:val="00B4580D"/>
    <w:pPr>
      <w:widowControl w:val="0"/>
      <w:shd w:val="clear" w:color="auto" w:fill="FFFFFF"/>
      <w:spacing w:before="140" w:after="140" w:line="226" w:lineRule="exact"/>
      <w:ind w:hanging="640"/>
    </w:pPr>
    <w:rPr>
      <w:rFonts w:ascii="Calibri" w:eastAsia="Calibri" w:hAnsi="Calibri" w:cs="Calibri"/>
      <w:sz w:val="21"/>
    </w:rPr>
  </w:style>
  <w:style w:type="paragraph" w:customStyle="1" w:styleId="Heading810">
    <w:name w:val="Heading #8|1"/>
    <w:basedOn w:val="Normal"/>
    <w:link w:val="Heading81"/>
    <w:qFormat/>
    <w:rsid w:val="00B4580D"/>
    <w:pPr>
      <w:widowControl w:val="0"/>
      <w:shd w:val="clear" w:color="auto" w:fill="FFFFFF"/>
      <w:spacing w:before="120" w:after="0" w:line="256" w:lineRule="exact"/>
      <w:ind w:hanging="580"/>
      <w:outlineLvl w:val="7"/>
    </w:pPr>
    <w:rPr>
      <w:rFonts w:ascii="Calibri" w:eastAsia="Calibri" w:hAnsi="Calibri" w:cs="Calibri"/>
      <w:b/>
      <w:sz w:val="21"/>
    </w:rPr>
  </w:style>
  <w:style w:type="character" w:customStyle="1" w:styleId="eop">
    <w:name w:val="eop"/>
    <w:basedOn w:val="DefaultParagraphFont"/>
    <w:rsid w:val="00B4580D"/>
  </w:style>
  <w:style w:type="character" w:customStyle="1" w:styleId="Heading81NotBold">
    <w:name w:val="Heading #8|1 + Not Bold"/>
    <w:basedOn w:val="Heading81"/>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Bold">
    <w:name w:val="Body text|2 + Bold"/>
    <w:basedOn w:val="Bodytext2"/>
    <w:semiHidden/>
    <w:unhideWhenUsed/>
    <w:rsid w:val="00B4580D"/>
    <w:rPr>
      <w:rFonts w:ascii="Calibri" w:eastAsia="Calibri" w:hAnsi="Calibri" w:cs="Calibri"/>
      <w:b/>
      <w:i w:val="0"/>
      <w:smallCaps w:val="0"/>
      <w:strike w:val="0"/>
      <w:color w:val="000000"/>
      <w:position w:val="0"/>
      <w:sz w:val="21"/>
      <w:u w:val="none"/>
      <w:shd w:val="clear" w:color="auto" w:fill="FFFFFF"/>
    </w:rPr>
  </w:style>
  <w:style w:type="character" w:customStyle="1" w:styleId="Bodytext2Arial95ptBold">
    <w:name w:val="Body text|2 + Arial;9.5 pt;Bold"/>
    <w:basedOn w:val="Bodytext2"/>
    <w:semiHidden/>
    <w:unhideWhenUsed/>
    <w:rsid w:val="00B4580D"/>
    <w:rPr>
      <w:rFonts w:ascii="Arial" w:eastAsia="Arial" w:hAnsi="Arial" w:cs="Arial"/>
      <w:b/>
      <w:i w:val="0"/>
      <w:smallCaps w:val="0"/>
      <w:strike w:val="0"/>
      <w:color w:val="000000"/>
      <w:position w:val="0"/>
      <w:sz w:val="19"/>
      <w:u w:val="none"/>
      <w:shd w:val="clear" w:color="auto" w:fill="FFFFFF"/>
    </w:rPr>
  </w:style>
  <w:style w:type="character" w:customStyle="1" w:styleId="Tablecaption7">
    <w:name w:val="Table caption|7_"/>
    <w:basedOn w:val="DefaultParagraphFont"/>
    <w:link w:val="Tablecaption70"/>
    <w:rsid w:val="00B4580D"/>
    <w:rPr>
      <w:rFonts w:ascii="Calibri" w:eastAsia="Calibri" w:hAnsi="Calibri" w:cs="Calibri"/>
      <w:sz w:val="21"/>
      <w:shd w:val="clear" w:color="auto" w:fill="FFFFFF"/>
    </w:rPr>
  </w:style>
  <w:style w:type="character" w:customStyle="1" w:styleId="Heading71NotBold">
    <w:name w:val="Heading #7|1 + Not Bold"/>
    <w:basedOn w:val="DefaultParagraphFont"/>
    <w:semiHidden/>
    <w:unhideWhenUsed/>
    <w:rsid w:val="00B4580D"/>
    <w:rPr>
      <w:rFonts w:ascii="Calibri" w:eastAsia="Calibri" w:hAnsi="Calibri" w:cs="Calibri"/>
      <w:b/>
      <w:i w:val="0"/>
      <w:smallCaps w:val="0"/>
      <w:strike w:val="0"/>
      <w:color w:val="000000"/>
      <w:position w:val="0"/>
      <w:sz w:val="21"/>
      <w:u w:val="none"/>
    </w:rPr>
  </w:style>
  <w:style w:type="paragraph" w:customStyle="1" w:styleId="Tablecaption70">
    <w:name w:val="Table caption|7"/>
    <w:basedOn w:val="Normal"/>
    <w:link w:val="Tablecaption7"/>
    <w:rsid w:val="00B4580D"/>
    <w:pPr>
      <w:widowControl w:val="0"/>
      <w:shd w:val="clear" w:color="auto" w:fill="FFFFFF"/>
      <w:spacing w:after="0" w:line="256" w:lineRule="exact"/>
    </w:pPr>
    <w:rPr>
      <w:rFonts w:ascii="Calibri" w:eastAsia="Calibri" w:hAnsi="Calibri" w:cs="Calibri"/>
      <w:sz w:val="21"/>
    </w:rPr>
  </w:style>
  <w:style w:type="paragraph" w:customStyle="1" w:styleId="LegalNumPar">
    <w:name w:val="LegalNumPar"/>
    <w:basedOn w:val="Normal"/>
    <w:uiPriority w:val="1"/>
    <w:rsid w:val="14F0B435"/>
    <w:pPr>
      <w:keepNext/>
      <w:spacing w:before="40" w:after="0"/>
      <w:ind w:left="476" w:hanging="476"/>
      <w:jc w:val="both"/>
    </w:pPr>
    <w:rPr>
      <w:rFonts w:ascii="Times New Roman" w:eastAsiaTheme="minorEastAsia" w:hAnsi="Times New Roman" w:cs="Times New Roman"/>
      <w:sz w:val="24"/>
    </w:rPr>
  </w:style>
  <w:style w:type="paragraph" w:customStyle="1" w:styleId="LegalNumPar2">
    <w:name w:val="LegalNumPar2"/>
    <w:basedOn w:val="Normal"/>
    <w:uiPriority w:val="1"/>
    <w:rsid w:val="14F0B435"/>
    <w:pPr>
      <w:keepNext/>
      <w:spacing w:before="40" w:after="0"/>
      <w:ind w:left="953" w:hanging="477"/>
      <w:jc w:val="both"/>
    </w:pPr>
    <w:rPr>
      <w:rFonts w:ascii="Times New Roman" w:eastAsiaTheme="minorEastAsia" w:hAnsi="Times New Roman" w:cs="Times New Roman"/>
      <w:sz w:val="24"/>
    </w:rPr>
  </w:style>
  <w:style w:type="paragraph" w:customStyle="1" w:styleId="LegalNumPar3">
    <w:name w:val="LegalNumPar3"/>
    <w:basedOn w:val="Normal"/>
    <w:uiPriority w:val="1"/>
    <w:rsid w:val="14F0B435"/>
    <w:pPr>
      <w:keepNext/>
      <w:spacing w:before="40" w:after="0"/>
      <w:ind w:left="1429" w:hanging="476"/>
      <w:jc w:val="both"/>
    </w:pPr>
    <w:rPr>
      <w:rFonts w:ascii="Times New Roman" w:eastAsiaTheme="minorEastAsia" w:hAnsi="Times New Roman" w:cs="Times New Roman"/>
      <w:sz w:val="24"/>
    </w:rPr>
  </w:style>
  <w:style w:type="paragraph" w:styleId="NormalWeb">
    <w:name w:val="Normal (Web)"/>
    <w:basedOn w:val="Normal"/>
    <w:uiPriority w:val="99"/>
    <w:semiHidden/>
    <w:unhideWhenUsed/>
    <w:rsid w:val="14F0B435"/>
    <w:pPr>
      <w:spacing w:beforeAutospacing="1" w:afterAutospacing="1"/>
    </w:pPr>
    <w:rPr>
      <w:rFonts w:ascii="Times New Roman" w:eastAsia="Times New Roman" w:hAnsi="Times New Roman" w:cs="Times New Roman"/>
      <w:sz w:val="24"/>
    </w:rPr>
  </w:style>
  <w:style w:type="character" w:styleId="Strong">
    <w:name w:val="Strong"/>
    <w:basedOn w:val="DefaultParagraphFont"/>
    <w:uiPriority w:val="22"/>
    <w:qFormat/>
    <w:rsid w:val="00B4580D"/>
    <w:rPr>
      <w:b/>
    </w:rPr>
  </w:style>
  <w:style w:type="character" w:customStyle="1" w:styleId="h5">
    <w:name w:val="h5"/>
    <w:basedOn w:val="DefaultParagraphFont"/>
    <w:rsid w:val="00B4580D"/>
  </w:style>
  <w:style w:type="character" w:customStyle="1" w:styleId="viiyi">
    <w:name w:val="viiyi"/>
    <w:basedOn w:val="DefaultParagraphFont"/>
    <w:rsid w:val="00B4580D"/>
  </w:style>
  <w:style w:type="character" w:customStyle="1" w:styleId="jlqj4b">
    <w:name w:val="jlqj4b"/>
    <w:basedOn w:val="DefaultParagraphFont"/>
    <w:rsid w:val="00B4580D"/>
  </w:style>
  <w:style w:type="paragraph" w:customStyle="1" w:styleId="oj-doc-ti">
    <w:name w:val="oj-doc-ti"/>
    <w:basedOn w:val="Normal"/>
    <w:uiPriority w:val="1"/>
    <w:rsid w:val="14F0B435"/>
    <w:pPr>
      <w:spacing w:beforeAutospacing="1" w:afterAutospacing="1"/>
    </w:pPr>
    <w:rPr>
      <w:rFonts w:ascii="Times New Roman" w:eastAsia="Times New Roman" w:hAnsi="Times New Roman" w:cs="Times New Roman"/>
      <w:sz w:val="24"/>
    </w:rPr>
  </w:style>
  <w:style w:type="character" w:customStyle="1" w:styleId="acopre">
    <w:name w:val="acopre"/>
    <w:basedOn w:val="DefaultParagraphFont"/>
    <w:rsid w:val="00B4580D"/>
  </w:style>
  <w:style w:type="character" w:styleId="FollowedHyperlink">
    <w:name w:val="FollowedHyperlink"/>
    <w:basedOn w:val="DefaultParagraphFont"/>
    <w:uiPriority w:val="99"/>
    <w:semiHidden/>
    <w:unhideWhenUsed/>
    <w:rsid w:val="00B4580D"/>
    <w:rPr>
      <w:color w:val="800080" w:themeColor="followedHyperlink"/>
      <w:u w:val="single"/>
    </w:rPr>
  </w:style>
  <w:style w:type="character" w:styleId="PlaceholderText">
    <w:name w:val="Placeholder Text"/>
    <w:basedOn w:val="DefaultParagraphFont"/>
    <w:uiPriority w:val="99"/>
    <w:semiHidden/>
    <w:rsid w:val="00B4580D"/>
    <w:rPr>
      <w:color w:val="808080"/>
    </w:rPr>
  </w:style>
  <w:style w:type="paragraph" w:customStyle="1" w:styleId="FooterCoverPage">
    <w:name w:val="Footer Cover Page"/>
    <w:basedOn w:val="Normal"/>
    <w:link w:val="FooterCoverPageChar"/>
    <w:uiPriority w:val="1"/>
    <w:rsid w:val="14F0B435"/>
    <w:pPr>
      <w:keepNext/>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uiPriority w:val="1"/>
    <w:rsid w:val="00B4580D"/>
    <w:rPr>
      <w:rFonts w:ascii="Times New Roman" w:hAnsi="Times New Roman" w:cs="Times New Roman"/>
      <w:sz w:val="24"/>
    </w:rPr>
  </w:style>
  <w:style w:type="paragraph" w:customStyle="1" w:styleId="HeaderCoverPage">
    <w:name w:val="Header Cover Page"/>
    <w:basedOn w:val="Normal"/>
    <w:link w:val="HeaderCoverPageChar"/>
    <w:uiPriority w:val="1"/>
    <w:rsid w:val="14F0B435"/>
    <w:pPr>
      <w:keepNext/>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uiPriority w:val="1"/>
    <w:rsid w:val="00B4580D"/>
    <w:rPr>
      <w:rFonts w:ascii="Times New Roman" w:hAnsi="Times New Roman" w:cs="Times New Roman"/>
      <w:sz w:val="24"/>
    </w:rPr>
  </w:style>
  <w:style w:type="paragraph" w:styleId="NoSpacing">
    <w:name w:val="No Spacing"/>
    <w:uiPriority w:val="1"/>
    <w:qFormat/>
    <w:rsid w:val="00B4580D"/>
    <w:pPr>
      <w:spacing w:after="0" w:line="240" w:lineRule="auto"/>
    </w:pPr>
  </w:style>
  <w:style w:type="paragraph" w:customStyle="1" w:styleId="TechnicalBlock">
    <w:name w:val="Technical Block"/>
    <w:basedOn w:val="Pagedecouverture"/>
    <w:link w:val="TechnicalBlockChar"/>
    <w:uiPriority w:val="1"/>
    <w:rsid w:val="14F0B435"/>
    <w:pPr>
      <w:spacing w:after="240"/>
      <w:jc w:val="center"/>
    </w:pPr>
  </w:style>
  <w:style w:type="character" w:customStyle="1" w:styleId="PagedecouvertureChar">
    <w:name w:val="Page de couverture Char"/>
    <w:basedOn w:val="DefaultParagraphFont"/>
    <w:link w:val="Pagedecouverture"/>
    <w:uiPriority w:val="1"/>
    <w:rsid w:val="00B4580D"/>
    <w:rPr>
      <w:rFonts w:ascii="Times New Roman" w:eastAsiaTheme="minorEastAsia" w:hAnsi="Times New Roman" w:cs="Times New Roman"/>
      <w:sz w:val="24"/>
    </w:rPr>
  </w:style>
  <w:style w:type="character" w:customStyle="1" w:styleId="TechnicalBlockChar">
    <w:name w:val="Technical Block Char"/>
    <w:basedOn w:val="PagedecouvertureChar"/>
    <w:link w:val="TechnicalBlock"/>
    <w:uiPriority w:val="1"/>
    <w:rsid w:val="00B4580D"/>
    <w:rPr>
      <w:rFonts w:ascii="Times New Roman" w:eastAsiaTheme="minorEastAsia" w:hAnsi="Times New Roman" w:cs="Times New Roman"/>
      <w:sz w:val="24"/>
    </w:rPr>
  </w:style>
  <w:style w:type="paragraph" w:customStyle="1" w:styleId="EntText">
    <w:name w:val="EntText"/>
    <w:basedOn w:val="Normal"/>
    <w:uiPriority w:val="1"/>
    <w:rsid w:val="14F0B435"/>
    <w:pPr>
      <w:spacing w:before="120" w:after="120"/>
    </w:pPr>
    <w:rPr>
      <w:rFonts w:ascii="Times New Roman" w:eastAsiaTheme="minorEastAsia" w:hAnsi="Times New Roman" w:cs="Times New Roman"/>
      <w:sz w:val="24"/>
    </w:rPr>
  </w:style>
  <w:style w:type="paragraph" w:customStyle="1" w:styleId="Lignefinal">
    <w:name w:val="Ligne final"/>
    <w:basedOn w:val="Normal"/>
    <w:next w:val="Normal"/>
    <w:uiPriority w:val="1"/>
    <w:rsid w:val="14F0B435"/>
    <w:pPr>
      <w:spacing w:before="360" w:after="120"/>
      <w:ind w:left="3400" w:right="3400"/>
      <w:jc w:val="center"/>
    </w:pPr>
    <w:rPr>
      <w:rFonts w:ascii="Times New Roman" w:eastAsiaTheme="minorEastAsia" w:hAnsi="Times New Roman" w:cs="Times New Roman"/>
      <w:b/>
      <w:sz w:val="24"/>
    </w:rPr>
  </w:style>
  <w:style w:type="paragraph" w:customStyle="1" w:styleId="pj">
    <w:name w:val="p.j."/>
    <w:basedOn w:val="Normal"/>
    <w:link w:val="pjChar"/>
    <w:uiPriority w:val="1"/>
    <w:rsid w:val="14F0B435"/>
    <w:pPr>
      <w:spacing w:before="1200" w:after="120"/>
      <w:ind w:left="1440" w:hanging="1440"/>
    </w:pPr>
    <w:rPr>
      <w:rFonts w:ascii="Times New Roman" w:eastAsiaTheme="minorEastAsia" w:hAnsi="Times New Roman" w:cs="Times New Roman"/>
      <w:sz w:val="24"/>
    </w:rPr>
  </w:style>
  <w:style w:type="character" w:customStyle="1" w:styleId="pjChar">
    <w:name w:val="p.j. Char"/>
    <w:basedOn w:val="PagedecouvertureChar"/>
    <w:link w:val="pj"/>
    <w:uiPriority w:val="1"/>
    <w:rsid w:val="00B4580D"/>
    <w:rPr>
      <w:rFonts w:ascii="Times New Roman" w:eastAsiaTheme="minorEastAsia" w:hAnsi="Times New Roman" w:cs="Times New Roman"/>
      <w:sz w:val="24"/>
    </w:rPr>
  </w:style>
  <w:style w:type="paragraph" w:customStyle="1" w:styleId="nbbordered">
    <w:name w:val="nb bordered"/>
    <w:basedOn w:val="Normal"/>
    <w:link w:val="nbborderedChar"/>
    <w:uiPriority w:val="1"/>
    <w:rsid w:val="14F0B435"/>
    <w:pPr>
      <w:spacing w:after="160"/>
      <w:ind w:left="480" w:hanging="480"/>
    </w:pPr>
    <w:rPr>
      <w:rFonts w:ascii="Times New Roman" w:eastAsiaTheme="minorEastAsia" w:hAnsi="Times New Roman" w:cs="Times New Roman"/>
      <w:b/>
      <w:sz w:val="24"/>
    </w:rPr>
  </w:style>
  <w:style w:type="character" w:customStyle="1" w:styleId="nbborderedChar">
    <w:name w:val="nb bordered Char"/>
    <w:basedOn w:val="PagedecouvertureChar"/>
    <w:link w:val="nbbordered"/>
    <w:uiPriority w:val="1"/>
    <w:rsid w:val="00B4580D"/>
    <w:rPr>
      <w:rFonts w:ascii="Times New Roman" w:eastAsiaTheme="minorEastAsia" w:hAnsi="Times New Roman" w:cs="Times New Roman"/>
      <w:b/>
      <w:sz w:val="24"/>
    </w:rPr>
  </w:style>
  <w:style w:type="paragraph" w:customStyle="1" w:styleId="HeaderCouncil">
    <w:name w:val="Header Council"/>
    <w:basedOn w:val="Normal"/>
    <w:link w:val="HeaderCouncilChar"/>
    <w:uiPriority w:val="1"/>
    <w:rsid w:val="00B4580D"/>
    <w:pPr>
      <w:spacing w:after="0"/>
    </w:pPr>
    <w:rPr>
      <w:sz w:val="2"/>
    </w:rPr>
  </w:style>
  <w:style w:type="character" w:customStyle="1" w:styleId="HeaderCouncilChar">
    <w:name w:val="Header Council Char"/>
    <w:basedOn w:val="DefaultParagraphFont"/>
    <w:link w:val="HeaderCouncil"/>
    <w:rsid w:val="00B4580D"/>
    <w:rPr>
      <w:sz w:val="2"/>
    </w:rPr>
  </w:style>
  <w:style w:type="paragraph" w:customStyle="1" w:styleId="HeaderCouncilLarge">
    <w:name w:val="Header Council Large"/>
    <w:basedOn w:val="Normal"/>
    <w:link w:val="HeaderCouncilLargeChar"/>
    <w:uiPriority w:val="1"/>
    <w:rsid w:val="00B4580D"/>
    <w:pPr>
      <w:spacing w:after="440"/>
    </w:pPr>
    <w:rPr>
      <w:sz w:val="2"/>
    </w:rPr>
  </w:style>
  <w:style w:type="character" w:customStyle="1" w:styleId="HeaderCouncilLargeChar">
    <w:name w:val="Header Council Large Char"/>
    <w:basedOn w:val="DefaultParagraphFont"/>
    <w:link w:val="HeaderCouncilLarge"/>
    <w:rsid w:val="00B4580D"/>
    <w:rPr>
      <w:sz w:val="2"/>
    </w:rPr>
  </w:style>
  <w:style w:type="paragraph" w:customStyle="1" w:styleId="FooterCouncil">
    <w:name w:val="Footer Council"/>
    <w:basedOn w:val="Normal"/>
    <w:link w:val="FooterCouncilChar"/>
    <w:uiPriority w:val="1"/>
    <w:rsid w:val="00B4580D"/>
    <w:pPr>
      <w:spacing w:after="0"/>
    </w:pPr>
    <w:rPr>
      <w:sz w:val="2"/>
    </w:rPr>
  </w:style>
  <w:style w:type="character" w:customStyle="1" w:styleId="FooterCouncilChar">
    <w:name w:val="Footer Council Char"/>
    <w:basedOn w:val="DefaultParagraphFont"/>
    <w:link w:val="FooterCouncil"/>
    <w:rsid w:val="00B4580D"/>
    <w:rPr>
      <w:sz w:val="2"/>
    </w:rPr>
  </w:style>
  <w:style w:type="paragraph" w:customStyle="1" w:styleId="FooterText">
    <w:name w:val="Footer Text"/>
    <w:basedOn w:val="Normal"/>
    <w:uiPriority w:val="1"/>
    <w:rsid w:val="14F0B435"/>
    <w:pPr>
      <w:spacing w:after="0"/>
    </w:pPr>
    <w:rPr>
      <w:rFonts w:ascii="Times New Roman" w:eastAsia="Times New Roman" w:hAnsi="Times New Roman" w:cs="Times New Roman"/>
      <w:sz w:val="24"/>
    </w:rPr>
  </w:style>
  <w:style w:type="character" w:customStyle="1" w:styleId="Bodytext1">
    <w:name w:val="Body text|1_"/>
    <w:basedOn w:val="DefaultParagraphFont"/>
    <w:link w:val="Bodytext10"/>
    <w:rsid w:val="001707B2"/>
    <w:rPr>
      <w:rFonts w:ascii="Arial" w:eastAsia="Arial" w:hAnsi="Arial" w:cs="Arial"/>
      <w:sz w:val="20"/>
    </w:rPr>
  </w:style>
  <w:style w:type="paragraph" w:customStyle="1" w:styleId="Bodytext10">
    <w:name w:val="Body text|1"/>
    <w:basedOn w:val="Normal"/>
    <w:link w:val="Bodytext1"/>
    <w:rsid w:val="001707B2"/>
    <w:pPr>
      <w:widowControl w:val="0"/>
      <w:spacing w:after="260"/>
    </w:pPr>
    <w:rPr>
      <w:rFonts w:ascii="Arial" w:eastAsia="Arial" w:hAnsi="Arial" w:cs="Arial"/>
      <w:sz w:val="20"/>
    </w:rPr>
  </w:style>
  <w:style w:type="character" w:customStyle="1" w:styleId="Other1">
    <w:name w:val="Other|1_"/>
    <w:basedOn w:val="DefaultParagraphFont"/>
    <w:link w:val="Other10"/>
    <w:rsid w:val="00B24A83"/>
    <w:rPr>
      <w:rFonts w:ascii="Arial" w:eastAsia="Arial" w:hAnsi="Arial" w:cs="Arial"/>
      <w:sz w:val="20"/>
    </w:rPr>
  </w:style>
  <w:style w:type="paragraph" w:customStyle="1" w:styleId="Other10">
    <w:name w:val="Other|1"/>
    <w:basedOn w:val="Normal"/>
    <w:link w:val="Other1"/>
    <w:rsid w:val="00B24A83"/>
    <w:pPr>
      <w:widowControl w:val="0"/>
      <w:spacing w:after="0"/>
    </w:pPr>
    <w:rPr>
      <w:rFonts w:ascii="Arial" w:eastAsia="Arial" w:hAnsi="Arial" w:cs="Arial"/>
      <w:sz w:val="20"/>
    </w:rPr>
  </w:style>
  <w:style w:type="character" w:customStyle="1" w:styleId="Mention1">
    <w:name w:val="Mention1"/>
    <w:basedOn w:val="DefaultParagraphFont"/>
    <w:uiPriority w:val="99"/>
    <w:unhideWhenUsed/>
    <w:rsid w:val="005109BE"/>
    <w:rPr>
      <w:color w:val="2B579A"/>
      <w:shd w:val="clear" w:color="auto" w:fill="E6E6E6"/>
    </w:rPr>
  </w:style>
  <w:style w:type="character" w:customStyle="1" w:styleId="UnresolvedMention1">
    <w:name w:val="Unresolved Mention1"/>
    <w:basedOn w:val="DefaultParagraphFont"/>
    <w:uiPriority w:val="99"/>
    <w:unhideWhenUsed/>
    <w:rsid w:val="005109BE"/>
    <w:rPr>
      <w:color w:val="605E5C"/>
      <w:shd w:val="clear" w:color="auto" w:fill="E1DFDD"/>
    </w:rPr>
  </w:style>
  <w:style w:type="character" w:customStyle="1" w:styleId="UnresolvedMention2">
    <w:name w:val="Unresolved Mention2"/>
    <w:basedOn w:val="DefaultParagraphFont"/>
    <w:uiPriority w:val="99"/>
    <w:unhideWhenUsed/>
    <w:rsid w:val="00BE3CE5"/>
    <w:rPr>
      <w:color w:val="605E5C"/>
      <w:shd w:val="clear" w:color="auto" w:fill="E1DFDD"/>
    </w:rPr>
  </w:style>
  <w:style w:type="character" w:customStyle="1" w:styleId="Mention2">
    <w:name w:val="Mention2"/>
    <w:basedOn w:val="DefaultParagraphFont"/>
    <w:uiPriority w:val="99"/>
    <w:unhideWhenUsed/>
    <w:rsid w:val="00BE3CE5"/>
    <w:rPr>
      <w:color w:val="2B579A"/>
      <w:shd w:val="clear" w:color="auto" w:fill="E1DFDD"/>
    </w:rPr>
  </w:style>
  <w:style w:type="character" w:customStyle="1" w:styleId="Heading5Char">
    <w:name w:val="Heading 5 Char"/>
    <w:basedOn w:val="DefaultParagraphFont"/>
    <w:link w:val="Heading5"/>
    <w:uiPriority w:val="9"/>
    <w:rsid w:val="00510B5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510B5B"/>
    <w:rPr>
      <w:rFonts w:asciiTheme="majorHAnsi" w:eastAsiaTheme="majorEastAsia" w:hAnsiTheme="majorHAnsi" w:cstheme="majorBidi"/>
      <w:color w:val="243F60"/>
    </w:rPr>
  </w:style>
  <w:style w:type="character" w:customStyle="1" w:styleId="Heading7Char">
    <w:name w:val="Heading 7 Char"/>
    <w:basedOn w:val="DefaultParagraphFont"/>
    <w:link w:val="Heading7"/>
    <w:uiPriority w:val="9"/>
    <w:rsid w:val="00510B5B"/>
    <w:rPr>
      <w:rFonts w:asciiTheme="majorHAnsi" w:eastAsiaTheme="majorEastAsia" w:hAnsiTheme="majorHAnsi" w:cstheme="majorBidi"/>
      <w:i/>
      <w:color w:val="243F60"/>
    </w:rPr>
  </w:style>
  <w:style w:type="character" w:customStyle="1" w:styleId="Heading8Char">
    <w:name w:val="Heading 8 Char"/>
    <w:basedOn w:val="DefaultParagraphFont"/>
    <w:link w:val="Heading8"/>
    <w:uiPriority w:val="9"/>
    <w:rsid w:val="00510B5B"/>
    <w:rPr>
      <w:rFonts w:asciiTheme="majorHAnsi" w:eastAsiaTheme="majorEastAsia" w:hAnsiTheme="majorHAnsi" w:cstheme="majorBidi"/>
      <w:color w:val="272727"/>
      <w:sz w:val="21"/>
    </w:rPr>
  </w:style>
  <w:style w:type="character" w:customStyle="1" w:styleId="Heading9Char">
    <w:name w:val="Heading 9 Char"/>
    <w:basedOn w:val="DefaultParagraphFont"/>
    <w:link w:val="Heading9"/>
    <w:uiPriority w:val="9"/>
    <w:rsid w:val="00510B5B"/>
    <w:rPr>
      <w:rFonts w:asciiTheme="majorHAnsi" w:eastAsiaTheme="majorEastAsia" w:hAnsiTheme="majorHAnsi" w:cstheme="majorBidi"/>
      <w:i/>
      <w:color w:val="272727"/>
      <w:sz w:val="21"/>
    </w:rPr>
  </w:style>
  <w:style w:type="paragraph" w:styleId="Title">
    <w:name w:val="Title"/>
    <w:basedOn w:val="Normal"/>
    <w:next w:val="Normal"/>
    <w:link w:val="TitleChar"/>
    <w:uiPriority w:val="10"/>
    <w:qFormat/>
    <w:rsid w:val="00510B5B"/>
    <w:pPr>
      <w:spacing w:after="0"/>
      <w:contextualSpacing/>
    </w:pPr>
    <w:rPr>
      <w:rFonts w:asciiTheme="majorHAnsi" w:eastAsiaTheme="majorEastAsia" w:hAnsiTheme="majorHAnsi" w:cstheme="majorBidi"/>
      <w:sz w:val="56"/>
    </w:rPr>
  </w:style>
  <w:style w:type="character" w:customStyle="1" w:styleId="TitleChar">
    <w:name w:val="Title Char"/>
    <w:basedOn w:val="DefaultParagraphFont"/>
    <w:link w:val="Title"/>
    <w:uiPriority w:val="10"/>
    <w:rsid w:val="00510B5B"/>
    <w:rPr>
      <w:rFonts w:asciiTheme="majorHAnsi" w:eastAsiaTheme="majorEastAsia" w:hAnsiTheme="majorHAnsi" w:cstheme="majorBidi"/>
      <w:sz w:val="56"/>
    </w:rPr>
  </w:style>
  <w:style w:type="paragraph" w:styleId="Subtitle">
    <w:name w:val="Subtitle"/>
    <w:basedOn w:val="Normal"/>
    <w:next w:val="Normal"/>
    <w:link w:val="SubtitleChar"/>
    <w:uiPriority w:val="11"/>
    <w:qFormat/>
    <w:rsid w:val="00510B5B"/>
    <w:rPr>
      <w:rFonts w:eastAsiaTheme="minorEastAsia"/>
      <w:color w:val="5A5A5A"/>
    </w:rPr>
  </w:style>
  <w:style w:type="character" w:customStyle="1" w:styleId="SubtitleChar">
    <w:name w:val="Subtitle Char"/>
    <w:basedOn w:val="DefaultParagraphFont"/>
    <w:link w:val="Subtitle"/>
    <w:uiPriority w:val="11"/>
    <w:rsid w:val="00510B5B"/>
    <w:rPr>
      <w:rFonts w:eastAsiaTheme="minorEastAsia"/>
      <w:color w:val="5A5A5A"/>
    </w:rPr>
  </w:style>
  <w:style w:type="paragraph" w:styleId="Quote">
    <w:name w:val="Quote"/>
    <w:basedOn w:val="Normal"/>
    <w:next w:val="Normal"/>
    <w:link w:val="QuoteChar"/>
    <w:uiPriority w:val="29"/>
    <w:qFormat/>
    <w:rsid w:val="00510B5B"/>
    <w:pPr>
      <w:spacing w:before="200"/>
      <w:ind w:left="864" w:right="864"/>
      <w:jc w:val="center"/>
    </w:pPr>
    <w:rPr>
      <w:i/>
      <w:color w:val="404040" w:themeColor="text1" w:themeTint="BF"/>
    </w:rPr>
  </w:style>
  <w:style w:type="character" w:customStyle="1" w:styleId="QuoteChar">
    <w:name w:val="Quote Char"/>
    <w:basedOn w:val="DefaultParagraphFont"/>
    <w:link w:val="Quote"/>
    <w:uiPriority w:val="29"/>
    <w:rsid w:val="00510B5B"/>
    <w:rPr>
      <w:i/>
      <w:color w:val="404040" w:themeColor="text1" w:themeTint="BF"/>
    </w:rPr>
  </w:style>
  <w:style w:type="paragraph" w:styleId="IntenseQuote">
    <w:name w:val="Intense Quote"/>
    <w:basedOn w:val="Normal"/>
    <w:next w:val="Normal"/>
    <w:link w:val="IntenseQuoteChar"/>
    <w:uiPriority w:val="30"/>
    <w:qFormat/>
    <w:rsid w:val="00510B5B"/>
    <w:pPr>
      <w:spacing w:before="360" w:after="360"/>
      <w:ind w:left="864" w:right="864"/>
      <w:jc w:val="center"/>
    </w:pPr>
    <w:rPr>
      <w:i/>
      <w:color w:val="4F81BD" w:themeColor="accent1"/>
    </w:rPr>
  </w:style>
  <w:style w:type="character" w:customStyle="1" w:styleId="IntenseQuoteChar">
    <w:name w:val="Intense Quote Char"/>
    <w:basedOn w:val="DefaultParagraphFont"/>
    <w:link w:val="IntenseQuote"/>
    <w:uiPriority w:val="30"/>
    <w:rsid w:val="00510B5B"/>
    <w:rPr>
      <w:i/>
      <w:color w:val="4F81BD" w:themeColor="accent1"/>
    </w:rPr>
  </w:style>
  <w:style w:type="paragraph" w:styleId="EndnoteText">
    <w:name w:val="endnote text"/>
    <w:basedOn w:val="Normal"/>
    <w:link w:val="EndnoteTextChar"/>
    <w:uiPriority w:val="99"/>
    <w:semiHidden/>
    <w:unhideWhenUsed/>
    <w:rsid w:val="00510B5B"/>
    <w:pPr>
      <w:spacing w:after="0"/>
    </w:pPr>
    <w:rPr>
      <w:sz w:val="20"/>
    </w:rPr>
  </w:style>
  <w:style w:type="character" w:customStyle="1" w:styleId="EndnoteTextChar">
    <w:name w:val="Endnote Text Char"/>
    <w:basedOn w:val="DefaultParagraphFont"/>
    <w:link w:val="EndnoteText"/>
    <w:uiPriority w:val="99"/>
    <w:semiHidden/>
    <w:rsid w:val="00510B5B"/>
    <w:rPr>
      <w:sz w:val="20"/>
    </w:rPr>
  </w:style>
  <w:style w:type="character" w:customStyle="1" w:styleId="findhit">
    <w:name w:val="findhit"/>
    <w:basedOn w:val="DefaultParagraphFont"/>
    <w:rsid w:val="00510B5B"/>
  </w:style>
  <w:style w:type="character" w:customStyle="1" w:styleId="Mention3">
    <w:name w:val="Mention3"/>
    <w:basedOn w:val="DefaultParagraphFont"/>
    <w:uiPriority w:val="99"/>
    <w:unhideWhenUsed/>
    <w:rsid w:val="000776D0"/>
    <w:rPr>
      <w:color w:val="2B579A"/>
      <w:shd w:val="clear" w:color="auto" w:fill="E6E6E6"/>
    </w:rPr>
  </w:style>
  <w:style w:type="character" w:customStyle="1" w:styleId="UnresolvedMention3">
    <w:name w:val="Unresolved Mention3"/>
    <w:basedOn w:val="DefaultParagraphFont"/>
    <w:uiPriority w:val="99"/>
    <w:unhideWhenUsed/>
    <w:rsid w:val="000776D0"/>
    <w:rPr>
      <w:color w:val="605E5C"/>
      <w:shd w:val="clear" w:color="auto" w:fill="E1DFDD"/>
    </w:rPr>
  </w:style>
  <w:style w:type="character" w:customStyle="1" w:styleId="UnresolvedMention4">
    <w:name w:val="Unresolved Mention4"/>
    <w:basedOn w:val="DefaultParagraphFont"/>
    <w:uiPriority w:val="99"/>
    <w:unhideWhenUsed/>
    <w:rsid w:val="00234BD4"/>
    <w:rPr>
      <w:color w:val="605E5C"/>
      <w:shd w:val="clear" w:color="auto" w:fill="E1DFDD"/>
    </w:rPr>
  </w:style>
  <w:style w:type="character" w:customStyle="1" w:styleId="Mention4">
    <w:name w:val="Mention4"/>
    <w:basedOn w:val="DefaultParagraphFont"/>
    <w:uiPriority w:val="99"/>
    <w:unhideWhenUsed/>
    <w:rsid w:val="00234BD4"/>
    <w:rPr>
      <w:color w:val="2B579A"/>
      <w:shd w:val="clear" w:color="auto" w:fill="E1DFDD"/>
    </w:rPr>
  </w:style>
  <w:style w:type="paragraph" w:customStyle="1" w:styleId="commentcontentpara">
    <w:name w:val="commentcontentpara"/>
    <w:basedOn w:val="Normal"/>
    <w:rsid w:val="00AC7B48"/>
    <w:pPr>
      <w:spacing w:before="100" w:beforeAutospacing="1" w:after="100" w:afterAutospacing="1" w:line="240" w:lineRule="auto"/>
    </w:pPr>
    <w:rPr>
      <w:rFonts w:ascii="Times New Roman" w:eastAsia="Times New Roman" w:hAnsi="Times New Roman" w:cs="Times New Roman"/>
      <w:sz w:val="24"/>
    </w:rPr>
  </w:style>
  <w:style w:type="character" w:customStyle="1" w:styleId="Bodytext3">
    <w:name w:val="Body text|3_"/>
    <w:basedOn w:val="DefaultParagraphFont"/>
    <w:link w:val="Bodytext30"/>
    <w:rsid w:val="00D66508"/>
    <w:rPr>
      <w:rFonts w:ascii="@MS Mincho" w:eastAsia="@MS Mincho" w:hAnsi="@MS Mincho" w:cs="@MS Mincho"/>
      <w:sz w:val="20"/>
    </w:rPr>
  </w:style>
  <w:style w:type="paragraph" w:customStyle="1" w:styleId="Bodytext30">
    <w:name w:val="Body text|3"/>
    <w:basedOn w:val="Normal"/>
    <w:link w:val="Bodytext3"/>
    <w:rsid w:val="00D66508"/>
    <w:pPr>
      <w:widowControl w:val="0"/>
      <w:spacing w:after="140" w:line="293" w:lineRule="auto"/>
    </w:pPr>
    <w:rPr>
      <w:rFonts w:ascii="@MS Mincho" w:eastAsia="@MS Mincho" w:hAnsi="@MS Mincho" w:cs="@MS Mincho"/>
      <w:sz w:val="20"/>
    </w:rPr>
  </w:style>
  <w:style w:type="character" w:customStyle="1" w:styleId="Mention5">
    <w:name w:val="Mention5"/>
    <w:basedOn w:val="DefaultParagraphFont"/>
    <w:uiPriority w:val="99"/>
    <w:unhideWhenUsed/>
    <w:rsid w:val="002671B2"/>
    <w:rPr>
      <w:color w:val="2B579A"/>
      <w:shd w:val="clear" w:color="auto" w:fill="E1DFDD"/>
    </w:rPr>
  </w:style>
  <w:style w:type="character" w:customStyle="1" w:styleId="UnresolvedMention5">
    <w:name w:val="Unresolved Mention5"/>
    <w:basedOn w:val="DefaultParagraphFont"/>
    <w:uiPriority w:val="99"/>
    <w:unhideWhenUsed/>
    <w:rsid w:val="002671B2"/>
    <w:rPr>
      <w:color w:val="605E5C"/>
      <w:shd w:val="clear" w:color="auto" w:fill="E1DFDD"/>
    </w:rPr>
  </w:style>
  <w:style w:type="character" w:customStyle="1" w:styleId="Mention6">
    <w:name w:val="Mention6"/>
    <w:basedOn w:val="DefaultParagraphFont"/>
    <w:uiPriority w:val="99"/>
    <w:unhideWhenUsed/>
    <w:rsid w:val="002671B2"/>
    <w:rPr>
      <w:color w:val="2B579A"/>
      <w:shd w:val="clear" w:color="auto" w:fill="E1DFDD"/>
    </w:rPr>
  </w:style>
  <w:style w:type="character" w:customStyle="1" w:styleId="Mention7">
    <w:name w:val="Mention7"/>
    <w:basedOn w:val="DefaultParagraphFont"/>
    <w:uiPriority w:val="99"/>
    <w:unhideWhenUsed/>
    <w:rsid w:val="001349D8"/>
    <w:rPr>
      <w:color w:val="2B579A"/>
      <w:shd w:val="clear" w:color="auto" w:fill="E6E6E6"/>
    </w:rPr>
  </w:style>
  <w:style w:type="character" w:customStyle="1" w:styleId="Mention">
    <w:name w:val="Mention"/>
    <w:basedOn w:val="DefaultParagraphFont"/>
    <w:uiPriority w:val="99"/>
    <w:unhideWhenUsed/>
    <w:rsid w:val="00F94BC6"/>
    <w:rPr>
      <w:color w:val="2B579A"/>
      <w:shd w:val="clear" w:color="auto" w:fill="E1DFDD"/>
    </w:rPr>
  </w:style>
  <w:style w:type="paragraph" w:customStyle="1" w:styleId="NumPar5">
    <w:name w:val="NumPar 5"/>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6">
    <w:name w:val="NumPar 6"/>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paragraph" w:customStyle="1" w:styleId="NumPar7">
    <w:name w:val="NumPar 7"/>
    <w:basedOn w:val="Normal"/>
    <w:next w:val="Normal"/>
    <w:rsid w:val="00DC1162"/>
    <w:pPr>
      <w:tabs>
        <w:tab w:val="num" w:pos="1417"/>
      </w:tabs>
      <w:spacing w:before="120" w:after="120" w:line="240" w:lineRule="auto"/>
      <w:ind w:left="1417" w:hanging="1417"/>
      <w:jc w:val="both"/>
    </w:pPr>
    <w:rPr>
      <w:rFonts w:ascii="Times New Roman" w:hAnsi="Times New Roman" w:cs="Times New Roman"/>
      <w:sz w:val="24"/>
    </w:rPr>
  </w:style>
  <w:style w:type="character" w:customStyle="1" w:styleId="Mention8">
    <w:name w:val="Mention8"/>
    <w:basedOn w:val="DefaultParagraphFont"/>
    <w:uiPriority w:val="99"/>
    <w:unhideWhenUsed/>
    <w:rsid w:val="00DC1162"/>
    <w:rPr>
      <w:color w:val="2B579A"/>
      <w:shd w:val="clear" w:color="auto" w:fill="E1DFDD"/>
    </w:rPr>
  </w:style>
  <w:style w:type="paragraph" w:customStyle="1" w:styleId="P68B1DB1-Normal1">
    <w:name w:val="P68B1DB1-Normal1"/>
    <w:basedOn w:val="Normal"/>
    <w:rPr>
      <w:rFonts w:ascii="Times New Roman" w:hAnsi="Times New Roman"/>
      <w:b/>
      <w:sz w:val="24"/>
    </w:rPr>
  </w:style>
  <w:style w:type="paragraph" w:customStyle="1" w:styleId="P68B1DB1-Normal2">
    <w:name w:val="P68B1DB1-Normal2"/>
    <w:basedOn w:val="Normal"/>
    <w:rPr>
      <w:rFonts w:ascii="Times New Roman" w:hAnsi="Times New Roman"/>
      <w:b/>
      <w:smallCaps/>
      <w:sz w:val="24"/>
    </w:rPr>
  </w:style>
  <w:style w:type="paragraph" w:customStyle="1" w:styleId="P68B1DB1-Normal3">
    <w:name w:val="P68B1DB1-Normal3"/>
    <w:basedOn w:val="Normal"/>
    <w:rPr>
      <w:rFonts w:ascii="Times New Roman" w:hAnsi="Times New Roman"/>
      <w:b/>
      <w:sz w:val="24"/>
      <w:u w:val="single"/>
    </w:rPr>
  </w:style>
  <w:style w:type="paragraph" w:customStyle="1" w:styleId="P68B1DB1-Normal4">
    <w:name w:val="P68B1DB1-Normal4"/>
    <w:basedOn w:val="Normal"/>
    <w:rPr>
      <w:rFonts w:ascii="Times New Roman" w:hAnsi="Times New Roman"/>
      <w:sz w:val="24"/>
    </w:rPr>
  </w:style>
  <w:style w:type="paragraph" w:customStyle="1" w:styleId="P68B1DB1-Normal5">
    <w:name w:val="P68B1DB1-Normal5"/>
    <w:basedOn w:val="Normal"/>
    <w:rPr>
      <w:rFonts w:ascii="Times New Roman" w:hAnsi="Times New Roman"/>
      <w:sz w:val="24"/>
      <w:u w:val="single"/>
    </w:rPr>
  </w:style>
  <w:style w:type="paragraph" w:customStyle="1" w:styleId="P68B1DB1-Normal6">
    <w:name w:val="P68B1DB1-Normal6"/>
    <w:basedOn w:val="Normal"/>
    <w:rPr>
      <w:rFonts w:ascii="Times New Roman" w:hAnsi="Times New Roman"/>
      <w:b/>
      <w:sz w:val="18"/>
    </w:rPr>
  </w:style>
  <w:style w:type="paragraph" w:customStyle="1" w:styleId="P68B1DB1-Normal7">
    <w:name w:val="P68B1DB1-Normal7"/>
    <w:basedOn w:val="Normal"/>
    <w:rPr>
      <w:rFonts w:ascii="Calibri" w:hAnsi="Calibri"/>
      <w:b/>
      <w:sz w:val="16"/>
    </w:rPr>
  </w:style>
  <w:style w:type="paragraph" w:customStyle="1" w:styleId="P68B1DB1-Normal8">
    <w:name w:val="P68B1DB1-Normal8"/>
    <w:basedOn w:val="Normal"/>
    <w:rPr>
      <w:rFonts w:ascii="Calibri" w:hAnsi="Calibri"/>
      <w:sz w:val="16"/>
    </w:rPr>
  </w:style>
  <w:style w:type="paragraph" w:customStyle="1" w:styleId="P68B1DB1-Normal9">
    <w:name w:val="P68B1DB1-Normal9"/>
    <w:basedOn w:val="Normal"/>
    <w:rPr>
      <w:rFonts w:ascii="Calibri" w:hAnsi="Calibri"/>
    </w:rPr>
  </w:style>
  <w:style w:type="paragraph" w:customStyle="1" w:styleId="P68B1DB1-Normal10">
    <w:name w:val="P68B1DB1-Normal10"/>
    <w:basedOn w:val="Normal"/>
    <w:rPr>
      <w:rFonts w:ascii="Calibri" w:hAnsi="Calibri"/>
      <w:sz w:val="16"/>
      <w:shd w:val="clear" w:color="auto" w:fill="E6E6E6"/>
    </w:rPr>
  </w:style>
  <w:style w:type="paragraph" w:customStyle="1" w:styleId="P68B1DB1-Normal11">
    <w:name w:val="P68B1DB1-Normal11"/>
    <w:basedOn w:val="Normal"/>
    <w:rPr>
      <w:b/>
      <w:sz w:val="16"/>
    </w:rPr>
  </w:style>
  <w:style w:type="paragraph" w:customStyle="1" w:styleId="P68B1DB1-Normal12">
    <w:name w:val="P68B1DB1-Normal12"/>
    <w:basedOn w:val="Normal"/>
    <w:rPr>
      <w:sz w:val="16"/>
    </w:rPr>
  </w:style>
  <w:style w:type="paragraph" w:customStyle="1" w:styleId="P68B1DB1-Bodytext1013">
    <w:name w:val="P68B1DB1-Bodytext1013"/>
    <w:basedOn w:val="Bodytext10"/>
    <w:rPr>
      <w:rFonts w:asciiTheme="minorHAnsi" w:hAnsiTheme="minorHAnsi"/>
      <w:sz w:val="16"/>
    </w:rPr>
  </w:style>
  <w:style w:type="paragraph" w:customStyle="1" w:styleId="P68B1DB1-Heading214">
    <w:name w:val="P68B1DB1-Heading214"/>
    <w:basedOn w:val="Heading2"/>
    <w:rPr>
      <w:b w:val="0"/>
    </w:rPr>
  </w:style>
  <w:style w:type="paragraph" w:customStyle="1" w:styleId="P68B1DB1-Normal15">
    <w:name w:val="P68B1DB1-Normal15"/>
    <w:basedOn w:val="Normal"/>
    <w:rPr>
      <w:rFonts w:ascii="Calibri" w:hAnsi="Calibri"/>
      <w:sz w:val="2"/>
    </w:rPr>
  </w:style>
  <w:style w:type="paragraph" w:customStyle="1" w:styleId="P68B1DB1-Normal16">
    <w:name w:val="P68B1DB1-Normal16"/>
    <w:basedOn w:val="Normal"/>
    <w:rPr>
      <w:rFonts w:ascii="Times New Roman" w:hAnsi="Times New Roman"/>
      <w:sz w:val="18"/>
    </w:rPr>
  </w:style>
  <w:style w:type="paragraph" w:customStyle="1" w:styleId="P68B1DB1-Normal17">
    <w:name w:val="P68B1DB1-Normal17"/>
    <w:basedOn w:val="Normal"/>
    <w:rPr>
      <w:sz w:val="24"/>
    </w:rPr>
  </w:style>
  <w:style w:type="paragraph" w:customStyle="1" w:styleId="P68B1DB1-Bodytext1018">
    <w:name w:val="P68B1DB1-Bodytext1018"/>
    <w:basedOn w:val="Bodytext10"/>
    <w:rPr>
      <w:rFonts w:ascii="Calibri" w:hAnsi="Calibri"/>
      <w:sz w:val="16"/>
    </w:rPr>
  </w:style>
  <w:style w:type="paragraph" w:customStyle="1" w:styleId="P68B1DB1-Normal19">
    <w:name w:val="P68B1DB1-Normal19"/>
    <w:basedOn w:val="Normal"/>
    <w:rPr>
      <w:rFonts w:ascii="Times New Roman" w:hAnsi="Times New Roman"/>
    </w:rPr>
  </w:style>
  <w:style w:type="paragraph" w:customStyle="1" w:styleId="P68B1DB1-Bodytext2020">
    <w:name w:val="P68B1DB1-Bodytext2020"/>
    <w:basedOn w:val="Bodytext20"/>
    <w:rPr>
      <w:rFonts w:ascii="Times New Roman" w:hAnsi="Times New Roman"/>
      <w:sz w:val="24"/>
    </w:rPr>
  </w:style>
  <w:style w:type="paragraph" w:customStyle="1" w:styleId="P68B1DB1-CommentText21">
    <w:name w:val="P68B1DB1-CommentText21"/>
    <w:basedOn w:val="CommentText"/>
    <w:rPr>
      <w:rFonts w:asciiTheme="minorHAnsi" w:hAnsiTheme="minorHAnsi"/>
      <w:sz w:val="16"/>
    </w:rPr>
  </w:style>
  <w:style w:type="paragraph" w:customStyle="1" w:styleId="P68B1DB1-Normal22">
    <w:name w:val="P68B1DB1-Normal22"/>
    <w:basedOn w:val="Normal"/>
    <w:rPr>
      <w:rFonts w:ascii="Times New Roman" w:hAnsi="Times New Roman"/>
      <w:b/>
      <w:sz w:val="20"/>
    </w:rPr>
  </w:style>
  <w:style w:type="paragraph" w:customStyle="1" w:styleId="P68B1DB1-Normal23">
    <w:name w:val="P68B1DB1-Normal23"/>
    <w:basedOn w:val="Normal"/>
    <w:rPr>
      <w:rFonts w:ascii="Calibri" w:hAnsi="Calibri"/>
      <w:sz w:val="18"/>
    </w:rPr>
  </w:style>
  <w:style w:type="paragraph" w:customStyle="1" w:styleId="P68B1DB1-Normal24">
    <w:name w:val="P68B1DB1-Normal24"/>
    <w:basedOn w:val="Normal"/>
    <w:rPr>
      <w:rFonts w:ascii="Calibri" w:hAnsi="Calibri"/>
      <w:sz w:val="20"/>
    </w:rPr>
  </w:style>
  <w:style w:type="paragraph" w:customStyle="1" w:styleId="P68B1DB1-Normal25">
    <w:name w:val="P68B1DB1-Normal25"/>
    <w:basedOn w:val="Normal"/>
    <w:rPr>
      <w:rFonts w:ascii="Calibri" w:hAnsi="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6115">
      <w:bodyDiv w:val="1"/>
      <w:marLeft w:val="0"/>
      <w:marRight w:val="0"/>
      <w:marTop w:val="0"/>
      <w:marBottom w:val="0"/>
      <w:divBdr>
        <w:top w:val="none" w:sz="0" w:space="0" w:color="auto"/>
        <w:left w:val="none" w:sz="0" w:space="0" w:color="auto"/>
        <w:bottom w:val="none" w:sz="0" w:space="0" w:color="auto"/>
        <w:right w:val="none" w:sz="0" w:space="0" w:color="auto"/>
      </w:divBdr>
    </w:div>
    <w:div w:id="93717856">
      <w:bodyDiv w:val="1"/>
      <w:marLeft w:val="0"/>
      <w:marRight w:val="0"/>
      <w:marTop w:val="0"/>
      <w:marBottom w:val="0"/>
      <w:divBdr>
        <w:top w:val="none" w:sz="0" w:space="0" w:color="auto"/>
        <w:left w:val="none" w:sz="0" w:space="0" w:color="auto"/>
        <w:bottom w:val="none" w:sz="0" w:space="0" w:color="auto"/>
        <w:right w:val="none" w:sz="0" w:space="0" w:color="auto"/>
      </w:divBdr>
    </w:div>
    <w:div w:id="105124908">
      <w:bodyDiv w:val="1"/>
      <w:marLeft w:val="0"/>
      <w:marRight w:val="0"/>
      <w:marTop w:val="0"/>
      <w:marBottom w:val="0"/>
      <w:divBdr>
        <w:top w:val="none" w:sz="0" w:space="0" w:color="auto"/>
        <w:left w:val="none" w:sz="0" w:space="0" w:color="auto"/>
        <w:bottom w:val="none" w:sz="0" w:space="0" w:color="auto"/>
        <w:right w:val="none" w:sz="0" w:space="0" w:color="auto"/>
      </w:divBdr>
    </w:div>
    <w:div w:id="106392739">
      <w:bodyDiv w:val="1"/>
      <w:marLeft w:val="0"/>
      <w:marRight w:val="0"/>
      <w:marTop w:val="0"/>
      <w:marBottom w:val="0"/>
      <w:divBdr>
        <w:top w:val="none" w:sz="0" w:space="0" w:color="auto"/>
        <w:left w:val="none" w:sz="0" w:space="0" w:color="auto"/>
        <w:bottom w:val="none" w:sz="0" w:space="0" w:color="auto"/>
        <w:right w:val="none" w:sz="0" w:space="0" w:color="auto"/>
      </w:divBdr>
    </w:div>
    <w:div w:id="160197138">
      <w:bodyDiv w:val="1"/>
      <w:marLeft w:val="0"/>
      <w:marRight w:val="0"/>
      <w:marTop w:val="0"/>
      <w:marBottom w:val="0"/>
      <w:divBdr>
        <w:top w:val="none" w:sz="0" w:space="0" w:color="auto"/>
        <w:left w:val="none" w:sz="0" w:space="0" w:color="auto"/>
        <w:bottom w:val="none" w:sz="0" w:space="0" w:color="auto"/>
        <w:right w:val="none" w:sz="0" w:space="0" w:color="auto"/>
      </w:divBdr>
    </w:div>
    <w:div w:id="173224192">
      <w:bodyDiv w:val="1"/>
      <w:marLeft w:val="0"/>
      <w:marRight w:val="0"/>
      <w:marTop w:val="0"/>
      <w:marBottom w:val="0"/>
      <w:divBdr>
        <w:top w:val="none" w:sz="0" w:space="0" w:color="auto"/>
        <w:left w:val="none" w:sz="0" w:space="0" w:color="auto"/>
        <w:bottom w:val="none" w:sz="0" w:space="0" w:color="auto"/>
        <w:right w:val="none" w:sz="0" w:space="0" w:color="auto"/>
      </w:divBdr>
    </w:div>
    <w:div w:id="195849102">
      <w:bodyDiv w:val="1"/>
      <w:marLeft w:val="0"/>
      <w:marRight w:val="0"/>
      <w:marTop w:val="0"/>
      <w:marBottom w:val="0"/>
      <w:divBdr>
        <w:top w:val="none" w:sz="0" w:space="0" w:color="auto"/>
        <w:left w:val="none" w:sz="0" w:space="0" w:color="auto"/>
        <w:bottom w:val="none" w:sz="0" w:space="0" w:color="auto"/>
        <w:right w:val="none" w:sz="0" w:space="0" w:color="auto"/>
      </w:divBdr>
    </w:div>
    <w:div w:id="236524132">
      <w:bodyDiv w:val="1"/>
      <w:marLeft w:val="0"/>
      <w:marRight w:val="0"/>
      <w:marTop w:val="0"/>
      <w:marBottom w:val="0"/>
      <w:divBdr>
        <w:top w:val="none" w:sz="0" w:space="0" w:color="auto"/>
        <w:left w:val="none" w:sz="0" w:space="0" w:color="auto"/>
        <w:bottom w:val="none" w:sz="0" w:space="0" w:color="auto"/>
        <w:right w:val="none" w:sz="0" w:space="0" w:color="auto"/>
      </w:divBdr>
    </w:div>
    <w:div w:id="241181868">
      <w:bodyDiv w:val="1"/>
      <w:marLeft w:val="0"/>
      <w:marRight w:val="0"/>
      <w:marTop w:val="0"/>
      <w:marBottom w:val="0"/>
      <w:divBdr>
        <w:top w:val="none" w:sz="0" w:space="0" w:color="auto"/>
        <w:left w:val="none" w:sz="0" w:space="0" w:color="auto"/>
        <w:bottom w:val="none" w:sz="0" w:space="0" w:color="auto"/>
        <w:right w:val="none" w:sz="0" w:space="0" w:color="auto"/>
      </w:divBdr>
    </w:div>
    <w:div w:id="243271335">
      <w:bodyDiv w:val="1"/>
      <w:marLeft w:val="0"/>
      <w:marRight w:val="0"/>
      <w:marTop w:val="0"/>
      <w:marBottom w:val="0"/>
      <w:divBdr>
        <w:top w:val="none" w:sz="0" w:space="0" w:color="auto"/>
        <w:left w:val="none" w:sz="0" w:space="0" w:color="auto"/>
        <w:bottom w:val="none" w:sz="0" w:space="0" w:color="auto"/>
        <w:right w:val="none" w:sz="0" w:space="0" w:color="auto"/>
      </w:divBdr>
    </w:div>
    <w:div w:id="361133139">
      <w:bodyDiv w:val="1"/>
      <w:marLeft w:val="0"/>
      <w:marRight w:val="0"/>
      <w:marTop w:val="0"/>
      <w:marBottom w:val="0"/>
      <w:divBdr>
        <w:top w:val="none" w:sz="0" w:space="0" w:color="auto"/>
        <w:left w:val="none" w:sz="0" w:space="0" w:color="auto"/>
        <w:bottom w:val="none" w:sz="0" w:space="0" w:color="auto"/>
        <w:right w:val="none" w:sz="0" w:space="0" w:color="auto"/>
      </w:divBdr>
    </w:div>
    <w:div w:id="399523781">
      <w:bodyDiv w:val="1"/>
      <w:marLeft w:val="0"/>
      <w:marRight w:val="0"/>
      <w:marTop w:val="0"/>
      <w:marBottom w:val="0"/>
      <w:divBdr>
        <w:top w:val="none" w:sz="0" w:space="0" w:color="auto"/>
        <w:left w:val="none" w:sz="0" w:space="0" w:color="auto"/>
        <w:bottom w:val="none" w:sz="0" w:space="0" w:color="auto"/>
        <w:right w:val="none" w:sz="0" w:space="0" w:color="auto"/>
      </w:divBdr>
    </w:div>
    <w:div w:id="401219657">
      <w:bodyDiv w:val="1"/>
      <w:marLeft w:val="0"/>
      <w:marRight w:val="0"/>
      <w:marTop w:val="0"/>
      <w:marBottom w:val="0"/>
      <w:divBdr>
        <w:top w:val="none" w:sz="0" w:space="0" w:color="auto"/>
        <w:left w:val="none" w:sz="0" w:space="0" w:color="auto"/>
        <w:bottom w:val="none" w:sz="0" w:space="0" w:color="auto"/>
        <w:right w:val="none" w:sz="0" w:space="0" w:color="auto"/>
      </w:divBdr>
    </w:div>
    <w:div w:id="441844892">
      <w:bodyDiv w:val="1"/>
      <w:marLeft w:val="0"/>
      <w:marRight w:val="0"/>
      <w:marTop w:val="0"/>
      <w:marBottom w:val="0"/>
      <w:divBdr>
        <w:top w:val="none" w:sz="0" w:space="0" w:color="auto"/>
        <w:left w:val="none" w:sz="0" w:space="0" w:color="auto"/>
        <w:bottom w:val="none" w:sz="0" w:space="0" w:color="auto"/>
        <w:right w:val="none" w:sz="0" w:space="0" w:color="auto"/>
      </w:divBdr>
    </w:div>
    <w:div w:id="535584251">
      <w:bodyDiv w:val="1"/>
      <w:marLeft w:val="0"/>
      <w:marRight w:val="0"/>
      <w:marTop w:val="0"/>
      <w:marBottom w:val="0"/>
      <w:divBdr>
        <w:top w:val="none" w:sz="0" w:space="0" w:color="auto"/>
        <w:left w:val="none" w:sz="0" w:space="0" w:color="auto"/>
        <w:bottom w:val="none" w:sz="0" w:space="0" w:color="auto"/>
        <w:right w:val="none" w:sz="0" w:space="0" w:color="auto"/>
      </w:divBdr>
      <w:divsChild>
        <w:div w:id="1283269662">
          <w:marLeft w:val="0"/>
          <w:marRight w:val="0"/>
          <w:marTop w:val="0"/>
          <w:marBottom w:val="0"/>
          <w:divBdr>
            <w:top w:val="none" w:sz="0" w:space="0" w:color="auto"/>
            <w:left w:val="none" w:sz="0" w:space="0" w:color="auto"/>
            <w:bottom w:val="none" w:sz="0" w:space="0" w:color="auto"/>
            <w:right w:val="none" w:sz="0" w:space="0" w:color="auto"/>
          </w:divBdr>
        </w:div>
      </w:divsChild>
    </w:div>
    <w:div w:id="572739600">
      <w:bodyDiv w:val="1"/>
      <w:marLeft w:val="0"/>
      <w:marRight w:val="0"/>
      <w:marTop w:val="0"/>
      <w:marBottom w:val="0"/>
      <w:divBdr>
        <w:top w:val="none" w:sz="0" w:space="0" w:color="auto"/>
        <w:left w:val="none" w:sz="0" w:space="0" w:color="auto"/>
        <w:bottom w:val="none" w:sz="0" w:space="0" w:color="auto"/>
        <w:right w:val="none" w:sz="0" w:space="0" w:color="auto"/>
      </w:divBdr>
    </w:div>
    <w:div w:id="578053008">
      <w:bodyDiv w:val="1"/>
      <w:marLeft w:val="0"/>
      <w:marRight w:val="0"/>
      <w:marTop w:val="0"/>
      <w:marBottom w:val="0"/>
      <w:divBdr>
        <w:top w:val="none" w:sz="0" w:space="0" w:color="auto"/>
        <w:left w:val="none" w:sz="0" w:space="0" w:color="auto"/>
        <w:bottom w:val="none" w:sz="0" w:space="0" w:color="auto"/>
        <w:right w:val="none" w:sz="0" w:space="0" w:color="auto"/>
      </w:divBdr>
    </w:div>
    <w:div w:id="598756477">
      <w:bodyDiv w:val="1"/>
      <w:marLeft w:val="0"/>
      <w:marRight w:val="0"/>
      <w:marTop w:val="0"/>
      <w:marBottom w:val="0"/>
      <w:divBdr>
        <w:top w:val="none" w:sz="0" w:space="0" w:color="auto"/>
        <w:left w:val="none" w:sz="0" w:space="0" w:color="auto"/>
        <w:bottom w:val="none" w:sz="0" w:space="0" w:color="auto"/>
        <w:right w:val="none" w:sz="0" w:space="0" w:color="auto"/>
      </w:divBdr>
    </w:div>
    <w:div w:id="621809595">
      <w:bodyDiv w:val="1"/>
      <w:marLeft w:val="0"/>
      <w:marRight w:val="0"/>
      <w:marTop w:val="0"/>
      <w:marBottom w:val="0"/>
      <w:divBdr>
        <w:top w:val="none" w:sz="0" w:space="0" w:color="auto"/>
        <w:left w:val="none" w:sz="0" w:space="0" w:color="auto"/>
        <w:bottom w:val="none" w:sz="0" w:space="0" w:color="auto"/>
        <w:right w:val="none" w:sz="0" w:space="0" w:color="auto"/>
      </w:divBdr>
    </w:div>
    <w:div w:id="809637549">
      <w:bodyDiv w:val="1"/>
      <w:marLeft w:val="0"/>
      <w:marRight w:val="0"/>
      <w:marTop w:val="0"/>
      <w:marBottom w:val="0"/>
      <w:divBdr>
        <w:top w:val="none" w:sz="0" w:space="0" w:color="auto"/>
        <w:left w:val="none" w:sz="0" w:space="0" w:color="auto"/>
        <w:bottom w:val="none" w:sz="0" w:space="0" w:color="auto"/>
        <w:right w:val="none" w:sz="0" w:space="0" w:color="auto"/>
      </w:divBdr>
    </w:div>
    <w:div w:id="811288788">
      <w:bodyDiv w:val="1"/>
      <w:marLeft w:val="0"/>
      <w:marRight w:val="0"/>
      <w:marTop w:val="0"/>
      <w:marBottom w:val="0"/>
      <w:divBdr>
        <w:top w:val="none" w:sz="0" w:space="0" w:color="auto"/>
        <w:left w:val="none" w:sz="0" w:space="0" w:color="auto"/>
        <w:bottom w:val="none" w:sz="0" w:space="0" w:color="auto"/>
        <w:right w:val="none" w:sz="0" w:space="0" w:color="auto"/>
      </w:divBdr>
    </w:div>
    <w:div w:id="815344484">
      <w:bodyDiv w:val="1"/>
      <w:marLeft w:val="0"/>
      <w:marRight w:val="0"/>
      <w:marTop w:val="0"/>
      <w:marBottom w:val="0"/>
      <w:divBdr>
        <w:top w:val="none" w:sz="0" w:space="0" w:color="auto"/>
        <w:left w:val="none" w:sz="0" w:space="0" w:color="auto"/>
        <w:bottom w:val="none" w:sz="0" w:space="0" w:color="auto"/>
        <w:right w:val="none" w:sz="0" w:space="0" w:color="auto"/>
      </w:divBdr>
    </w:div>
    <w:div w:id="816723792">
      <w:bodyDiv w:val="1"/>
      <w:marLeft w:val="0"/>
      <w:marRight w:val="0"/>
      <w:marTop w:val="0"/>
      <w:marBottom w:val="0"/>
      <w:divBdr>
        <w:top w:val="none" w:sz="0" w:space="0" w:color="auto"/>
        <w:left w:val="none" w:sz="0" w:space="0" w:color="auto"/>
        <w:bottom w:val="none" w:sz="0" w:space="0" w:color="auto"/>
        <w:right w:val="none" w:sz="0" w:space="0" w:color="auto"/>
      </w:divBdr>
      <w:divsChild>
        <w:div w:id="1773434833">
          <w:marLeft w:val="0"/>
          <w:marRight w:val="0"/>
          <w:marTop w:val="0"/>
          <w:marBottom w:val="0"/>
          <w:divBdr>
            <w:top w:val="none" w:sz="0" w:space="0" w:color="auto"/>
            <w:left w:val="none" w:sz="0" w:space="0" w:color="auto"/>
            <w:bottom w:val="none" w:sz="0" w:space="0" w:color="auto"/>
            <w:right w:val="none" w:sz="0" w:space="0" w:color="auto"/>
          </w:divBdr>
        </w:div>
      </w:divsChild>
    </w:div>
    <w:div w:id="850224950">
      <w:bodyDiv w:val="1"/>
      <w:marLeft w:val="0"/>
      <w:marRight w:val="0"/>
      <w:marTop w:val="0"/>
      <w:marBottom w:val="0"/>
      <w:divBdr>
        <w:top w:val="none" w:sz="0" w:space="0" w:color="auto"/>
        <w:left w:val="none" w:sz="0" w:space="0" w:color="auto"/>
        <w:bottom w:val="none" w:sz="0" w:space="0" w:color="auto"/>
        <w:right w:val="none" w:sz="0" w:space="0" w:color="auto"/>
      </w:divBdr>
      <w:divsChild>
        <w:div w:id="1094280320">
          <w:marLeft w:val="0"/>
          <w:marRight w:val="0"/>
          <w:marTop w:val="0"/>
          <w:marBottom w:val="0"/>
          <w:divBdr>
            <w:top w:val="none" w:sz="0" w:space="0" w:color="auto"/>
            <w:left w:val="none" w:sz="0" w:space="0" w:color="auto"/>
            <w:bottom w:val="none" w:sz="0" w:space="0" w:color="auto"/>
            <w:right w:val="none" w:sz="0" w:space="0" w:color="auto"/>
          </w:divBdr>
        </w:div>
      </w:divsChild>
    </w:div>
    <w:div w:id="876115162">
      <w:bodyDiv w:val="1"/>
      <w:marLeft w:val="0"/>
      <w:marRight w:val="0"/>
      <w:marTop w:val="0"/>
      <w:marBottom w:val="0"/>
      <w:divBdr>
        <w:top w:val="none" w:sz="0" w:space="0" w:color="auto"/>
        <w:left w:val="none" w:sz="0" w:space="0" w:color="auto"/>
        <w:bottom w:val="none" w:sz="0" w:space="0" w:color="auto"/>
        <w:right w:val="none" w:sz="0" w:space="0" w:color="auto"/>
      </w:divBdr>
    </w:div>
    <w:div w:id="905722726">
      <w:bodyDiv w:val="1"/>
      <w:marLeft w:val="0"/>
      <w:marRight w:val="0"/>
      <w:marTop w:val="0"/>
      <w:marBottom w:val="0"/>
      <w:divBdr>
        <w:top w:val="none" w:sz="0" w:space="0" w:color="auto"/>
        <w:left w:val="none" w:sz="0" w:space="0" w:color="auto"/>
        <w:bottom w:val="none" w:sz="0" w:space="0" w:color="auto"/>
        <w:right w:val="none" w:sz="0" w:space="0" w:color="auto"/>
      </w:divBdr>
    </w:div>
    <w:div w:id="925115020">
      <w:bodyDiv w:val="1"/>
      <w:marLeft w:val="0"/>
      <w:marRight w:val="0"/>
      <w:marTop w:val="0"/>
      <w:marBottom w:val="0"/>
      <w:divBdr>
        <w:top w:val="none" w:sz="0" w:space="0" w:color="auto"/>
        <w:left w:val="none" w:sz="0" w:space="0" w:color="auto"/>
        <w:bottom w:val="none" w:sz="0" w:space="0" w:color="auto"/>
        <w:right w:val="none" w:sz="0" w:space="0" w:color="auto"/>
      </w:divBdr>
    </w:div>
    <w:div w:id="959067621">
      <w:bodyDiv w:val="1"/>
      <w:marLeft w:val="0"/>
      <w:marRight w:val="0"/>
      <w:marTop w:val="0"/>
      <w:marBottom w:val="0"/>
      <w:divBdr>
        <w:top w:val="none" w:sz="0" w:space="0" w:color="auto"/>
        <w:left w:val="none" w:sz="0" w:space="0" w:color="auto"/>
        <w:bottom w:val="none" w:sz="0" w:space="0" w:color="auto"/>
        <w:right w:val="none" w:sz="0" w:space="0" w:color="auto"/>
      </w:divBdr>
      <w:divsChild>
        <w:div w:id="867137636">
          <w:marLeft w:val="0"/>
          <w:marRight w:val="0"/>
          <w:marTop w:val="0"/>
          <w:marBottom w:val="0"/>
          <w:divBdr>
            <w:top w:val="none" w:sz="0" w:space="0" w:color="auto"/>
            <w:left w:val="none" w:sz="0" w:space="0" w:color="auto"/>
            <w:bottom w:val="none" w:sz="0" w:space="0" w:color="auto"/>
            <w:right w:val="none" w:sz="0" w:space="0" w:color="auto"/>
          </w:divBdr>
        </w:div>
        <w:div w:id="959721263">
          <w:marLeft w:val="0"/>
          <w:marRight w:val="0"/>
          <w:marTop w:val="0"/>
          <w:marBottom w:val="0"/>
          <w:divBdr>
            <w:top w:val="none" w:sz="0" w:space="0" w:color="auto"/>
            <w:left w:val="none" w:sz="0" w:space="0" w:color="auto"/>
            <w:bottom w:val="none" w:sz="0" w:space="0" w:color="auto"/>
            <w:right w:val="none" w:sz="0" w:space="0" w:color="auto"/>
          </w:divBdr>
        </w:div>
      </w:divsChild>
    </w:div>
    <w:div w:id="1037973770">
      <w:bodyDiv w:val="1"/>
      <w:marLeft w:val="0"/>
      <w:marRight w:val="0"/>
      <w:marTop w:val="0"/>
      <w:marBottom w:val="0"/>
      <w:divBdr>
        <w:top w:val="none" w:sz="0" w:space="0" w:color="auto"/>
        <w:left w:val="none" w:sz="0" w:space="0" w:color="auto"/>
        <w:bottom w:val="none" w:sz="0" w:space="0" w:color="auto"/>
        <w:right w:val="none" w:sz="0" w:space="0" w:color="auto"/>
      </w:divBdr>
    </w:div>
    <w:div w:id="1077020176">
      <w:bodyDiv w:val="1"/>
      <w:marLeft w:val="0"/>
      <w:marRight w:val="0"/>
      <w:marTop w:val="0"/>
      <w:marBottom w:val="0"/>
      <w:divBdr>
        <w:top w:val="none" w:sz="0" w:space="0" w:color="auto"/>
        <w:left w:val="none" w:sz="0" w:space="0" w:color="auto"/>
        <w:bottom w:val="none" w:sz="0" w:space="0" w:color="auto"/>
        <w:right w:val="none" w:sz="0" w:space="0" w:color="auto"/>
      </w:divBdr>
    </w:div>
    <w:div w:id="1119762649">
      <w:bodyDiv w:val="1"/>
      <w:marLeft w:val="0"/>
      <w:marRight w:val="0"/>
      <w:marTop w:val="0"/>
      <w:marBottom w:val="0"/>
      <w:divBdr>
        <w:top w:val="none" w:sz="0" w:space="0" w:color="auto"/>
        <w:left w:val="none" w:sz="0" w:space="0" w:color="auto"/>
        <w:bottom w:val="none" w:sz="0" w:space="0" w:color="auto"/>
        <w:right w:val="none" w:sz="0" w:space="0" w:color="auto"/>
      </w:divBdr>
    </w:div>
    <w:div w:id="1126973197">
      <w:bodyDiv w:val="1"/>
      <w:marLeft w:val="0"/>
      <w:marRight w:val="0"/>
      <w:marTop w:val="0"/>
      <w:marBottom w:val="0"/>
      <w:divBdr>
        <w:top w:val="none" w:sz="0" w:space="0" w:color="auto"/>
        <w:left w:val="none" w:sz="0" w:space="0" w:color="auto"/>
        <w:bottom w:val="none" w:sz="0" w:space="0" w:color="auto"/>
        <w:right w:val="none" w:sz="0" w:space="0" w:color="auto"/>
      </w:divBdr>
    </w:div>
    <w:div w:id="1154102352">
      <w:bodyDiv w:val="1"/>
      <w:marLeft w:val="0"/>
      <w:marRight w:val="0"/>
      <w:marTop w:val="0"/>
      <w:marBottom w:val="0"/>
      <w:divBdr>
        <w:top w:val="none" w:sz="0" w:space="0" w:color="auto"/>
        <w:left w:val="none" w:sz="0" w:space="0" w:color="auto"/>
        <w:bottom w:val="none" w:sz="0" w:space="0" w:color="auto"/>
        <w:right w:val="none" w:sz="0" w:space="0" w:color="auto"/>
      </w:divBdr>
    </w:div>
    <w:div w:id="1215317537">
      <w:bodyDiv w:val="1"/>
      <w:marLeft w:val="0"/>
      <w:marRight w:val="0"/>
      <w:marTop w:val="0"/>
      <w:marBottom w:val="0"/>
      <w:divBdr>
        <w:top w:val="none" w:sz="0" w:space="0" w:color="auto"/>
        <w:left w:val="none" w:sz="0" w:space="0" w:color="auto"/>
        <w:bottom w:val="none" w:sz="0" w:space="0" w:color="auto"/>
        <w:right w:val="none" w:sz="0" w:space="0" w:color="auto"/>
      </w:divBdr>
    </w:div>
    <w:div w:id="1233781754">
      <w:bodyDiv w:val="1"/>
      <w:marLeft w:val="0"/>
      <w:marRight w:val="0"/>
      <w:marTop w:val="0"/>
      <w:marBottom w:val="0"/>
      <w:divBdr>
        <w:top w:val="none" w:sz="0" w:space="0" w:color="auto"/>
        <w:left w:val="none" w:sz="0" w:space="0" w:color="auto"/>
        <w:bottom w:val="none" w:sz="0" w:space="0" w:color="auto"/>
        <w:right w:val="none" w:sz="0" w:space="0" w:color="auto"/>
      </w:divBdr>
    </w:div>
    <w:div w:id="1248003550">
      <w:bodyDiv w:val="1"/>
      <w:marLeft w:val="0"/>
      <w:marRight w:val="0"/>
      <w:marTop w:val="0"/>
      <w:marBottom w:val="0"/>
      <w:divBdr>
        <w:top w:val="none" w:sz="0" w:space="0" w:color="auto"/>
        <w:left w:val="none" w:sz="0" w:space="0" w:color="auto"/>
        <w:bottom w:val="none" w:sz="0" w:space="0" w:color="auto"/>
        <w:right w:val="none" w:sz="0" w:space="0" w:color="auto"/>
      </w:divBdr>
    </w:div>
    <w:div w:id="1261256812">
      <w:bodyDiv w:val="1"/>
      <w:marLeft w:val="0"/>
      <w:marRight w:val="0"/>
      <w:marTop w:val="0"/>
      <w:marBottom w:val="0"/>
      <w:divBdr>
        <w:top w:val="none" w:sz="0" w:space="0" w:color="auto"/>
        <w:left w:val="none" w:sz="0" w:space="0" w:color="auto"/>
        <w:bottom w:val="none" w:sz="0" w:space="0" w:color="auto"/>
        <w:right w:val="none" w:sz="0" w:space="0" w:color="auto"/>
      </w:divBdr>
    </w:div>
    <w:div w:id="1320188408">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99551650">
      <w:bodyDiv w:val="1"/>
      <w:marLeft w:val="0"/>
      <w:marRight w:val="0"/>
      <w:marTop w:val="0"/>
      <w:marBottom w:val="0"/>
      <w:divBdr>
        <w:top w:val="none" w:sz="0" w:space="0" w:color="auto"/>
        <w:left w:val="none" w:sz="0" w:space="0" w:color="auto"/>
        <w:bottom w:val="none" w:sz="0" w:space="0" w:color="auto"/>
        <w:right w:val="none" w:sz="0" w:space="0" w:color="auto"/>
      </w:divBdr>
    </w:div>
    <w:div w:id="1543901368">
      <w:bodyDiv w:val="1"/>
      <w:marLeft w:val="0"/>
      <w:marRight w:val="0"/>
      <w:marTop w:val="0"/>
      <w:marBottom w:val="0"/>
      <w:divBdr>
        <w:top w:val="none" w:sz="0" w:space="0" w:color="auto"/>
        <w:left w:val="none" w:sz="0" w:space="0" w:color="auto"/>
        <w:bottom w:val="none" w:sz="0" w:space="0" w:color="auto"/>
        <w:right w:val="none" w:sz="0" w:space="0" w:color="auto"/>
      </w:divBdr>
    </w:div>
    <w:div w:id="1561750171">
      <w:bodyDiv w:val="1"/>
      <w:marLeft w:val="0"/>
      <w:marRight w:val="0"/>
      <w:marTop w:val="0"/>
      <w:marBottom w:val="0"/>
      <w:divBdr>
        <w:top w:val="none" w:sz="0" w:space="0" w:color="auto"/>
        <w:left w:val="none" w:sz="0" w:space="0" w:color="auto"/>
        <w:bottom w:val="none" w:sz="0" w:space="0" w:color="auto"/>
        <w:right w:val="none" w:sz="0" w:space="0" w:color="auto"/>
      </w:divBdr>
    </w:div>
    <w:div w:id="1571765828">
      <w:bodyDiv w:val="1"/>
      <w:marLeft w:val="0"/>
      <w:marRight w:val="0"/>
      <w:marTop w:val="0"/>
      <w:marBottom w:val="0"/>
      <w:divBdr>
        <w:top w:val="none" w:sz="0" w:space="0" w:color="auto"/>
        <w:left w:val="none" w:sz="0" w:space="0" w:color="auto"/>
        <w:bottom w:val="none" w:sz="0" w:space="0" w:color="auto"/>
        <w:right w:val="none" w:sz="0" w:space="0" w:color="auto"/>
      </w:divBdr>
    </w:div>
    <w:div w:id="1577670648">
      <w:bodyDiv w:val="1"/>
      <w:marLeft w:val="0"/>
      <w:marRight w:val="0"/>
      <w:marTop w:val="0"/>
      <w:marBottom w:val="0"/>
      <w:divBdr>
        <w:top w:val="none" w:sz="0" w:space="0" w:color="auto"/>
        <w:left w:val="none" w:sz="0" w:space="0" w:color="auto"/>
        <w:bottom w:val="none" w:sz="0" w:space="0" w:color="auto"/>
        <w:right w:val="none" w:sz="0" w:space="0" w:color="auto"/>
      </w:divBdr>
    </w:div>
    <w:div w:id="1586300771">
      <w:bodyDiv w:val="1"/>
      <w:marLeft w:val="0"/>
      <w:marRight w:val="0"/>
      <w:marTop w:val="0"/>
      <w:marBottom w:val="0"/>
      <w:divBdr>
        <w:top w:val="none" w:sz="0" w:space="0" w:color="auto"/>
        <w:left w:val="none" w:sz="0" w:space="0" w:color="auto"/>
        <w:bottom w:val="none" w:sz="0" w:space="0" w:color="auto"/>
        <w:right w:val="none" w:sz="0" w:space="0" w:color="auto"/>
      </w:divBdr>
    </w:div>
    <w:div w:id="1593275867">
      <w:bodyDiv w:val="1"/>
      <w:marLeft w:val="0"/>
      <w:marRight w:val="0"/>
      <w:marTop w:val="0"/>
      <w:marBottom w:val="0"/>
      <w:divBdr>
        <w:top w:val="none" w:sz="0" w:space="0" w:color="auto"/>
        <w:left w:val="none" w:sz="0" w:space="0" w:color="auto"/>
        <w:bottom w:val="none" w:sz="0" w:space="0" w:color="auto"/>
        <w:right w:val="none" w:sz="0" w:space="0" w:color="auto"/>
      </w:divBdr>
    </w:div>
    <w:div w:id="1617172271">
      <w:bodyDiv w:val="1"/>
      <w:marLeft w:val="0"/>
      <w:marRight w:val="0"/>
      <w:marTop w:val="0"/>
      <w:marBottom w:val="0"/>
      <w:divBdr>
        <w:top w:val="none" w:sz="0" w:space="0" w:color="auto"/>
        <w:left w:val="none" w:sz="0" w:space="0" w:color="auto"/>
        <w:bottom w:val="none" w:sz="0" w:space="0" w:color="auto"/>
        <w:right w:val="none" w:sz="0" w:space="0" w:color="auto"/>
      </w:divBdr>
    </w:div>
    <w:div w:id="1667391532">
      <w:bodyDiv w:val="1"/>
      <w:marLeft w:val="0"/>
      <w:marRight w:val="0"/>
      <w:marTop w:val="0"/>
      <w:marBottom w:val="0"/>
      <w:divBdr>
        <w:top w:val="none" w:sz="0" w:space="0" w:color="auto"/>
        <w:left w:val="none" w:sz="0" w:space="0" w:color="auto"/>
        <w:bottom w:val="none" w:sz="0" w:space="0" w:color="auto"/>
        <w:right w:val="none" w:sz="0" w:space="0" w:color="auto"/>
      </w:divBdr>
    </w:div>
    <w:div w:id="1703094983">
      <w:bodyDiv w:val="1"/>
      <w:marLeft w:val="0"/>
      <w:marRight w:val="0"/>
      <w:marTop w:val="0"/>
      <w:marBottom w:val="0"/>
      <w:divBdr>
        <w:top w:val="none" w:sz="0" w:space="0" w:color="auto"/>
        <w:left w:val="none" w:sz="0" w:space="0" w:color="auto"/>
        <w:bottom w:val="none" w:sz="0" w:space="0" w:color="auto"/>
        <w:right w:val="none" w:sz="0" w:space="0" w:color="auto"/>
      </w:divBdr>
    </w:div>
    <w:div w:id="1802770173">
      <w:bodyDiv w:val="1"/>
      <w:marLeft w:val="0"/>
      <w:marRight w:val="0"/>
      <w:marTop w:val="0"/>
      <w:marBottom w:val="0"/>
      <w:divBdr>
        <w:top w:val="none" w:sz="0" w:space="0" w:color="auto"/>
        <w:left w:val="none" w:sz="0" w:space="0" w:color="auto"/>
        <w:bottom w:val="none" w:sz="0" w:space="0" w:color="auto"/>
        <w:right w:val="none" w:sz="0" w:space="0" w:color="auto"/>
      </w:divBdr>
    </w:div>
    <w:div w:id="1804539587">
      <w:bodyDiv w:val="1"/>
      <w:marLeft w:val="0"/>
      <w:marRight w:val="0"/>
      <w:marTop w:val="0"/>
      <w:marBottom w:val="0"/>
      <w:divBdr>
        <w:top w:val="none" w:sz="0" w:space="0" w:color="auto"/>
        <w:left w:val="none" w:sz="0" w:space="0" w:color="auto"/>
        <w:bottom w:val="none" w:sz="0" w:space="0" w:color="auto"/>
        <w:right w:val="none" w:sz="0" w:space="0" w:color="auto"/>
      </w:divBdr>
    </w:div>
    <w:div w:id="1836023479">
      <w:bodyDiv w:val="1"/>
      <w:marLeft w:val="0"/>
      <w:marRight w:val="0"/>
      <w:marTop w:val="0"/>
      <w:marBottom w:val="0"/>
      <w:divBdr>
        <w:top w:val="none" w:sz="0" w:space="0" w:color="auto"/>
        <w:left w:val="none" w:sz="0" w:space="0" w:color="auto"/>
        <w:bottom w:val="none" w:sz="0" w:space="0" w:color="auto"/>
        <w:right w:val="none" w:sz="0" w:space="0" w:color="auto"/>
      </w:divBdr>
    </w:div>
    <w:div w:id="1851674397">
      <w:bodyDiv w:val="1"/>
      <w:marLeft w:val="0"/>
      <w:marRight w:val="0"/>
      <w:marTop w:val="0"/>
      <w:marBottom w:val="0"/>
      <w:divBdr>
        <w:top w:val="none" w:sz="0" w:space="0" w:color="auto"/>
        <w:left w:val="none" w:sz="0" w:space="0" w:color="auto"/>
        <w:bottom w:val="none" w:sz="0" w:space="0" w:color="auto"/>
        <w:right w:val="none" w:sz="0" w:space="0" w:color="auto"/>
      </w:divBdr>
    </w:div>
    <w:div w:id="1924340328">
      <w:bodyDiv w:val="1"/>
      <w:marLeft w:val="0"/>
      <w:marRight w:val="0"/>
      <w:marTop w:val="0"/>
      <w:marBottom w:val="0"/>
      <w:divBdr>
        <w:top w:val="none" w:sz="0" w:space="0" w:color="auto"/>
        <w:left w:val="none" w:sz="0" w:space="0" w:color="auto"/>
        <w:bottom w:val="none" w:sz="0" w:space="0" w:color="auto"/>
        <w:right w:val="none" w:sz="0" w:space="0" w:color="auto"/>
      </w:divBdr>
      <w:divsChild>
        <w:div w:id="1846702775">
          <w:marLeft w:val="0"/>
          <w:marRight w:val="0"/>
          <w:marTop w:val="0"/>
          <w:marBottom w:val="0"/>
          <w:divBdr>
            <w:top w:val="none" w:sz="0" w:space="0" w:color="auto"/>
            <w:left w:val="none" w:sz="0" w:space="0" w:color="auto"/>
            <w:bottom w:val="none" w:sz="0" w:space="0" w:color="auto"/>
            <w:right w:val="none" w:sz="0" w:space="0" w:color="auto"/>
          </w:divBdr>
        </w:div>
        <w:div w:id="1924676225">
          <w:marLeft w:val="0"/>
          <w:marRight w:val="0"/>
          <w:marTop w:val="0"/>
          <w:marBottom w:val="0"/>
          <w:divBdr>
            <w:top w:val="none" w:sz="0" w:space="0" w:color="auto"/>
            <w:left w:val="none" w:sz="0" w:space="0" w:color="auto"/>
            <w:bottom w:val="none" w:sz="0" w:space="0" w:color="auto"/>
            <w:right w:val="none" w:sz="0" w:space="0" w:color="auto"/>
          </w:divBdr>
        </w:div>
      </w:divsChild>
    </w:div>
    <w:div w:id="1927419320">
      <w:bodyDiv w:val="1"/>
      <w:marLeft w:val="0"/>
      <w:marRight w:val="0"/>
      <w:marTop w:val="0"/>
      <w:marBottom w:val="0"/>
      <w:divBdr>
        <w:top w:val="none" w:sz="0" w:space="0" w:color="auto"/>
        <w:left w:val="none" w:sz="0" w:space="0" w:color="auto"/>
        <w:bottom w:val="none" w:sz="0" w:space="0" w:color="auto"/>
        <w:right w:val="none" w:sz="0" w:space="0" w:color="auto"/>
      </w:divBdr>
    </w:div>
    <w:div w:id="2031836471">
      <w:bodyDiv w:val="1"/>
      <w:marLeft w:val="0"/>
      <w:marRight w:val="0"/>
      <w:marTop w:val="0"/>
      <w:marBottom w:val="0"/>
      <w:divBdr>
        <w:top w:val="none" w:sz="0" w:space="0" w:color="auto"/>
        <w:left w:val="none" w:sz="0" w:space="0" w:color="auto"/>
        <w:bottom w:val="none" w:sz="0" w:space="0" w:color="auto"/>
        <w:right w:val="none" w:sz="0" w:space="0" w:color="auto"/>
      </w:divBdr>
    </w:div>
    <w:div w:id="20353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footer" Target="footer144.xml"/><Relationship Id="rId21" Type="http://schemas.openxmlformats.org/officeDocument/2006/relationships/footer" Target="footer5.xml"/><Relationship Id="rId63" Type="http://schemas.openxmlformats.org/officeDocument/2006/relationships/footer" Target="footer26.xml"/><Relationship Id="rId159" Type="http://schemas.openxmlformats.org/officeDocument/2006/relationships/footer" Target="footer74.xml"/><Relationship Id="rId324" Type="http://schemas.openxmlformats.org/officeDocument/2006/relationships/header" Target="header157.xml"/><Relationship Id="rId366" Type="http://schemas.openxmlformats.org/officeDocument/2006/relationships/header" Target="header177.xml"/><Relationship Id="rId170" Type="http://schemas.openxmlformats.org/officeDocument/2006/relationships/footer" Target="footer79.xml"/><Relationship Id="rId226" Type="http://schemas.openxmlformats.org/officeDocument/2006/relationships/header" Target="header108.xml"/><Relationship Id="rId107" Type="http://schemas.openxmlformats.org/officeDocument/2006/relationships/footer" Target="footer48.xml"/><Relationship Id="rId268" Type="http://schemas.openxmlformats.org/officeDocument/2006/relationships/header" Target="header129.xml"/><Relationship Id="rId289" Type="http://schemas.openxmlformats.org/officeDocument/2006/relationships/header" Target="header140.xml"/><Relationship Id="rId11" Type="http://schemas.openxmlformats.org/officeDocument/2006/relationships/image" Target="media/image1.emf"/><Relationship Id="rId32" Type="http://schemas.openxmlformats.org/officeDocument/2006/relationships/footer" Target="footer10.xml"/><Relationship Id="rId53" Type="http://schemas.openxmlformats.org/officeDocument/2006/relationships/footer" Target="footer21.xml"/><Relationship Id="rId74" Type="http://schemas.openxmlformats.org/officeDocument/2006/relationships/footer" Target="footer31.xml"/><Relationship Id="rId128" Type="http://schemas.openxmlformats.org/officeDocument/2006/relationships/footer" Target="footer58.xml"/><Relationship Id="rId149" Type="http://schemas.openxmlformats.org/officeDocument/2006/relationships/footer" Target="footer69.xml"/><Relationship Id="rId314" Type="http://schemas.openxmlformats.org/officeDocument/2006/relationships/footer" Target="footer151.xml"/><Relationship Id="rId335" Type="http://schemas.openxmlformats.org/officeDocument/2006/relationships/footer" Target="footer162.xml"/><Relationship Id="rId356" Type="http://schemas.openxmlformats.org/officeDocument/2006/relationships/header" Target="header172.xml"/><Relationship Id="rId377" Type="http://schemas.openxmlformats.org/officeDocument/2006/relationships/footer" Target="footer182.xml"/><Relationship Id="rId398" Type="http://schemas.openxmlformats.org/officeDocument/2006/relationships/fontTable" Target="fontTable.xml"/><Relationship Id="rId5" Type="http://schemas.openxmlformats.org/officeDocument/2006/relationships/numbering" Target="numbering.xml"/><Relationship Id="rId95" Type="http://schemas.openxmlformats.org/officeDocument/2006/relationships/footer" Target="footer42.xml"/><Relationship Id="rId160" Type="http://schemas.openxmlformats.org/officeDocument/2006/relationships/header" Target="header75.xml"/><Relationship Id="rId181" Type="http://schemas.openxmlformats.org/officeDocument/2006/relationships/header" Target="header86.xml"/><Relationship Id="rId216" Type="http://schemas.openxmlformats.org/officeDocument/2006/relationships/header" Target="header103.xml"/><Relationship Id="rId237" Type="http://schemas.openxmlformats.org/officeDocument/2006/relationships/footer" Target="footer113.xml"/><Relationship Id="rId258" Type="http://schemas.openxmlformats.org/officeDocument/2006/relationships/header" Target="header124.xml"/><Relationship Id="rId279" Type="http://schemas.openxmlformats.org/officeDocument/2006/relationships/footer" Target="footer134.xml"/><Relationship Id="rId22" Type="http://schemas.openxmlformats.org/officeDocument/2006/relationships/header" Target="header6.xml"/><Relationship Id="rId43" Type="http://schemas.openxmlformats.org/officeDocument/2006/relationships/header" Target="header17.xml"/><Relationship Id="rId64" Type="http://schemas.openxmlformats.org/officeDocument/2006/relationships/header" Target="header27.xml"/><Relationship Id="rId118" Type="http://schemas.openxmlformats.org/officeDocument/2006/relationships/header" Target="header54.xml"/><Relationship Id="rId139" Type="http://schemas.openxmlformats.org/officeDocument/2006/relationships/header" Target="header65.xml"/><Relationship Id="rId290" Type="http://schemas.openxmlformats.org/officeDocument/2006/relationships/footer" Target="footer139.xml"/><Relationship Id="rId304" Type="http://schemas.openxmlformats.org/officeDocument/2006/relationships/header" Target="header147.xml"/><Relationship Id="rId325" Type="http://schemas.openxmlformats.org/officeDocument/2006/relationships/header" Target="header158.xml"/><Relationship Id="rId346" Type="http://schemas.openxmlformats.org/officeDocument/2006/relationships/header" Target="header168.xml"/><Relationship Id="rId367" Type="http://schemas.openxmlformats.org/officeDocument/2006/relationships/footer" Target="footer177.xml"/><Relationship Id="rId388" Type="http://schemas.openxmlformats.org/officeDocument/2006/relationships/footer" Target="footer187.xml"/><Relationship Id="rId85" Type="http://schemas.openxmlformats.org/officeDocument/2006/relationships/header" Target="header38.xml"/><Relationship Id="rId150" Type="http://schemas.openxmlformats.org/officeDocument/2006/relationships/header" Target="header70.xml"/><Relationship Id="rId171" Type="http://schemas.openxmlformats.org/officeDocument/2006/relationships/footer" Target="footer80.xml"/><Relationship Id="rId192" Type="http://schemas.openxmlformats.org/officeDocument/2006/relationships/header" Target="header91.xml"/><Relationship Id="rId206" Type="http://schemas.openxmlformats.org/officeDocument/2006/relationships/footer" Target="footer97.xml"/><Relationship Id="rId227" Type="http://schemas.openxmlformats.org/officeDocument/2006/relationships/footer" Target="footer108.xml"/><Relationship Id="rId248" Type="http://schemas.openxmlformats.org/officeDocument/2006/relationships/footer" Target="footer118.xml"/><Relationship Id="rId269" Type="http://schemas.openxmlformats.org/officeDocument/2006/relationships/footer" Target="footer129.xml"/><Relationship Id="rId12" Type="http://schemas.openxmlformats.org/officeDocument/2006/relationships/header" Target="header1.xml"/><Relationship Id="rId33" Type="http://schemas.openxmlformats.org/officeDocument/2006/relationships/footer" Target="footer11.xml"/><Relationship Id="rId108" Type="http://schemas.openxmlformats.org/officeDocument/2006/relationships/header" Target="header49.xml"/><Relationship Id="rId129" Type="http://schemas.openxmlformats.org/officeDocument/2006/relationships/footer" Target="footer59.xml"/><Relationship Id="rId280" Type="http://schemas.openxmlformats.org/officeDocument/2006/relationships/header" Target="header135.xml"/><Relationship Id="rId315" Type="http://schemas.openxmlformats.org/officeDocument/2006/relationships/footer" Target="footer152.xml"/><Relationship Id="rId336" Type="http://schemas.openxmlformats.org/officeDocument/2006/relationships/header" Target="header163.xml"/><Relationship Id="rId357" Type="http://schemas.openxmlformats.org/officeDocument/2006/relationships/header" Target="header173.xml"/><Relationship Id="rId54" Type="http://schemas.openxmlformats.org/officeDocument/2006/relationships/header" Target="header22.xml"/><Relationship Id="rId75" Type="http://schemas.openxmlformats.org/officeDocument/2006/relationships/footer" Target="footer32.xml"/><Relationship Id="rId96" Type="http://schemas.openxmlformats.org/officeDocument/2006/relationships/header" Target="header43.xml"/><Relationship Id="rId140" Type="http://schemas.openxmlformats.org/officeDocument/2006/relationships/footer" Target="footer64.xml"/><Relationship Id="rId161" Type="http://schemas.openxmlformats.org/officeDocument/2006/relationships/footer" Target="footer75.xml"/><Relationship Id="rId182" Type="http://schemas.openxmlformats.org/officeDocument/2006/relationships/footer" Target="footer85.xml"/><Relationship Id="rId217" Type="http://schemas.openxmlformats.org/officeDocument/2006/relationships/header" Target="header104.xml"/><Relationship Id="rId378" Type="http://schemas.openxmlformats.org/officeDocument/2006/relationships/header" Target="header183.xml"/><Relationship Id="rId399" Type="http://schemas.openxmlformats.org/officeDocument/2006/relationships/theme" Target="theme/theme1.xml"/><Relationship Id="rId6" Type="http://schemas.openxmlformats.org/officeDocument/2006/relationships/styles" Target="styles.xml"/><Relationship Id="rId238" Type="http://schemas.openxmlformats.org/officeDocument/2006/relationships/header" Target="header114.xml"/><Relationship Id="rId259" Type="http://schemas.openxmlformats.org/officeDocument/2006/relationships/header" Target="header125.xml"/><Relationship Id="rId23" Type="http://schemas.openxmlformats.org/officeDocument/2006/relationships/footer" Target="footer6.xml"/><Relationship Id="rId119" Type="http://schemas.openxmlformats.org/officeDocument/2006/relationships/footer" Target="footer54.xml"/><Relationship Id="rId270" Type="http://schemas.openxmlformats.org/officeDocument/2006/relationships/header" Target="header130.xml"/><Relationship Id="rId291" Type="http://schemas.openxmlformats.org/officeDocument/2006/relationships/footer" Target="footer140.xml"/><Relationship Id="rId305" Type="http://schemas.openxmlformats.org/officeDocument/2006/relationships/footer" Target="footer147.xml"/><Relationship Id="rId326" Type="http://schemas.openxmlformats.org/officeDocument/2006/relationships/footer" Target="footer157.xml"/><Relationship Id="rId347" Type="http://schemas.openxmlformats.org/officeDocument/2006/relationships/footer" Target="footer168.xml"/><Relationship Id="rId44" Type="http://schemas.openxmlformats.org/officeDocument/2006/relationships/footer" Target="footer16.xml"/><Relationship Id="rId65" Type="http://schemas.openxmlformats.org/officeDocument/2006/relationships/footer" Target="footer27.xml"/><Relationship Id="rId86" Type="http://schemas.openxmlformats.org/officeDocument/2006/relationships/footer" Target="footer37.xml"/><Relationship Id="rId130" Type="http://schemas.openxmlformats.org/officeDocument/2006/relationships/header" Target="header60.xml"/><Relationship Id="rId151" Type="http://schemas.openxmlformats.org/officeDocument/2006/relationships/header" Target="header71.xml"/><Relationship Id="rId368" Type="http://schemas.openxmlformats.org/officeDocument/2006/relationships/header" Target="header178.xml"/><Relationship Id="rId389" Type="http://schemas.openxmlformats.org/officeDocument/2006/relationships/footer" Target="footer188.xml"/><Relationship Id="rId172" Type="http://schemas.openxmlformats.org/officeDocument/2006/relationships/header" Target="header81.xml"/><Relationship Id="rId193" Type="http://schemas.openxmlformats.org/officeDocument/2006/relationships/header" Target="header92.xml"/><Relationship Id="rId207" Type="http://schemas.openxmlformats.org/officeDocument/2006/relationships/footer" Target="footer98.xml"/><Relationship Id="rId228" Type="http://schemas.openxmlformats.org/officeDocument/2006/relationships/header" Target="header109.xml"/><Relationship Id="rId249" Type="http://schemas.openxmlformats.org/officeDocument/2006/relationships/footer" Target="footer119.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124.xml"/><Relationship Id="rId281" Type="http://schemas.openxmlformats.org/officeDocument/2006/relationships/footer" Target="footer135.xml"/><Relationship Id="rId316" Type="http://schemas.openxmlformats.org/officeDocument/2006/relationships/header" Target="header153.xml"/><Relationship Id="rId337" Type="http://schemas.openxmlformats.org/officeDocument/2006/relationships/header" Target="header164.xml"/><Relationship Id="rId34" Type="http://schemas.openxmlformats.org/officeDocument/2006/relationships/header" Target="header12.xml"/><Relationship Id="rId55" Type="http://schemas.openxmlformats.org/officeDocument/2006/relationships/header" Target="header23.xml"/><Relationship Id="rId76" Type="http://schemas.openxmlformats.org/officeDocument/2006/relationships/header" Target="header33.xml"/><Relationship Id="rId97" Type="http://schemas.openxmlformats.org/officeDocument/2006/relationships/header" Target="header44.xml"/><Relationship Id="rId120" Type="http://schemas.openxmlformats.org/officeDocument/2006/relationships/header" Target="header55.xml"/><Relationship Id="rId141" Type="http://schemas.openxmlformats.org/officeDocument/2006/relationships/footer" Target="footer65.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settings" Target="settings.xml"/><Relationship Id="rId162" Type="http://schemas.openxmlformats.org/officeDocument/2006/relationships/header" Target="header76.xml"/><Relationship Id="rId183" Type="http://schemas.openxmlformats.org/officeDocument/2006/relationships/footer" Target="footer86.xml"/><Relationship Id="rId218" Type="http://schemas.openxmlformats.org/officeDocument/2006/relationships/footer" Target="footer103.xml"/><Relationship Id="rId239" Type="http://schemas.openxmlformats.org/officeDocument/2006/relationships/footer" Target="footer114.xml"/><Relationship Id="rId390" Type="http://schemas.openxmlformats.org/officeDocument/2006/relationships/header" Target="header189.xml"/><Relationship Id="rId250" Type="http://schemas.openxmlformats.org/officeDocument/2006/relationships/header" Target="header120.xml"/><Relationship Id="rId271" Type="http://schemas.openxmlformats.org/officeDocument/2006/relationships/header" Target="header131.xml"/><Relationship Id="rId292" Type="http://schemas.openxmlformats.org/officeDocument/2006/relationships/header" Target="header141.xml"/><Relationship Id="rId306" Type="http://schemas.openxmlformats.org/officeDocument/2006/relationships/header" Target="header148.xml"/><Relationship Id="rId24" Type="http://schemas.openxmlformats.org/officeDocument/2006/relationships/header" Target="header7.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footer" Target="footer38.xml"/><Relationship Id="rId110" Type="http://schemas.openxmlformats.org/officeDocument/2006/relationships/footer" Target="footer49.xml"/><Relationship Id="rId131" Type="http://schemas.openxmlformats.org/officeDocument/2006/relationships/footer" Target="footer60.xml"/><Relationship Id="rId327" Type="http://schemas.openxmlformats.org/officeDocument/2006/relationships/footer" Target="footer158.xml"/><Relationship Id="rId348" Type="http://schemas.openxmlformats.org/officeDocument/2006/relationships/hyperlink" Target="http://www.dados.gov.pt/" TargetMode="External"/><Relationship Id="rId369" Type="http://schemas.openxmlformats.org/officeDocument/2006/relationships/header" Target="header179.xml"/><Relationship Id="rId152" Type="http://schemas.openxmlformats.org/officeDocument/2006/relationships/footer" Target="footer70.xml"/><Relationship Id="rId173" Type="http://schemas.openxmlformats.org/officeDocument/2006/relationships/footer" Target="footer81.xml"/><Relationship Id="rId194" Type="http://schemas.openxmlformats.org/officeDocument/2006/relationships/footer" Target="footer91.xml"/><Relationship Id="rId208" Type="http://schemas.openxmlformats.org/officeDocument/2006/relationships/header" Target="header99.xml"/><Relationship Id="rId229" Type="http://schemas.openxmlformats.org/officeDocument/2006/relationships/header" Target="header110.xml"/><Relationship Id="rId380" Type="http://schemas.openxmlformats.org/officeDocument/2006/relationships/header" Target="header184.xml"/><Relationship Id="rId240" Type="http://schemas.openxmlformats.org/officeDocument/2006/relationships/header" Target="header115.xml"/><Relationship Id="rId261" Type="http://schemas.openxmlformats.org/officeDocument/2006/relationships/footer" Target="footer125.xml"/><Relationship Id="rId14" Type="http://schemas.openxmlformats.org/officeDocument/2006/relationships/footer" Target="footer1.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5.xml"/><Relationship Id="rId282" Type="http://schemas.openxmlformats.org/officeDocument/2006/relationships/header" Target="header136.xml"/><Relationship Id="rId317" Type="http://schemas.openxmlformats.org/officeDocument/2006/relationships/footer" Target="footer153.xml"/><Relationship Id="rId338" Type="http://schemas.openxmlformats.org/officeDocument/2006/relationships/footer" Target="footer163.xml"/><Relationship Id="rId359" Type="http://schemas.openxmlformats.org/officeDocument/2006/relationships/footer" Target="footer173.xml"/><Relationship Id="rId8" Type="http://schemas.openxmlformats.org/officeDocument/2006/relationships/webSettings" Target="webSettings.xml"/><Relationship Id="rId98" Type="http://schemas.openxmlformats.org/officeDocument/2006/relationships/footer" Target="footer43.xml"/><Relationship Id="rId121" Type="http://schemas.openxmlformats.org/officeDocument/2006/relationships/header" Target="header56.xml"/><Relationship Id="rId142" Type="http://schemas.openxmlformats.org/officeDocument/2006/relationships/header" Target="header66.xml"/><Relationship Id="rId163" Type="http://schemas.openxmlformats.org/officeDocument/2006/relationships/header" Target="header77.xml"/><Relationship Id="rId184" Type="http://schemas.openxmlformats.org/officeDocument/2006/relationships/header" Target="header87.xml"/><Relationship Id="rId219" Type="http://schemas.openxmlformats.org/officeDocument/2006/relationships/footer" Target="footer104.xml"/><Relationship Id="rId370" Type="http://schemas.openxmlformats.org/officeDocument/2006/relationships/footer" Target="footer178.xml"/><Relationship Id="rId391" Type="http://schemas.openxmlformats.org/officeDocument/2006/relationships/footer" Target="footer189.xml"/><Relationship Id="rId230" Type="http://schemas.openxmlformats.org/officeDocument/2006/relationships/footer" Target="footer109.xml"/><Relationship Id="rId251" Type="http://schemas.openxmlformats.org/officeDocument/2006/relationships/footer" Target="footer120.xml"/><Relationship Id="rId25" Type="http://schemas.openxmlformats.org/officeDocument/2006/relationships/header" Target="header8.xml"/><Relationship Id="rId46" Type="http://schemas.openxmlformats.org/officeDocument/2006/relationships/header" Target="header18.xml"/><Relationship Id="rId67" Type="http://schemas.openxmlformats.org/officeDocument/2006/relationships/header" Target="header29.xml"/><Relationship Id="rId272" Type="http://schemas.openxmlformats.org/officeDocument/2006/relationships/footer" Target="footer130.xml"/><Relationship Id="rId293" Type="http://schemas.openxmlformats.org/officeDocument/2006/relationships/footer" Target="footer141.xml"/><Relationship Id="rId307" Type="http://schemas.openxmlformats.org/officeDocument/2006/relationships/header" Target="header149.xml"/><Relationship Id="rId328" Type="http://schemas.openxmlformats.org/officeDocument/2006/relationships/header" Target="header159.xml"/><Relationship Id="rId349" Type="http://schemas.openxmlformats.org/officeDocument/2006/relationships/hyperlink" Target="http://www.dados.gov.pt/" TargetMode="External"/><Relationship Id="rId88" Type="http://schemas.openxmlformats.org/officeDocument/2006/relationships/header" Target="header39.xml"/><Relationship Id="rId111" Type="http://schemas.openxmlformats.org/officeDocument/2006/relationships/footer" Target="footer50.xml"/><Relationship Id="rId132" Type="http://schemas.openxmlformats.org/officeDocument/2006/relationships/header" Target="header61.xml"/><Relationship Id="rId153" Type="http://schemas.openxmlformats.org/officeDocument/2006/relationships/footer" Target="footer71.xml"/><Relationship Id="rId174" Type="http://schemas.openxmlformats.org/officeDocument/2006/relationships/header" Target="header82.xml"/><Relationship Id="rId195" Type="http://schemas.openxmlformats.org/officeDocument/2006/relationships/footer" Target="footer92.xml"/><Relationship Id="rId209" Type="http://schemas.openxmlformats.org/officeDocument/2006/relationships/footer" Target="footer99.xml"/><Relationship Id="rId360" Type="http://schemas.openxmlformats.org/officeDocument/2006/relationships/header" Target="header174.xml"/><Relationship Id="rId381" Type="http://schemas.openxmlformats.org/officeDocument/2006/relationships/header" Target="header185.xml"/><Relationship Id="rId220" Type="http://schemas.openxmlformats.org/officeDocument/2006/relationships/header" Target="header105.xml"/><Relationship Id="rId241" Type="http://schemas.openxmlformats.org/officeDocument/2006/relationships/header" Target="header116.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footer" Target="footer23.xml"/><Relationship Id="rId262" Type="http://schemas.openxmlformats.org/officeDocument/2006/relationships/header" Target="header126.xml"/><Relationship Id="rId283" Type="http://schemas.openxmlformats.org/officeDocument/2006/relationships/header" Target="header137.xml"/><Relationship Id="rId318" Type="http://schemas.openxmlformats.org/officeDocument/2006/relationships/header" Target="header154.xml"/><Relationship Id="rId339" Type="http://schemas.openxmlformats.org/officeDocument/2006/relationships/footer" Target="footer164.xml"/><Relationship Id="rId78" Type="http://schemas.openxmlformats.org/officeDocument/2006/relationships/header" Target="header34.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footer" Target="footer55.xml"/><Relationship Id="rId143" Type="http://schemas.openxmlformats.org/officeDocument/2006/relationships/footer" Target="footer66.xml"/><Relationship Id="rId164" Type="http://schemas.openxmlformats.org/officeDocument/2006/relationships/footer" Target="footer76.xml"/><Relationship Id="rId185" Type="http://schemas.openxmlformats.org/officeDocument/2006/relationships/footer" Target="footer87.xml"/><Relationship Id="rId350" Type="http://schemas.openxmlformats.org/officeDocument/2006/relationships/header" Target="header169.xml"/><Relationship Id="rId371" Type="http://schemas.openxmlformats.org/officeDocument/2006/relationships/footer" Target="footer179.xml"/><Relationship Id="rId9" Type="http://schemas.openxmlformats.org/officeDocument/2006/relationships/footnotes" Target="footnotes.xml"/><Relationship Id="rId210" Type="http://schemas.openxmlformats.org/officeDocument/2006/relationships/header" Target="header100.xml"/><Relationship Id="rId392" Type="http://schemas.openxmlformats.org/officeDocument/2006/relationships/header" Target="header190.xml"/><Relationship Id="rId26" Type="http://schemas.openxmlformats.org/officeDocument/2006/relationships/footer" Target="footer7.xml"/><Relationship Id="rId231" Type="http://schemas.openxmlformats.org/officeDocument/2006/relationships/footer" Target="footer110.xml"/><Relationship Id="rId252" Type="http://schemas.openxmlformats.org/officeDocument/2006/relationships/header" Target="header121.xml"/><Relationship Id="rId273" Type="http://schemas.openxmlformats.org/officeDocument/2006/relationships/footer" Target="footer131.xml"/><Relationship Id="rId294" Type="http://schemas.openxmlformats.org/officeDocument/2006/relationships/header" Target="header142.xml"/><Relationship Id="rId308" Type="http://schemas.openxmlformats.org/officeDocument/2006/relationships/footer" Target="footer148.xml"/><Relationship Id="rId329" Type="http://schemas.openxmlformats.org/officeDocument/2006/relationships/footer" Target="footer159.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9.xml"/><Relationship Id="rId112" Type="http://schemas.openxmlformats.org/officeDocument/2006/relationships/header" Target="header51.xml"/><Relationship Id="rId133" Type="http://schemas.openxmlformats.org/officeDocument/2006/relationships/header" Target="header62.xml"/><Relationship Id="rId154" Type="http://schemas.openxmlformats.org/officeDocument/2006/relationships/header" Target="header72.xml"/><Relationship Id="rId175" Type="http://schemas.openxmlformats.org/officeDocument/2006/relationships/header" Target="header83.xml"/><Relationship Id="rId340" Type="http://schemas.openxmlformats.org/officeDocument/2006/relationships/header" Target="header165.xml"/><Relationship Id="rId361" Type="http://schemas.openxmlformats.org/officeDocument/2006/relationships/footer" Target="footer174.xml"/><Relationship Id="rId196" Type="http://schemas.openxmlformats.org/officeDocument/2006/relationships/header" Target="header93.xml"/><Relationship Id="rId200" Type="http://schemas.openxmlformats.org/officeDocument/2006/relationships/footer" Target="footer94.xml"/><Relationship Id="rId382" Type="http://schemas.openxmlformats.org/officeDocument/2006/relationships/footer" Target="footer184.xml"/><Relationship Id="rId16" Type="http://schemas.openxmlformats.org/officeDocument/2006/relationships/header" Target="header3.xml"/><Relationship Id="rId221" Type="http://schemas.openxmlformats.org/officeDocument/2006/relationships/footer" Target="footer105.xml"/><Relationship Id="rId242" Type="http://schemas.openxmlformats.org/officeDocument/2006/relationships/footer" Target="footer115.xml"/><Relationship Id="rId263" Type="http://schemas.openxmlformats.org/officeDocument/2006/relationships/footer" Target="footer126.xml"/><Relationship Id="rId284" Type="http://schemas.openxmlformats.org/officeDocument/2006/relationships/footer" Target="footer136.xml"/><Relationship Id="rId319" Type="http://schemas.openxmlformats.org/officeDocument/2006/relationships/header" Target="header155.xml"/><Relationship Id="rId37" Type="http://schemas.openxmlformats.org/officeDocument/2006/relationships/header" Target="header14.xml"/><Relationship Id="rId58" Type="http://schemas.openxmlformats.org/officeDocument/2006/relationships/header" Target="header24.xml"/><Relationship Id="rId79" Type="http://schemas.openxmlformats.org/officeDocument/2006/relationships/header" Target="header35.xml"/><Relationship Id="rId102" Type="http://schemas.openxmlformats.org/officeDocument/2006/relationships/header" Target="header46.xml"/><Relationship Id="rId123" Type="http://schemas.openxmlformats.org/officeDocument/2006/relationships/footer" Target="footer56.xml"/><Relationship Id="rId144" Type="http://schemas.openxmlformats.org/officeDocument/2006/relationships/header" Target="header67.xml"/><Relationship Id="rId330" Type="http://schemas.openxmlformats.org/officeDocument/2006/relationships/header" Target="header160.xml"/><Relationship Id="rId90" Type="http://schemas.openxmlformats.org/officeDocument/2006/relationships/header" Target="header40.xml"/><Relationship Id="rId165" Type="http://schemas.openxmlformats.org/officeDocument/2006/relationships/footer" Target="footer77.xml"/><Relationship Id="rId186" Type="http://schemas.openxmlformats.org/officeDocument/2006/relationships/header" Target="header88.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header" Target="header191.xml"/><Relationship Id="rId211" Type="http://schemas.openxmlformats.org/officeDocument/2006/relationships/header" Target="header101.xml"/><Relationship Id="rId232" Type="http://schemas.openxmlformats.org/officeDocument/2006/relationships/header" Target="header111.xml"/><Relationship Id="rId253" Type="http://schemas.openxmlformats.org/officeDocument/2006/relationships/header" Target="header122.xml"/><Relationship Id="rId274" Type="http://schemas.openxmlformats.org/officeDocument/2006/relationships/header" Target="header132.xml"/><Relationship Id="rId295" Type="http://schemas.openxmlformats.org/officeDocument/2006/relationships/header" Target="header143.xml"/><Relationship Id="rId309" Type="http://schemas.openxmlformats.org/officeDocument/2006/relationships/footer" Target="footer149.xml"/><Relationship Id="rId27" Type="http://schemas.openxmlformats.org/officeDocument/2006/relationships/footer" Target="footer8.xml"/><Relationship Id="rId48" Type="http://schemas.openxmlformats.org/officeDocument/2006/relationships/header" Target="header19.xml"/><Relationship Id="rId69" Type="http://schemas.openxmlformats.org/officeDocument/2006/relationships/footer" Target="footer29.xml"/><Relationship Id="rId113" Type="http://schemas.openxmlformats.org/officeDocument/2006/relationships/footer" Target="footer51.xml"/><Relationship Id="rId134" Type="http://schemas.openxmlformats.org/officeDocument/2006/relationships/footer" Target="footer61.xml"/><Relationship Id="rId320" Type="http://schemas.openxmlformats.org/officeDocument/2006/relationships/footer" Target="footer154.xml"/><Relationship Id="rId80" Type="http://schemas.openxmlformats.org/officeDocument/2006/relationships/footer" Target="footer34.xml"/><Relationship Id="rId155" Type="http://schemas.openxmlformats.org/officeDocument/2006/relationships/footer" Target="footer72.xml"/><Relationship Id="rId176" Type="http://schemas.openxmlformats.org/officeDocument/2006/relationships/footer" Target="footer82.xml"/><Relationship Id="rId197" Type="http://schemas.openxmlformats.org/officeDocument/2006/relationships/footer" Target="footer93.xml"/><Relationship Id="rId341" Type="http://schemas.openxmlformats.org/officeDocument/2006/relationships/footer" Target="footer165.xml"/><Relationship Id="rId362" Type="http://schemas.openxmlformats.org/officeDocument/2006/relationships/header" Target="header175.xml"/><Relationship Id="rId383" Type="http://schemas.openxmlformats.org/officeDocument/2006/relationships/footer" Target="footer185.xml"/><Relationship Id="rId201" Type="http://schemas.openxmlformats.org/officeDocument/2006/relationships/footer" Target="footer95.xml"/><Relationship Id="rId222" Type="http://schemas.openxmlformats.org/officeDocument/2006/relationships/header" Target="header106.xml"/><Relationship Id="rId243" Type="http://schemas.openxmlformats.org/officeDocument/2006/relationships/footer" Target="footer116.xml"/><Relationship Id="rId264" Type="http://schemas.openxmlformats.org/officeDocument/2006/relationships/header" Target="header127.xml"/><Relationship Id="rId285" Type="http://schemas.openxmlformats.org/officeDocument/2006/relationships/footer" Target="footer137.xml"/><Relationship Id="rId17" Type="http://schemas.openxmlformats.org/officeDocument/2006/relationships/footer" Target="footer3.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7.xml"/><Relationship Id="rId124" Type="http://schemas.openxmlformats.org/officeDocument/2006/relationships/header" Target="header57.xml"/><Relationship Id="rId310" Type="http://schemas.openxmlformats.org/officeDocument/2006/relationships/header" Target="header150.xml"/><Relationship Id="rId70" Type="http://schemas.openxmlformats.org/officeDocument/2006/relationships/header" Target="header30.xm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eader" Target="header78.xml"/><Relationship Id="rId187" Type="http://schemas.openxmlformats.org/officeDocument/2006/relationships/header" Target="header89.xml"/><Relationship Id="rId331" Type="http://schemas.openxmlformats.org/officeDocument/2006/relationships/header" Target="header161.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footer" Target="footer190.xml"/><Relationship Id="rId1" Type="http://schemas.openxmlformats.org/officeDocument/2006/relationships/customXml" Target="../customXml/item1.xml"/><Relationship Id="rId212" Type="http://schemas.openxmlformats.org/officeDocument/2006/relationships/footer" Target="footer100.xml"/><Relationship Id="rId233" Type="http://schemas.openxmlformats.org/officeDocument/2006/relationships/footer" Target="footer111.xml"/><Relationship Id="rId254" Type="http://schemas.openxmlformats.org/officeDocument/2006/relationships/footer" Target="footer121.xml"/><Relationship Id="rId28" Type="http://schemas.openxmlformats.org/officeDocument/2006/relationships/header" Target="header9.xml"/><Relationship Id="rId49" Type="http://schemas.openxmlformats.org/officeDocument/2006/relationships/header" Target="header20.xml"/><Relationship Id="rId114" Type="http://schemas.openxmlformats.org/officeDocument/2006/relationships/header" Target="header52.xml"/><Relationship Id="rId275" Type="http://schemas.openxmlformats.org/officeDocument/2006/relationships/footer" Target="footer132.xml"/><Relationship Id="rId296" Type="http://schemas.openxmlformats.org/officeDocument/2006/relationships/footer" Target="footer142.xml"/><Relationship Id="rId300" Type="http://schemas.openxmlformats.org/officeDocument/2006/relationships/header" Target="header145.xml"/><Relationship Id="rId60" Type="http://schemas.openxmlformats.org/officeDocument/2006/relationships/header" Target="header25.xml"/><Relationship Id="rId81" Type="http://schemas.openxmlformats.org/officeDocument/2006/relationships/footer" Target="footer35.xml"/><Relationship Id="rId135" Type="http://schemas.openxmlformats.org/officeDocument/2006/relationships/footer" Target="footer62.xml"/><Relationship Id="rId156" Type="http://schemas.openxmlformats.org/officeDocument/2006/relationships/header" Target="header73.xml"/><Relationship Id="rId177" Type="http://schemas.openxmlformats.org/officeDocument/2006/relationships/footer" Target="footer83.xml"/><Relationship Id="rId198" Type="http://schemas.openxmlformats.org/officeDocument/2006/relationships/header" Target="header94.xml"/><Relationship Id="rId321" Type="http://schemas.openxmlformats.org/officeDocument/2006/relationships/footer" Target="footer155.xml"/><Relationship Id="rId342" Type="http://schemas.openxmlformats.org/officeDocument/2006/relationships/header" Target="header166.xml"/><Relationship Id="rId363" Type="http://schemas.openxmlformats.org/officeDocument/2006/relationships/header" Target="header176.xml"/><Relationship Id="rId384" Type="http://schemas.openxmlformats.org/officeDocument/2006/relationships/header" Target="header186.xml"/><Relationship Id="rId202" Type="http://schemas.openxmlformats.org/officeDocument/2006/relationships/header" Target="header96.xml"/><Relationship Id="rId223" Type="http://schemas.openxmlformats.org/officeDocument/2006/relationships/header" Target="header107.xml"/><Relationship Id="rId244" Type="http://schemas.openxmlformats.org/officeDocument/2006/relationships/header" Target="header117.xml"/><Relationship Id="rId18" Type="http://schemas.openxmlformats.org/officeDocument/2006/relationships/header" Target="header4.xml"/><Relationship Id="rId39" Type="http://schemas.openxmlformats.org/officeDocument/2006/relationships/footer" Target="footer14.xml"/><Relationship Id="rId265" Type="http://schemas.openxmlformats.org/officeDocument/2006/relationships/header" Target="header128.xml"/><Relationship Id="rId286" Type="http://schemas.openxmlformats.org/officeDocument/2006/relationships/header" Target="header138.xml"/><Relationship Id="rId50" Type="http://schemas.openxmlformats.org/officeDocument/2006/relationships/footer" Target="footer19.xml"/><Relationship Id="rId104" Type="http://schemas.openxmlformats.org/officeDocument/2006/relationships/footer" Target="footer46.xml"/><Relationship Id="rId125" Type="http://schemas.openxmlformats.org/officeDocument/2006/relationships/footer" Target="footer57.xml"/><Relationship Id="rId146" Type="http://schemas.openxmlformats.org/officeDocument/2006/relationships/footer" Target="footer67.xml"/><Relationship Id="rId167" Type="http://schemas.openxmlformats.org/officeDocument/2006/relationships/footer" Target="footer78.xml"/><Relationship Id="rId188" Type="http://schemas.openxmlformats.org/officeDocument/2006/relationships/footer" Target="footer88.xml"/><Relationship Id="rId311" Type="http://schemas.openxmlformats.org/officeDocument/2006/relationships/footer" Target="footer150.xml"/><Relationship Id="rId332" Type="http://schemas.openxmlformats.org/officeDocument/2006/relationships/footer" Target="foot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footer" Target="footer191.xml"/><Relationship Id="rId71" Type="http://schemas.openxmlformats.org/officeDocument/2006/relationships/footer" Target="footer30.xml"/><Relationship Id="rId92" Type="http://schemas.openxmlformats.org/officeDocument/2006/relationships/footer" Target="footer40.xml"/><Relationship Id="rId213" Type="http://schemas.openxmlformats.org/officeDocument/2006/relationships/footer" Target="footer101.xml"/><Relationship Id="rId234" Type="http://schemas.openxmlformats.org/officeDocument/2006/relationships/header" Target="header112.xml"/><Relationship Id="rId2" Type="http://schemas.openxmlformats.org/officeDocument/2006/relationships/customXml" Target="../customXml/item2.xml"/><Relationship Id="rId29" Type="http://schemas.openxmlformats.org/officeDocument/2006/relationships/footer" Target="footer9.xml"/><Relationship Id="rId255" Type="http://schemas.openxmlformats.org/officeDocument/2006/relationships/footer" Target="footer122.xml"/><Relationship Id="rId276" Type="http://schemas.openxmlformats.org/officeDocument/2006/relationships/header" Target="header133.xml"/><Relationship Id="rId297" Type="http://schemas.openxmlformats.org/officeDocument/2006/relationships/footer" Target="footer143.xml"/><Relationship Id="rId40" Type="http://schemas.openxmlformats.org/officeDocument/2006/relationships/header" Target="header15.xml"/><Relationship Id="rId115" Type="http://schemas.openxmlformats.org/officeDocument/2006/relationships/header" Target="header53.xml"/><Relationship Id="rId136" Type="http://schemas.openxmlformats.org/officeDocument/2006/relationships/header" Target="header63.xml"/><Relationship Id="rId157" Type="http://schemas.openxmlformats.org/officeDocument/2006/relationships/header" Target="header74.xml"/><Relationship Id="rId178" Type="http://schemas.openxmlformats.org/officeDocument/2006/relationships/header" Target="header84.xml"/><Relationship Id="rId301" Type="http://schemas.openxmlformats.org/officeDocument/2006/relationships/header" Target="header146.xml"/><Relationship Id="rId322" Type="http://schemas.openxmlformats.org/officeDocument/2006/relationships/header" Target="header156.xml"/><Relationship Id="rId343" Type="http://schemas.openxmlformats.org/officeDocument/2006/relationships/header" Target="header167.xml"/><Relationship Id="rId364" Type="http://schemas.openxmlformats.org/officeDocument/2006/relationships/footer" Target="footer175.xml"/><Relationship Id="rId61" Type="http://schemas.openxmlformats.org/officeDocument/2006/relationships/header" Target="header26.xml"/><Relationship Id="rId82" Type="http://schemas.openxmlformats.org/officeDocument/2006/relationships/header" Target="header36.xml"/><Relationship Id="rId199" Type="http://schemas.openxmlformats.org/officeDocument/2006/relationships/header" Target="header95.xml"/><Relationship Id="rId203" Type="http://schemas.openxmlformats.org/officeDocument/2006/relationships/footer" Target="footer96.xml"/><Relationship Id="rId385" Type="http://schemas.openxmlformats.org/officeDocument/2006/relationships/footer" Target="footer186.xml"/><Relationship Id="rId19" Type="http://schemas.openxmlformats.org/officeDocument/2006/relationships/header" Target="header5.xml"/><Relationship Id="rId224" Type="http://schemas.openxmlformats.org/officeDocument/2006/relationships/footer" Target="footer106.xml"/><Relationship Id="rId245" Type="http://schemas.openxmlformats.org/officeDocument/2006/relationships/footer" Target="footer117.xml"/><Relationship Id="rId266" Type="http://schemas.openxmlformats.org/officeDocument/2006/relationships/footer" Target="footer127.xml"/><Relationship Id="rId287" Type="http://schemas.openxmlformats.org/officeDocument/2006/relationships/footer" Target="footer138.xml"/><Relationship Id="rId30" Type="http://schemas.openxmlformats.org/officeDocument/2006/relationships/header" Target="header10.xml"/><Relationship Id="rId105" Type="http://schemas.openxmlformats.org/officeDocument/2006/relationships/footer" Target="footer47.xml"/><Relationship Id="rId126" Type="http://schemas.openxmlformats.org/officeDocument/2006/relationships/header" Target="header58.xml"/><Relationship Id="rId147" Type="http://schemas.openxmlformats.org/officeDocument/2006/relationships/footer" Target="footer68.xml"/><Relationship Id="rId168" Type="http://schemas.openxmlformats.org/officeDocument/2006/relationships/header" Target="header79.xml"/><Relationship Id="rId312" Type="http://schemas.openxmlformats.org/officeDocument/2006/relationships/header" Target="header151.xml"/><Relationship Id="rId333" Type="http://schemas.openxmlformats.org/officeDocument/2006/relationships/footer" Target="footer161.xml"/><Relationship Id="rId354" Type="http://schemas.openxmlformats.org/officeDocument/2006/relationships/header" Target="header171.xml"/><Relationship Id="rId51" Type="http://schemas.openxmlformats.org/officeDocument/2006/relationships/footer" Target="footer20.xml"/><Relationship Id="rId72" Type="http://schemas.openxmlformats.org/officeDocument/2006/relationships/header" Target="header31.xml"/><Relationship Id="rId93" Type="http://schemas.openxmlformats.org/officeDocument/2006/relationships/footer" Target="footer41.xml"/><Relationship Id="rId189" Type="http://schemas.openxmlformats.org/officeDocument/2006/relationships/footer" Target="footer89.xml"/><Relationship Id="rId375" Type="http://schemas.openxmlformats.org/officeDocument/2006/relationships/header" Target="header182.xml"/><Relationship Id="rId396" Type="http://schemas.openxmlformats.org/officeDocument/2006/relationships/header" Target="header192.xml"/><Relationship Id="rId3" Type="http://schemas.openxmlformats.org/officeDocument/2006/relationships/customXml" Target="../customXml/item3.xml"/><Relationship Id="rId214" Type="http://schemas.openxmlformats.org/officeDocument/2006/relationships/header" Target="header102.xml"/><Relationship Id="rId235" Type="http://schemas.openxmlformats.org/officeDocument/2006/relationships/header" Target="header113.xml"/><Relationship Id="rId256" Type="http://schemas.openxmlformats.org/officeDocument/2006/relationships/header" Target="header123.xml"/><Relationship Id="rId277" Type="http://schemas.openxmlformats.org/officeDocument/2006/relationships/header" Target="header134.xml"/><Relationship Id="rId298" Type="http://schemas.openxmlformats.org/officeDocument/2006/relationships/header" Target="header144.xml"/><Relationship Id="rId116" Type="http://schemas.openxmlformats.org/officeDocument/2006/relationships/footer" Target="footer52.xml"/><Relationship Id="rId137" Type="http://schemas.openxmlformats.org/officeDocument/2006/relationships/footer" Target="footer63.xml"/><Relationship Id="rId158" Type="http://schemas.openxmlformats.org/officeDocument/2006/relationships/footer" Target="footer73.xml"/><Relationship Id="rId302" Type="http://schemas.openxmlformats.org/officeDocument/2006/relationships/footer" Target="footer145.xml"/><Relationship Id="rId323" Type="http://schemas.openxmlformats.org/officeDocument/2006/relationships/footer" Target="footer156.xml"/><Relationship Id="rId344" Type="http://schemas.openxmlformats.org/officeDocument/2006/relationships/footer" Target="footer166.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179" Type="http://schemas.openxmlformats.org/officeDocument/2006/relationships/footer" Target="footer84.xml"/><Relationship Id="rId365" Type="http://schemas.openxmlformats.org/officeDocument/2006/relationships/footer" Target="footer176.xml"/><Relationship Id="rId386" Type="http://schemas.openxmlformats.org/officeDocument/2006/relationships/header" Target="header187.xml"/><Relationship Id="rId190" Type="http://schemas.openxmlformats.org/officeDocument/2006/relationships/header" Target="header90.xml"/><Relationship Id="rId204" Type="http://schemas.openxmlformats.org/officeDocument/2006/relationships/header" Target="header97.xml"/><Relationship Id="rId225" Type="http://schemas.openxmlformats.org/officeDocument/2006/relationships/footer" Target="footer107.xml"/><Relationship Id="rId246" Type="http://schemas.openxmlformats.org/officeDocument/2006/relationships/header" Target="header118.xml"/><Relationship Id="rId267" Type="http://schemas.openxmlformats.org/officeDocument/2006/relationships/footer" Target="footer128.xml"/><Relationship Id="rId288" Type="http://schemas.openxmlformats.org/officeDocument/2006/relationships/header" Target="header139.xml"/><Relationship Id="rId106" Type="http://schemas.openxmlformats.org/officeDocument/2006/relationships/header" Target="header48.xml"/><Relationship Id="rId127" Type="http://schemas.openxmlformats.org/officeDocument/2006/relationships/header" Target="header59.xml"/><Relationship Id="rId313" Type="http://schemas.openxmlformats.org/officeDocument/2006/relationships/header" Target="header152.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eader" Target="header21.xml"/><Relationship Id="rId73" Type="http://schemas.openxmlformats.org/officeDocument/2006/relationships/header" Target="header32.xml"/><Relationship Id="rId94" Type="http://schemas.openxmlformats.org/officeDocument/2006/relationships/header" Target="header42.xml"/><Relationship Id="rId148" Type="http://schemas.openxmlformats.org/officeDocument/2006/relationships/header" Target="header69.xml"/><Relationship Id="rId169" Type="http://schemas.openxmlformats.org/officeDocument/2006/relationships/header" Target="header80.xml"/><Relationship Id="rId334" Type="http://schemas.openxmlformats.org/officeDocument/2006/relationships/header" Target="header162.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2.xml"/><Relationship Id="rId4" Type="http://schemas.openxmlformats.org/officeDocument/2006/relationships/customXml" Target="../customXml/item4.xml"/><Relationship Id="rId180" Type="http://schemas.openxmlformats.org/officeDocument/2006/relationships/header" Target="header85.xml"/><Relationship Id="rId215" Type="http://schemas.openxmlformats.org/officeDocument/2006/relationships/footer" Target="footer102.xml"/><Relationship Id="rId236" Type="http://schemas.openxmlformats.org/officeDocument/2006/relationships/footer" Target="footer112.xml"/><Relationship Id="rId257" Type="http://schemas.openxmlformats.org/officeDocument/2006/relationships/footer" Target="footer123.xml"/><Relationship Id="rId278" Type="http://schemas.openxmlformats.org/officeDocument/2006/relationships/footer" Target="footer133.xml"/><Relationship Id="rId303" Type="http://schemas.openxmlformats.org/officeDocument/2006/relationships/footer" Target="footer146.xml"/><Relationship Id="rId42" Type="http://schemas.openxmlformats.org/officeDocument/2006/relationships/header" Target="header16.xml"/><Relationship Id="rId84" Type="http://schemas.openxmlformats.org/officeDocument/2006/relationships/header" Target="header37.xml"/><Relationship Id="rId138" Type="http://schemas.openxmlformats.org/officeDocument/2006/relationships/header" Target="header64.xml"/><Relationship Id="rId345" Type="http://schemas.openxmlformats.org/officeDocument/2006/relationships/footer" Target="footer167.xml"/><Relationship Id="rId387" Type="http://schemas.openxmlformats.org/officeDocument/2006/relationships/header" Target="header188.xml"/><Relationship Id="rId191" Type="http://schemas.openxmlformats.org/officeDocument/2006/relationships/footer" Target="footer90.xml"/><Relationship Id="rId205" Type="http://schemas.openxmlformats.org/officeDocument/2006/relationships/header" Target="header98.xml"/><Relationship Id="rId247" Type="http://schemas.openxmlformats.org/officeDocument/2006/relationships/header" Target="header11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1_en_act_part1_v8_0.pdf" TargetMode="External"/><Relationship Id="rId2" Type="http://schemas.openxmlformats.org/officeDocument/2006/relationships/hyperlink" Target="https://ec.europa.eu/social/main.jsp?catId=738&amp;langId=en&amp;pubId=8376&amp;furtherPubs=yes"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s://dre.pt/application/conteudo/114152782" TargetMode="External"/><Relationship Id="rId5" Type="http://schemas.openxmlformats.org/officeDocument/2006/relationships/hyperlink" Target="https://ec.europa.eu/social/main.jsp?catId=738&amp;langId=en&amp;pubId=8376&amp;furtherPubs=yes" TargetMode="External"/><Relationship Id="rId4"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4" ma:contentTypeDescription="Create a new document." ma:contentTypeScope="" ma:versionID="d5c93e900a119563f43978a987300fc7">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85f4798ebd1fb622dfcd08e6552ffd30"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90e2cb7-5117-486c-a80c-66d1b02d57f7}"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2E18-3AF3-486E-B96C-EC2FE3E7B271}">
  <ds:schemaRefs>
    <ds:schemaRef ds:uri="http://schemas.microsoft.com/office/2006/metadata/properties"/>
    <ds:schemaRef ds:uri="http://schemas.microsoft.com/office/infopath/2007/PartnerControls"/>
    <ds:schemaRef ds:uri="e6c3bc29-9e11-4027-900b-c73633d7928a"/>
    <ds:schemaRef ds:uri="1700ab43-7395-48ff-866c-657c86ba7f4e"/>
  </ds:schemaRefs>
</ds:datastoreItem>
</file>

<file path=customXml/itemProps2.xml><?xml version="1.0" encoding="utf-8"?>
<ds:datastoreItem xmlns:ds="http://schemas.openxmlformats.org/officeDocument/2006/customXml" ds:itemID="{617F86BA-8C30-4316-ABCD-3480C5FB9AD1}">
  <ds:schemaRefs>
    <ds:schemaRef ds:uri="http://schemas.microsoft.com/sharepoint/v3/contenttype/forms"/>
  </ds:schemaRefs>
</ds:datastoreItem>
</file>

<file path=customXml/itemProps3.xml><?xml version="1.0" encoding="utf-8"?>
<ds:datastoreItem xmlns:ds="http://schemas.openxmlformats.org/officeDocument/2006/customXml" ds:itemID="{3704B2E4-4F53-4AE7-B83B-C398AE08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1D1EC-7ABE-4FF6-AEC6-80EB26F3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99080</Words>
  <Characters>564760</Characters>
  <Application>Microsoft Office Word</Application>
  <DocSecurity>0</DocSecurity>
  <Lines>4706</Lines>
  <Paragraphs>1325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662515</CharactersWithSpaces>
  <SharedDoc>false</SharedDoc>
  <HLinks>
    <vt:vector size="48" baseType="variant">
      <vt:variant>
        <vt:i4>1441861</vt:i4>
      </vt:variant>
      <vt:variant>
        <vt:i4>3</vt:i4>
      </vt:variant>
      <vt:variant>
        <vt:i4>0</vt:i4>
      </vt:variant>
      <vt:variant>
        <vt:i4>5</vt:i4>
      </vt:variant>
      <vt:variant>
        <vt:lpwstr>http://www.dados.gov.pt/</vt:lpwstr>
      </vt:variant>
      <vt:variant>
        <vt:lpwstr/>
      </vt:variant>
      <vt:variant>
        <vt:i4>1441861</vt:i4>
      </vt:variant>
      <vt:variant>
        <vt:i4>0</vt:i4>
      </vt:variant>
      <vt:variant>
        <vt:i4>0</vt:i4>
      </vt:variant>
      <vt:variant>
        <vt:i4>5</vt:i4>
      </vt:variant>
      <vt:variant>
        <vt:lpwstr>http://www.dados.gov.pt/</vt:lpwstr>
      </vt:variant>
      <vt:variant>
        <vt:lpwstr/>
      </vt:variant>
      <vt:variant>
        <vt:i4>917587</vt:i4>
      </vt:variant>
      <vt:variant>
        <vt:i4>15</vt:i4>
      </vt:variant>
      <vt:variant>
        <vt:i4>0</vt:i4>
      </vt:variant>
      <vt:variant>
        <vt:i4>5</vt:i4>
      </vt:variant>
      <vt:variant>
        <vt:lpwstr>https://dre.pt/application/conteudo/114152782</vt:lpwstr>
      </vt:variant>
      <vt:variant>
        <vt:lpwstr/>
      </vt:variant>
      <vt:variant>
        <vt:i4>3145826</vt:i4>
      </vt:variant>
      <vt:variant>
        <vt:i4>12</vt:i4>
      </vt:variant>
      <vt:variant>
        <vt:i4>0</vt:i4>
      </vt:variant>
      <vt:variant>
        <vt:i4>5</vt:i4>
      </vt:variant>
      <vt:variant>
        <vt:lpwstr>https://ec.europa.eu/social/main.jsp?catId=738&amp;langId=en&amp;pubId=8376&amp;furtherPubs=yes</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6094896</vt:i4>
      </vt:variant>
      <vt:variant>
        <vt:i4>6</vt:i4>
      </vt:variant>
      <vt:variant>
        <vt:i4>0</vt:i4>
      </vt:variant>
      <vt:variant>
        <vt:i4>5</vt:i4>
      </vt:variant>
      <vt:variant>
        <vt:lpwstr>https://ec.europa.eu/info/sites/default/files/1_en_act_part1_v8_0.pdf</vt:lpwstr>
      </vt:variant>
      <vt:variant>
        <vt:lpwstr/>
      </vt:variant>
      <vt:variant>
        <vt:i4>3145826</vt:i4>
      </vt:variant>
      <vt:variant>
        <vt:i4>3</vt:i4>
      </vt:variant>
      <vt:variant>
        <vt:i4>0</vt:i4>
      </vt:variant>
      <vt:variant>
        <vt:i4>5</vt:i4>
      </vt:variant>
      <vt:variant>
        <vt:lpwstr>https://ec.europa.eu/social/main.jsp?catId=738&amp;langId=en&amp;pubId=8376&amp;furtherPubs=yes</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2023-08-31T11:47:00Z</cp:lastPrinted>
  <dcterms:created xsi:type="dcterms:W3CDTF">2023-09-21T10:28:00Z</dcterms:created>
  <dcterms:modified xsi:type="dcterms:W3CDTF">2023-09-28T13:09:00Z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0x01010062094E9F29D6C04F85860C631ABC812A</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ContentBits">
    <vt:lpwstr>0</vt:lpwstr>
  </property>
  <property fmtid="{D5CDD505-2E9C-101B-9397-08002B2CF9AE}" pid="9" name="MSIP_Label_6bd9ddd1-4d20-43f6-abfa-fc3c07406f94_SetDate">
    <vt:lpwstr>2023-08-31T13:23:57Z</vt:lpwstr>
  </property>
  <property fmtid="{D5CDD505-2E9C-101B-9397-08002B2CF9AE}" pid="10" name="MSIP_Label_6bd9ddd1-4d20-43f6-abfa-fc3c07406f94_ActionId">
    <vt:lpwstr>f5076d1a-b32f-4968-9989-8cc7bc3a3494</vt:lpwstr>
  </property>
  <property fmtid="{D5CDD505-2E9C-101B-9397-08002B2CF9AE}" pid="11" name="Level of sensitivity">
    <vt:lpwstr>Standard treatment</vt:lpwstr>
  </property>
  <property fmtid="{D5CDD505-2E9C-101B-9397-08002B2CF9AE}" pid="12" name="First annex">
    <vt:lpwstr>1</vt:lpwstr>
  </property>
  <property fmtid="{D5CDD505-2E9C-101B-9397-08002B2CF9AE}" pid="13" name="Last annex">
    <vt:lpwstr>1</vt:lpwstr>
  </property>
  <property fmtid="{D5CDD505-2E9C-101B-9397-08002B2CF9AE}" pid="14" name="Unique annex">
    <vt:lpwstr>1</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y fmtid="{D5CDD505-2E9C-101B-9397-08002B2CF9AE}" pid="18" name="CPTemplateID">
    <vt:lpwstr>CP-036</vt:lpwstr>
  </property>
  <property fmtid="{D5CDD505-2E9C-101B-9397-08002B2CF9AE}" pid="19" name="Last edited using">
    <vt:lpwstr>LW 9.0, Build 20230317</vt:lpwstr>
  </property>
  <property fmtid="{D5CDD505-2E9C-101B-9397-08002B2CF9AE}" pid="20" name="Created using">
    <vt:lpwstr>LW 9.0, Build 20230317</vt:lpwstr>
  </property>
</Properties>
</file>