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E776D" w14:textId="0CDFAD45" w:rsidR="00D214E9" w:rsidRPr="000458D5" w:rsidRDefault="00DD128C" w:rsidP="00DD128C">
      <w:pPr>
        <w:pStyle w:val="Pagedecouverture"/>
        <w:rPr>
          <w:noProof/>
        </w:rPr>
      </w:pPr>
      <w:bookmarkStart w:id="0" w:name="LW_BM_COVERPAGE"/>
      <w:r>
        <w:rPr>
          <w:noProof/>
        </w:rPr>
        <w:pict w14:anchorId="6FBE8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681FAE5-DBF4-4015-98F9-54E4B04B35BB" style="width:455.25pt;height:336.75pt">
            <v:imagedata r:id="rId12" o:title=""/>
          </v:shape>
        </w:pict>
      </w:r>
    </w:p>
    <w:bookmarkEnd w:id="0"/>
    <w:p w14:paraId="4EA3E4DF" w14:textId="77777777" w:rsidR="008A1C38" w:rsidRPr="000458D5" w:rsidRDefault="008A1C38" w:rsidP="000458D5">
      <w:pPr>
        <w:spacing w:line="240" w:lineRule="auto"/>
        <w:jc w:val="both"/>
        <w:rPr>
          <w:rFonts w:ascii="Times New Roman" w:hAnsi="Times New Roman" w:cs="Times New Roman"/>
          <w:noProof/>
          <w:sz w:val="24"/>
        </w:rPr>
        <w:sectPr w:rsidR="008A1C38" w:rsidRPr="000458D5" w:rsidSect="00DD128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2E2E548B" w14:textId="25F3006F" w:rsidR="00845DBD" w:rsidRPr="000458D5" w:rsidRDefault="00845DBD" w:rsidP="000458D5">
      <w:pPr>
        <w:spacing w:line="240" w:lineRule="auto"/>
        <w:jc w:val="both"/>
        <w:rPr>
          <w:rFonts w:ascii="Times New Roman" w:hAnsi="Times New Roman" w:cs="Times New Roman"/>
          <w:noProof/>
          <w:sz w:val="24"/>
        </w:rPr>
      </w:pPr>
      <w:bookmarkStart w:id="1" w:name="_GoBack"/>
      <w:bookmarkEnd w:id="1"/>
      <w:r>
        <w:rPr>
          <w:rFonts w:ascii="Times New Roman" w:hAnsi="Times New Roman"/>
          <w:b/>
          <w:noProof/>
          <w:sz w:val="24"/>
        </w:rPr>
        <w:lastRenderedPageBreak/>
        <w:t>Baggrund</w:t>
      </w:r>
    </w:p>
    <w:p w14:paraId="6BC4E8A9" w14:textId="75BAF198" w:rsidR="00845DBD" w:rsidRPr="000458D5" w:rsidRDefault="00845DBD" w:rsidP="000458D5">
      <w:pPr>
        <w:spacing w:line="240" w:lineRule="auto"/>
        <w:jc w:val="both"/>
        <w:rPr>
          <w:rFonts w:ascii="Times New Roman" w:hAnsi="Times New Roman" w:cs="Times New Roman"/>
          <w:noProof/>
          <w:sz w:val="24"/>
        </w:rPr>
      </w:pPr>
      <w:r>
        <w:rPr>
          <w:rFonts w:ascii="Times New Roman" w:hAnsi="Times New Roman"/>
          <w:noProof/>
          <w:sz w:val="24"/>
        </w:rPr>
        <w:t>Denne rapport indeholder en foreløbig vurdering af status for gennemførelsen af Europa-Parlamentets og Rådets forordning (EU) 2019/1150 af 20. juni 2019 om fremme af retfærdighed og gennemsigtighed for erhvervsbrugere af onlineformidlingstjenester (forordningen om forbindelserne mellem platforme og virksomheder eller "P2B-forordningen")</w:t>
      </w:r>
      <w:r>
        <w:rPr>
          <w:rStyle w:val="FootnoteReference"/>
          <w:rFonts w:ascii="Times New Roman" w:hAnsi="Times New Roman" w:cs="Times New Roman"/>
          <w:noProof/>
          <w:sz w:val="24"/>
        </w:rPr>
        <w:footnoteReference w:id="2"/>
      </w:r>
      <w:r>
        <w:rPr>
          <w:rFonts w:ascii="Times New Roman" w:hAnsi="Times New Roman"/>
          <w:noProof/>
          <w:sz w:val="24"/>
        </w:rPr>
        <w:t xml:space="preserve">. </w:t>
      </w:r>
    </w:p>
    <w:p w14:paraId="3CB8AD15" w14:textId="4233F330" w:rsidR="00845DBD" w:rsidRPr="000458D5" w:rsidRDefault="00845DBD" w:rsidP="000458D5">
      <w:pPr>
        <w:spacing w:line="240" w:lineRule="auto"/>
        <w:jc w:val="both"/>
        <w:rPr>
          <w:rFonts w:ascii="Times New Roman" w:hAnsi="Times New Roman" w:cs="Times New Roman"/>
          <w:noProof/>
          <w:sz w:val="24"/>
        </w:rPr>
      </w:pPr>
      <w:r>
        <w:rPr>
          <w:rFonts w:ascii="Times New Roman" w:hAnsi="Times New Roman"/>
          <w:noProof/>
          <w:sz w:val="24"/>
        </w:rPr>
        <w:t>P2B-forordningen har fundet anvendelse siden den 12. juli 2020. Det var den første generelle ramme for det, der kaldes "onlineformidlingstjenester". Disse tjenester sikrer formidling for et meget stort antal både store og små virksomheder eller "erhvervsbrugere" på det indre marked. P2B-forordningen har til formål at skabe et retfærdigt, gennemsigtigt og forudsigeligt erhvervsklima for disse erhvervsbrugere, som i forskellig grad kan være afhængige af sådanne onlineformidlingstjenester for at nå ud til deres kunder. P2B-kravene er udformet med henblik på at sikre, at erhvervsbrugere, navnlig SMV'er, der kan have en begrænset forhandlingsposition i forhold til onlineplatformene, bør være i stand til at drive deres virksomhed på en forudsigelig måde (at der f.eks. er gennemsigtighed med hensyn til rangordninger) og ikke udsættes for unødvendige omkostninger, når de står over for problemer med onlineplatformen (f.eks. suspension af forretningskontoen eller produkter og tjenester, der blokeres af platformen). Dette er særlig relevant for virksomheder og navnlig SMV'er i centrale økosystemer såsom turisme, detailhandel og økosystemer i de kulturelle og kreative industrier. Desuden kan P2B-forordningen også være et redskab til at sikre, at retfærdighed og gennemsigtighed hjælper mindre platforme med at vokse og innovere inden for en fælles retlig ramme, der deles med større platforme, på lige vilkår. For at sikre at onlineformidlingstjenester opfylder P2B-kravene, henhører håndhævelsen heraf under medlemsstaternes kompetence.</w:t>
      </w:r>
    </w:p>
    <w:p w14:paraId="7E66EE76" w14:textId="7520E272" w:rsidR="00F11E50" w:rsidRPr="000458D5" w:rsidRDefault="00845DBD" w:rsidP="000458D5">
      <w:pPr>
        <w:spacing w:line="240" w:lineRule="auto"/>
        <w:jc w:val="both"/>
        <w:rPr>
          <w:rFonts w:ascii="Times New Roman" w:hAnsi="Times New Roman" w:cs="Times New Roman"/>
          <w:noProof/>
          <w:sz w:val="24"/>
        </w:rPr>
      </w:pPr>
      <w:r>
        <w:rPr>
          <w:rFonts w:ascii="Times New Roman" w:hAnsi="Times New Roman"/>
          <w:noProof/>
          <w:sz w:val="24"/>
        </w:rPr>
        <w:t xml:space="preserve">Artikel 18 i P2B-forordningen indeholder en revisionsbestemmelse, der opregner flere prioriterede punkter med henblik på en fuldstændig evaluering. Artikel 18, stk. 2, litra c), d), e) og f), vedrører nærmere bestemt: i) urimelig handelspraksis, der skyldes erhvervsbrugeres afhængighed af onlineformidlingstjenester, ii) unfair konkurrence fra integrerede udbydere af onlineformidlingstjenester, iii) ubalancer, der påvirker erhvervsbrugere af operativsystemer og iv) mulige virkninger af definitionen af "erhvervsbruger" på "proformaselvstændig erhvervsvirksomhed". </w:t>
      </w:r>
    </w:p>
    <w:p w14:paraId="51112C97" w14:textId="1A3F38C7" w:rsidR="0083580C" w:rsidRPr="000458D5" w:rsidRDefault="0083580C" w:rsidP="000458D5">
      <w:pPr>
        <w:spacing w:line="240" w:lineRule="auto"/>
        <w:jc w:val="both"/>
        <w:rPr>
          <w:rFonts w:ascii="Times New Roman" w:hAnsi="Times New Roman" w:cs="Times New Roman"/>
          <w:noProof/>
          <w:sz w:val="24"/>
        </w:rPr>
      </w:pPr>
      <w:r>
        <w:rPr>
          <w:rFonts w:ascii="Times New Roman" w:hAnsi="Times New Roman"/>
          <w:noProof/>
          <w:sz w:val="24"/>
        </w:rPr>
        <w:t xml:space="preserve">P2B-forordningen er fortsat relevant for alle ovennævnte prioriterede punkter gennem de eksisterende bestemmelser om gennemsigtighed og klageadgang. Samtidig supplerer andre EU-retsakter P2B-forordningen for at tage fat på ovennævnte prioriterede punkter, hvilket kunne have nødvendiggjort en fuldstændig evaluering af P2B-forordningen. Siden P2B-forordningen trådte i kraft, har EU navnlig foreslået eller vedtaget flere nye love, der er relevante for P2B-forordningens mål. Disse omfatter </w:t>
      </w:r>
      <w:hyperlink r:id="rId19" w:history="1">
        <w:r>
          <w:rPr>
            <w:rStyle w:val="Hyperlink"/>
            <w:rFonts w:ascii="Times New Roman" w:hAnsi="Times New Roman"/>
            <w:noProof/>
            <w:sz w:val="24"/>
          </w:rPr>
          <w:t>forordningen om digitale markeder</w:t>
        </w:r>
      </w:hyperlink>
      <w:r>
        <w:rPr>
          <w:rStyle w:val="FootnoteReference"/>
          <w:rFonts w:ascii="Times New Roman" w:hAnsi="Times New Roman" w:cs="Times New Roman"/>
          <w:noProof/>
          <w:color w:val="0000FF" w:themeColor="hyperlink"/>
          <w:sz w:val="24"/>
          <w:u w:val="single"/>
        </w:rPr>
        <w:footnoteReference w:id="3"/>
      </w:r>
      <w:r>
        <w:rPr>
          <w:rFonts w:ascii="Times New Roman" w:hAnsi="Times New Roman"/>
          <w:noProof/>
          <w:sz w:val="24"/>
        </w:rPr>
        <w:t xml:space="preserve">, </w:t>
      </w:r>
      <w:hyperlink r:id="rId20" w:history="1">
        <w:r>
          <w:rPr>
            <w:rStyle w:val="Hyperlink"/>
            <w:rFonts w:ascii="Times New Roman" w:hAnsi="Times New Roman"/>
            <w:noProof/>
            <w:sz w:val="24"/>
          </w:rPr>
          <w:t>forordningen om digitale tjenester</w:t>
        </w:r>
      </w:hyperlink>
      <w:r>
        <w:rPr>
          <w:rStyle w:val="FootnoteReference"/>
          <w:rFonts w:ascii="Times New Roman" w:hAnsi="Times New Roman" w:cs="Times New Roman"/>
          <w:noProof/>
          <w:color w:val="0000FF" w:themeColor="hyperlink"/>
          <w:sz w:val="24"/>
          <w:u w:val="single"/>
        </w:rPr>
        <w:footnoteReference w:id="4"/>
      </w:r>
      <w:r>
        <w:rPr>
          <w:rFonts w:ascii="Times New Roman" w:hAnsi="Times New Roman"/>
          <w:noProof/>
          <w:sz w:val="24"/>
        </w:rPr>
        <w:t xml:space="preserve"> og </w:t>
      </w:r>
      <w:hyperlink r:id="rId21" w:anchor=":~:text=In%20December%202021%2C%20the%20European%20Commission%20proposed%20a,it%20is%20legally%20presumed%20to%20be%20an%20employer." w:history="1">
        <w:r>
          <w:rPr>
            <w:rStyle w:val="Hyperlink"/>
            <w:rFonts w:ascii="Times New Roman" w:hAnsi="Times New Roman"/>
            <w:noProof/>
            <w:sz w:val="24"/>
          </w:rPr>
          <w:t>det foreslåede direktiv om forbedring af arbejdsvilkårene for platformsarbejde</w:t>
        </w:r>
        <w:r>
          <w:rPr>
            <w:rStyle w:val="FootnoteReference"/>
            <w:rFonts w:ascii="Times New Roman" w:hAnsi="Times New Roman" w:cs="Times New Roman"/>
            <w:noProof/>
            <w:color w:val="0000FF" w:themeColor="hyperlink"/>
            <w:sz w:val="24"/>
            <w:u w:val="single"/>
          </w:rPr>
          <w:footnoteReference w:id="5"/>
        </w:r>
      </w:hyperlink>
      <w:r>
        <w:rPr>
          <w:rFonts w:ascii="Times New Roman" w:hAnsi="Times New Roman"/>
          <w:noProof/>
          <w:sz w:val="24"/>
        </w:rPr>
        <w:t xml:space="preserve">. </w:t>
      </w:r>
    </w:p>
    <w:p w14:paraId="4EFD3A51" w14:textId="4DBE8782" w:rsidR="00845DBD" w:rsidRPr="000458D5" w:rsidRDefault="00F11E50" w:rsidP="000458D5">
      <w:pPr>
        <w:spacing w:line="240" w:lineRule="auto"/>
        <w:jc w:val="both"/>
        <w:rPr>
          <w:rFonts w:ascii="Times New Roman" w:hAnsi="Times New Roman" w:cs="Times New Roman"/>
          <w:noProof/>
          <w:sz w:val="24"/>
        </w:rPr>
      </w:pPr>
      <w:r>
        <w:rPr>
          <w:rFonts w:ascii="Times New Roman" w:hAnsi="Times New Roman"/>
          <w:noProof/>
          <w:sz w:val="24"/>
        </w:rPr>
        <w:t>Denne rapport redegør derfor kun for status for gennemførelsen og overholdelsen af P2B-forordningen, men den indeholder ikke en foreløbig vurdering af ovennævnte prioriterede punkter. Den afdækker også flere muligheder for opfølgning for at forbedre gennemførelsen af P2B-forordningen. Rapporten er baseret på undersøgelser blandt erhvervsbrugere af platforme, interviews med interessenter (308 interviews med platforme, erhvervsbrugere og deres brancheforeninger, håndhævelsesmyndigheder og eksperter), ekspertanalyser af onlineformidlingstjenesters vilkår og betingelser (stikprøve på 300 platforme), fokusgrupper, casestudier og skrivebordsundersøgelser.</w:t>
      </w:r>
    </w:p>
    <w:p w14:paraId="59730F05" w14:textId="5149D6A4" w:rsidR="0074785C" w:rsidRPr="000458D5" w:rsidRDefault="00040144" w:rsidP="000458D5">
      <w:pPr>
        <w:spacing w:line="240" w:lineRule="auto"/>
        <w:jc w:val="both"/>
        <w:rPr>
          <w:rFonts w:ascii="Times New Roman" w:hAnsi="Times New Roman" w:cs="Times New Roman"/>
          <w:noProof/>
          <w:sz w:val="24"/>
        </w:rPr>
      </w:pPr>
      <w:r>
        <w:rPr>
          <w:rFonts w:ascii="Times New Roman" w:hAnsi="Times New Roman"/>
          <w:noProof/>
          <w:sz w:val="24"/>
          <w:lang w:val="en-GB" w:eastAsia="en-GB"/>
        </w:rPr>
        <mc:AlternateContent>
          <mc:Choice Requires="wps">
            <w:drawing>
              <wp:anchor distT="0" distB="0" distL="114300" distR="114300" simplePos="0" relativeHeight="251658752" behindDoc="0" locked="0" layoutInCell="1" allowOverlap="1" wp14:anchorId="7C1FFD1B" wp14:editId="7766F025">
                <wp:simplePos x="0" y="0"/>
                <wp:positionH relativeFrom="column">
                  <wp:posOffset>6985</wp:posOffset>
                </wp:positionH>
                <wp:positionV relativeFrom="paragraph">
                  <wp:posOffset>577850</wp:posOffset>
                </wp:positionV>
                <wp:extent cx="5886450" cy="1127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886450" cy="1127760"/>
                        </a:xfrm>
                        <a:prstGeom prst="rect">
                          <a:avLst/>
                        </a:prstGeom>
                        <a:noFill/>
                        <a:ln w="6350">
                          <a:solidFill>
                            <a:prstClr val="black"/>
                          </a:solidFill>
                        </a:ln>
                      </wps:spPr>
                      <wps:txbx>
                        <w:txbxContent>
                          <w:p w14:paraId="1145624E" w14:textId="13C9BB83" w:rsidR="00F11E50" w:rsidRPr="00635339" w:rsidRDefault="001373C6" w:rsidP="00635339">
                            <w:pPr>
                              <w:jc w:val="both"/>
                              <w:rPr>
                                <w:rFonts w:ascii="Times New Roman" w:hAnsi="Times New Roman" w:cs="Times New Roman"/>
                                <w:sz w:val="24"/>
                              </w:rPr>
                            </w:pPr>
                            <w:r>
                              <w:rPr>
                                <w:rFonts w:ascii="Times New Roman" w:hAnsi="Times New Roman"/>
                                <w:sz w:val="24"/>
                              </w:rPr>
                              <w:t xml:space="preserve">Overordnet set er der i denne foreløbige gennemførelsesrapport konstateret: i) indledende positive virkninger af EU's P2B-forordning, samtidig med at det bemærkes, at dens fulde potentiale endnu ikke er nået, ii) en </w:t>
                            </w:r>
                            <w:r>
                              <w:rPr>
                                <w:rFonts w:ascii="Times New Roman" w:hAnsi="Times New Roman"/>
                                <w:b/>
                                <w:sz w:val="24"/>
                              </w:rPr>
                              <w:t>aktuel mangel på overholdelse</w:t>
                            </w:r>
                            <w:r>
                              <w:rPr>
                                <w:rFonts w:ascii="Times New Roman" w:hAnsi="Times New Roman"/>
                                <w:sz w:val="24"/>
                              </w:rPr>
                              <w:t xml:space="preserve"> af denne forordning blandt udbydere af onlineformidlingstjenester kombineret med </w:t>
                            </w:r>
                            <w:r>
                              <w:rPr>
                                <w:rFonts w:ascii="Times New Roman" w:hAnsi="Times New Roman"/>
                                <w:b/>
                                <w:sz w:val="24"/>
                              </w:rPr>
                              <w:t>manglende bevidsthed</w:t>
                            </w:r>
                            <w:r>
                              <w:rPr>
                                <w:rFonts w:ascii="Times New Roman" w:hAnsi="Times New Roman"/>
                                <w:sz w:val="24"/>
                              </w:rPr>
                              <w:t xml:space="preserve"> blandt erhvervsbrugere og iii) </w:t>
                            </w:r>
                            <w:r>
                              <w:rPr>
                                <w:rFonts w:ascii="Times New Roman" w:hAnsi="Times New Roman"/>
                                <w:b/>
                                <w:bCs/>
                                <w:sz w:val="24"/>
                              </w:rPr>
                              <w:t>komplementaritet</w:t>
                            </w:r>
                            <w:r>
                              <w:rPr>
                                <w:rFonts w:ascii="Times New Roman" w:hAnsi="Times New Roman"/>
                                <w:sz w:val="24"/>
                              </w:rPr>
                              <w:t xml:space="preserve"> med andre EU-retsakter.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FFD1B" id="_x0000_t202" coordsize="21600,21600" o:spt="202" path="m,l,21600r21600,l21600,xe">
                <v:stroke joinstyle="miter"/>
                <v:path gradientshapeok="t" o:connecttype="rect"/>
              </v:shapetype>
              <v:shape id="Text Box 1" o:spid="_x0000_s1026" type="#_x0000_t202" style="position:absolute;left:0;text-align:left;margin-left:.55pt;margin-top:45.5pt;width:463.5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" filled="f" strokeweight=".5pt">
                <v:textbox>
                  <w:txbxContent>
                    <w:p w14:paraId="1145624E" w14:textId="13C9BB83" w:rsidR="00F11E50" w:rsidRPr="00635339" w:rsidRDefault="001373C6" w:rsidP="00635339">
                      <w:pPr>
                        <w:jc w:val="both"/>
                        <w:rPr>
                          <w:rFonts w:ascii="Times New Roman" w:hAnsi="Times New Roman" w:cs="Times New Roman"/>
                          <w:sz w:val="24"/>
                        </w:rPr>
                      </w:pPr>
                      <w:r>
                        <w:rPr>
                          <w:rFonts w:ascii="Times New Roman" w:hAnsi="Times New Roman"/>
                          <w:sz w:val="24"/>
                        </w:rPr>
                        <w:t xml:space="preserve">Overordnet set er der i denne foreløbige gennemførelsesrapport konstateret: i) indledende positive virkninger af EU's P2B-forordning, samtidig med at det bemærkes, at dens fulde potentiale endnu ikke er nået, ii) en </w:t>
                      </w:r>
                      <w:r>
                        <w:rPr>
                          <w:rFonts w:ascii="Times New Roman" w:hAnsi="Times New Roman"/>
                          <w:b/>
                          <w:sz w:val="24"/>
                        </w:rPr>
                        <w:t>aktuel mangel på overholdelse</w:t>
                      </w:r>
                      <w:r>
                        <w:rPr>
                          <w:rFonts w:ascii="Times New Roman" w:hAnsi="Times New Roman"/>
                          <w:sz w:val="24"/>
                        </w:rPr>
                        <w:t xml:space="preserve"> af denne forordning blandt udbydere af onlineformidlingstjenester kombineret med </w:t>
                      </w:r>
                      <w:r>
                        <w:rPr>
                          <w:rFonts w:ascii="Times New Roman" w:hAnsi="Times New Roman"/>
                          <w:b/>
                          <w:sz w:val="24"/>
                        </w:rPr>
                        <w:t>manglende bevidsthed</w:t>
                      </w:r>
                      <w:r>
                        <w:rPr>
                          <w:rFonts w:ascii="Times New Roman" w:hAnsi="Times New Roman"/>
                          <w:sz w:val="24"/>
                        </w:rPr>
                        <w:t xml:space="preserve"> blandt erhvervsbrugere og iii) </w:t>
                      </w:r>
                      <w:r>
                        <w:rPr>
                          <w:rFonts w:ascii="Times New Roman" w:hAnsi="Times New Roman"/>
                          <w:b/>
                          <w:bCs/>
                          <w:sz w:val="24"/>
                        </w:rPr>
                        <w:t>komplementaritet</w:t>
                      </w:r>
                      <w:r>
                        <w:rPr>
                          <w:rFonts w:ascii="Times New Roman" w:hAnsi="Times New Roman"/>
                          <w:sz w:val="24"/>
                        </w:rPr>
                        <w:t xml:space="preserve"> med andre EU-retsakter.</w:t>
                      </w:r>
                    </w:p>
                  </w:txbxContent>
                </v:textbox>
                <w10:wrap type="square"/>
              </v:shape>
            </w:pict>
          </mc:Fallback>
        </mc:AlternateContent>
      </w:r>
      <w:r>
        <w:rPr>
          <w:noProof/>
        </w:rPr>
        <w:t xml:space="preserve"> </w:t>
      </w:r>
      <w:r>
        <w:rPr>
          <w:rFonts w:ascii="Times New Roman" w:hAnsi="Times New Roman"/>
          <w:noProof/>
          <w:sz w:val="24"/>
        </w:rPr>
        <w:t>Resten af denne rapport vil behandle de vigtigste resultater af denne foreløbige gennemførelsesvurdering.</w:t>
      </w:r>
    </w:p>
    <w:p w14:paraId="468256B6" w14:textId="7936B242" w:rsidR="00F11E50" w:rsidRPr="000458D5" w:rsidRDefault="00F11E50" w:rsidP="000458D5">
      <w:pPr>
        <w:spacing w:line="240" w:lineRule="auto"/>
        <w:jc w:val="both"/>
        <w:rPr>
          <w:rFonts w:ascii="Times New Roman" w:hAnsi="Times New Roman" w:cs="Times New Roman"/>
          <w:noProof/>
          <w:sz w:val="24"/>
        </w:rPr>
      </w:pPr>
    </w:p>
    <w:p w14:paraId="2D1116B6" w14:textId="602BF1F5" w:rsidR="008850CE" w:rsidRPr="000458D5" w:rsidRDefault="000724AF" w:rsidP="000458D5">
      <w:pPr>
        <w:numPr>
          <w:ilvl w:val="0"/>
          <w:numId w:val="3"/>
        </w:numPr>
        <w:spacing w:line="240" w:lineRule="auto"/>
        <w:jc w:val="both"/>
        <w:rPr>
          <w:rFonts w:ascii="Times New Roman" w:hAnsi="Times New Roman" w:cs="Times New Roman"/>
          <w:noProof/>
          <w:sz w:val="24"/>
        </w:rPr>
      </w:pPr>
      <w:r>
        <w:rPr>
          <w:rFonts w:ascii="Times New Roman" w:hAnsi="Times New Roman"/>
          <w:b/>
          <w:noProof/>
          <w:sz w:val="24"/>
        </w:rPr>
        <w:t>Virkninger og det fulde potentiale</w:t>
      </w:r>
      <w:r>
        <w:rPr>
          <w:rFonts w:ascii="Times New Roman" w:hAnsi="Times New Roman"/>
          <w:noProof/>
          <w:sz w:val="24"/>
        </w:rPr>
        <w:t xml:space="preserve"> af EU's forordning om forbindelserne mellem platforme og virksomheder</w:t>
      </w:r>
    </w:p>
    <w:p w14:paraId="43752E8F" w14:textId="7D64944B" w:rsidR="00AD610D" w:rsidRPr="000458D5" w:rsidRDefault="00AD610D" w:rsidP="000458D5">
      <w:pPr>
        <w:spacing w:line="240" w:lineRule="auto"/>
        <w:jc w:val="both"/>
        <w:rPr>
          <w:rFonts w:ascii="Times New Roman" w:hAnsi="Times New Roman" w:cs="Times New Roman"/>
          <w:noProof/>
          <w:sz w:val="24"/>
        </w:rPr>
      </w:pPr>
      <w:r>
        <w:rPr>
          <w:rFonts w:ascii="Times New Roman" w:hAnsi="Times New Roman"/>
          <w:noProof/>
          <w:sz w:val="24"/>
        </w:rPr>
        <w:t>P2B-forordningen giver erhvervsbrugere gennemsigtighedsrettigheder, der kan håndhæves, i deres kontrakter med udbydere af onlineformidlingstjenester og onlinesøgemaskiner. Disse rettigheder gør det muligt for erhvervsbrugere at træffe mere informerede forretningsbeslutninger om bl.a. deres valg af, hvilke af disse tjenester der skal anvendes, hvordan rangordningsstrategierne kan optimeres, og hvordan eventuelle tvister med de relevante udbydere af disse tjenester kan løses.</w:t>
      </w:r>
    </w:p>
    <w:p w14:paraId="2F764CB2" w14:textId="5C3E1EBE" w:rsidR="00AD610D" w:rsidRPr="000458D5" w:rsidRDefault="00741C27" w:rsidP="000458D5">
      <w:pPr>
        <w:spacing w:line="240" w:lineRule="auto"/>
        <w:jc w:val="both"/>
        <w:rPr>
          <w:rFonts w:ascii="Times New Roman" w:hAnsi="Times New Roman" w:cs="Times New Roman"/>
          <w:noProof/>
          <w:sz w:val="24"/>
        </w:rPr>
      </w:pPr>
      <w:r>
        <w:rPr>
          <w:rFonts w:ascii="Times New Roman" w:hAnsi="Times New Roman"/>
          <w:noProof/>
          <w:sz w:val="24"/>
        </w:rPr>
        <w:t>Denne afgørende virkning af P2B-forordningen er allerede observeret i praksis. Den foreløbige analyse, der er foretaget i forbindelse med denne rapport, viser de første forbedringer i form af en begrænset overholdelse af P2B-forordningen i forhold til referencescenariet</w:t>
      </w:r>
      <w:r>
        <w:rPr>
          <w:rStyle w:val="FootnoteReference"/>
          <w:rFonts w:ascii="Times New Roman" w:hAnsi="Times New Roman" w:cs="Times New Roman"/>
          <w:noProof/>
          <w:sz w:val="24"/>
        </w:rPr>
        <w:footnoteReference w:id="6"/>
      </w:r>
      <w:r>
        <w:rPr>
          <w:rFonts w:ascii="Times New Roman" w:hAnsi="Times New Roman"/>
          <w:noProof/>
          <w:sz w:val="24"/>
        </w:rPr>
        <w:t>. Den kan styrkes yderligere ved at sikre, at P2B-forordningens potentiale udnyttes fuldt ud. I de følgende afsnit om a) kontraktmæssig gennemsigtighed som juridiske rettigheder og b) retfærdig behandling af klager forklares virkningerne og det fulde potentiale af P2B-forordningen mere detaljeret.</w:t>
      </w:r>
    </w:p>
    <w:p w14:paraId="03A10C6D" w14:textId="77777777" w:rsidR="008850CE" w:rsidRPr="0058729A" w:rsidRDefault="008850CE" w:rsidP="000458D5">
      <w:pPr>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Kontraktmæssig gennemsigtighed som juridiske rettigheder</w:t>
      </w:r>
    </w:p>
    <w:p w14:paraId="54666FF0" w14:textId="31C5A48C" w:rsidR="008850CE" w:rsidRPr="000458D5" w:rsidRDefault="008850CE" w:rsidP="000458D5">
      <w:pPr>
        <w:spacing w:line="240" w:lineRule="auto"/>
        <w:jc w:val="both"/>
        <w:rPr>
          <w:rFonts w:ascii="Times New Roman" w:hAnsi="Times New Roman" w:cs="Times New Roman"/>
          <w:noProof/>
          <w:sz w:val="24"/>
        </w:rPr>
      </w:pPr>
      <w:r>
        <w:rPr>
          <w:rFonts w:ascii="Times New Roman" w:hAnsi="Times New Roman"/>
          <w:noProof/>
          <w:sz w:val="24"/>
        </w:rPr>
        <w:t xml:space="preserve">Den første søjle i P2B-forordningen omfatter at give økonomiske aktører i </w:t>
      </w:r>
      <w:r w:rsidR="00251530">
        <w:rPr>
          <w:rFonts w:ascii="Times New Roman" w:hAnsi="Times New Roman"/>
          <w:noProof/>
          <w:sz w:val="24"/>
        </w:rPr>
        <w:t>EU-rettigheder</w:t>
      </w:r>
      <w:r>
        <w:rPr>
          <w:rFonts w:ascii="Times New Roman" w:hAnsi="Times New Roman"/>
          <w:noProof/>
          <w:sz w:val="24"/>
        </w:rPr>
        <w:t xml:space="preserve">, der kan håndhæves, og kontraktmæssig klageadgang. </w:t>
      </w:r>
    </w:p>
    <w:p w14:paraId="65135AEC" w14:textId="2C622C51" w:rsidR="00EB3B53" w:rsidRPr="000458D5" w:rsidRDefault="00D43F3D" w:rsidP="000458D5">
      <w:pPr>
        <w:spacing w:line="240" w:lineRule="auto"/>
        <w:jc w:val="both"/>
        <w:rPr>
          <w:rFonts w:ascii="Times New Roman" w:hAnsi="Times New Roman" w:cs="Times New Roman"/>
          <w:noProof/>
          <w:sz w:val="24"/>
        </w:rPr>
      </w:pPr>
      <w:r>
        <w:rPr>
          <w:rFonts w:ascii="Times New Roman" w:hAnsi="Times New Roman"/>
          <w:noProof/>
          <w:sz w:val="24"/>
        </w:rPr>
        <w:t xml:space="preserve">Gennemsigtighed som foreskrevet i P2B-forordningen skal gennemføres i privatretlige kontrakter om onlineformidlingstjenester og omsættes derfor direkte til kontraktlige rettigheder for erhvervsbrugere. Gennemsigtighed er også afgørende for at kunne drive virksomhed på en stabil måde på onlineplatforme. Betydningen af onlineplatforme som portaler for erhvervsbrugere til at nå ud til deres kunder kan være endnu vigtigere i specifikke sektorer såsom hotel- og restaurationsbranchen, detailhandelen og den audiovisuelle sektor. I disse sektorer er onlineplatforme undertiden den vigtigste eller eneste adgang til at levere deres tjenester og produkter i hele det indre marked. </w:t>
      </w:r>
    </w:p>
    <w:p w14:paraId="7E602C6D" w14:textId="109B9CA7" w:rsidR="00164C18" w:rsidRPr="000458D5" w:rsidRDefault="00040144" w:rsidP="000458D5">
      <w:pPr>
        <w:spacing w:line="240" w:lineRule="auto"/>
        <w:jc w:val="both"/>
        <w:rPr>
          <w:rFonts w:ascii="Times New Roman" w:hAnsi="Times New Roman" w:cs="Times New Roman"/>
          <w:noProof/>
          <w:sz w:val="24"/>
        </w:rPr>
      </w:pPr>
      <w:r>
        <w:rPr>
          <w:rFonts w:ascii="Times New Roman" w:hAnsi="Times New Roman"/>
          <w:noProof/>
          <w:sz w:val="24"/>
        </w:rPr>
        <w:t>Da P2B-forordningen præciserer de vigtigste kommercielle spørgsmål om rangordning, differentieret behandling, adgang til data og forskellige andre, giver den erhvervsbrugere klarhed om deres kontraktlige rettigheder i forbindelse med disse emner. Dette står i modsætning til manglen på rettigheder, som de ofte stod over for, før forordningen trådte i kraft. Desuden indeholder forordningen konkrete proceduremæssige rettigheder, der også er afgørende for tvistbilæggelse, såsom retten til forudgående underretning om kontraktændringer eller om enhver begrænsning, suspension eller fjernelse fra listen af produkter, tjenesteydelser eller konti. Det samme gælder retten til at samarbejde med de mæglere, som onlineformidlingstjenester skal anføre i deres privatretlige kontrakter.</w:t>
      </w:r>
    </w:p>
    <w:p w14:paraId="6A6472A1" w14:textId="02C0DBAE" w:rsidR="00164C18" w:rsidRPr="000458D5" w:rsidRDefault="0091099E" w:rsidP="000458D5">
      <w:pPr>
        <w:spacing w:line="240" w:lineRule="auto"/>
        <w:jc w:val="both"/>
        <w:rPr>
          <w:rFonts w:ascii="Times New Roman" w:hAnsi="Times New Roman" w:cs="Times New Roman"/>
          <w:noProof/>
          <w:sz w:val="24"/>
        </w:rPr>
      </w:pPr>
      <w:r>
        <w:rPr>
          <w:rFonts w:ascii="Times New Roman" w:hAnsi="Times New Roman"/>
          <w:noProof/>
          <w:sz w:val="24"/>
        </w:rPr>
        <w:t>Gennemsigtighed i rangordningen bidrager til at forstå nogle af de afgørende fordele, som erhvervsbrugere har som følge af gennemsigtige og detaljerede vilkår og betingelser. Gennemsigtighed med hensyn til rangordning har faktisk et betydeligt potentiale ved at indføre større forudsigelighed for erhvervsbrugere med hensyn til, hvad der påvirker deres position i præsentationen af tilbud på platforme, således at de kan forbedre præsentationen af deres varer og tjenesteydelser.</w:t>
      </w:r>
    </w:p>
    <w:p w14:paraId="2A8E8A05" w14:textId="69FC2950" w:rsidR="00164C18" w:rsidRPr="000458D5" w:rsidRDefault="00164C18" w:rsidP="000458D5">
      <w:pPr>
        <w:spacing w:line="240" w:lineRule="auto"/>
        <w:jc w:val="both"/>
        <w:rPr>
          <w:rFonts w:ascii="Times New Roman" w:hAnsi="Times New Roman" w:cs="Times New Roman"/>
          <w:noProof/>
          <w:sz w:val="24"/>
        </w:rPr>
      </w:pPr>
      <w:r>
        <w:rPr>
          <w:rFonts w:ascii="Times New Roman" w:hAnsi="Times New Roman"/>
          <w:noProof/>
          <w:sz w:val="24"/>
        </w:rPr>
        <w:t>Hvis de gennemføres korrekt i overensstemmelse med målet om gennemsigtighed i rangordningen, jf. artikel 5, stk. 5, vil erhvervsbrugere få en forståelse af, i hvilket omfang kvaliteten af deres produkter og tjenesteydelser er afgørende for deres rangordning. Dette vil gøre det muligt for dem at optimere kvaliteten af tjenester og produkter samt onlinetilstedeværelse, herunder f.eks. webstedsdesign og udformningen af deres tilstedeværelse i onlineformidlingstjenester, og hjælpe med i deres reklamestrategier at optimere deres onlinetilstedeværelse.</w:t>
      </w:r>
    </w:p>
    <w:p w14:paraId="15972783" w14:textId="2AB5AC08" w:rsidR="007B7EDA" w:rsidRPr="000458D5" w:rsidRDefault="007B7EDA" w:rsidP="000458D5">
      <w:pPr>
        <w:spacing w:line="240" w:lineRule="auto"/>
        <w:jc w:val="both"/>
        <w:rPr>
          <w:rFonts w:ascii="Times New Roman" w:hAnsi="Times New Roman" w:cs="Times New Roman"/>
          <w:i/>
          <w:noProof/>
          <w:sz w:val="24"/>
        </w:rPr>
      </w:pPr>
      <w:r>
        <w:rPr>
          <w:rFonts w:ascii="Times New Roman" w:hAnsi="Times New Roman"/>
          <w:i/>
          <w:noProof/>
          <w:sz w:val="24"/>
        </w:rPr>
        <w:t>Gennemførelse</w:t>
      </w:r>
    </w:p>
    <w:p w14:paraId="3EB30B15" w14:textId="7B5E8419" w:rsidR="001373C6" w:rsidRPr="000458D5" w:rsidRDefault="00164C18" w:rsidP="000458D5">
      <w:pPr>
        <w:spacing w:line="240" w:lineRule="auto"/>
        <w:jc w:val="both"/>
        <w:rPr>
          <w:rFonts w:ascii="Times New Roman" w:hAnsi="Times New Roman" w:cs="Times New Roman"/>
          <w:noProof/>
          <w:sz w:val="24"/>
        </w:rPr>
      </w:pPr>
      <w:r>
        <w:rPr>
          <w:rFonts w:ascii="Times New Roman" w:hAnsi="Times New Roman"/>
          <w:noProof/>
          <w:sz w:val="24"/>
        </w:rPr>
        <w:t>Kun omkring en tredjedel af alle onlineformidlingstjenester og onlineplatforme, der revideres i P2B-evalueringsundersøgelsen, angav oplysninger om deres rangordningsparametre i deres vilkår og betingelser. Dette eksempel afspejler ikke det fulde potentiale i den væsentlige gennemsigtighed, som onlineplatforme skal give.</w:t>
      </w:r>
    </w:p>
    <w:p w14:paraId="7F75A1C1" w14:textId="6515FC98" w:rsidR="00164C18" w:rsidRPr="000458D5" w:rsidRDefault="001373C6" w:rsidP="000458D5">
      <w:pPr>
        <w:spacing w:line="240" w:lineRule="auto"/>
        <w:jc w:val="both"/>
        <w:rPr>
          <w:rFonts w:ascii="Times New Roman" w:hAnsi="Times New Roman" w:cs="Times New Roman"/>
          <w:noProof/>
          <w:sz w:val="24"/>
        </w:rPr>
      </w:pPr>
      <w:r>
        <w:rPr>
          <w:rFonts w:ascii="Times New Roman" w:hAnsi="Times New Roman"/>
          <w:noProof/>
          <w:sz w:val="24"/>
        </w:rPr>
        <w:t xml:space="preserve">Denne øvelse viste imidlertid, at platformenes offentliggjorte vilkår og betingelser automatisk kan indekseres og spores over tid. På denne måde kan erhvervsbrugere og interessenter, herunder forskere, lovgivere og det bredere civilsamfund, observere og registrere ændringer, udføre forskning, foretage undersøgelser og meget mere. </w:t>
      </w:r>
      <w:bookmarkStart w:id="2" w:name="_Hlk136001680"/>
      <w:r>
        <w:rPr>
          <w:rFonts w:ascii="Times New Roman" w:hAnsi="Times New Roman"/>
          <w:noProof/>
          <w:sz w:val="24"/>
        </w:rPr>
        <w:t>På dette grundlag vil Kommissionens Fælles Forskningscenter være vært for og vedligeholde et offentligt open source-register over vilkår og betingelser for erhvervsbrugere af over 300 onlineplatforme, der hidtil er blevet indekseret</w:t>
      </w:r>
      <w:r>
        <w:rPr>
          <w:rStyle w:val="FootnoteReference"/>
          <w:rFonts w:ascii="Times New Roman" w:hAnsi="Times New Roman" w:cs="Times New Roman"/>
          <w:noProof/>
          <w:sz w:val="24"/>
        </w:rPr>
        <w:footnoteReference w:id="7"/>
      </w:r>
      <w:r>
        <w:rPr>
          <w:rFonts w:ascii="Times New Roman" w:hAnsi="Times New Roman"/>
          <w:noProof/>
          <w:sz w:val="24"/>
        </w:rPr>
        <w:t>. Automatiseret sporing er en af de forskellige måder, hvorpå obligatorisk gennemsigtighed giver erhvervsbrugere og borgere praktiske værktøjer til at gøre sig bekendt med deres onlineaktiviteter.</w:t>
      </w:r>
    </w:p>
    <w:bookmarkEnd w:id="2"/>
    <w:p w14:paraId="4E082881" w14:textId="49CB3A12" w:rsidR="0006685B" w:rsidRPr="000458D5" w:rsidRDefault="0006685B" w:rsidP="000458D5">
      <w:pPr>
        <w:spacing w:line="240" w:lineRule="auto"/>
        <w:jc w:val="both"/>
        <w:rPr>
          <w:rFonts w:ascii="Times New Roman" w:hAnsi="Times New Roman" w:cs="Times New Roman"/>
          <w:noProof/>
          <w:sz w:val="24"/>
        </w:rPr>
      </w:pPr>
      <w:r>
        <w:rPr>
          <w:rFonts w:ascii="Times New Roman" w:hAnsi="Times New Roman"/>
          <w:i/>
          <w:noProof/>
          <w:sz w:val="24"/>
        </w:rPr>
        <w:t>Konklusioner</w:t>
      </w:r>
    </w:p>
    <w:p w14:paraId="08FBE32B" w14:textId="3214B65A" w:rsidR="000C4031" w:rsidRPr="000458D5" w:rsidRDefault="000C4031" w:rsidP="000458D5">
      <w:pPr>
        <w:spacing w:line="240" w:lineRule="auto"/>
        <w:jc w:val="both"/>
        <w:rPr>
          <w:rFonts w:ascii="Times New Roman" w:hAnsi="Times New Roman" w:cs="Times New Roman"/>
          <w:noProof/>
          <w:sz w:val="24"/>
        </w:rPr>
      </w:pPr>
      <w:r>
        <w:rPr>
          <w:rFonts w:ascii="Times New Roman" w:hAnsi="Times New Roman"/>
          <w:noProof/>
          <w:sz w:val="24"/>
        </w:rPr>
        <w:t>I evalueringsundersøgelsen konkluderes det, at platformenes nuværende økosystemer, deres erhvervsbrugere og udbydere af søgemaskineoptimeringstjenester har udviklet sig og tilpasset sig drift under forhold med uigennemsigtighed med hensyn til rangordningsalgoritmer. Dette kan tydeliggøre den store forskel mellem erhvervsbrugernes opfattelse af, om de har klarhed med hensyn til rangordningsparametre: 10 % af de erhvervsbrugere, der blev undersøgt i forbindelse med denne rapport, nævner få eller ingen oplysninger om rangordningsparametre, og yderligere 42 % nævner, at de har et moderat oplysningsniveau.</w:t>
      </w:r>
    </w:p>
    <w:p w14:paraId="2B298C96" w14:textId="68E6A888" w:rsidR="001269F1" w:rsidRPr="000458D5" w:rsidRDefault="001373C6" w:rsidP="000458D5">
      <w:pPr>
        <w:spacing w:line="240" w:lineRule="auto"/>
        <w:jc w:val="both"/>
        <w:rPr>
          <w:rFonts w:ascii="Times New Roman" w:hAnsi="Times New Roman" w:cs="Times New Roman"/>
          <w:noProof/>
          <w:sz w:val="24"/>
        </w:rPr>
      </w:pPr>
      <w:r>
        <w:rPr>
          <w:rFonts w:ascii="Times New Roman" w:hAnsi="Times New Roman"/>
          <w:noProof/>
          <w:sz w:val="24"/>
        </w:rPr>
        <w:t xml:space="preserve">Gennemsigtighed generelt og specifikt med hensyn til de vigtigste rangordningsparametre er kernen i P2B-forordningen. I artikel 5 i P2B-forordningen tog medlovgiverne hensyn til behovet for at ændre status quo ved at kræve, at udbydere af onlineformidlingstjenester og onlinesøgemaskiner er mere gennemsigtige, end det hidtil havde været tilfældet. Desuden kan udbydere af disse tjenester give mere meningsfuld gennemsigtighed uden at skabe betingelser, hvor forbrugerne kan blive vildledt, eller uden at det kan føre til andre skader for forbrugerne. </w:t>
      </w:r>
    </w:p>
    <w:p w14:paraId="615D0C22" w14:textId="4928181C" w:rsidR="00F37832" w:rsidRPr="000458D5" w:rsidRDefault="0080787C" w:rsidP="000458D5">
      <w:pPr>
        <w:spacing w:line="240" w:lineRule="auto"/>
        <w:jc w:val="both"/>
        <w:rPr>
          <w:rFonts w:ascii="Times New Roman" w:hAnsi="Times New Roman" w:cs="Times New Roman"/>
          <w:noProof/>
          <w:sz w:val="24"/>
        </w:rPr>
      </w:pPr>
      <w:r>
        <w:rPr>
          <w:rFonts w:ascii="Times New Roman" w:hAnsi="Times New Roman"/>
          <w:noProof/>
          <w:sz w:val="24"/>
        </w:rPr>
        <w:t>Forordningens artikel 5, stk. 6, gør det klart, at gennemsigtighedsforpligtelsen ikke berører direktiv (EU) 2016/943 om forretningshemmeligheder</w:t>
      </w:r>
      <w:r>
        <w:rPr>
          <w:rStyle w:val="FootnoteReference"/>
          <w:rFonts w:ascii="Times New Roman" w:hAnsi="Times New Roman" w:cs="Times New Roman"/>
          <w:noProof/>
          <w:sz w:val="24"/>
        </w:rPr>
        <w:footnoteReference w:id="8"/>
      </w:r>
      <w:r>
        <w:rPr>
          <w:rFonts w:ascii="Times New Roman" w:hAnsi="Times New Roman"/>
          <w:noProof/>
          <w:sz w:val="24"/>
        </w:rPr>
        <w:t>. I retningslinjerne for rangordning præciseres det, at denne bestemmelse betyder følgende: "Udbyderne kan derfor ikke nægte at offentliggøre f.eks. de vigtigste parametre ud fra det ene argument, at de aldrig har afsløret nogen af deres tidligere parametre, eller at de pågældende oplysninger er kommercielt følsomme"</w:t>
      </w:r>
      <w:r>
        <w:rPr>
          <w:rStyle w:val="FootnoteReference"/>
          <w:rFonts w:ascii="Times New Roman" w:hAnsi="Times New Roman" w:cs="Times New Roman"/>
          <w:noProof/>
          <w:sz w:val="24"/>
        </w:rPr>
        <w:footnoteReference w:id="9"/>
      </w:r>
      <w:r>
        <w:rPr>
          <w:rFonts w:ascii="Times New Roman" w:hAnsi="Times New Roman"/>
          <w:noProof/>
          <w:sz w:val="24"/>
        </w:rPr>
        <w:t>. Potentialet i artikel 5, for hvilket denne yderligere gennemsigtighed er påkrævet, er også sammenfattet i retningslinjerne for rangordning, og det er vigtigt at minde om, hvor kritisk denne grundlæggende gennemsigtighed er: "Virksomheder, der handler online, kender derfor ikke altid årsagerne til deres placering i rangordningen og ved heller ikke, om og hvordan de kan forbedre deres resultater, eventuelt med hjælp fra en betalt rangordning, til trods for at deres evne til at nå ud til kunderne er kritisk afhængig af denne viden"</w:t>
      </w:r>
      <w:r>
        <w:rPr>
          <w:rStyle w:val="FootnoteReference"/>
          <w:rFonts w:ascii="Times New Roman" w:hAnsi="Times New Roman" w:cs="Times New Roman"/>
          <w:noProof/>
          <w:sz w:val="24"/>
        </w:rPr>
        <w:footnoteReference w:id="10"/>
      </w:r>
      <w:r>
        <w:rPr>
          <w:rFonts w:ascii="Times New Roman" w:hAnsi="Times New Roman"/>
          <w:noProof/>
          <w:sz w:val="24"/>
        </w:rPr>
        <w:t>.</w:t>
      </w:r>
    </w:p>
    <w:p w14:paraId="5196D614" w14:textId="728E114B" w:rsidR="00192325" w:rsidRPr="000458D5" w:rsidRDefault="001373C6" w:rsidP="000458D5">
      <w:pPr>
        <w:spacing w:line="240" w:lineRule="auto"/>
        <w:jc w:val="both"/>
        <w:rPr>
          <w:rFonts w:ascii="Times New Roman" w:hAnsi="Times New Roman" w:cs="Times New Roman"/>
          <w:noProof/>
          <w:sz w:val="24"/>
        </w:rPr>
      </w:pPr>
      <w:r>
        <w:rPr>
          <w:rFonts w:ascii="Times New Roman" w:hAnsi="Times New Roman"/>
          <w:noProof/>
          <w:sz w:val="24"/>
        </w:rPr>
        <w:t xml:space="preserve">Gennemsigtighed i rangordningen er et eksempel på en række gennemsigtighedsforpligtelser, der giver sig udslag i direkte kontraktlige rettigheder og håndgribelige fordele for EU's virksomheder, der handler online, uanset om de er store eller små. Et andet eksempel er forpligtelsen i forordningens artikel 7. I henhold til denne artikel skal onlineformidlingstjenester beskrive enhver forskelsbehandling, som de måtte anvende i forbindelse med varer eller tjenesteydelser, som de selv tilbyder, i forhold til tredjepartserhvervsbrugere. En sådan </w:t>
      </w:r>
      <w:bookmarkStart w:id="3" w:name="_Hlk135994548"/>
      <w:r>
        <w:rPr>
          <w:rFonts w:ascii="Times New Roman" w:hAnsi="Times New Roman"/>
          <w:noProof/>
          <w:sz w:val="24"/>
        </w:rPr>
        <w:t xml:space="preserve">gennemsigtighed kan navnlig hjælpe håndhævelsesmyndighederne med at identificere og undersøge illoyal adfærd og foretage tilbundsgående undersøgelser af eventuelle begrundelser for en sådan differentieret behandling. I den forbindelse har artikel 6, stk. 5, i forordningen om digitale markeder siden ikrafttrædelsen af P2B-forordningen forbudt gunstigere behandling i forbindelse med rangordning og tilknyttet indeksering og crawling. Ikke desto mindre giver P2B-forordningen yderligere gennemsigtighed med hensyn til differentieret behandling af dataadgang, prisfastsættelse og adgangsvilkår for accessoriske tjenester. </w:t>
      </w:r>
      <w:bookmarkEnd w:id="3"/>
      <w:r>
        <w:rPr>
          <w:rFonts w:ascii="Times New Roman" w:hAnsi="Times New Roman"/>
          <w:noProof/>
          <w:sz w:val="24"/>
        </w:rPr>
        <w:t xml:space="preserve">Efterhånden som vores samfund fortsætter med at gå over til onlineformidlingstjenester, </w:t>
      </w:r>
      <w:r>
        <w:rPr>
          <w:rFonts w:ascii="Times New Roman" w:hAnsi="Times New Roman"/>
          <w:b/>
          <w:bCs/>
          <w:noProof/>
          <w:sz w:val="24"/>
        </w:rPr>
        <w:t>er det bydende nødvendigt at udnytte P2B-forordningens fulde potentiale</w:t>
      </w:r>
      <w:r>
        <w:rPr>
          <w:rFonts w:ascii="Times New Roman" w:hAnsi="Times New Roman"/>
          <w:noProof/>
          <w:sz w:val="24"/>
        </w:rPr>
        <w:t>.</w:t>
      </w:r>
    </w:p>
    <w:p w14:paraId="53914334" w14:textId="0AA61DA9" w:rsidR="001373C6" w:rsidRPr="000458D5" w:rsidRDefault="001373C6" w:rsidP="000458D5">
      <w:pPr>
        <w:spacing w:line="240" w:lineRule="auto"/>
        <w:jc w:val="both"/>
        <w:rPr>
          <w:rFonts w:ascii="Times New Roman" w:hAnsi="Times New Roman" w:cs="Times New Roman"/>
          <w:noProof/>
          <w:sz w:val="24"/>
        </w:rPr>
      </w:pPr>
      <w:r>
        <w:rPr>
          <w:rFonts w:ascii="Times New Roman" w:hAnsi="Times New Roman"/>
          <w:noProof/>
          <w:sz w:val="24"/>
        </w:rPr>
        <w:t>Som yderligere forklaret i afsnit 2 i denne rapport kan det fulde potentiale i P2B-forordningens gennemsigtighedsbestemmelser ikke desto mindre i afgørende grad afhænge af, at erhvervsbrugere er tilstrækkeligt bevidste om deres rettigheder, og at onlineformidlingstjenester og onlinesøgemaskiner er tilstrækkeligt bevidste om deres forpligtelser. Fællesskabet af erhvervsbrugere og andre aktører mangler i øjeblikket en referenceramme for måling af den grad af gennemsigtighed, de modtager, og er måske ikke klar over, hvordan yderligere gennemsigtighed med hensyn til de vigtigste rangordningsparametre, differentieret behandling osv. kan hjælpe dem med at udvikle deres forretning.</w:t>
      </w:r>
    </w:p>
    <w:p w14:paraId="78E128D2" w14:textId="04888D02" w:rsidR="008850CE" w:rsidRPr="0058729A" w:rsidRDefault="008850CE" w:rsidP="000458D5">
      <w:pPr>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Retssikkerhed i forbindelse med behandling af klager</w:t>
      </w:r>
    </w:p>
    <w:p w14:paraId="0DD4FBAD" w14:textId="27DF0FBC" w:rsidR="00C2261A" w:rsidRPr="000458D5" w:rsidRDefault="00C2261A" w:rsidP="000458D5">
      <w:pPr>
        <w:spacing w:line="240" w:lineRule="auto"/>
        <w:jc w:val="both"/>
        <w:rPr>
          <w:rFonts w:ascii="Times New Roman" w:hAnsi="Times New Roman" w:cs="Times New Roman"/>
          <w:i/>
          <w:noProof/>
          <w:sz w:val="24"/>
        </w:rPr>
      </w:pPr>
      <w:r>
        <w:rPr>
          <w:rFonts w:ascii="Times New Roman" w:hAnsi="Times New Roman"/>
          <w:i/>
          <w:noProof/>
          <w:sz w:val="24"/>
        </w:rPr>
        <w:t>Formål med P2B-forordningen</w:t>
      </w:r>
    </w:p>
    <w:p w14:paraId="70B3E2EC" w14:textId="05963FF3" w:rsidR="0018234E" w:rsidRPr="000458D5" w:rsidRDefault="0018234E" w:rsidP="000458D5">
      <w:pPr>
        <w:spacing w:line="240" w:lineRule="auto"/>
        <w:jc w:val="both"/>
        <w:rPr>
          <w:rFonts w:ascii="Times New Roman" w:hAnsi="Times New Roman" w:cs="Times New Roman"/>
          <w:noProof/>
          <w:sz w:val="24"/>
        </w:rPr>
      </w:pPr>
      <w:r>
        <w:rPr>
          <w:rFonts w:ascii="Times New Roman" w:hAnsi="Times New Roman"/>
          <w:noProof/>
          <w:sz w:val="24"/>
        </w:rPr>
        <w:t xml:space="preserve">I </w:t>
      </w:r>
      <w:hyperlink r:id="rId22" w:history="1">
        <w:r>
          <w:rPr>
            <w:rStyle w:val="Hyperlink"/>
            <w:rFonts w:ascii="Times New Roman" w:hAnsi="Times New Roman"/>
            <w:noProof/>
            <w:sz w:val="24"/>
          </w:rPr>
          <w:t>den undersøgelse, der ligger til grund for P2B-forordningen</w:t>
        </w:r>
        <w:r>
          <w:rPr>
            <w:rStyle w:val="FootnoteReference"/>
            <w:rFonts w:ascii="Times New Roman" w:hAnsi="Times New Roman" w:cs="Times New Roman"/>
            <w:noProof/>
            <w:color w:val="0000FF" w:themeColor="hyperlink"/>
            <w:sz w:val="24"/>
            <w:u w:val="single"/>
          </w:rPr>
          <w:footnoteReference w:id="11"/>
        </w:r>
      </w:hyperlink>
      <w:r>
        <w:rPr>
          <w:rFonts w:ascii="Times New Roman" w:hAnsi="Times New Roman"/>
          <w:noProof/>
          <w:sz w:val="24"/>
        </w:rPr>
        <w:t>, forklarede Kommissionen følgende: Årsagerne til, at erhvervsbrugere slet ikke træffer foranstaltninger, omfatter navnlig den opfattede ineffektive karakter af de eksisterende klagemekanismer, frygten for at skade forretningsforbindelsen med onlineplatformen og vanskelighederne ved tilgængelige procedurer. (...) Andre vigtige faktorer, der begrænser effektiviteten af domstolsprøvelse, er 1) manglende kendskab til klagemuligheder på grund af virksomhedernes beskedne størrelse, 2) uforholdsmæssigt store omkostninger ved at søge international domstolsprøvelse, navnlig for mikrovirksomheder, og/eller hvor domstolsprøvelse ville involvere et tredjelands jurisdiktion, og 3) at domstolsprøvelse er for langvarig. P2B-forordningen kræver derfor, at onlineformidlingstjenester sikrer gennemsigtighed, effektive og hurtige interne klagebehandlingsprocedurer og adgang til mæglere, som de er villige til at samarbejde med.</w:t>
      </w:r>
    </w:p>
    <w:p w14:paraId="1580B790" w14:textId="11F12F0A" w:rsidR="00C80230" w:rsidRPr="000458D5" w:rsidRDefault="00C80230" w:rsidP="000458D5">
      <w:pPr>
        <w:spacing w:line="240" w:lineRule="auto"/>
        <w:jc w:val="both"/>
        <w:rPr>
          <w:rFonts w:ascii="Times New Roman" w:hAnsi="Times New Roman" w:cs="Times New Roman"/>
          <w:noProof/>
          <w:sz w:val="24"/>
        </w:rPr>
      </w:pPr>
      <w:r>
        <w:rPr>
          <w:rFonts w:ascii="Times New Roman" w:hAnsi="Times New Roman"/>
          <w:noProof/>
          <w:sz w:val="24"/>
        </w:rPr>
        <w:t>I henhold til artikel 3, stk. 1, litra c), skal erhvervsbrugere have adgang til en udtømmende liste over årsagerne til, at deres konti kan suspenderes, bringes til ophør eller på anden måde begrænses. Dette gælder også for potentielle erhvervsbrugere, eftersom artikel 3, stk. 1, litra b), fastsætter, at de vilkår og betingelser, hvori disse grunde skal medtages, skal stilles til rådighed i fasen forud for aftaleindgåelsen. En faktisk begrænsning af konti bør i henhold til artikel 4 ledsages af en begrundelse med krydshenvisning til den specifikke grund til begrænsningen — ud af dem, der er anført i vilkårene og betingelserne. Fuldstændigt ophør af en konto kræver endda, at begrundelsen gives mindst 30 dage i forvejen og sandsynligvis meget længere. I forordningens artikel 11 præciseres det, at enhver begrænsning derefter bør give den pågældende erhvervsbruger adgang til et lettilgængeligt og gratis internt klagebehandlingssystem hos onlineformidlingstjenesten. Desuden bør klagen behandles inden for en rimelig tidsramme og baseret på principperne om gennemsigtighed, ligebehandling og proportionalitet, og udbydere af onlineformidlingstjenester bør hvert år aflægge rapport om resultaterne af deres interne klagebehandlingssystemer. Endelig giver artikel 12 erhvervsbrugere mulighed for at forsøge at deltage i mægling med en af mindst to mæglere, som onlineformidlingstjenesterne skal angive i deres kontrakter. Adgang til disse mæglere er ikke betinget af, at der først klages gennem onlineformidlingstjenesternes interne klagebehandling.</w:t>
      </w:r>
    </w:p>
    <w:p w14:paraId="70E7E9EF" w14:textId="639DB615" w:rsidR="008850CE" w:rsidRPr="000458D5" w:rsidRDefault="00BB6309" w:rsidP="000458D5">
      <w:pPr>
        <w:spacing w:line="240" w:lineRule="auto"/>
        <w:jc w:val="both"/>
        <w:rPr>
          <w:rFonts w:ascii="Times New Roman" w:hAnsi="Times New Roman" w:cs="Times New Roman"/>
          <w:noProof/>
          <w:sz w:val="24"/>
        </w:rPr>
      </w:pPr>
      <w:r>
        <w:rPr>
          <w:rFonts w:ascii="Times New Roman" w:hAnsi="Times New Roman"/>
          <w:noProof/>
          <w:sz w:val="24"/>
        </w:rPr>
        <w:t xml:space="preserve">Alle disse proceduremæssige rettigheder for erhvervsbrugere udgør et juridisk kodificeret EU-dækkende system for onlineformidlingstjenesters behandling af klager. Sammen med gennemsigtighed, der omsættes til kontraktlige rettigheder (jf. afsnit 1a ovenfor), kan en harmoniseret klagebehandling potentielt udgøre en gradvis ændring i det at drive forretning online. Dette vil øge retssikkerheden for virksomhederne og give dem mulighed for til fulde at udnytte de effektivitetsgevinster, som onlineformidlingstjenester tilbyder. </w:t>
      </w:r>
    </w:p>
    <w:p w14:paraId="3177CC2C" w14:textId="502A2AEF" w:rsidR="00C2261A" w:rsidRPr="000458D5" w:rsidRDefault="00C2261A" w:rsidP="000458D5">
      <w:pPr>
        <w:spacing w:line="240" w:lineRule="auto"/>
        <w:jc w:val="both"/>
        <w:rPr>
          <w:rFonts w:ascii="Times New Roman" w:hAnsi="Times New Roman" w:cs="Times New Roman"/>
          <w:i/>
          <w:noProof/>
          <w:sz w:val="24"/>
        </w:rPr>
      </w:pPr>
      <w:r>
        <w:rPr>
          <w:rFonts w:ascii="Times New Roman" w:hAnsi="Times New Roman"/>
          <w:i/>
          <w:noProof/>
          <w:sz w:val="24"/>
        </w:rPr>
        <w:t>Gennemførelse</w:t>
      </w:r>
    </w:p>
    <w:p w14:paraId="08FADC81" w14:textId="496520DC" w:rsidR="00E2254B" w:rsidRPr="000458D5" w:rsidRDefault="00B22EEA" w:rsidP="000458D5">
      <w:pPr>
        <w:spacing w:line="240" w:lineRule="auto"/>
        <w:jc w:val="both"/>
        <w:rPr>
          <w:rFonts w:ascii="Times New Roman" w:hAnsi="Times New Roman" w:cs="Times New Roman"/>
          <w:noProof/>
          <w:sz w:val="24"/>
        </w:rPr>
      </w:pPr>
      <w:r>
        <w:rPr>
          <w:rFonts w:ascii="Times New Roman" w:hAnsi="Times New Roman"/>
          <w:noProof/>
          <w:sz w:val="24"/>
        </w:rPr>
        <w:t>Effektiv gennemførelse er nøglen til at opnå dette fulde potentiale. P2B-forordningen håndhæves imidlertid ikke effektivt i alle EU's medlemsstater, og erhvervsbrugeres og onlineformidlingstjenesters viden er utilstrækkelig. Dette forklares nærmere i afsnit 2 nedenfor.</w:t>
      </w:r>
    </w:p>
    <w:p w14:paraId="5157246B" w14:textId="665B9857" w:rsidR="00954428" w:rsidRPr="000458D5" w:rsidRDefault="00B22EEA" w:rsidP="000458D5">
      <w:pPr>
        <w:spacing w:line="240" w:lineRule="auto"/>
        <w:jc w:val="both"/>
        <w:rPr>
          <w:rFonts w:ascii="Times New Roman" w:hAnsi="Times New Roman" w:cs="Times New Roman"/>
          <w:noProof/>
          <w:sz w:val="24"/>
        </w:rPr>
      </w:pPr>
      <w:r>
        <w:rPr>
          <w:rFonts w:ascii="Times New Roman" w:hAnsi="Times New Roman"/>
          <w:noProof/>
          <w:sz w:val="24"/>
        </w:rPr>
        <w:t>Sammenhæng er en af forudsætningerne for effektiv gennemførelse. Den første obligatoriske rapportering om den interne klagebehandlings funktion og effektivitet i henhold til artikel 11, stk. 4, i P2B-forordningen blev kun gennemført af 19 ud af 179 undersøgte onlineformidlingstjenester. Resultaterne af rapporteringen viser, at der er stor forskel på, hvordan udbydere af onlineformidlingstjenester forstår begrebet "klage".</w:t>
      </w:r>
    </w:p>
    <w:p w14:paraId="22CA11AC" w14:textId="373AF9A1" w:rsidR="00954428" w:rsidRPr="000458D5" w:rsidRDefault="00954428" w:rsidP="000458D5">
      <w:pPr>
        <w:spacing w:line="240" w:lineRule="auto"/>
        <w:jc w:val="both"/>
        <w:rPr>
          <w:rFonts w:ascii="Times New Roman" w:hAnsi="Times New Roman" w:cs="Times New Roman"/>
          <w:noProof/>
          <w:sz w:val="24"/>
        </w:rPr>
      </w:pPr>
      <w:bookmarkStart w:id="4" w:name="_Ref118124518"/>
      <w:bookmarkStart w:id="5" w:name="_Toc129771720"/>
      <w:r>
        <w:rPr>
          <w:rFonts w:ascii="Times New Roman" w:hAnsi="Times New Roman"/>
          <w:b/>
          <w:noProof/>
          <w:sz w:val="24"/>
        </w:rPr>
        <w:t>Tabel 1</w:t>
      </w:r>
      <w:bookmarkEnd w:id="4"/>
      <w:r>
        <w:rPr>
          <w:rFonts w:ascii="Times New Roman" w:hAnsi="Times New Roman"/>
          <w:b/>
          <w:noProof/>
          <w:sz w:val="24"/>
        </w:rPr>
        <w:t>. Resumé af udvalgte platformsrapporter om, hvordan klagebehandlingssystemerne fungerer</w:t>
      </w:r>
      <w:bookmarkEnd w:id="5"/>
    </w:p>
    <w:tbl>
      <w:tblPr>
        <w:tblStyle w:val="TableGrid"/>
        <w:tblW w:w="5024" w:type="pct"/>
        <w:tblLayout w:type="fixed"/>
        <w:tblLook w:val="04A0" w:firstRow="1" w:lastRow="0" w:firstColumn="1" w:lastColumn="0" w:noHBand="0" w:noVBand="1"/>
      </w:tblPr>
      <w:tblGrid>
        <w:gridCol w:w="1205"/>
        <w:gridCol w:w="1280"/>
        <w:gridCol w:w="1289"/>
        <w:gridCol w:w="2465"/>
        <w:gridCol w:w="1559"/>
        <w:gridCol w:w="1559"/>
      </w:tblGrid>
      <w:tr w:rsidR="00954428" w:rsidRPr="000458D5" w14:paraId="5D92E6C2" w14:textId="77777777" w:rsidTr="004A5EBD">
        <w:trPr>
          <w:cnfStyle w:val="100000000000" w:firstRow="1" w:lastRow="0" w:firstColumn="0" w:lastColumn="0" w:oddVBand="0" w:evenVBand="0" w:oddHBand="0" w:evenHBand="0" w:firstRowFirstColumn="0" w:firstRowLastColumn="0" w:lastRowFirstColumn="0" w:lastRowLastColumn="0"/>
          <w:trHeight w:val="793"/>
        </w:trPr>
        <w:tc>
          <w:tcPr>
            <w:tcW w:w="1204" w:type="dxa"/>
            <w:noWrap/>
          </w:tcPr>
          <w:p w14:paraId="370965C3" w14:textId="2D682811" w:rsidR="00954428" w:rsidRPr="000458D5" w:rsidRDefault="00954428" w:rsidP="000458D5">
            <w:pPr>
              <w:jc w:val="both"/>
              <w:rPr>
                <w:rFonts w:ascii="Times New Roman" w:hAnsi="Times New Roman"/>
                <w:noProof/>
              </w:rPr>
            </w:pPr>
            <w:r>
              <w:rPr>
                <w:rFonts w:ascii="Times New Roman" w:hAnsi="Times New Roman"/>
                <w:noProof/>
                <w:color w:val="0070C0"/>
              </w:rPr>
              <w:t>Platform</w:t>
            </w:r>
          </w:p>
        </w:tc>
        <w:tc>
          <w:tcPr>
            <w:tcW w:w="1280" w:type="dxa"/>
            <w:noWrap/>
          </w:tcPr>
          <w:p w14:paraId="7E91C34D" w14:textId="0FD5F270" w:rsidR="00954428" w:rsidRPr="000458D5" w:rsidRDefault="00954428" w:rsidP="000458D5">
            <w:pPr>
              <w:jc w:val="both"/>
              <w:rPr>
                <w:rFonts w:ascii="Times New Roman" w:hAnsi="Times New Roman"/>
                <w:noProof/>
              </w:rPr>
            </w:pPr>
            <w:r>
              <w:rPr>
                <w:rFonts w:ascii="Times New Roman" w:hAnsi="Times New Roman"/>
                <w:noProof/>
                <w:color w:val="0070C0"/>
              </w:rPr>
              <w:t>Tidsperiode</w:t>
            </w:r>
          </w:p>
        </w:tc>
        <w:tc>
          <w:tcPr>
            <w:tcW w:w="1289" w:type="dxa"/>
            <w:noWrap/>
          </w:tcPr>
          <w:p w14:paraId="38FE5C88" w14:textId="1DC2797F" w:rsidR="00954428" w:rsidRPr="000458D5" w:rsidRDefault="00954428" w:rsidP="000458D5">
            <w:pPr>
              <w:jc w:val="both"/>
              <w:rPr>
                <w:rFonts w:ascii="Times New Roman" w:hAnsi="Times New Roman"/>
                <w:noProof/>
              </w:rPr>
            </w:pPr>
            <w:r>
              <w:rPr>
                <w:rFonts w:ascii="Times New Roman" w:hAnsi="Times New Roman"/>
                <w:noProof/>
                <w:color w:val="0070C0"/>
              </w:rPr>
              <w:t>Antal indgivne klager</w:t>
            </w:r>
          </w:p>
        </w:tc>
        <w:tc>
          <w:tcPr>
            <w:tcW w:w="2465" w:type="dxa"/>
          </w:tcPr>
          <w:p w14:paraId="1130951E" w14:textId="48BBC990" w:rsidR="00954428" w:rsidRPr="000458D5" w:rsidRDefault="00954428" w:rsidP="000458D5">
            <w:pPr>
              <w:jc w:val="both"/>
              <w:rPr>
                <w:rFonts w:ascii="Times New Roman" w:hAnsi="Times New Roman"/>
                <w:noProof/>
              </w:rPr>
            </w:pPr>
            <w:r>
              <w:rPr>
                <w:rFonts w:ascii="Times New Roman" w:hAnsi="Times New Roman"/>
                <w:noProof/>
                <w:color w:val="0070C0"/>
              </w:rPr>
              <w:t>Vigtigste typer klager</w:t>
            </w:r>
          </w:p>
        </w:tc>
        <w:tc>
          <w:tcPr>
            <w:tcW w:w="1559" w:type="dxa"/>
            <w:noWrap/>
          </w:tcPr>
          <w:p w14:paraId="0FD54CDC" w14:textId="67307DA4" w:rsidR="00954428" w:rsidRPr="000458D5" w:rsidRDefault="00954428" w:rsidP="000458D5">
            <w:pPr>
              <w:jc w:val="both"/>
              <w:rPr>
                <w:rFonts w:ascii="Times New Roman" w:hAnsi="Times New Roman"/>
                <w:noProof/>
              </w:rPr>
            </w:pPr>
            <w:r>
              <w:rPr>
                <w:rFonts w:ascii="Times New Roman" w:hAnsi="Times New Roman"/>
                <w:noProof/>
                <w:color w:val="0070C0"/>
              </w:rPr>
              <w:t xml:space="preserve">Gennemsnitlig behandlingstid </w:t>
            </w:r>
          </w:p>
        </w:tc>
        <w:tc>
          <w:tcPr>
            <w:tcW w:w="1559" w:type="dxa"/>
          </w:tcPr>
          <w:p w14:paraId="04F246CD" w14:textId="4A50DEBC" w:rsidR="00954428" w:rsidRPr="000458D5" w:rsidRDefault="00954428" w:rsidP="000458D5">
            <w:pPr>
              <w:jc w:val="both"/>
              <w:rPr>
                <w:rFonts w:ascii="Times New Roman" w:hAnsi="Times New Roman"/>
                <w:noProof/>
              </w:rPr>
            </w:pPr>
            <w:r>
              <w:rPr>
                <w:rFonts w:ascii="Times New Roman" w:hAnsi="Times New Roman"/>
                <w:noProof/>
                <w:color w:val="0070C0"/>
              </w:rPr>
              <w:t xml:space="preserve">Resultat </w:t>
            </w:r>
          </w:p>
        </w:tc>
      </w:tr>
      <w:tr w:rsidR="00954428" w:rsidRPr="000458D5" w14:paraId="603DCCAD" w14:textId="77777777" w:rsidTr="004A5EBD">
        <w:trPr>
          <w:trHeight w:val="62"/>
        </w:trPr>
        <w:tc>
          <w:tcPr>
            <w:tcW w:w="1204" w:type="dxa"/>
            <w:noWrap/>
            <w:hideMark/>
          </w:tcPr>
          <w:p w14:paraId="76E28B4B" w14:textId="77777777" w:rsidR="00954428" w:rsidRPr="000458D5" w:rsidRDefault="00954428" w:rsidP="000458D5">
            <w:pPr>
              <w:jc w:val="both"/>
              <w:rPr>
                <w:rFonts w:ascii="Times New Roman" w:hAnsi="Times New Roman"/>
                <w:noProof/>
              </w:rPr>
            </w:pPr>
            <w:r>
              <w:rPr>
                <w:rFonts w:ascii="Times New Roman" w:hAnsi="Times New Roman"/>
                <w:noProof/>
              </w:rPr>
              <w:t>Apple</w:t>
            </w:r>
          </w:p>
        </w:tc>
        <w:tc>
          <w:tcPr>
            <w:tcW w:w="1280" w:type="dxa"/>
            <w:noWrap/>
            <w:hideMark/>
          </w:tcPr>
          <w:p w14:paraId="6C06C18B" w14:textId="77777777" w:rsidR="00954428" w:rsidRPr="000458D5" w:rsidRDefault="00954428" w:rsidP="000458D5">
            <w:pPr>
              <w:jc w:val="both"/>
              <w:rPr>
                <w:rFonts w:ascii="Times New Roman" w:hAnsi="Times New Roman"/>
                <w:noProof/>
              </w:rPr>
            </w:pPr>
            <w:r>
              <w:rPr>
                <w:rFonts w:ascii="Times New Roman" w:hAnsi="Times New Roman"/>
                <w:noProof/>
              </w:rPr>
              <w:t>Juli 2020 — juli 2021</w:t>
            </w:r>
          </w:p>
        </w:tc>
        <w:tc>
          <w:tcPr>
            <w:tcW w:w="1289" w:type="dxa"/>
            <w:noWrap/>
            <w:hideMark/>
          </w:tcPr>
          <w:p w14:paraId="5A3BD0BB" w14:textId="77777777" w:rsidR="00954428" w:rsidRPr="000458D5" w:rsidRDefault="00954428" w:rsidP="000458D5">
            <w:pPr>
              <w:jc w:val="both"/>
              <w:rPr>
                <w:rFonts w:ascii="Times New Roman" w:hAnsi="Times New Roman"/>
                <w:noProof/>
              </w:rPr>
            </w:pPr>
            <w:r>
              <w:rPr>
                <w:rFonts w:ascii="Times New Roman" w:hAnsi="Times New Roman"/>
                <w:noProof/>
              </w:rPr>
              <w:t>12</w:t>
            </w:r>
          </w:p>
        </w:tc>
        <w:tc>
          <w:tcPr>
            <w:tcW w:w="2465" w:type="dxa"/>
            <w:hideMark/>
          </w:tcPr>
          <w:p w14:paraId="43C36AAD" w14:textId="77777777" w:rsidR="00954428" w:rsidRPr="000458D5" w:rsidRDefault="00954428" w:rsidP="000458D5">
            <w:pPr>
              <w:jc w:val="both"/>
              <w:rPr>
                <w:rFonts w:ascii="Times New Roman" w:hAnsi="Times New Roman"/>
                <w:noProof/>
              </w:rPr>
            </w:pPr>
            <w:r>
              <w:rPr>
                <w:rFonts w:ascii="Times New Roman" w:hAnsi="Times New Roman"/>
                <w:noProof/>
              </w:rPr>
              <w:t>Afgørelser om at begrænse, suspendere eller fjerne apps og udviklere</w:t>
            </w:r>
          </w:p>
        </w:tc>
        <w:tc>
          <w:tcPr>
            <w:tcW w:w="1559" w:type="dxa"/>
            <w:noWrap/>
            <w:hideMark/>
          </w:tcPr>
          <w:p w14:paraId="3AE05965" w14:textId="77777777" w:rsidR="00954428" w:rsidRPr="000458D5" w:rsidRDefault="00954428" w:rsidP="000458D5">
            <w:pPr>
              <w:jc w:val="both"/>
              <w:rPr>
                <w:rFonts w:ascii="Times New Roman" w:hAnsi="Times New Roman"/>
                <w:noProof/>
              </w:rPr>
            </w:pPr>
            <w:r>
              <w:rPr>
                <w:rFonts w:ascii="Times New Roman" w:hAnsi="Times New Roman"/>
                <w:noProof/>
              </w:rPr>
              <w:t>11,25 dage</w:t>
            </w:r>
          </w:p>
        </w:tc>
        <w:tc>
          <w:tcPr>
            <w:tcW w:w="1559" w:type="dxa"/>
            <w:hideMark/>
          </w:tcPr>
          <w:p w14:paraId="4BD25CC5" w14:textId="77777777" w:rsidR="00954428" w:rsidRPr="000458D5" w:rsidRDefault="00954428" w:rsidP="000458D5">
            <w:pPr>
              <w:jc w:val="both"/>
              <w:rPr>
                <w:rFonts w:ascii="Times New Roman" w:hAnsi="Times New Roman"/>
                <w:noProof/>
              </w:rPr>
            </w:pPr>
            <w:r>
              <w:rPr>
                <w:rFonts w:ascii="Times New Roman" w:hAnsi="Times New Roman"/>
                <w:noProof/>
              </w:rPr>
              <w:t>I to tilfælde blev apps genoprettet, andre vedrørte gentagne overtrædelser</w:t>
            </w:r>
          </w:p>
        </w:tc>
      </w:tr>
      <w:tr w:rsidR="00954428" w:rsidRPr="000458D5" w14:paraId="37B6119C" w14:textId="77777777" w:rsidTr="004A5EBD">
        <w:trPr>
          <w:trHeight w:val="869"/>
        </w:trPr>
        <w:tc>
          <w:tcPr>
            <w:tcW w:w="1204" w:type="dxa"/>
            <w:noWrap/>
          </w:tcPr>
          <w:p w14:paraId="117A638F" w14:textId="77777777" w:rsidR="00954428" w:rsidRPr="000458D5" w:rsidRDefault="00954428" w:rsidP="000458D5">
            <w:pPr>
              <w:jc w:val="both"/>
              <w:rPr>
                <w:rFonts w:ascii="Times New Roman" w:hAnsi="Times New Roman"/>
                <w:noProof/>
              </w:rPr>
            </w:pPr>
            <w:r>
              <w:rPr>
                <w:rFonts w:ascii="Times New Roman" w:hAnsi="Times New Roman"/>
                <w:noProof/>
              </w:rPr>
              <w:t>Google (inkl. YouTube)</w:t>
            </w:r>
          </w:p>
        </w:tc>
        <w:tc>
          <w:tcPr>
            <w:tcW w:w="1280" w:type="dxa"/>
            <w:noWrap/>
          </w:tcPr>
          <w:p w14:paraId="1F4A1AE6" w14:textId="62F02FD3" w:rsidR="00954428" w:rsidRPr="000458D5" w:rsidRDefault="00954428" w:rsidP="000458D5">
            <w:pPr>
              <w:jc w:val="both"/>
              <w:rPr>
                <w:rFonts w:ascii="Times New Roman" w:hAnsi="Times New Roman"/>
                <w:noProof/>
              </w:rPr>
            </w:pPr>
            <w:r>
              <w:rPr>
                <w:rFonts w:ascii="Times New Roman" w:hAnsi="Times New Roman"/>
                <w:noProof/>
              </w:rPr>
              <w:t>Juli 2020 — juli 2021</w:t>
            </w:r>
          </w:p>
        </w:tc>
        <w:tc>
          <w:tcPr>
            <w:tcW w:w="1289" w:type="dxa"/>
            <w:noWrap/>
          </w:tcPr>
          <w:p w14:paraId="78F6BB00" w14:textId="277BC5A5" w:rsidR="00954428" w:rsidRPr="000458D5" w:rsidRDefault="00954428" w:rsidP="000458D5">
            <w:pPr>
              <w:jc w:val="both"/>
              <w:rPr>
                <w:rFonts w:ascii="Times New Roman" w:hAnsi="Times New Roman"/>
                <w:noProof/>
              </w:rPr>
            </w:pPr>
            <w:r>
              <w:rPr>
                <w:rFonts w:ascii="Times New Roman" w:hAnsi="Times New Roman"/>
                <w:noProof/>
              </w:rPr>
              <w:t>3 263 776</w:t>
            </w:r>
          </w:p>
        </w:tc>
        <w:tc>
          <w:tcPr>
            <w:tcW w:w="2465" w:type="dxa"/>
          </w:tcPr>
          <w:p w14:paraId="2C70D9D9" w14:textId="77777777" w:rsidR="00954428" w:rsidRPr="000458D5" w:rsidRDefault="00954428" w:rsidP="000458D5">
            <w:pPr>
              <w:jc w:val="both"/>
              <w:rPr>
                <w:rFonts w:ascii="Times New Roman" w:hAnsi="Times New Roman"/>
                <w:noProof/>
              </w:rPr>
            </w:pPr>
            <w:r>
              <w:rPr>
                <w:rFonts w:ascii="Times New Roman" w:hAnsi="Times New Roman"/>
                <w:noProof/>
              </w:rPr>
              <w:t>Klager over afgørelser om håndhævelse af politikker vedrørende erhvervsbrugeres konti, indhold eller varer eller tjenesteydelser (87 %), klager over platformspolitikker (4 %), tekniske spørgsmål vedrørende app/platform (3 %), kontoforvaltning (3 %), verifikationsproces (1 %), diverse (2 %)</w:t>
            </w:r>
          </w:p>
        </w:tc>
        <w:tc>
          <w:tcPr>
            <w:tcW w:w="1559" w:type="dxa"/>
            <w:noWrap/>
          </w:tcPr>
          <w:p w14:paraId="00623493" w14:textId="77777777" w:rsidR="00954428" w:rsidRPr="000458D5" w:rsidRDefault="00954428" w:rsidP="000458D5">
            <w:pPr>
              <w:jc w:val="both"/>
              <w:rPr>
                <w:rFonts w:ascii="Times New Roman" w:hAnsi="Times New Roman"/>
                <w:noProof/>
              </w:rPr>
            </w:pPr>
            <w:r>
              <w:rPr>
                <w:rFonts w:ascii="Times New Roman" w:hAnsi="Times New Roman"/>
                <w:noProof/>
              </w:rPr>
              <w:t>Inden for 24 timer (71 %), 24-48 timer (9 %), mere end 2 dage, men mindre end en uge (14 %), 1 uge eller mere (6 %)</w:t>
            </w:r>
          </w:p>
        </w:tc>
        <w:tc>
          <w:tcPr>
            <w:tcW w:w="1559" w:type="dxa"/>
            <w:noWrap/>
          </w:tcPr>
          <w:p w14:paraId="52879D9A" w14:textId="77777777" w:rsidR="00954428" w:rsidRPr="000458D5" w:rsidRDefault="00954428" w:rsidP="000458D5">
            <w:pPr>
              <w:jc w:val="both"/>
              <w:rPr>
                <w:rFonts w:ascii="Times New Roman" w:hAnsi="Times New Roman"/>
                <w:noProof/>
              </w:rPr>
            </w:pPr>
            <w:r>
              <w:rPr>
                <w:rFonts w:ascii="Times New Roman" w:hAnsi="Times New Roman"/>
                <w:noProof/>
              </w:rPr>
              <w:t>Håndhævelsesafgørelse stadfæstet (51 %), håndhævelsesafgørelse omstødt (26 %), problem løst (20 %), andet 3 %</w:t>
            </w:r>
          </w:p>
        </w:tc>
      </w:tr>
      <w:tr w:rsidR="00954428" w:rsidRPr="000458D5" w14:paraId="7E2B9851" w14:textId="77777777" w:rsidTr="004A5EBD">
        <w:trPr>
          <w:trHeight w:val="171"/>
        </w:trPr>
        <w:tc>
          <w:tcPr>
            <w:tcW w:w="1204" w:type="dxa"/>
            <w:noWrap/>
            <w:hideMark/>
          </w:tcPr>
          <w:p w14:paraId="0406569C" w14:textId="77777777" w:rsidR="00954428" w:rsidRPr="000458D5" w:rsidRDefault="00954428" w:rsidP="000458D5">
            <w:pPr>
              <w:jc w:val="both"/>
              <w:rPr>
                <w:rFonts w:ascii="Times New Roman" w:hAnsi="Times New Roman"/>
                <w:noProof/>
              </w:rPr>
            </w:pPr>
            <w:r>
              <w:rPr>
                <w:rFonts w:ascii="Times New Roman" w:hAnsi="Times New Roman"/>
                <w:noProof/>
              </w:rPr>
              <w:t>Amazon</w:t>
            </w:r>
          </w:p>
        </w:tc>
        <w:tc>
          <w:tcPr>
            <w:tcW w:w="1280" w:type="dxa"/>
            <w:noWrap/>
            <w:hideMark/>
          </w:tcPr>
          <w:p w14:paraId="02354B2F" w14:textId="77777777" w:rsidR="00954428" w:rsidRPr="000458D5" w:rsidRDefault="00954428" w:rsidP="000458D5">
            <w:pPr>
              <w:jc w:val="both"/>
              <w:rPr>
                <w:rFonts w:ascii="Times New Roman" w:hAnsi="Times New Roman"/>
                <w:noProof/>
              </w:rPr>
            </w:pPr>
            <w:r>
              <w:rPr>
                <w:rFonts w:ascii="Times New Roman" w:hAnsi="Times New Roman"/>
                <w:noProof/>
              </w:rPr>
              <w:t>2020</w:t>
            </w:r>
          </w:p>
        </w:tc>
        <w:tc>
          <w:tcPr>
            <w:tcW w:w="1289" w:type="dxa"/>
            <w:noWrap/>
            <w:hideMark/>
          </w:tcPr>
          <w:p w14:paraId="5191F981" w14:textId="525A0BFA" w:rsidR="00954428" w:rsidRPr="000458D5" w:rsidRDefault="00954428" w:rsidP="000458D5">
            <w:pPr>
              <w:jc w:val="both"/>
              <w:rPr>
                <w:rFonts w:ascii="Times New Roman" w:hAnsi="Times New Roman"/>
                <w:noProof/>
              </w:rPr>
            </w:pPr>
            <w:r>
              <w:rPr>
                <w:rFonts w:ascii="Times New Roman" w:hAnsi="Times New Roman"/>
                <w:noProof/>
              </w:rPr>
              <w:t>284 577</w:t>
            </w:r>
          </w:p>
        </w:tc>
        <w:tc>
          <w:tcPr>
            <w:tcW w:w="2465" w:type="dxa"/>
            <w:hideMark/>
          </w:tcPr>
          <w:p w14:paraId="681DA2E1" w14:textId="6AC37D1D" w:rsidR="00954428" w:rsidRPr="000458D5" w:rsidRDefault="00954428" w:rsidP="000458D5">
            <w:pPr>
              <w:jc w:val="both"/>
              <w:rPr>
                <w:rFonts w:ascii="Times New Roman" w:hAnsi="Times New Roman"/>
                <w:noProof/>
              </w:rPr>
            </w:pPr>
            <w:r>
              <w:rPr>
                <w:rFonts w:ascii="Times New Roman" w:hAnsi="Times New Roman"/>
                <w:noProof/>
              </w:rPr>
              <w:t>Produktudstilling og -lister (65 %) FBA</w:t>
            </w:r>
            <w:r>
              <w:rPr>
                <w:rStyle w:val="FootnoteReference"/>
                <w:rFonts w:ascii="Times New Roman" w:hAnsi="Times New Roman"/>
                <w:noProof/>
              </w:rPr>
              <w:footnoteReference w:id="12"/>
            </w:r>
            <w:r>
              <w:rPr>
                <w:rFonts w:ascii="Times New Roman" w:hAnsi="Times New Roman"/>
                <w:noProof/>
              </w:rPr>
              <w:t>, påbud og tilbagebetalinger (23 %), registrering, adgang til konto og indstillinger (6 %), reklame- og tillægstjenester (5 %)</w:t>
            </w:r>
          </w:p>
        </w:tc>
        <w:tc>
          <w:tcPr>
            <w:tcW w:w="1559" w:type="dxa"/>
            <w:noWrap/>
            <w:hideMark/>
          </w:tcPr>
          <w:p w14:paraId="53FE7A7D" w14:textId="77777777" w:rsidR="00954428" w:rsidRPr="000458D5" w:rsidRDefault="00954428" w:rsidP="000458D5">
            <w:pPr>
              <w:jc w:val="both"/>
              <w:rPr>
                <w:rFonts w:ascii="Times New Roman" w:hAnsi="Times New Roman"/>
                <w:noProof/>
              </w:rPr>
            </w:pPr>
            <w:r>
              <w:rPr>
                <w:rFonts w:ascii="Times New Roman" w:hAnsi="Times New Roman"/>
                <w:noProof/>
              </w:rPr>
              <w:t>3,7 dage</w:t>
            </w:r>
          </w:p>
        </w:tc>
        <w:tc>
          <w:tcPr>
            <w:tcW w:w="1559" w:type="dxa"/>
            <w:noWrap/>
            <w:hideMark/>
          </w:tcPr>
          <w:p w14:paraId="64ADE4B3" w14:textId="638A6922" w:rsidR="00954428" w:rsidRPr="000458D5" w:rsidRDefault="00954428" w:rsidP="000458D5">
            <w:pPr>
              <w:jc w:val="both"/>
              <w:rPr>
                <w:rFonts w:ascii="Times New Roman" w:hAnsi="Times New Roman"/>
                <w:noProof/>
              </w:rPr>
            </w:pPr>
            <w:r>
              <w:rPr>
                <w:rFonts w:ascii="Times New Roman" w:hAnsi="Times New Roman"/>
                <w:noProof/>
              </w:rPr>
              <w:t>90 % blev løst til sælgerens tilfredshed</w:t>
            </w:r>
          </w:p>
        </w:tc>
      </w:tr>
      <w:tr w:rsidR="00954428" w:rsidRPr="000458D5" w14:paraId="27A4DA83" w14:textId="77777777" w:rsidTr="004A5EBD">
        <w:trPr>
          <w:trHeight w:val="956"/>
        </w:trPr>
        <w:tc>
          <w:tcPr>
            <w:tcW w:w="1204" w:type="dxa"/>
            <w:noWrap/>
            <w:hideMark/>
          </w:tcPr>
          <w:p w14:paraId="447F4E0D" w14:textId="77777777" w:rsidR="00954428" w:rsidRPr="000458D5" w:rsidRDefault="00954428" w:rsidP="000458D5">
            <w:pPr>
              <w:jc w:val="both"/>
              <w:rPr>
                <w:rFonts w:ascii="Times New Roman" w:hAnsi="Times New Roman"/>
                <w:noProof/>
              </w:rPr>
            </w:pPr>
            <w:r>
              <w:rPr>
                <w:rFonts w:ascii="Times New Roman" w:hAnsi="Times New Roman"/>
                <w:noProof/>
              </w:rPr>
              <w:t>Facebook</w:t>
            </w:r>
          </w:p>
        </w:tc>
        <w:tc>
          <w:tcPr>
            <w:tcW w:w="1280" w:type="dxa"/>
            <w:noWrap/>
            <w:hideMark/>
          </w:tcPr>
          <w:p w14:paraId="62E217FF" w14:textId="77777777" w:rsidR="00954428" w:rsidRPr="000458D5" w:rsidRDefault="00954428" w:rsidP="000458D5">
            <w:pPr>
              <w:jc w:val="both"/>
              <w:rPr>
                <w:rFonts w:ascii="Times New Roman" w:hAnsi="Times New Roman"/>
                <w:noProof/>
              </w:rPr>
            </w:pPr>
            <w:r>
              <w:rPr>
                <w:rFonts w:ascii="Times New Roman" w:hAnsi="Times New Roman"/>
                <w:noProof/>
              </w:rPr>
              <w:t>Juli 2021 — juli 2022</w:t>
            </w:r>
          </w:p>
        </w:tc>
        <w:tc>
          <w:tcPr>
            <w:tcW w:w="1289" w:type="dxa"/>
            <w:noWrap/>
            <w:hideMark/>
          </w:tcPr>
          <w:p w14:paraId="16BF7239" w14:textId="77777777" w:rsidR="00954428" w:rsidRPr="000458D5" w:rsidRDefault="00954428" w:rsidP="000458D5">
            <w:pPr>
              <w:jc w:val="both"/>
              <w:rPr>
                <w:rFonts w:ascii="Times New Roman" w:hAnsi="Times New Roman"/>
                <w:noProof/>
              </w:rPr>
            </w:pPr>
            <w:r>
              <w:rPr>
                <w:rFonts w:ascii="Times New Roman" w:hAnsi="Times New Roman"/>
                <w:noProof/>
              </w:rPr>
              <w:t>209</w:t>
            </w:r>
          </w:p>
        </w:tc>
        <w:tc>
          <w:tcPr>
            <w:tcW w:w="2465" w:type="dxa"/>
            <w:hideMark/>
          </w:tcPr>
          <w:p w14:paraId="498DAD5A" w14:textId="77777777" w:rsidR="00954428" w:rsidRPr="000458D5" w:rsidRDefault="00954428" w:rsidP="000458D5">
            <w:pPr>
              <w:jc w:val="both"/>
              <w:rPr>
                <w:rFonts w:ascii="Times New Roman" w:hAnsi="Times New Roman"/>
                <w:noProof/>
              </w:rPr>
            </w:pPr>
            <w:r>
              <w:rPr>
                <w:rFonts w:ascii="Times New Roman" w:hAnsi="Times New Roman"/>
                <w:noProof/>
              </w:rPr>
              <w:t>Manglende overholdelse (109), teknologiske spørgsmål (86), andet (14)</w:t>
            </w:r>
          </w:p>
        </w:tc>
        <w:tc>
          <w:tcPr>
            <w:tcW w:w="1559" w:type="dxa"/>
            <w:noWrap/>
            <w:hideMark/>
          </w:tcPr>
          <w:p w14:paraId="5B403BD2" w14:textId="77777777" w:rsidR="00954428" w:rsidRPr="000458D5" w:rsidRDefault="00954428" w:rsidP="000458D5">
            <w:pPr>
              <w:jc w:val="both"/>
              <w:rPr>
                <w:rFonts w:ascii="Times New Roman" w:hAnsi="Times New Roman"/>
                <w:noProof/>
              </w:rPr>
            </w:pPr>
            <w:r>
              <w:rPr>
                <w:rFonts w:ascii="Times New Roman" w:hAnsi="Times New Roman"/>
                <w:noProof/>
              </w:rPr>
              <w:t>57,5 timer</w:t>
            </w:r>
          </w:p>
        </w:tc>
        <w:tc>
          <w:tcPr>
            <w:tcW w:w="1559" w:type="dxa"/>
            <w:noWrap/>
            <w:hideMark/>
          </w:tcPr>
          <w:p w14:paraId="4A43D73B" w14:textId="77777777" w:rsidR="00954428" w:rsidRPr="000458D5" w:rsidRDefault="00954428" w:rsidP="000458D5">
            <w:pPr>
              <w:jc w:val="both"/>
              <w:rPr>
                <w:rFonts w:ascii="Times New Roman" w:hAnsi="Times New Roman"/>
                <w:noProof/>
              </w:rPr>
            </w:pPr>
            <w:r>
              <w:rPr>
                <w:rFonts w:ascii="Times New Roman" w:hAnsi="Times New Roman"/>
                <w:noProof/>
              </w:rPr>
              <w:t>186 klager løst</w:t>
            </w:r>
          </w:p>
        </w:tc>
      </w:tr>
      <w:tr w:rsidR="00954428" w:rsidRPr="000458D5" w14:paraId="5758C5FB" w14:textId="77777777" w:rsidTr="004A5EBD">
        <w:trPr>
          <w:trHeight w:val="869"/>
        </w:trPr>
        <w:tc>
          <w:tcPr>
            <w:tcW w:w="1204" w:type="dxa"/>
            <w:noWrap/>
          </w:tcPr>
          <w:p w14:paraId="3C65F784"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Vinted</w:t>
            </w:r>
          </w:p>
        </w:tc>
        <w:tc>
          <w:tcPr>
            <w:tcW w:w="1280" w:type="dxa"/>
            <w:noWrap/>
          </w:tcPr>
          <w:p w14:paraId="2ED54989"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2021</w:t>
            </w:r>
          </w:p>
        </w:tc>
        <w:tc>
          <w:tcPr>
            <w:tcW w:w="1289" w:type="dxa"/>
            <w:noWrap/>
          </w:tcPr>
          <w:p w14:paraId="4772EAA8" w14:textId="4FF02C18"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15 427</w:t>
            </w:r>
          </w:p>
        </w:tc>
        <w:tc>
          <w:tcPr>
            <w:tcW w:w="2465" w:type="dxa"/>
          </w:tcPr>
          <w:p w14:paraId="1EA0F95D" w14:textId="4B6A546A"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Ordrens kvalitet (2 636), katalogartikler (1 515), forsendelse og levering (3 008), betalinger og sikkerhed (6 673), anvendelighed (1 595)</w:t>
            </w:r>
          </w:p>
        </w:tc>
        <w:tc>
          <w:tcPr>
            <w:tcW w:w="1559" w:type="dxa"/>
            <w:noWrap/>
          </w:tcPr>
          <w:p w14:paraId="208B1F75"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1,6 dage</w:t>
            </w:r>
          </w:p>
        </w:tc>
        <w:tc>
          <w:tcPr>
            <w:tcW w:w="1559" w:type="dxa"/>
            <w:noWrap/>
          </w:tcPr>
          <w:p w14:paraId="14428799"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rPr>
              <w:t>Ikke oplyst</w:t>
            </w:r>
          </w:p>
        </w:tc>
      </w:tr>
      <w:tr w:rsidR="00954428" w:rsidRPr="000458D5" w14:paraId="42FEA31B" w14:textId="77777777" w:rsidTr="004A5EBD">
        <w:trPr>
          <w:trHeight w:val="869"/>
        </w:trPr>
        <w:tc>
          <w:tcPr>
            <w:tcW w:w="1204" w:type="dxa"/>
            <w:noWrap/>
          </w:tcPr>
          <w:p w14:paraId="03B02061"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Apple App Store</w:t>
            </w:r>
          </w:p>
        </w:tc>
        <w:tc>
          <w:tcPr>
            <w:tcW w:w="1280" w:type="dxa"/>
            <w:noWrap/>
          </w:tcPr>
          <w:p w14:paraId="16D6D5D3"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13. juli 2021 — 12. juli 2022</w:t>
            </w:r>
          </w:p>
        </w:tc>
        <w:tc>
          <w:tcPr>
            <w:tcW w:w="1289" w:type="dxa"/>
            <w:noWrap/>
          </w:tcPr>
          <w:p w14:paraId="4AD5B60D"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64</w:t>
            </w:r>
          </w:p>
        </w:tc>
        <w:tc>
          <w:tcPr>
            <w:tcW w:w="2465" w:type="dxa"/>
          </w:tcPr>
          <w:p w14:paraId="03B5E59F" w14:textId="1BEC7CC1"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Det oprindelige søgsmål om begrænsning, suspension eller ophævelse blev taget til følge i 60 ud af 64 sager</w:t>
            </w:r>
          </w:p>
        </w:tc>
        <w:tc>
          <w:tcPr>
            <w:tcW w:w="1559" w:type="dxa"/>
            <w:noWrap/>
          </w:tcPr>
          <w:p w14:paraId="7436B084" w14:textId="77777777" w:rsidR="00954428" w:rsidRPr="000458D5" w:rsidRDefault="00954428" w:rsidP="000458D5">
            <w:pPr>
              <w:jc w:val="both"/>
              <w:rPr>
                <w:rFonts w:ascii="Times New Roman" w:hAnsi="Times New Roman"/>
                <w:noProof/>
                <w:color w:val="000000" w:themeColor="text1"/>
              </w:rPr>
            </w:pPr>
            <w:r>
              <w:rPr>
                <w:rFonts w:ascii="Times New Roman" w:hAnsi="Times New Roman"/>
                <w:noProof/>
                <w:color w:val="000000" w:themeColor="text1"/>
              </w:rPr>
              <w:t>4,83 dage</w:t>
            </w:r>
          </w:p>
        </w:tc>
        <w:tc>
          <w:tcPr>
            <w:tcW w:w="1559" w:type="dxa"/>
            <w:noWrap/>
          </w:tcPr>
          <w:p w14:paraId="711EBB26" w14:textId="77777777" w:rsidR="00954428" w:rsidRPr="000458D5" w:rsidRDefault="00954428" w:rsidP="000458D5">
            <w:pPr>
              <w:jc w:val="both"/>
              <w:rPr>
                <w:rFonts w:ascii="Times New Roman" w:hAnsi="Times New Roman"/>
                <w:b/>
                <w:noProof/>
                <w:color w:val="000000" w:themeColor="text1"/>
              </w:rPr>
            </w:pPr>
            <w:r>
              <w:rPr>
                <w:rFonts w:ascii="Times New Roman" w:hAnsi="Times New Roman"/>
                <w:noProof/>
              </w:rPr>
              <w:t>Ikke oplyst</w:t>
            </w:r>
          </w:p>
        </w:tc>
      </w:tr>
    </w:tbl>
    <w:p w14:paraId="1AE631D7" w14:textId="77777777" w:rsidR="00954428" w:rsidRPr="000458D5" w:rsidRDefault="00954428" w:rsidP="000458D5">
      <w:pPr>
        <w:spacing w:line="240" w:lineRule="auto"/>
        <w:jc w:val="both"/>
        <w:rPr>
          <w:rFonts w:ascii="Times New Roman" w:hAnsi="Times New Roman" w:cs="Times New Roman"/>
          <w:noProof/>
          <w:sz w:val="24"/>
        </w:rPr>
      </w:pPr>
    </w:p>
    <w:p w14:paraId="0C067A87" w14:textId="533748ED" w:rsidR="00D9177B" w:rsidRPr="000458D5" w:rsidRDefault="00045443" w:rsidP="000458D5">
      <w:pPr>
        <w:spacing w:line="240" w:lineRule="auto"/>
        <w:jc w:val="both"/>
        <w:rPr>
          <w:rFonts w:ascii="Times New Roman" w:hAnsi="Times New Roman" w:cs="Times New Roman"/>
          <w:noProof/>
          <w:sz w:val="24"/>
        </w:rPr>
      </w:pPr>
      <w:r>
        <w:rPr>
          <w:rFonts w:ascii="Times New Roman" w:hAnsi="Times New Roman"/>
          <w:noProof/>
          <w:sz w:val="24"/>
        </w:rPr>
        <w:t>Denne store forskel i antallet af klager og resultaterne heraf (12 klager vedrørende Apple, hvoraf kun to blev omstødt, og over 3 millioner klager vedrørende Google, hvoraf 26 % blev omstødt) tyder på, at udbydere af onlineformidlingstjenester har meget forskellige fortolkninger af begrebet "klage", og at nogle muligvis ikke overholder denne forpligtelse. I denne henseende har P2B-forordningens artikel 11 et meget bredt anvendelsesområde, der omfatter "foranstaltninger, der er truffet af, eller adfærd hos den pågældende udbyder, som direkte vedrører levering af onlineformidlingstjenester og har konsekvenser for klageren", samt "teknologiske spørgsmål, som direkte vedrører levering af onlineformidlingstjenester, og som har betydning for klageren".</w:t>
      </w:r>
    </w:p>
    <w:p w14:paraId="264974A5" w14:textId="65CCA24D" w:rsidR="00E2254B" w:rsidRPr="000458D5" w:rsidRDefault="00E2254B" w:rsidP="000458D5">
      <w:pPr>
        <w:spacing w:line="240" w:lineRule="auto"/>
        <w:jc w:val="both"/>
        <w:rPr>
          <w:rFonts w:ascii="Times New Roman" w:hAnsi="Times New Roman" w:cs="Times New Roman"/>
          <w:noProof/>
          <w:sz w:val="24"/>
        </w:rPr>
      </w:pPr>
      <w:r>
        <w:rPr>
          <w:rFonts w:ascii="Times New Roman" w:hAnsi="Times New Roman"/>
          <w:noProof/>
          <w:sz w:val="24"/>
        </w:rPr>
        <w:t>Øget bevidsthed blandt erhvervsbrugere vil også øge efterspørgslen efter uafhængige og upartiske mæglere med øget specialviden om forbindelserne mellem platforme og virksomheder. Dette ville skyldes, at flere udbydere af onlineformidlingstjenester forsøger at overholde artikel 12 i P2B-forordningen. På nuværende tidspunkt angiver kun 25 af de 179 store og mellemstore onlineformidlingstjenester navnet på mindst to mæglere i deres vilkår og betingelser til erhvervsbrugere</w:t>
      </w:r>
      <w:r>
        <w:rPr>
          <w:rStyle w:val="FootnoteReference"/>
          <w:rFonts w:ascii="Times New Roman" w:hAnsi="Times New Roman" w:cs="Times New Roman"/>
          <w:noProof/>
          <w:sz w:val="24"/>
        </w:rPr>
        <w:footnoteReference w:id="13"/>
      </w:r>
      <w:r>
        <w:rPr>
          <w:rFonts w:ascii="Times New Roman" w:hAnsi="Times New Roman"/>
          <w:noProof/>
          <w:sz w:val="24"/>
        </w:rPr>
        <w:t xml:space="preserve">. Yderligere 35 onlineformidlingstjenester nævner kun én mæglingsorganisation i deres vilkår og betingelser. Størstedelen af denne anden gruppe henviser også til den samme mæglingsorganisation, som tilfældigvis har hjemsted uden for EU. </w:t>
      </w:r>
    </w:p>
    <w:p w14:paraId="29E197D1" w14:textId="715E01F7" w:rsidR="00751235" w:rsidRPr="000458D5" w:rsidRDefault="008C14BF" w:rsidP="000458D5">
      <w:pPr>
        <w:spacing w:line="240" w:lineRule="auto"/>
        <w:jc w:val="both"/>
        <w:rPr>
          <w:rFonts w:ascii="Times New Roman" w:hAnsi="Times New Roman" w:cs="Times New Roman"/>
          <w:noProof/>
          <w:sz w:val="24"/>
        </w:rPr>
      </w:pPr>
      <w:r>
        <w:rPr>
          <w:rFonts w:ascii="Times New Roman" w:hAnsi="Times New Roman"/>
          <w:noProof/>
          <w:sz w:val="24"/>
        </w:rPr>
        <w:t xml:space="preserve">Kommissionen er ikke bekendt med onlineformidlingstjenester, der i fællesskab opretter specialiserede mæglingsorganer, som anbefalet i artikel 13 i P2B-forordningen. Dette tyder på, at der til dato kun er et meget begrænset antal specialiserede mæglere, der er aktive inden for forbindelserne mellem platforme og virksomheder.   </w:t>
      </w:r>
    </w:p>
    <w:p w14:paraId="2C84F79B" w14:textId="24BEFE3B" w:rsidR="008C14BF" w:rsidRPr="000458D5" w:rsidRDefault="008C14BF" w:rsidP="000458D5">
      <w:pPr>
        <w:spacing w:line="240" w:lineRule="auto"/>
        <w:jc w:val="both"/>
        <w:rPr>
          <w:rFonts w:ascii="Times New Roman" w:hAnsi="Times New Roman" w:cs="Times New Roman"/>
          <w:noProof/>
          <w:sz w:val="24"/>
        </w:rPr>
      </w:pPr>
      <w:r>
        <w:rPr>
          <w:rFonts w:ascii="Times New Roman" w:hAnsi="Times New Roman"/>
          <w:noProof/>
          <w:sz w:val="24"/>
        </w:rPr>
        <w:t>Kommissionen har til hensigt at samarbejde med onlineformidlingstjenester og deres repræsentative organer og organisationer for at tilskynde dem til at oprette sådanne specialiserede mæglere i henhold til artikel 13 i P2B-forordningen. Med henblik herpå vil Kommissionen kontakte de relevante interessenter umiddelbart efter offentliggørelsen af denne rapport.</w:t>
      </w:r>
    </w:p>
    <w:p w14:paraId="5070636A" w14:textId="0ABA68C2" w:rsidR="00C041C7" w:rsidRPr="000458D5" w:rsidRDefault="008C14BF" w:rsidP="000458D5">
      <w:pPr>
        <w:spacing w:line="240" w:lineRule="auto"/>
        <w:jc w:val="both"/>
        <w:rPr>
          <w:rFonts w:ascii="Times New Roman" w:hAnsi="Times New Roman" w:cs="Times New Roman"/>
          <w:noProof/>
          <w:sz w:val="24"/>
        </w:rPr>
      </w:pPr>
      <w:r>
        <w:rPr>
          <w:rFonts w:ascii="Times New Roman" w:hAnsi="Times New Roman"/>
          <w:noProof/>
          <w:sz w:val="24"/>
        </w:rPr>
        <w:t>Specialiserede mæglere kunne også forbedre onlineplatformenes klagebehandling mere generelt. Kommissionen vil derfor yderligere tilskynde til oprettelse af specialiserede mæglere, jf. artikel 13 i P2B-forordningen. I den forbindelse kan sådanne mægleres mulighed for at opnå certificering i henhold til artikel 21 i retsakten om digitale tjenester lette deres arbejde som uafhængige og kompetente aktører. Certificering i henhold til retsakten om digitale tjenester vil navnlig bekræfte, at de relevante mæglere overholder de strenge krav om upartiskhed og uafhængighed i retsakten om digitale tjenester.</w:t>
      </w:r>
    </w:p>
    <w:p w14:paraId="6E7137F1" w14:textId="46C2ACC1" w:rsidR="008850CE" w:rsidRPr="009D214D" w:rsidRDefault="00692C66" w:rsidP="000458D5">
      <w:pPr>
        <w:numPr>
          <w:ilvl w:val="0"/>
          <w:numId w:val="3"/>
        </w:numPr>
        <w:spacing w:line="240" w:lineRule="auto"/>
        <w:jc w:val="both"/>
        <w:rPr>
          <w:rFonts w:ascii="Times New Roman" w:hAnsi="Times New Roman" w:cs="Times New Roman"/>
          <w:b/>
          <w:noProof/>
          <w:sz w:val="24"/>
        </w:rPr>
      </w:pPr>
      <w:r>
        <w:rPr>
          <w:rFonts w:ascii="Times New Roman" w:hAnsi="Times New Roman"/>
          <w:b/>
          <w:noProof/>
          <w:sz w:val="24"/>
        </w:rPr>
        <w:t>Vigtigste resultater: Begrænset overholdelse af og bevidsthed om EU's forordning om forbindelserne mellem platforme og virksomheder</w:t>
      </w:r>
    </w:p>
    <w:p w14:paraId="1D0B87D1" w14:textId="2C518A22" w:rsidR="00512482" w:rsidRPr="000458D5" w:rsidRDefault="00512482" w:rsidP="000458D5">
      <w:pPr>
        <w:spacing w:line="240" w:lineRule="auto"/>
        <w:jc w:val="both"/>
        <w:rPr>
          <w:rFonts w:ascii="Times New Roman" w:hAnsi="Times New Roman" w:cs="Times New Roman"/>
          <w:noProof/>
          <w:sz w:val="24"/>
        </w:rPr>
      </w:pPr>
      <w:r>
        <w:rPr>
          <w:rFonts w:ascii="Times New Roman" w:hAnsi="Times New Roman"/>
          <w:noProof/>
          <w:sz w:val="24"/>
        </w:rPr>
        <w:t>Som anført i afsnit 1 har P2B-forordningen vigtige virkninger med hensyn til retssikkerhed og retfærdig rettergang for erhvervsbrugere. Som forklaret i det arbejdsdokument fra Kommissionens tjenestegrene, der ledsager denne rapport, kan et betydeligt udsnit af onlineformidlingstjenester f.eks. til en vis grad bidrage til at overholde P2B-forordningen. Desuden begyndte nogle af de største onlineformidlingstjenester for nylig at indberette statistikker om deres interne klagebehandling, og nogle af disse nævner også mindst én mæglingsorganisation i deres vilkår og betingelser. De fleste erhvervsbrugere, der blev adspurgt som led i denne gennemførelsesrapport, sagde også, at de nu modtog forhåndsmeddelelser, når de specifikke platforme, de anvender, ajourførte deres vilkår og betingelser</w:t>
      </w:r>
      <w:r>
        <w:rPr>
          <w:rStyle w:val="FootnoteReference"/>
          <w:rFonts w:ascii="Times New Roman" w:hAnsi="Times New Roman" w:cs="Times New Roman"/>
          <w:noProof/>
          <w:sz w:val="24"/>
        </w:rPr>
        <w:footnoteReference w:id="14"/>
      </w:r>
      <w:r>
        <w:rPr>
          <w:rFonts w:ascii="Times New Roman" w:hAnsi="Times New Roman"/>
          <w:noProof/>
          <w:sz w:val="24"/>
        </w:rPr>
        <w:t xml:space="preserve">. </w:t>
      </w:r>
    </w:p>
    <w:p w14:paraId="026CFAC9" w14:textId="657B7715" w:rsidR="00CC0982" w:rsidRPr="000458D5" w:rsidRDefault="009F6103" w:rsidP="000458D5">
      <w:pPr>
        <w:spacing w:line="240" w:lineRule="auto"/>
        <w:jc w:val="both"/>
        <w:rPr>
          <w:rFonts w:ascii="Times New Roman" w:hAnsi="Times New Roman" w:cs="Times New Roman"/>
          <w:noProof/>
          <w:sz w:val="24"/>
        </w:rPr>
      </w:pPr>
      <w:r>
        <w:rPr>
          <w:rFonts w:ascii="Times New Roman" w:hAnsi="Times New Roman"/>
          <w:noProof/>
          <w:sz w:val="24"/>
        </w:rPr>
        <w:t>Som beskrevet i afsnit 2, litra a), og afsnit 2, litra b), overholder udbydere af onlineformidlingstjenester og onlinesøgemaskiner imidlertid ikke i tilstrækkelig grad P2B-forordningen til dato. Denne manglende overholdelse hænger sammen med en bredere mangel på kendskab blandt både erhvervsbrugere og udbydere af onlineformidlingstjenester og onlinesøgemaskiner om deres respektive rettigheder og forpligtelser. Det betyder, at P2B-forordningens fulde potentiale ikke er nået på nuværende tidspunkt.</w:t>
      </w:r>
    </w:p>
    <w:p w14:paraId="087C0580" w14:textId="77777777" w:rsidR="008850CE" w:rsidRPr="0058729A" w:rsidRDefault="008850CE" w:rsidP="000458D5">
      <w:pPr>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Platformene sikrer ikke den fulde virkning af reglerne</w:t>
      </w:r>
    </w:p>
    <w:p w14:paraId="3E56FCF7" w14:textId="76E301A3" w:rsidR="002A6FAC" w:rsidRPr="000458D5" w:rsidRDefault="002A6FAC" w:rsidP="000458D5">
      <w:pPr>
        <w:spacing w:line="240" w:lineRule="auto"/>
        <w:jc w:val="both"/>
        <w:rPr>
          <w:rFonts w:ascii="Times New Roman" w:hAnsi="Times New Roman" w:cs="Times New Roman"/>
          <w:noProof/>
          <w:sz w:val="24"/>
        </w:rPr>
      </w:pPr>
      <w:r>
        <w:rPr>
          <w:rFonts w:ascii="Times New Roman" w:hAnsi="Times New Roman"/>
          <w:noProof/>
          <w:sz w:val="24"/>
        </w:rPr>
        <w:t>Den undersøgelse, der ligger til grund for denne rapport, viste, at onlineplatformenes tilpasning til P2B-forordningen generelt er lav. Denne manglende gennemførelse kan også hænge sammen med og bidrage til den tilsvarende mangel på kendskab til P2B-forordningen.</w:t>
      </w:r>
    </w:p>
    <w:p w14:paraId="68F53216" w14:textId="6DC1DD32" w:rsidR="00645F04" w:rsidRPr="000458D5" w:rsidRDefault="00381ED7" w:rsidP="000458D5">
      <w:pPr>
        <w:spacing w:line="240" w:lineRule="auto"/>
        <w:jc w:val="both"/>
        <w:rPr>
          <w:rFonts w:ascii="Times New Roman" w:hAnsi="Times New Roman" w:cs="Times New Roman"/>
          <w:noProof/>
          <w:sz w:val="24"/>
        </w:rPr>
      </w:pPr>
      <w:r>
        <w:rPr>
          <w:rFonts w:ascii="Times New Roman" w:hAnsi="Times New Roman"/>
          <w:noProof/>
          <w:sz w:val="24"/>
        </w:rPr>
        <w:t>Undersøgelsen viste, at i alt 123 onlineformidlingstjenester (42,4 %) havde opnået en lav grad af tilpasning til forordningens krav vedrørende kontraktgennemsigtighed. Tilpasningen for yderligere 128 onlineformidlingstjenester (44,1 %) blev vurderet som middel, og kun 49 onlineformidlingstjenesters (16,9 %) tilpasning blev vurderet til at være relativt stor. Disse resultater har ingen indflydelse på, om nogen af tjenesterne reelt opfylder den krævede standard i P2B-forordningen. I mange tilfælde er de grundlæggende oplysninger, f.eks. om rangordning, imidlertid potentielt utilstrækkelige</w:t>
      </w:r>
      <w:r>
        <w:rPr>
          <w:rStyle w:val="FootnoteReference"/>
          <w:rFonts w:ascii="Times New Roman" w:hAnsi="Times New Roman" w:cs="Times New Roman"/>
          <w:noProof/>
          <w:sz w:val="24"/>
        </w:rPr>
        <w:footnoteReference w:id="15"/>
      </w:r>
      <w:r>
        <w:rPr>
          <w:rFonts w:ascii="Times New Roman" w:hAnsi="Times New Roman"/>
          <w:noProof/>
          <w:sz w:val="24"/>
        </w:rPr>
        <w:t xml:space="preserve">. </w:t>
      </w:r>
    </w:p>
    <w:p w14:paraId="6124B6B2" w14:textId="414FAB58" w:rsidR="00E13C02" w:rsidRPr="000458D5" w:rsidRDefault="00645F04" w:rsidP="000458D5">
      <w:pPr>
        <w:pStyle w:val="Body"/>
        <w:rPr>
          <w:rFonts w:ascii="Times New Roman" w:eastAsiaTheme="minorHAnsi" w:hAnsi="Times New Roman"/>
          <w:noProof/>
          <w:sz w:val="24"/>
        </w:rPr>
      </w:pPr>
      <w:r>
        <w:rPr>
          <w:rFonts w:ascii="Times New Roman" w:hAnsi="Times New Roman"/>
          <w:noProof/>
          <w:sz w:val="24"/>
        </w:rPr>
        <w:t xml:space="preserve">Som rapporteret i samme undersøgelse indeholdt kun en tredjedel af alle de reviderede onlineplatformes vilkår og betingelser f.eks. oplysninger om de vigtigste rangordningsparametre, og selv i disse tilfælde blev beskrivelserne givet i temmelig generelle vendinger. Det var heller ikke klart i alle tilfælde, om beskrivelserne reelt opfyldte forpligtelsen i artikel 5 i P2B-forordningen. </w:t>
      </w:r>
    </w:p>
    <w:p w14:paraId="52C159FB" w14:textId="15E7F65C" w:rsidR="00E13C02" w:rsidRPr="000458D5" w:rsidRDefault="00F10654" w:rsidP="000458D5">
      <w:pPr>
        <w:pStyle w:val="Body"/>
        <w:rPr>
          <w:rFonts w:ascii="Times New Roman" w:eastAsiaTheme="minorHAnsi" w:hAnsi="Times New Roman"/>
          <w:noProof/>
          <w:sz w:val="24"/>
        </w:rPr>
      </w:pPr>
      <w:r>
        <w:rPr>
          <w:rFonts w:ascii="Times New Roman" w:hAnsi="Times New Roman"/>
          <w:noProof/>
          <w:sz w:val="24"/>
        </w:rPr>
        <w:t xml:space="preserve">For så vidt angår gennemsigtighed i forbindelse med differentieret behandling, jf. artikel 7, viste revisionen, at meget få onlineformidlingstjenester medtager oplysninger — mens 11 % af de erhvervsbrugere, der blev undersøgt i 2022, anførte, at de havde oplevet en sådan forskelsbehandling, når det drejede sig om rangordning alene. En undersøgelse fra 2021 viste, at næsten 53 % af respondenterne i forbindelse med onlineformidlingstjenester inden for e-handel, der også solgte deres egne produkter eller tjenester, oplevede selvbegunstigelse. </w:t>
      </w:r>
    </w:p>
    <w:p w14:paraId="4B0D16BC" w14:textId="286D2344" w:rsidR="00E13C02" w:rsidRPr="000458D5" w:rsidRDefault="00E90DE8" w:rsidP="000458D5">
      <w:pPr>
        <w:pStyle w:val="Body"/>
        <w:rPr>
          <w:rFonts w:ascii="Times New Roman" w:eastAsiaTheme="minorHAnsi" w:hAnsi="Times New Roman"/>
          <w:noProof/>
          <w:sz w:val="24"/>
        </w:rPr>
      </w:pPr>
      <w:r>
        <w:rPr>
          <w:rFonts w:ascii="Times New Roman" w:hAnsi="Times New Roman"/>
          <w:noProof/>
          <w:sz w:val="24"/>
        </w:rPr>
        <w:t xml:space="preserve">Med hensyn til forpligtelsen i henhold til artikel 9 til at beskrive den tekniske og kontraktmæssige adgang til data for erhvervsbrugere blev de fremlagte oplysninger ofte beskrevet generelt, og de adspurgte i den undersøgelse, der ligger til grund for denne rapport, kunne generelt ikke knytte oplysningerne til P2B-forordningen. En af de interviewede forklarede, at det snarere kunne være resultatet af et forsøg på at overholde GDPR. Det ser ud til, at manglen på reel adgang til data, der genereres gennem erhvervsbrugeres aktiviteter på de store onlineplatforme, fortsat er det største problem. Desuden fandt mange erhvervsbrugere, både SMV'er og store virksomheder, at reglerne for, hvordan de kan anvende kunderelaterede statistikker og andre kundedata, også er uklare. </w:t>
      </w:r>
    </w:p>
    <w:p w14:paraId="6E563AD1" w14:textId="41A61389" w:rsidR="00645F04" w:rsidRPr="000458D5" w:rsidRDefault="00B3633A" w:rsidP="000458D5">
      <w:pPr>
        <w:pStyle w:val="Body"/>
        <w:rPr>
          <w:rFonts w:ascii="Times New Roman" w:eastAsiaTheme="minorHAnsi" w:hAnsi="Times New Roman"/>
          <w:noProof/>
          <w:sz w:val="24"/>
        </w:rPr>
      </w:pPr>
      <w:r>
        <w:rPr>
          <w:rFonts w:ascii="Times New Roman" w:hAnsi="Times New Roman"/>
          <w:noProof/>
          <w:sz w:val="24"/>
        </w:rPr>
        <w:t>Som nævnt i afsnit 1 ovenfor bør øget overholdelse af P2B-forordningen føre til klarere dataadgangspolitikker, hvilket igen vil præcisere erhvervsbrugernes kontraktlige rettigheder eller manglen herpå. Denne gennemsigtighed giver derefter onlineformidlingstjenester flere muligheder for at skille sig ud baseret på dataadgangspolitikker, f.eks. ved at give mere adgang, begrænse deres egen adgang og klart og tydeligt forklare, hvordan de forstår behovet for, at overholdelsen af GDPR spiller en rolle i fastlæggelsen af politikker for dataadgang.</w:t>
      </w:r>
    </w:p>
    <w:p w14:paraId="463FE287" w14:textId="4ABE90B7" w:rsidR="00F10654" w:rsidRPr="000458D5" w:rsidRDefault="00F10654" w:rsidP="000458D5">
      <w:pPr>
        <w:pStyle w:val="Body"/>
        <w:rPr>
          <w:rFonts w:ascii="Times New Roman" w:eastAsiaTheme="minorHAnsi" w:hAnsi="Times New Roman"/>
          <w:noProof/>
          <w:sz w:val="24"/>
        </w:rPr>
      </w:pPr>
      <w:r>
        <w:rPr>
          <w:rFonts w:ascii="Times New Roman" w:hAnsi="Times New Roman"/>
          <w:noProof/>
          <w:sz w:val="24"/>
        </w:rPr>
        <w:t>Med hensyn til overholdelsen af reglerne om opsigelsesvarsler i artikel 3 i P2B-forordningen varierede interessenternes opfattelse betydeligt. Selv om mange store onlineformidlingstjenester i deres vilkår og betingelser påpeger, at de følger procedurer og meddelelsesfrister i overensstemmelse med forordningen (dvs. artikel 3, stk. 2, artikel 3, stk. 5, og artikel 4, stk. 11), er deres faktiske overholdelse i de relevante situationer som vurderet af erhvervsbrugere tvivlsom. Nogle af de interviewede (hovedsagelig mikrovirksomheder og små virksomheder) fra hotel- og restaurationsbranchen og e-handelssektoren påpegede, at grundene til suspension og ophør i vilkårene og betingelserne fortsat er uklare og generiske, hvor f.eks. "overtrædelse af vilkår og betingelser" fører til smuthuller med hensyn til meddelelsesfristen, hvilket kan have en negativ indvirkning på forretningskontinuiteten. Dette viser, at gennemsigtigheden endnu ikke er tilstrækkeligt stor til, at erhvervsbrugere er velinformerede om alle deres rettigheder og forpligtelser.</w:t>
      </w:r>
    </w:p>
    <w:p w14:paraId="76DA509A" w14:textId="0C08780B" w:rsidR="00E13C02" w:rsidRPr="000458D5" w:rsidRDefault="00196E07" w:rsidP="000458D5">
      <w:pPr>
        <w:pStyle w:val="Body"/>
        <w:rPr>
          <w:rFonts w:ascii="Times New Roman" w:eastAsiaTheme="minorHAnsi" w:hAnsi="Times New Roman"/>
          <w:noProof/>
          <w:sz w:val="24"/>
        </w:rPr>
      </w:pPr>
      <w:r>
        <w:rPr>
          <w:rFonts w:ascii="Times New Roman" w:hAnsi="Times New Roman"/>
          <w:noProof/>
          <w:sz w:val="24"/>
        </w:rPr>
        <w:t xml:space="preserve">Interne klagebehandlingssystemer er den mest udbredte og mest anvendte mulighed for at klage i onlinemiljøet. Dette afspejler, at onlineformidlingstjenester har en stor interesse i at kunne kommunikere med deres erhvervsbrugere, f.eks. om tekniske spørgsmål. Det forhold, at der findes kommunikationsmuligheder, betyder imidlertid ikke, at de relevante onlineformidlingstjenester tilbyder den nødvendige effektivitet i form af f.eks. andre nødvendige elementer, behørig hensyntagen til klager og hurtig og effektiv behandling af dem. </w:t>
      </w:r>
    </w:p>
    <w:p w14:paraId="6D71632D" w14:textId="4FCA6F8A" w:rsidR="00E13C02" w:rsidRPr="000458D5" w:rsidRDefault="00196E07" w:rsidP="000458D5">
      <w:pPr>
        <w:pStyle w:val="Body"/>
        <w:rPr>
          <w:rFonts w:ascii="Times New Roman" w:eastAsiaTheme="minorHAnsi" w:hAnsi="Times New Roman"/>
          <w:noProof/>
          <w:sz w:val="24"/>
        </w:rPr>
      </w:pPr>
      <w:r>
        <w:rPr>
          <w:rFonts w:ascii="Times New Roman" w:hAnsi="Times New Roman"/>
          <w:noProof/>
          <w:sz w:val="24"/>
        </w:rPr>
        <w:t>Effektiviteten af interne klagebehandlingssystemer reduceres i øjeblikket yderligere af visse termer og begrebers manglende klarhed, herunder begrebet "klage" i henhold til P2B-forordningen. Denne term bør fortolkes bredt i henhold til P2B-forordningen, således at den udvides til at omfatte "foranstaltninger truffet af eller adfærd hos" den relevante udbyder af onlineformidlingstjenester, som "berører klageren". I denne forbindelse medtog kun 69 ud af de 179 større udbydere af onlineformidlingstjenester de oplysninger, der kræves i henhold til artikel 11, stk. 3, om adgang til den interne klagebehandlingsproces og dens funktion</w:t>
      </w:r>
      <w:r>
        <w:rPr>
          <w:rStyle w:val="FootnoteReference"/>
          <w:rFonts w:ascii="Times New Roman" w:eastAsiaTheme="minorHAnsi" w:hAnsi="Times New Roman"/>
          <w:noProof/>
          <w:sz w:val="24"/>
        </w:rPr>
        <w:footnoteReference w:id="16"/>
      </w:r>
      <w:r>
        <w:rPr>
          <w:rFonts w:ascii="Times New Roman" w:hAnsi="Times New Roman"/>
          <w:noProof/>
          <w:sz w:val="24"/>
        </w:rPr>
        <w:t xml:space="preserve">. Endnu færre udbydere offentliggør årlige rapporter om behandlingen af klager gennem deres interne klagebehandlingssystem, jf. artikel 11, stk. 4. </w:t>
      </w:r>
    </w:p>
    <w:p w14:paraId="645FD23C" w14:textId="0BC28743" w:rsidR="00E13C02" w:rsidRPr="000458D5" w:rsidRDefault="009508B6" w:rsidP="000458D5">
      <w:pPr>
        <w:pStyle w:val="Body"/>
        <w:rPr>
          <w:rFonts w:ascii="Times New Roman" w:eastAsiaTheme="minorHAnsi" w:hAnsi="Times New Roman"/>
          <w:noProof/>
          <w:sz w:val="24"/>
        </w:rPr>
      </w:pPr>
      <w:r>
        <w:rPr>
          <w:rFonts w:ascii="Times New Roman" w:hAnsi="Times New Roman"/>
          <w:noProof/>
          <w:sz w:val="24"/>
        </w:rPr>
        <w:t xml:space="preserve">Som allerede nævnt i afsnit 1 viser de få rapporter, der blev udsendt, også en potentiel meget forskellig fortolkning af begrebet "klage" i henhold til P2B-forordningen. Effektiviteten af den interne klagebehandling hæmmes yderligere af den manglende effektive overholdelse af artikel 3 og 4 med hensyn til uklare vilkår og betingelser og manglende meddelelse om begrænsninger af tjenesteydelser. Mens en betydelig del (43 %) af problemerne rapporteres at være løst fuldt ud gennem det interne klagebehandlingssystem, viser undersøgelsen fra 2022, der ligger til grund for denne rapport, også, at en større andel kun delvist eller slet ikke er løst (henholdsvis 48 % og 8 %). </w:t>
      </w:r>
    </w:p>
    <w:p w14:paraId="398AE9DA" w14:textId="1A4337D5" w:rsidR="00F10654" w:rsidRPr="000458D5" w:rsidRDefault="006155AE" w:rsidP="000458D5">
      <w:pPr>
        <w:pStyle w:val="Body"/>
        <w:rPr>
          <w:rFonts w:ascii="Times New Roman" w:eastAsiaTheme="minorHAnsi" w:hAnsi="Times New Roman"/>
          <w:noProof/>
          <w:sz w:val="24"/>
        </w:rPr>
      </w:pPr>
      <w:r>
        <w:rPr>
          <w:rFonts w:ascii="Times New Roman" w:hAnsi="Times New Roman"/>
          <w:noProof/>
          <w:sz w:val="24"/>
        </w:rPr>
        <w:t xml:space="preserve">En mindre andel af erhvervsbrugere rapporterede også om vedvarende vage svar fra platformenes side og lange ventetider. Disse problemer er de mest almindelige blandt erhvervsbrugere af de største platforme, hvis interne klagebehandlingssystemer angiveligt er meget automatiserede med standardiserede procedurer og generelle svar. Det rapporteres, at individualiseret og specifik støtte er et af de vigtigste spørgsmål i P2B-forbindelser for mange erhvervsbrugere. </w:t>
      </w:r>
    </w:p>
    <w:p w14:paraId="21635933" w14:textId="1FC1AE2A" w:rsidR="00745924" w:rsidRPr="000458D5" w:rsidRDefault="00745924" w:rsidP="000458D5">
      <w:pPr>
        <w:pStyle w:val="Body"/>
        <w:rPr>
          <w:rFonts w:ascii="Times New Roman" w:eastAsiaTheme="minorHAnsi" w:hAnsi="Times New Roman"/>
          <w:noProof/>
          <w:sz w:val="24"/>
        </w:rPr>
      </w:pPr>
      <w:r>
        <w:rPr>
          <w:rFonts w:ascii="Times New Roman" w:hAnsi="Times New Roman"/>
          <w:noProof/>
          <w:sz w:val="24"/>
        </w:rPr>
        <w:t xml:space="preserve">Andre former for klageadgang, der er nedfældet i P2B-forordningen — mægling og domstole — anvendes af kun i meget sjældne tilfælde af erhvervsbrugere. Domstolene synes især at være den allersidste udvej og kun for de største erhvervsbrugere. De fleste virksomheder betragter stadig ikke engang dette som en reel løsning på grund af de omkostninger, der er forbundet hermed, den ringe sandsynlighed for medhold og frygten for gengældelsesforanstaltninger fra onlineplatformenes side. </w:t>
      </w:r>
    </w:p>
    <w:p w14:paraId="1DDE32D2" w14:textId="2098C5B0" w:rsidR="00DB36DA" w:rsidRPr="000458D5" w:rsidRDefault="00BA49C8" w:rsidP="000458D5">
      <w:pPr>
        <w:pStyle w:val="Body"/>
        <w:rPr>
          <w:rFonts w:ascii="Times New Roman" w:eastAsiaTheme="minorHAnsi" w:hAnsi="Times New Roman"/>
          <w:noProof/>
          <w:sz w:val="24"/>
        </w:rPr>
      </w:pPr>
      <w:r>
        <w:rPr>
          <w:rFonts w:ascii="Times New Roman" w:hAnsi="Times New Roman"/>
          <w:noProof/>
          <w:sz w:val="24"/>
        </w:rPr>
        <w:t>Med P2B-forordningen blev mægling indført for at imødegå erhvervsbrugeres modvilje mod at anvende domstolene, men de har endnu ikke anvendt denne mulighed i vid udstrækning. Kun få onlineformidlingstjenester har i deres vilkår og betingelser medtaget de oplysninger, der kræves i artikel 12 i P2B-forordningen om to mæglere, som de er villige til at samarbejde med, og brugen af mægling er stadig kun marginal (der blev kun indberettet en snes tilfælde i undersøgelsesrapporten</w:t>
      </w:r>
      <w:r>
        <w:rPr>
          <w:rStyle w:val="FootnoteReference"/>
          <w:rFonts w:ascii="Times New Roman" w:eastAsiaTheme="minorHAnsi" w:hAnsi="Times New Roman"/>
          <w:noProof/>
          <w:sz w:val="24"/>
        </w:rPr>
        <w:footnoteReference w:id="17"/>
      </w:r>
      <w:r>
        <w:rPr>
          <w:rFonts w:ascii="Times New Roman" w:hAnsi="Times New Roman"/>
          <w:noProof/>
          <w:sz w:val="24"/>
        </w:rPr>
        <w:t xml:space="preserve">). </w:t>
      </w:r>
    </w:p>
    <w:p w14:paraId="18EBB72D" w14:textId="37A414B2" w:rsidR="00D9177B" w:rsidRPr="000458D5" w:rsidRDefault="00DB36DA" w:rsidP="000458D5">
      <w:pPr>
        <w:pStyle w:val="Body"/>
        <w:rPr>
          <w:rFonts w:ascii="Times New Roman" w:hAnsi="Times New Roman"/>
          <w:noProof/>
          <w:sz w:val="24"/>
        </w:rPr>
      </w:pPr>
      <w:r>
        <w:rPr>
          <w:rFonts w:ascii="Times New Roman" w:hAnsi="Times New Roman"/>
          <w:noProof/>
          <w:sz w:val="24"/>
        </w:rPr>
        <w:t>Det rapporteres også, at anvendelsen af mægling fortsat er begrænset. Dette er en direkte følge af manglende kendskab til denne nye kontraktmæssige mulighed snarere end et resultat af eventuelle vanskeligheder, som det begrænsede antal erhvervsbrugere, der faktisk anvendte mæglingstjenester til at løse tvister med onlineformidlingstjenester, oplevede. De vanskeligheder, der opstod, vedrørte retssagernes varighed, deres omkostninger og ikkebindende karakter og mæglerens opfattede partiske karakter i betragtning af de mange sager, der blev anlagt af et begrænset antal onlineformidlingstjenester. Denne konstatering forstærker behovet for yderligere bevidstgørelse.</w:t>
      </w:r>
    </w:p>
    <w:p w14:paraId="45EC2732" w14:textId="667BF93B" w:rsidR="00D10EA6" w:rsidRPr="000458D5" w:rsidRDefault="006A108F" w:rsidP="000458D5">
      <w:pPr>
        <w:spacing w:line="240" w:lineRule="auto"/>
        <w:jc w:val="both"/>
        <w:rPr>
          <w:rFonts w:ascii="Times New Roman" w:hAnsi="Times New Roman" w:cs="Times New Roman"/>
          <w:noProof/>
          <w:sz w:val="24"/>
        </w:rPr>
      </w:pPr>
      <w:r>
        <w:rPr>
          <w:rFonts w:ascii="Times New Roman" w:hAnsi="Times New Roman"/>
          <w:noProof/>
          <w:sz w:val="24"/>
        </w:rPr>
        <w:t>Hidtil er der ikke blevet udarbejdet adfærdskodekser for de områder, der er reguleret i P2B-forordningen. Dette hænger sammen med den begrænsede bevidsthed og manglende overholdelse og er forståelig i betragtning af den korte tid, der er gået, siden P2B-forordningen trådte i kraft. Som anbefalet i udtalelsen</w:t>
      </w:r>
      <w:r>
        <w:rPr>
          <w:rStyle w:val="FootnoteReference"/>
          <w:rFonts w:ascii="Times New Roman" w:hAnsi="Times New Roman" w:cs="Times New Roman"/>
          <w:noProof/>
          <w:sz w:val="24"/>
        </w:rPr>
        <w:footnoteReference w:id="18"/>
      </w:r>
      <w:r>
        <w:rPr>
          <w:rFonts w:ascii="Times New Roman" w:hAnsi="Times New Roman"/>
          <w:noProof/>
          <w:sz w:val="24"/>
        </w:rPr>
        <w:t xml:space="preserve"> fra </w:t>
      </w:r>
      <w:hyperlink r:id="rId23" w:history="1">
        <w:r>
          <w:rPr>
            <w:rStyle w:val="Hyperlink"/>
            <w:rFonts w:ascii="Times New Roman" w:hAnsi="Times New Roman"/>
            <w:noProof/>
            <w:sz w:val="24"/>
          </w:rPr>
          <w:t>ekspertgruppen for observationscentret for onlineplatformøkonomien</w:t>
        </w:r>
      </w:hyperlink>
      <w:r>
        <w:rPr>
          <w:rFonts w:ascii="Times New Roman" w:hAnsi="Times New Roman"/>
          <w:noProof/>
          <w:sz w:val="24"/>
        </w:rPr>
        <w:t xml:space="preserve"> kan adfærdskodekser imidlertid anvendes til at operationalisere anvendelsen af P2B-forordningen. Navnlig adfærdskodekser for anvendelsen af P2B-forordningen i visse sektorer (f.eks. hotelreservationsplatforme og onlinemarkedspladser i detailhandlen) kan bidrage til at øge bevidstheden og give onlineformidlingstjenester og deres erhvervsbrugere yderligere muligheder for at opbygge tillid. </w:t>
      </w:r>
    </w:p>
    <w:p w14:paraId="1399DD56" w14:textId="75C2CC81" w:rsidR="002F7324" w:rsidRPr="000458D5" w:rsidRDefault="00A045E7" w:rsidP="000458D5">
      <w:pPr>
        <w:spacing w:line="240" w:lineRule="auto"/>
        <w:jc w:val="both"/>
        <w:rPr>
          <w:rFonts w:ascii="Times New Roman" w:hAnsi="Times New Roman" w:cs="Times New Roman"/>
          <w:noProof/>
          <w:sz w:val="24"/>
        </w:rPr>
      </w:pPr>
      <w:r>
        <w:rPr>
          <w:rFonts w:ascii="Times New Roman" w:hAnsi="Times New Roman"/>
          <w:noProof/>
          <w:sz w:val="24"/>
        </w:rPr>
        <w:t>Manglen på fuld og effektiv overholdelse ledsages af manglende kendskab til de kontraktmæssige rettigheder og klagemuligheder, som forordningen giver — både blandt erhvervsbrugere og mindre onlineplatforme. Den manglende overholdelse og bevidsthed vil sandsynligvis også påvirke hinanden. Den undersøgelse, der ligger til grund for denne rapport, viste, at bevidstheden blandt både erhvervsbrugere, foreninger og platforme har en tendens til at være lavere i de EU-medlemsstater, der ikke har indført et offentligt håndhævelsessystem som krævet i forordningens artikel 15</w:t>
      </w:r>
      <w:r>
        <w:rPr>
          <w:rStyle w:val="FootnoteReference"/>
          <w:rFonts w:ascii="Times New Roman" w:hAnsi="Times New Roman" w:cs="Times New Roman"/>
          <w:noProof/>
          <w:sz w:val="24"/>
        </w:rPr>
        <w:footnoteReference w:id="19"/>
      </w:r>
      <w:r>
        <w:rPr>
          <w:rFonts w:ascii="Times New Roman" w:hAnsi="Times New Roman"/>
          <w:noProof/>
          <w:sz w:val="24"/>
        </w:rPr>
        <w:t xml:space="preserve">. </w:t>
      </w:r>
    </w:p>
    <w:p w14:paraId="73F3CF0A" w14:textId="4D2C76AF" w:rsidR="008850CE" w:rsidRPr="000458D5" w:rsidRDefault="008850CE" w:rsidP="000458D5">
      <w:pPr>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Medlemsstaternes indsats for håndhævelse og bevidstgørelse er utilstrækkelig</w:t>
      </w:r>
    </w:p>
    <w:p w14:paraId="1D3F1DB9" w14:textId="4C56CEB9" w:rsidR="00A010CD" w:rsidRPr="000458D5" w:rsidRDefault="00381ED7" w:rsidP="00A010CD">
      <w:pPr>
        <w:spacing w:line="240" w:lineRule="auto"/>
        <w:jc w:val="both"/>
        <w:rPr>
          <w:rFonts w:ascii="Times New Roman" w:hAnsi="Times New Roman" w:cs="Times New Roman"/>
          <w:noProof/>
          <w:sz w:val="24"/>
        </w:rPr>
      </w:pPr>
      <w:r>
        <w:rPr>
          <w:rFonts w:ascii="Times New Roman" w:hAnsi="Times New Roman"/>
          <w:noProof/>
          <w:sz w:val="24"/>
        </w:rPr>
        <w:t>Medlemsstaterne gennemfører i stigende grad systemer til håndhævelse af P2B-forordningen, jf. artikel 15 heri. Den 26. januar 2023 indledte Kommissionen traktatbrudssøgsmål mod otte medlemsstater, som på daværende tidspunkt ikke havde truffet foranstaltninger i henhold til artikel 15 i P2B-forordningen. Dette efterfulgte løbende kontakter mellem Kommissionen og medlemsstaterne om offentlig håndhævelse af P2B-forordningen, herunder gennem regelmæssige møder i ekspertgruppen vedrørende e-handel</w:t>
      </w:r>
      <w:r>
        <w:rPr>
          <w:rStyle w:val="FootnoteReference"/>
          <w:rFonts w:ascii="Times New Roman" w:hAnsi="Times New Roman" w:cs="Times New Roman"/>
          <w:noProof/>
          <w:sz w:val="24"/>
        </w:rPr>
        <w:footnoteReference w:id="20"/>
      </w:r>
      <w:r>
        <w:rPr>
          <w:noProof/>
        </w:rPr>
        <w:t>.</w:t>
      </w:r>
      <w:r>
        <w:rPr>
          <w:rFonts w:ascii="Times New Roman" w:hAnsi="Times New Roman"/>
          <w:noProof/>
          <w:sz w:val="24"/>
        </w:rPr>
        <w:t xml:space="preserve"> I mellemtiden har nogle af disse medlemsstater vedtaget nationale regler for at indføre et håndhævelsessystem som krævet i artikel 15. </w:t>
      </w:r>
    </w:p>
    <w:p w14:paraId="61D4F12C" w14:textId="00187A87" w:rsidR="00EC3044" w:rsidRPr="000458D5" w:rsidRDefault="00EC3044" w:rsidP="000458D5">
      <w:pPr>
        <w:pStyle w:val="ListParagraph"/>
        <w:spacing w:line="240" w:lineRule="auto"/>
        <w:ind w:left="0"/>
        <w:jc w:val="both"/>
        <w:rPr>
          <w:rFonts w:ascii="Times New Roman" w:hAnsi="Times New Roman" w:cs="Times New Roman"/>
          <w:noProof/>
          <w:sz w:val="24"/>
        </w:rPr>
      </w:pPr>
      <w:r>
        <w:rPr>
          <w:rFonts w:ascii="Times New Roman" w:hAnsi="Times New Roman"/>
          <w:noProof/>
          <w:sz w:val="24"/>
        </w:rPr>
        <w:t>Ved udgangen af juni 2023 havde 21 medlemsstater</w:t>
      </w:r>
      <w:r>
        <w:rPr>
          <w:rFonts w:ascii="Times New Roman" w:hAnsi="Times New Roman" w:cs="Times New Roman"/>
          <w:noProof/>
          <w:sz w:val="24"/>
          <w:vertAlign w:val="superscript"/>
        </w:rPr>
        <w:footnoteReference w:id="21"/>
      </w:r>
      <w:r>
        <w:rPr>
          <w:rFonts w:ascii="Times New Roman" w:hAnsi="Times New Roman"/>
          <w:noProof/>
          <w:sz w:val="24"/>
        </w:rPr>
        <w:t xml:space="preserve"> vedtaget nationale love for at håndhæve P2B-forordningen, mens der i yderligere fire medlemsstater</w:t>
      </w:r>
      <w:r>
        <w:rPr>
          <w:rFonts w:ascii="Times New Roman" w:hAnsi="Times New Roman" w:cs="Times New Roman"/>
          <w:noProof/>
          <w:sz w:val="24"/>
          <w:vertAlign w:val="superscript"/>
        </w:rPr>
        <w:footnoteReference w:id="22"/>
      </w:r>
      <w:r>
        <w:rPr>
          <w:rFonts w:ascii="Times New Roman" w:hAnsi="Times New Roman"/>
          <w:noProof/>
          <w:sz w:val="24"/>
        </w:rPr>
        <w:t xml:space="preserve"> er planer om fremtidig lovgivning, der skal bane vejen for håndhævelsen af P2B-forordningen.</w:t>
      </w:r>
      <w:r>
        <w:rPr>
          <w:rFonts w:ascii="Times New Roman" w:hAnsi="Times New Roman"/>
          <w:noProof/>
          <w:sz w:val="24"/>
          <w:vertAlign w:val="superscript"/>
        </w:rPr>
        <w:t xml:space="preserve"> </w:t>
      </w:r>
      <w:r>
        <w:rPr>
          <w:rFonts w:ascii="Times New Roman" w:hAnsi="Times New Roman"/>
          <w:noProof/>
          <w:sz w:val="24"/>
        </w:rPr>
        <w:t>I alt 15 medlemsstater håndhæver i øjeblikket P2B-forordningen gennem en offentlig myndighed, der er ansvarlig for dens effektive håndhævelse</w:t>
      </w:r>
      <w:r>
        <w:rPr>
          <w:rFonts w:ascii="Times New Roman" w:hAnsi="Times New Roman" w:cs="Times New Roman"/>
          <w:noProof/>
          <w:sz w:val="24"/>
          <w:vertAlign w:val="superscript"/>
        </w:rPr>
        <w:footnoteReference w:id="23"/>
      </w:r>
      <w:r>
        <w:rPr>
          <w:rFonts w:ascii="Times New Roman" w:hAnsi="Times New Roman"/>
          <w:noProof/>
          <w:sz w:val="24"/>
        </w:rPr>
        <w:t>.</w:t>
      </w:r>
    </w:p>
    <w:p w14:paraId="4214F5E2" w14:textId="413D2AA7" w:rsidR="00CD0C0D" w:rsidRPr="000458D5" w:rsidRDefault="008472F4" w:rsidP="000458D5">
      <w:pPr>
        <w:spacing w:line="240" w:lineRule="auto"/>
        <w:jc w:val="both"/>
        <w:rPr>
          <w:rFonts w:ascii="Times New Roman" w:hAnsi="Times New Roman" w:cs="Times New Roman"/>
          <w:noProof/>
          <w:sz w:val="24"/>
        </w:rPr>
      </w:pPr>
      <w:r>
        <w:rPr>
          <w:rFonts w:ascii="Times New Roman" w:hAnsi="Times New Roman"/>
          <w:noProof/>
          <w:sz w:val="24"/>
        </w:rPr>
        <w:t xml:space="preserve">I betragtning af erhvervsbrugernes ringe kendskab til deres rettigheder i henhold til P2B-forordningen og det deraf følgende lave antal klager eller retssager baseret på forordningen har nogle medlemsstaters myndigheder også gennemført eller planlægger at gennemføre oplysningskampagner. Oplysning er afgørende for en effektiv håndhævelse af forordningen, og Kommissionen anerkender behovet for at støtte og engagere sig i disse aktiviteter. Kommissionen planlægger således at tilrettelægge fælles kommunikationskampagner med medlemsstaternes myndigheder. </w:t>
      </w:r>
    </w:p>
    <w:p w14:paraId="1357F9CD" w14:textId="5BAF6293" w:rsidR="00DC2FA5" w:rsidRPr="000458D5" w:rsidRDefault="00DC2FA5" w:rsidP="000458D5">
      <w:pPr>
        <w:pStyle w:val="ListParagraph"/>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 xml:space="preserve">Uformelt netværk af P2B-håndhævelsesmyndigheder </w:t>
      </w:r>
    </w:p>
    <w:p w14:paraId="398BEA59" w14:textId="5B062D7F" w:rsidR="00AD7B46" w:rsidRPr="000458D5" w:rsidRDefault="005B6AD1" w:rsidP="000458D5">
      <w:pPr>
        <w:spacing w:line="240" w:lineRule="auto"/>
        <w:jc w:val="both"/>
        <w:rPr>
          <w:rFonts w:ascii="Times New Roman" w:hAnsi="Times New Roman" w:cs="Times New Roman"/>
          <w:noProof/>
          <w:sz w:val="24"/>
        </w:rPr>
      </w:pPr>
      <w:r>
        <w:rPr>
          <w:rFonts w:ascii="Times New Roman" w:hAnsi="Times New Roman"/>
          <w:noProof/>
          <w:sz w:val="24"/>
        </w:rPr>
        <w:t>En gruppe af myndigheder i medlemsstaterne med ansvar for håndhævelse af P2B-forordningen besluttede at oprette et uformelt P2B-netværk ("styringsgruppen")</w:t>
      </w:r>
      <w:r>
        <w:rPr>
          <w:rStyle w:val="FootnoteReference"/>
          <w:rFonts w:ascii="Times New Roman" w:hAnsi="Times New Roman" w:cs="Times New Roman"/>
          <w:noProof/>
          <w:sz w:val="24"/>
        </w:rPr>
        <w:footnoteReference w:id="24"/>
      </w:r>
      <w:r>
        <w:rPr>
          <w:rFonts w:ascii="Times New Roman" w:hAnsi="Times New Roman"/>
          <w:noProof/>
          <w:sz w:val="24"/>
        </w:rPr>
        <w:t>. For at støtte udvekslingen af oplysninger og koordinere håndhævelsesaktiviteter (f.eks. sweeps) blev der oprettet en P2B-wiki, hvor næsten alle medlemsstater</w:t>
      </w:r>
      <w:r>
        <w:rPr>
          <w:rStyle w:val="FootnoteReference"/>
          <w:rFonts w:ascii="Times New Roman" w:hAnsi="Times New Roman" w:cs="Times New Roman"/>
          <w:noProof/>
          <w:sz w:val="24"/>
        </w:rPr>
        <w:footnoteReference w:id="25"/>
      </w:r>
      <w:r>
        <w:rPr>
          <w:rFonts w:ascii="Times New Roman" w:hAnsi="Times New Roman"/>
          <w:noProof/>
          <w:sz w:val="24"/>
        </w:rPr>
        <w:t xml:space="preserve"> var repræsenteret. Under møderne (og via wiki-rummet) tilrettelægger de håndhævende myndigheder eller medlemsstaternes myndigheder med ansvar for gennemførelse og oplysning om P2B-forordningen indkaldelser af oplysninger, udveksler oplysninger om relevante retsafgørelser og retningslinjer vedtaget af håndhævelsesmyndighederne eller tilrettelægger fælles overvågnings- og håndhævelsesforanstaltninger såsom kontrolaktioner. Disse udvekslinger er vigtige, ikke kun for de myndigheder, der deltager i håndhævelsen, men også for andre myndigheder, der kan drage erfaringer og blive tilskyndet til at deltage mere aktivt i fremtiden. </w:t>
      </w:r>
    </w:p>
    <w:p w14:paraId="07F49236" w14:textId="2CBAC99B" w:rsidR="006F0C97" w:rsidRPr="000458D5" w:rsidRDefault="00DE2AC2" w:rsidP="000458D5">
      <w:pPr>
        <w:spacing w:line="240" w:lineRule="auto"/>
        <w:jc w:val="both"/>
        <w:rPr>
          <w:rFonts w:ascii="Times New Roman" w:hAnsi="Times New Roman" w:cs="Times New Roman"/>
          <w:noProof/>
          <w:sz w:val="24"/>
        </w:rPr>
      </w:pPr>
      <w:r>
        <w:rPr>
          <w:rFonts w:ascii="Times New Roman" w:hAnsi="Times New Roman"/>
          <w:noProof/>
          <w:sz w:val="24"/>
        </w:rPr>
        <w:t xml:space="preserve">Nogle håndhævelsesmyndigheder har udarbejdet og vedtaget retningslinjer for onlineplatforme og onlinesøgemaskiner for, hvordan visse bestemmelser i P2B skal fortolkes. Dette er en </w:t>
      </w:r>
      <w:bookmarkStart w:id="6" w:name="_Hlk143791254"/>
      <w:r>
        <w:rPr>
          <w:rFonts w:ascii="Times New Roman" w:hAnsi="Times New Roman"/>
          <w:noProof/>
          <w:sz w:val="24"/>
        </w:rPr>
        <w:t>ikkebindende vejledning, som ikke fortolker forordningen, men som har til formål</w:t>
      </w:r>
      <w:bookmarkEnd w:id="6"/>
      <w:r>
        <w:rPr>
          <w:rFonts w:ascii="Times New Roman" w:hAnsi="Times New Roman"/>
          <w:noProof/>
          <w:sz w:val="24"/>
        </w:rPr>
        <w:t xml:space="preserve"> at hjælpe især mindre udbydere af onlineformidlingstjenester og onlinesøgemaskiner, der kan være aktive i en enkelt medlemsstat. Disse vejledninger har form af praktiske tips på de relevante lokale sprog. Dette er endnu et eksempel på et frivilligt initiativ fra medlemsstaternes myndigheder. Italiens AGCOM</w:t>
      </w:r>
      <w:r>
        <w:rPr>
          <w:rStyle w:val="FootnoteReference"/>
          <w:rFonts w:ascii="Times New Roman" w:hAnsi="Times New Roman" w:cs="Times New Roman"/>
          <w:noProof/>
          <w:sz w:val="24"/>
        </w:rPr>
        <w:footnoteReference w:id="26"/>
      </w:r>
      <w:r>
        <w:rPr>
          <w:rFonts w:ascii="Times New Roman" w:hAnsi="Times New Roman"/>
          <w:noProof/>
          <w:sz w:val="24"/>
        </w:rPr>
        <w:t xml:space="preserve"> og Nederlandenes ACM</w:t>
      </w:r>
      <w:r>
        <w:rPr>
          <w:rStyle w:val="FootnoteReference"/>
          <w:rFonts w:ascii="Times New Roman" w:hAnsi="Times New Roman" w:cs="Times New Roman"/>
          <w:noProof/>
          <w:sz w:val="24"/>
        </w:rPr>
        <w:footnoteReference w:id="27"/>
      </w:r>
      <w:r>
        <w:rPr>
          <w:rFonts w:ascii="Times New Roman" w:hAnsi="Times New Roman"/>
          <w:noProof/>
          <w:sz w:val="24"/>
        </w:rPr>
        <w:t xml:space="preserve"> har indtil videre offentliggjort sådanne håndhævelsesretningslinjer, som er tilgængelige på deres respektive websteder. Officielle retningslinjer for forordningens materielle bestemmelser findes i Kommissionens meddelelse om gennemsigtighed i rangordningen som forklaret i det følgende afsnit. </w:t>
      </w:r>
    </w:p>
    <w:p w14:paraId="088D4528" w14:textId="70BBCCAA" w:rsidR="000F3174" w:rsidRPr="0058729A" w:rsidRDefault="000F3174" w:rsidP="000458D5">
      <w:pPr>
        <w:numPr>
          <w:ilvl w:val="1"/>
          <w:numId w:val="3"/>
        </w:numPr>
        <w:spacing w:line="240" w:lineRule="auto"/>
        <w:jc w:val="both"/>
        <w:rPr>
          <w:rFonts w:ascii="Times New Roman" w:hAnsi="Times New Roman" w:cs="Times New Roman"/>
          <w:i/>
          <w:noProof/>
          <w:sz w:val="24"/>
        </w:rPr>
      </w:pPr>
      <w:r>
        <w:rPr>
          <w:rFonts w:ascii="Times New Roman" w:hAnsi="Times New Roman"/>
          <w:i/>
          <w:noProof/>
          <w:sz w:val="24"/>
        </w:rPr>
        <w:t>Kommissionens hidtidige foranstaltninger i henhold til P2B-forordningen</w:t>
      </w:r>
    </w:p>
    <w:p w14:paraId="7C0B47FF" w14:textId="3163523D" w:rsidR="000F3174" w:rsidRPr="000458D5" w:rsidRDefault="00DE2AC2" w:rsidP="000458D5">
      <w:pPr>
        <w:spacing w:line="240" w:lineRule="auto"/>
        <w:jc w:val="both"/>
        <w:rPr>
          <w:rFonts w:ascii="Times New Roman" w:hAnsi="Times New Roman" w:cs="Times New Roman"/>
          <w:noProof/>
          <w:sz w:val="24"/>
        </w:rPr>
      </w:pPr>
      <w:r>
        <w:rPr>
          <w:rFonts w:ascii="Times New Roman" w:hAnsi="Times New Roman"/>
          <w:noProof/>
          <w:sz w:val="24"/>
        </w:rPr>
        <w:t xml:space="preserve">Ud over at indlede traktatbrudssøgsmål mod medlemsstater, der ikke har gennemført forordningens artikel 15, offentliggjorde Kommissionen også en </w:t>
      </w:r>
      <w:hyperlink r:id="rId24" w:history="1">
        <w:r>
          <w:rPr>
            <w:rStyle w:val="Hyperlink"/>
            <w:rFonts w:ascii="Times New Roman" w:hAnsi="Times New Roman"/>
            <w:noProof/>
            <w:sz w:val="24"/>
          </w:rPr>
          <w:t>meddelelse om retningslinjer for rangordning</w:t>
        </w:r>
      </w:hyperlink>
      <w:r>
        <w:rPr>
          <w:rFonts w:ascii="Times New Roman" w:hAnsi="Times New Roman"/>
          <w:noProof/>
          <w:sz w:val="24"/>
        </w:rPr>
        <w:t xml:space="preserve"> i henhold til artikel 5, stk. 7, i P2B-forordningen</w:t>
      </w:r>
      <w:r>
        <w:rPr>
          <w:rStyle w:val="FootnoteReference"/>
          <w:rFonts w:ascii="Times New Roman" w:hAnsi="Times New Roman" w:cs="Times New Roman"/>
          <w:noProof/>
          <w:sz w:val="24"/>
        </w:rPr>
        <w:footnoteReference w:id="28"/>
      </w:r>
      <w:r>
        <w:rPr>
          <w:rFonts w:ascii="Times New Roman" w:hAnsi="Times New Roman"/>
          <w:noProof/>
          <w:sz w:val="24"/>
        </w:rPr>
        <w:t xml:space="preserve">. </w:t>
      </w:r>
    </w:p>
    <w:p w14:paraId="54AF27D6" w14:textId="0362A1D8" w:rsidR="000F3174" w:rsidRPr="000458D5" w:rsidRDefault="000F3174" w:rsidP="000458D5">
      <w:pPr>
        <w:spacing w:line="240" w:lineRule="auto"/>
        <w:jc w:val="both"/>
        <w:rPr>
          <w:rFonts w:ascii="Times New Roman" w:hAnsi="Times New Roman" w:cs="Times New Roman"/>
          <w:noProof/>
          <w:sz w:val="24"/>
        </w:rPr>
      </w:pPr>
      <w:r>
        <w:rPr>
          <w:rFonts w:ascii="Times New Roman" w:hAnsi="Times New Roman"/>
          <w:noProof/>
          <w:sz w:val="24"/>
        </w:rPr>
        <w:t xml:space="preserve">Kommissionen fører også en </w:t>
      </w:r>
      <w:hyperlink r:id="rId25" w:history="1">
        <w:r>
          <w:rPr>
            <w:rStyle w:val="Hyperlink"/>
            <w:rFonts w:ascii="Times New Roman" w:hAnsi="Times New Roman"/>
            <w:noProof/>
            <w:sz w:val="24"/>
          </w:rPr>
          <w:t>liste over udpegede enheder</w:t>
        </w:r>
        <w:r>
          <w:rPr>
            <w:rStyle w:val="FootnoteReference"/>
            <w:rFonts w:ascii="Times New Roman" w:hAnsi="Times New Roman" w:cs="Times New Roman"/>
            <w:noProof/>
            <w:color w:val="0000FF" w:themeColor="hyperlink"/>
            <w:sz w:val="24"/>
            <w:u w:val="single"/>
          </w:rPr>
          <w:footnoteReference w:id="29"/>
        </w:r>
      </w:hyperlink>
      <w:r>
        <w:rPr>
          <w:rFonts w:ascii="Times New Roman" w:hAnsi="Times New Roman"/>
          <w:noProof/>
          <w:sz w:val="24"/>
        </w:rPr>
        <w:t xml:space="preserve"> i henhold til forordningens artikel 14, stk. 6. Indtil videre er det kun Østrig og Irland, der har udpeget sådanne organisationer, foreninger eller offentlige organer.</w:t>
      </w:r>
    </w:p>
    <w:p w14:paraId="3CB18B2E" w14:textId="0321E43C" w:rsidR="008850CE" w:rsidRPr="000458D5" w:rsidRDefault="008850CE" w:rsidP="000458D5">
      <w:pPr>
        <w:numPr>
          <w:ilvl w:val="0"/>
          <w:numId w:val="3"/>
        </w:numPr>
        <w:spacing w:line="240" w:lineRule="auto"/>
        <w:jc w:val="both"/>
        <w:rPr>
          <w:rFonts w:ascii="Times New Roman" w:hAnsi="Times New Roman" w:cs="Times New Roman"/>
          <w:noProof/>
          <w:sz w:val="24"/>
        </w:rPr>
      </w:pPr>
      <w:r>
        <w:rPr>
          <w:rFonts w:ascii="Times New Roman" w:hAnsi="Times New Roman"/>
          <w:b/>
          <w:noProof/>
          <w:sz w:val="24"/>
        </w:rPr>
        <w:t xml:space="preserve">Komplementaritet med andre EU-retsakter </w:t>
      </w:r>
    </w:p>
    <w:p w14:paraId="7E7AC623" w14:textId="7E26BAF6" w:rsidR="00696A27" w:rsidRPr="000458D5" w:rsidRDefault="00696A27" w:rsidP="00696A27">
      <w:pPr>
        <w:spacing w:line="240" w:lineRule="auto"/>
        <w:jc w:val="both"/>
        <w:rPr>
          <w:rFonts w:ascii="Times New Roman" w:hAnsi="Times New Roman" w:cs="Times New Roman"/>
          <w:noProof/>
          <w:sz w:val="24"/>
        </w:rPr>
      </w:pPr>
      <w:r>
        <w:rPr>
          <w:rFonts w:ascii="Times New Roman" w:hAnsi="Times New Roman"/>
          <w:noProof/>
          <w:sz w:val="24"/>
        </w:rPr>
        <w:t xml:space="preserve">P2B-forordningen var det første skridt i retning af at skabe en omfattende retlig ramme for platformsøkonomien. Den er siden blevet suppleret med vedtagelsen af </w:t>
      </w:r>
      <w:hyperlink r:id="rId26" w:history="1">
        <w:r>
          <w:rPr>
            <w:rStyle w:val="Hyperlink"/>
            <w:rFonts w:ascii="Times New Roman" w:hAnsi="Times New Roman"/>
            <w:noProof/>
            <w:sz w:val="24"/>
          </w:rPr>
          <w:t>forordningen om digitale tjenester</w:t>
        </w:r>
      </w:hyperlink>
      <w:r>
        <w:rPr>
          <w:rFonts w:ascii="Times New Roman" w:hAnsi="Times New Roman"/>
          <w:noProof/>
          <w:sz w:val="24"/>
        </w:rPr>
        <w:t xml:space="preserve"> og </w:t>
      </w:r>
      <w:hyperlink r:id="rId27" w:history="1">
        <w:r>
          <w:rPr>
            <w:rStyle w:val="Hyperlink"/>
            <w:rFonts w:ascii="Times New Roman" w:hAnsi="Times New Roman"/>
            <w:noProof/>
            <w:sz w:val="24"/>
          </w:rPr>
          <w:t>forordningen om digitale markeder</w:t>
        </w:r>
      </w:hyperlink>
      <w:r>
        <w:rPr>
          <w:rFonts w:ascii="Times New Roman" w:hAnsi="Times New Roman"/>
          <w:noProof/>
          <w:sz w:val="24"/>
        </w:rPr>
        <w:t xml:space="preserve">. Disse instrumenter befinder sig på et tidligt stadium i gennemførelsen. Selv om forholdet mellem P2B-forordningen og forordningen om digitale tjenester og forordningen om digitale markeder er velafgrænset, bør Kommissionen og de nationale håndhævelsesorganer være meget opmærksomme på interaktionen og komplementariteten mellem dem i overensstemmelse med udtalelsen fra ekspertgruppen for observationscentret for onlineplatformøkonomien. </w:t>
      </w:r>
    </w:p>
    <w:p w14:paraId="4B44D5CE" w14:textId="0D495EFB" w:rsidR="00696A27" w:rsidRDefault="00696A27" w:rsidP="000458D5">
      <w:pPr>
        <w:spacing w:line="240" w:lineRule="auto"/>
        <w:jc w:val="both"/>
        <w:rPr>
          <w:rFonts w:ascii="Times New Roman" w:hAnsi="Times New Roman" w:cs="Times New Roman"/>
          <w:noProof/>
          <w:sz w:val="24"/>
        </w:rPr>
      </w:pPr>
      <w:r>
        <w:rPr>
          <w:rFonts w:ascii="Times New Roman" w:hAnsi="Times New Roman"/>
          <w:noProof/>
          <w:sz w:val="24"/>
        </w:rPr>
        <w:t xml:space="preserve">Navnlig finder P2B-forordningen, herunder dens artikel 11 om intern klagebehandling, anvendelse på alle mellemstore og store udbydere af onlineformidlingstjenester. Dens anvendelsesområde rækker derfor ud over forordningen om digitale markeder. Det betyder, at erhvervsbrugere af onlineformidlingstjenester har større retssikkerhed til at opbygge en onlinetilstedeværelse, der spænder over både gatekeeper-kerneplatformstjenester under forordningen om digitale markeder og andre onlineformidlingstjenester. </w:t>
      </w:r>
    </w:p>
    <w:p w14:paraId="2BBBF34F" w14:textId="326D1F1D" w:rsidR="00C45706" w:rsidRPr="000458D5" w:rsidRDefault="00C45706" w:rsidP="000458D5">
      <w:pPr>
        <w:spacing w:line="240" w:lineRule="auto"/>
        <w:jc w:val="both"/>
        <w:rPr>
          <w:rFonts w:ascii="Times New Roman" w:hAnsi="Times New Roman" w:cs="Times New Roman"/>
          <w:noProof/>
          <w:sz w:val="24"/>
        </w:rPr>
      </w:pPr>
      <w:r>
        <w:rPr>
          <w:rFonts w:ascii="Times New Roman" w:hAnsi="Times New Roman"/>
          <w:noProof/>
          <w:sz w:val="24"/>
        </w:rPr>
        <w:t>Forordningen om digitale tjenester afspejler og præciserer gennemsigtighedsforpligtelsen med hensyn til rangordning i artikel 5 i P2B-forordningen til gavn for alle europæere. Den sikrer også systematisk adgang til klagemekanismer og den nødvendige klarhed, tilgængelighed og konsekvente anvendelse af onlineplatformenes vilkår og betingelser.</w:t>
      </w:r>
    </w:p>
    <w:p w14:paraId="02353FA7" w14:textId="1F4F7A2C" w:rsidR="002C223B" w:rsidRPr="000458D5" w:rsidRDefault="00760608" w:rsidP="000458D5">
      <w:pPr>
        <w:spacing w:line="240" w:lineRule="auto"/>
        <w:jc w:val="both"/>
        <w:rPr>
          <w:rFonts w:ascii="Times New Roman" w:hAnsi="Times New Roman" w:cs="Times New Roman"/>
          <w:noProof/>
          <w:sz w:val="24"/>
        </w:rPr>
      </w:pPr>
      <w:r>
        <w:rPr>
          <w:rFonts w:ascii="Times New Roman" w:hAnsi="Times New Roman"/>
          <w:noProof/>
          <w:sz w:val="24"/>
        </w:rPr>
        <w:t>Desuden henviser den foreslåede europæiske retsakt om mediefrihed</w:t>
      </w:r>
      <w:r>
        <w:rPr>
          <w:rStyle w:val="FootnoteReference"/>
          <w:rFonts w:ascii="Times New Roman" w:hAnsi="Times New Roman" w:cs="Times New Roman"/>
          <w:noProof/>
          <w:sz w:val="24"/>
        </w:rPr>
        <w:footnoteReference w:id="30"/>
      </w:r>
      <w:r>
        <w:rPr>
          <w:rFonts w:ascii="Times New Roman" w:hAnsi="Times New Roman"/>
          <w:noProof/>
          <w:sz w:val="24"/>
        </w:rPr>
        <w:t xml:space="preserve"> i artikel 17 til P2B-forordningen. Målet er at gøre det klart, at medieudbydere som erhvervsbrugere af onlineformidlingstjenester bør tilbydes passende procesgarantier i forbindelse med indholdsmoderation.</w:t>
      </w:r>
    </w:p>
    <w:p w14:paraId="1EED19C9" w14:textId="62234DC4" w:rsidR="005135B7" w:rsidRPr="009D214D" w:rsidRDefault="0032304D" w:rsidP="000458D5">
      <w:pPr>
        <w:pStyle w:val="ListParagraph"/>
        <w:numPr>
          <w:ilvl w:val="0"/>
          <w:numId w:val="3"/>
        </w:numPr>
        <w:spacing w:line="240" w:lineRule="auto"/>
        <w:jc w:val="both"/>
        <w:rPr>
          <w:rFonts w:ascii="Times New Roman" w:hAnsi="Times New Roman" w:cs="Times New Roman"/>
          <w:b/>
          <w:noProof/>
          <w:sz w:val="24"/>
        </w:rPr>
      </w:pPr>
      <w:r>
        <w:rPr>
          <w:rFonts w:ascii="Times New Roman" w:hAnsi="Times New Roman"/>
          <w:b/>
          <w:noProof/>
          <w:sz w:val="24"/>
        </w:rPr>
        <w:t xml:space="preserve">Generelle konklusioner og forslag til opfølgende foranstaltninger fra Kommissionens side </w:t>
      </w:r>
    </w:p>
    <w:p w14:paraId="4E4C5578" w14:textId="35FCCD42" w:rsidR="000A765E" w:rsidRPr="000458D5" w:rsidRDefault="00C20802" w:rsidP="000458D5">
      <w:pPr>
        <w:spacing w:line="240" w:lineRule="auto"/>
        <w:jc w:val="both"/>
        <w:rPr>
          <w:rFonts w:ascii="Times New Roman" w:hAnsi="Times New Roman" w:cs="Times New Roman"/>
          <w:noProof/>
          <w:sz w:val="24"/>
        </w:rPr>
      </w:pPr>
      <w:r>
        <w:rPr>
          <w:rFonts w:ascii="Times New Roman" w:hAnsi="Times New Roman"/>
          <w:noProof/>
          <w:sz w:val="24"/>
        </w:rPr>
        <w:t xml:space="preserve">Denne første foreløbige revision viser de eksisterende virkninger af P2B-forordningen: Siden vedtagelsen er onlineformidlingstjenester blevet mere gennemsigtige (f.eks. oplysninger om betingelserne for behandling af klager, etablering af intern klagebehandling, begrundelse for suspension eller ophør af konti og lister). Platformenes overholdelse er dog stadig for lav, idet forskellene afhænger af platformens størrelse, men også af forpligtelsen (selv om de f.eks. opstiller en liste over årsager til suspension eller ophør, er de stadig helt konkret for vage for erhvervsbrugeren). </w:t>
      </w:r>
    </w:p>
    <w:p w14:paraId="1205ADAB" w14:textId="3E5B2C40" w:rsidR="00C20802" w:rsidRPr="000458D5" w:rsidRDefault="000A765E" w:rsidP="000458D5">
      <w:pPr>
        <w:spacing w:line="240" w:lineRule="auto"/>
        <w:jc w:val="both"/>
        <w:rPr>
          <w:rFonts w:ascii="Times New Roman" w:hAnsi="Times New Roman" w:cs="Times New Roman"/>
          <w:noProof/>
          <w:sz w:val="24"/>
        </w:rPr>
      </w:pPr>
      <w:r>
        <w:rPr>
          <w:rFonts w:ascii="Times New Roman" w:hAnsi="Times New Roman"/>
          <w:noProof/>
          <w:sz w:val="24"/>
        </w:rPr>
        <w:t>Revisionen viser samtidig, at der fortsat er problemer med at nå målene i P2B-forordningen. Reglerne om gennemsigtighed og tvistbilæggelse er så relevante som nogensinde før, men får ikke fuld virkning i praksis. Denne rapport og de indsamlede data viser imidlertid, at reglerne kan være den rette løsning på de problemer, som erhvervsbrugere stadig står over for, hvis de anvendes fuldt ud og korrekt. Denne rapport afdækker en række faktorer, der kan forklare, hvorfor øget gennemsigtighed ikke har ført til betydelige ændringer i platformenes adfærd på visse områder. Dette gælder navnlig erhvervsbrugernes ringe kendskab til deres rettigheder og utilstrækkelig håndhævelse fra de nationale myndigheders side, hvilket medfører en begrænset overholdelse fra onlineplatformenes side. Alle disse faktorer skal tackles for at øge gennemførelsen og effektiviteten af P2B-forordningen, som skal evalueres i den næste rapport.</w:t>
      </w:r>
    </w:p>
    <w:p w14:paraId="39E25D3C" w14:textId="51C94AC6" w:rsidR="002876C6" w:rsidRPr="000458D5" w:rsidRDefault="002876C6" w:rsidP="000458D5">
      <w:pPr>
        <w:spacing w:line="240" w:lineRule="auto"/>
        <w:jc w:val="both"/>
        <w:rPr>
          <w:rFonts w:ascii="Times New Roman" w:hAnsi="Times New Roman" w:cs="Times New Roman"/>
          <w:noProof/>
          <w:sz w:val="24"/>
        </w:rPr>
      </w:pPr>
      <w:r>
        <w:rPr>
          <w:rFonts w:ascii="Times New Roman" w:hAnsi="Times New Roman"/>
          <w:noProof/>
          <w:sz w:val="24"/>
        </w:rPr>
        <w:t>Med hensyn til gennemførelse og håndhævelse vil Kommissionen fortsat arbejde tæt sammen med medlemsstaterne og de kompetente nationale myndigheder. For at afhjælpe det lave oplysningsniveau og afhjælpe de mangler, der blev konstateret i forbindelse med revisionen, foreslås følgende foranstaltninger:</w:t>
      </w:r>
    </w:p>
    <w:p w14:paraId="2F628CD2" w14:textId="61119163" w:rsidR="006B5929" w:rsidRPr="000458D5" w:rsidRDefault="006B5929" w:rsidP="000458D5">
      <w:pPr>
        <w:pStyle w:val="ListParagraph"/>
        <w:numPr>
          <w:ilvl w:val="0"/>
          <w:numId w:val="6"/>
        </w:numPr>
        <w:spacing w:line="240" w:lineRule="auto"/>
        <w:jc w:val="both"/>
        <w:rPr>
          <w:rFonts w:ascii="Times New Roman" w:hAnsi="Times New Roman" w:cs="Times New Roman"/>
          <w:noProof/>
          <w:sz w:val="24"/>
        </w:rPr>
      </w:pPr>
      <w:r>
        <w:rPr>
          <w:rFonts w:ascii="Times New Roman" w:hAnsi="Times New Roman"/>
          <w:noProof/>
          <w:sz w:val="24"/>
        </w:rPr>
        <w:t>For det første er det vigtigt at sikre, at erhvervsbrugere, foreninger og onlineplatforme er opmærksomme på de rettigheder og forpligtelser, der følger af P2B-forordningen. Med henblik herpå vil Kommissionen samarbejde med medlemsstaterne om at formidle oplysninger inden for forskellige sektorer og for alle aktører via forskellige kanaler, herunder oplysningskampagner, virksomhedsnetværk og andre værktøjer (f.eks. YourEurope). Kommissionen planlægger også at afholde yderligere workshopper med erhvervsbrugere, onlineformidlingstjenester og andre interessenter fra forskellige sektorer.</w:t>
      </w:r>
    </w:p>
    <w:p w14:paraId="436CB012" w14:textId="03060EAC" w:rsidR="00712E99" w:rsidRPr="000458D5" w:rsidRDefault="00712E99" w:rsidP="000458D5">
      <w:pPr>
        <w:pStyle w:val="ListParagraph"/>
        <w:numPr>
          <w:ilvl w:val="0"/>
          <w:numId w:val="6"/>
        </w:numPr>
        <w:spacing w:line="240" w:lineRule="auto"/>
        <w:jc w:val="both"/>
        <w:rPr>
          <w:rFonts w:ascii="Times New Roman" w:hAnsi="Times New Roman" w:cs="Times New Roman"/>
          <w:noProof/>
          <w:sz w:val="24"/>
        </w:rPr>
      </w:pPr>
      <w:r>
        <w:rPr>
          <w:rFonts w:ascii="Times New Roman" w:hAnsi="Times New Roman"/>
          <w:noProof/>
          <w:sz w:val="24"/>
        </w:rPr>
        <w:t>For det andet varierede oplysningsniveauet fra sektor til sektor (f.eks. inden for hotel- og restaurationsbranchen eller e-handel). For hver sektor kan der anvendes specifikke værktøjer til at øge bevidstheden, f.eks. ved at anvende omstillingsforløb</w:t>
      </w:r>
      <w:r>
        <w:rPr>
          <w:rStyle w:val="FootnoteReference"/>
          <w:rFonts w:ascii="Times New Roman" w:hAnsi="Times New Roman" w:cs="Times New Roman"/>
          <w:noProof/>
          <w:sz w:val="24"/>
        </w:rPr>
        <w:footnoteReference w:id="31"/>
      </w:r>
      <w:r>
        <w:rPr>
          <w:rFonts w:ascii="Times New Roman" w:hAnsi="Times New Roman"/>
          <w:noProof/>
          <w:sz w:val="24"/>
        </w:rPr>
        <w:t xml:space="preserve"> som løftestang til at udarbejde eventuelle skræddersyede handlingsplaner.</w:t>
      </w:r>
    </w:p>
    <w:p w14:paraId="65934B42" w14:textId="629A1CD0" w:rsidR="00712E99" w:rsidRPr="000458D5" w:rsidRDefault="00712E99" w:rsidP="000458D5">
      <w:pPr>
        <w:pStyle w:val="ListParagraph"/>
        <w:numPr>
          <w:ilvl w:val="0"/>
          <w:numId w:val="6"/>
        </w:numPr>
        <w:spacing w:line="240" w:lineRule="auto"/>
        <w:jc w:val="both"/>
        <w:rPr>
          <w:rFonts w:ascii="Times New Roman" w:hAnsi="Times New Roman" w:cs="Times New Roman"/>
          <w:noProof/>
          <w:sz w:val="24"/>
        </w:rPr>
      </w:pPr>
      <w:r>
        <w:rPr>
          <w:rFonts w:ascii="Times New Roman" w:hAnsi="Times New Roman"/>
          <w:noProof/>
          <w:sz w:val="24"/>
        </w:rPr>
        <w:t>For det tredje er den relative grad af tilpasning til mægling generelt højere for større onlineformidlingstjenester</w:t>
      </w:r>
      <w:r>
        <w:rPr>
          <w:rStyle w:val="FootnoteReference"/>
          <w:rFonts w:ascii="Times New Roman" w:hAnsi="Times New Roman" w:cs="Times New Roman"/>
          <w:noProof/>
          <w:sz w:val="24"/>
        </w:rPr>
        <w:footnoteReference w:id="32"/>
      </w:r>
      <w:r>
        <w:rPr>
          <w:rFonts w:ascii="Times New Roman" w:hAnsi="Times New Roman"/>
          <w:noProof/>
          <w:sz w:val="24"/>
        </w:rPr>
        <w:t>. Kommissionen planlægger derfor som en prioritet at følge op med SMV-platforme sammen med medlemsstaterne og deres myndigheder.</w:t>
      </w:r>
    </w:p>
    <w:p w14:paraId="3F139CD9" w14:textId="648DDD4F" w:rsidR="00F11625" w:rsidRPr="000458D5" w:rsidRDefault="00712E99" w:rsidP="000458D5">
      <w:pPr>
        <w:pStyle w:val="ListParagraph"/>
        <w:numPr>
          <w:ilvl w:val="0"/>
          <w:numId w:val="6"/>
        </w:numPr>
        <w:spacing w:line="240" w:lineRule="auto"/>
        <w:jc w:val="both"/>
        <w:rPr>
          <w:rFonts w:ascii="Times New Roman" w:hAnsi="Times New Roman" w:cs="Times New Roman"/>
          <w:noProof/>
          <w:sz w:val="24"/>
        </w:rPr>
      </w:pPr>
      <w:r>
        <w:rPr>
          <w:rFonts w:ascii="Times New Roman" w:hAnsi="Times New Roman"/>
          <w:noProof/>
          <w:sz w:val="24"/>
        </w:rPr>
        <w:t>Endelig bør adfærdskodekser anvendes til at operationalisere anvendelsen af P2B-forordningen. Kommissionen planlægger at undersøge mulighederne for at indføre adfærdskodekser inden for hotelreservationer og onlinemarkedspladser i den nærmeste fremtid. Den vil anmode onlineformidlingstjenester og medlemsstaternes myndigheder om at handle på dette område.</w:t>
      </w:r>
    </w:p>
    <w:sectPr w:rsidR="00F11625" w:rsidRPr="000458D5" w:rsidSect="008A1C38">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7BD6F" w14:textId="77777777" w:rsidR="005B31C5" w:rsidRDefault="005B31C5" w:rsidP="000F3174">
      <w:pPr>
        <w:spacing w:after="0" w:line="240" w:lineRule="auto"/>
      </w:pPr>
      <w:r>
        <w:separator/>
      </w:r>
    </w:p>
  </w:endnote>
  <w:endnote w:type="continuationSeparator" w:id="0">
    <w:p w14:paraId="74900639" w14:textId="77777777" w:rsidR="005B31C5" w:rsidRDefault="005B31C5" w:rsidP="000F3174">
      <w:pPr>
        <w:spacing w:after="0" w:line="240" w:lineRule="auto"/>
      </w:pPr>
      <w:r>
        <w:continuationSeparator/>
      </w:r>
    </w:p>
  </w:endnote>
  <w:endnote w:type="continuationNotice" w:id="1">
    <w:p w14:paraId="780FF3AB" w14:textId="77777777" w:rsidR="005B31C5" w:rsidRDefault="005B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1E29" w14:textId="5BED3D83" w:rsidR="005876BF" w:rsidRPr="00DD128C" w:rsidRDefault="005876BF" w:rsidP="00DD1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2C6A" w14:textId="479F10DA" w:rsidR="005876BF" w:rsidRPr="00DD128C" w:rsidRDefault="00DD128C" w:rsidP="00DD128C">
    <w:pPr>
      <w:pStyle w:val="FooterCoverPage"/>
      <w:rPr>
        <w:rFonts w:ascii="Arial" w:hAnsi="Arial" w:cs="Arial"/>
        <w:b/>
        <w:sz w:val="48"/>
      </w:rPr>
    </w:pPr>
    <w:r w:rsidRPr="00DD128C">
      <w:rPr>
        <w:rFonts w:ascii="Arial" w:hAnsi="Arial" w:cs="Arial"/>
        <w:b/>
        <w:sz w:val="48"/>
      </w:rPr>
      <w:t>DA</w:t>
    </w:r>
    <w:r w:rsidRPr="00DD128C">
      <w:rPr>
        <w:rFonts w:ascii="Arial" w:hAnsi="Arial" w:cs="Arial"/>
        <w:b/>
        <w:sz w:val="48"/>
      </w:rPr>
      <w:tab/>
    </w:r>
    <w:r w:rsidRPr="00DD128C">
      <w:rPr>
        <w:rFonts w:ascii="Arial" w:hAnsi="Arial" w:cs="Arial"/>
        <w:b/>
        <w:sz w:val="48"/>
      </w:rPr>
      <w:tab/>
    </w:r>
    <w:r w:rsidRPr="00DD128C">
      <w:tab/>
    </w:r>
    <w:r w:rsidRPr="00DD128C">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4890" w14:textId="77777777" w:rsidR="00DD128C" w:rsidRPr="00DD128C" w:rsidRDefault="00DD128C" w:rsidP="00DD128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3900" w14:textId="77777777" w:rsidR="002945A9" w:rsidRDefault="00294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396434"/>
      <w:docPartObj>
        <w:docPartGallery w:val="Page Numbers (Bottom of Page)"/>
        <w:docPartUnique/>
      </w:docPartObj>
    </w:sdtPr>
    <w:sdtEndPr>
      <w:rPr>
        <w:rFonts w:ascii="Times New Roman" w:hAnsi="Times New Roman" w:cs="Times New Roman"/>
      </w:rPr>
    </w:sdtEndPr>
    <w:sdtContent>
      <w:p w14:paraId="25DBE45D" w14:textId="60FC628D" w:rsidR="00F71BDD" w:rsidRPr="00497517" w:rsidRDefault="00F71BDD">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D128C">
          <w:rPr>
            <w:rFonts w:ascii="Times New Roman" w:hAnsi="Times New Roman" w:cs="Times New Roman"/>
            <w:noProof/>
          </w:rPr>
          <w:t>1</w:t>
        </w:r>
        <w:r>
          <w:rPr>
            <w:rFonts w:ascii="Times New Roman" w:hAnsi="Times New Roman" w:cs="Times New Roman"/>
          </w:rPr>
          <w:fldChar w:fldCharType="end"/>
        </w:r>
      </w:p>
    </w:sdtContent>
  </w:sdt>
  <w:p w14:paraId="5B8E9E38" w14:textId="77777777" w:rsidR="002945A9" w:rsidRDefault="002945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C67B" w14:textId="77777777" w:rsidR="002945A9" w:rsidRDefault="00294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E965" w14:textId="77777777" w:rsidR="005B31C5" w:rsidRDefault="005B31C5" w:rsidP="000F3174">
      <w:pPr>
        <w:spacing w:after="0" w:line="240" w:lineRule="auto"/>
      </w:pPr>
      <w:r>
        <w:separator/>
      </w:r>
    </w:p>
  </w:footnote>
  <w:footnote w:type="continuationSeparator" w:id="0">
    <w:p w14:paraId="6D2EBA5D" w14:textId="77777777" w:rsidR="005B31C5" w:rsidRDefault="005B31C5" w:rsidP="000F3174">
      <w:pPr>
        <w:spacing w:after="0" w:line="240" w:lineRule="auto"/>
      </w:pPr>
      <w:r>
        <w:continuationSeparator/>
      </w:r>
    </w:p>
  </w:footnote>
  <w:footnote w:type="continuationNotice" w:id="1">
    <w:p w14:paraId="73213119" w14:textId="77777777" w:rsidR="005B31C5" w:rsidRDefault="005B31C5">
      <w:pPr>
        <w:spacing w:after="0" w:line="240" w:lineRule="auto"/>
      </w:pPr>
    </w:p>
  </w:footnote>
  <w:footnote w:id="2">
    <w:p w14:paraId="7A6E3021" w14:textId="0BA61A96" w:rsidR="00845DBD" w:rsidRPr="004B79E6" w:rsidRDefault="00845DBD" w:rsidP="00A71C83">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A71C83">
        <w:tab/>
      </w:r>
      <w:r>
        <w:rPr>
          <w:rFonts w:ascii="Times New Roman" w:hAnsi="Times New Roman"/>
        </w:rPr>
        <w:t>Europa-Parlamentets og Rådets forordning (EU) 2019/1150 af 20. juni 2019 om fremme af retfærdighed og gennemsigtighed for brugere af onlineformidlingstjenester (PE/56/2019/REV/1, EUT L 186 af 11.7.2019, s. 57).</w:t>
      </w:r>
    </w:p>
  </w:footnote>
  <w:footnote w:id="3">
    <w:p w14:paraId="0921A89D" w14:textId="18E80868" w:rsidR="00A83B29" w:rsidRPr="004B79E6" w:rsidRDefault="00A83B29" w:rsidP="00A71C83">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A71C83">
        <w:tab/>
      </w:r>
      <w:r>
        <w:rPr>
          <w:rFonts w:ascii="Times New Roman" w:hAnsi="Times New Roman"/>
        </w:rPr>
        <w:t>Europa-Parlamentets og Rådets forordning (EU) 2022/1925 af 14. september 2022 om åbne og fair markeder i den digitale sektor og om ændring af direktiv (EU) 2019/1937 og (EU) 2020/1828 (forordningen om digitale markeder) (EØS-relevant tekst) (PE/17/2022/REV/1 EUT L 265 af 12.10.2022, s. 1). Forordningen om digitale markeder finder allerede anvendelse og dækker specifikt spørgsmål om urimelige onlineformidlingstjenester samt interoperabilitetsspørgsmål vedrørende operativsystemer — de spørgsmål, der er omhandlet i artikel 18, stk. 2, litra c), d) og e). Den behandler præcist spørgsmålene om urimelig handelspraksis, illoyal konkurrence og andre negative virkninger af ulige forhandlingspositioner mellem erhvervsbrugere og centrale platformstjenester.</w:t>
      </w:r>
    </w:p>
  </w:footnote>
  <w:footnote w:id="4">
    <w:p w14:paraId="6B4E36F8" w14:textId="3FB4F11B" w:rsidR="00A83B29" w:rsidRPr="004B79E6" w:rsidRDefault="00A83B29" w:rsidP="00A71C83">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A71C83">
        <w:tab/>
      </w:r>
      <w:r>
        <w:rPr>
          <w:rFonts w:ascii="Times New Roman" w:hAnsi="Times New Roman"/>
        </w:rPr>
        <w:t xml:space="preserve">Europa-Parlamentets og Rådets forordning (EU) 2022/2065 af 19. oktober 2022 om et indre marked for digitale tjenester og om ændring af direktiv 2000/31/EF (forordning om digitale tjenester) (EØS-relevant (PE/30/2022/REV/1 EUT L 277 af 27.10.2022, s. 1). </w:t>
      </w:r>
    </w:p>
  </w:footnote>
  <w:footnote w:id="5">
    <w:p w14:paraId="329FC12E" w14:textId="5BD5A583" w:rsidR="00A83B29" w:rsidRPr="004B79E6" w:rsidRDefault="00A83B29" w:rsidP="00A71C83">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A71C83">
        <w:tab/>
      </w:r>
      <w:r>
        <w:rPr>
          <w:rFonts w:ascii="Times New Roman" w:hAnsi="Times New Roman"/>
        </w:rPr>
        <w:t>Forslag til Europa-Parlamentets og Rådets direktiv om forbedring af arbejdsvilkårene for platformsarbejde (COM/2021/762 final). Når det foreslåede direktiv om platformsarbejde er vedtaget af Europa-Parlamentet og Rådet, bør der ikke længere være et hul i beskyttelsen af personer, der arbejder via digitale platforme, for så vidt angår gennemsigtighed i algoritmer og klagebehandling, uanset om disse personer er "erhvervsbrugere", platformsarbejdere eller (reelle) selvstændige, der udfører platformsarbejde, da de relevante personer vil drage fordel af beskyttelsen i enten P2B-forordningen eller direktivet om platformsarbejde.</w:t>
      </w:r>
    </w:p>
  </w:footnote>
  <w:footnote w:id="6">
    <w:p w14:paraId="23DD4D1D" w14:textId="4D5030BA" w:rsidR="000D72FE" w:rsidRPr="004B79E6" w:rsidRDefault="000D72FE" w:rsidP="00A71C83">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A71C83">
        <w:tab/>
      </w:r>
      <w:r>
        <w:rPr>
          <w:rFonts w:ascii="Times New Roman" w:hAnsi="Times New Roman"/>
        </w:rPr>
        <w:t xml:space="preserve">Se arbejdsdokument fra Kommissionens tjenestegrene, der ledsager denne rapport, fra side 10. </w:t>
      </w:r>
    </w:p>
  </w:footnote>
  <w:footnote w:id="7">
    <w:p w14:paraId="6AA1E8C7" w14:textId="5448996E" w:rsidR="00356C36" w:rsidRPr="004B79E6" w:rsidRDefault="00356C36" w:rsidP="00251530">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rPr>
        <w:t xml:space="preserve">Databasen er i øjeblikket tilgængelig </w:t>
      </w:r>
      <w:hyperlink r:id="rId1" w:history="1">
        <w:r>
          <w:rPr>
            <w:rStyle w:val="Hyperlink"/>
            <w:rFonts w:ascii="Times New Roman" w:hAnsi="Times New Roman"/>
          </w:rPr>
          <w:t>her</w:t>
        </w:r>
      </w:hyperlink>
      <w:r>
        <w:rPr>
          <w:rFonts w:ascii="Times New Roman" w:hAnsi="Times New Roman"/>
        </w:rPr>
        <w:t xml:space="preserve"> og vil blive flyttet til Kommissionens domæne kort efter offentliggørelsen af denne rapport.</w:t>
      </w:r>
    </w:p>
  </w:footnote>
  <w:footnote w:id="8">
    <w:p w14:paraId="5DD8DBE7" w14:textId="3B3E7977" w:rsidR="00827817" w:rsidRPr="004B79E6" w:rsidRDefault="00827817" w:rsidP="00251530">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Europa-Parlamentets og Rådets direktiv (EU) 2016/943 af 8. juni 2016 om beskyttelse af fortrolig knowhow og fortrolige forretningsoplysninger (forretningshemmeligheder) mod ulovlig erhvervelse, brug og videregivelse (EØS-relevant tekst) (EUT L 157 af 15.6.2016, s. 1).</w:t>
      </w:r>
    </w:p>
  </w:footnote>
  <w:footnote w:id="9">
    <w:p w14:paraId="658293D9" w14:textId="6DDEC31A" w:rsidR="002945A9" w:rsidRPr="004B79E6" w:rsidRDefault="002945A9" w:rsidP="00251530">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Retningslinjerne for rangordning, punkt 82.</w:t>
      </w:r>
    </w:p>
  </w:footnote>
  <w:footnote w:id="10">
    <w:p w14:paraId="1E1CE273" w14:textId="28EE606F" w:rsidR="002945A9" w:rsidRPr="004B79E6" w:rsidRDefault="002945A9" w:rsidP="00251530">
      <w:pPr>
        <w:pStyle w:val="FootnoteText"/>
        <w:tabs>
          <w:tab w:val="left" w:pos="142"/>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Retningslinjerne for rangordning, punkt 13.</w:t>
      </w:r>
    </w:p>
  </w:footnote>
  <w:footnote w:id="11">
    <w:p w14:paraId="0F9DB78B" w14:textId="1565A6FE" w:rsidR="003548CC" w:rsidRPr="000265E4" w:rsidRDefault="003548CC" w:rsidP="00251530">
      <w:pPr>
        <w:pStyle w:val="FootnoteText"/>
        <w:tabs>
          <w:tab w:val="left" w:pos="284"/>
        </w:tabs>
        <w:jc w:val="both"/>
        <w:rPr>
          <w:rFonts w:ascii="Times New Roman" w:hAnsi="Times New Roman" w:cs="Times New Roman"/>
          <w:lang w:val="en-US"/>
        </w:rPr>
      </w:pPr>
      <w:r>
        <w:rPr>
          <w:rStyle w:val="FootnoteReference"/>
          <w:rFonts w:ascii="Times New Roman" w:hAnsi="Times New Roman" w:cs="Times New Roman"/>
        </w:rPr>
        <w:footnoteRef/>
      </w:r>
      <w:r w:rsidR="00251530">
        <w:rPr>
          <w:rFonts w:ascii="Times New Roman" w:hAnsi="Times New Roman"/>
          <w:lang w:val="en-US"/>
        </w:rPr>
        <w:tab/>
      </w:r>
      <w:r w:rsidRPr="000265E4">
        <w:rPr>
          <w:rFonts w:ascii="Times New Roman" w:hAnsi="Times New Roman"/>
          <w:lang w:val="en-US"/>
        </w:rPr>
        <w:t>COMMISSION STAFF WORKING DOCUMENT IMPACT ASSESSMENT Accompanying the document Proposal for a Regulation of the European Parliament and of the Council on promoting fairness and transparency for business users of online intermediation services, SWD/2018/138 final.</w:t>
      </w:r>
    </w:p>
  </w:footnote>
  <w:footnote w:id="12">
    <w:p w14:paraId="697F4DD7" w14:textId="5013D48E" w:rsidR="002945A9" w:rsidRPr="004B79E6" w:rsidRDefault="002945A9"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Opfyldelse fra Amazons side.</w:t>
      </w:r>
    </w:p>
  </w:footnote>
  <w:footnote w:id="13">
    <w:p w14:paraId="698DFE76" w14:textId="366D590C" w:rsidR="002945A9" w:rsidRPr="004B79E6" w:rsidRDefault="002945A9"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rPr>
        <w:t>Undersøgelse om evaluering af forordning (EU) 2019/1150 om fremme af retfærdighed og gennemsigtighed for brugere af onlineformidlingstjenester (P2B-forordningen), s. 119.</w:t>
      </w:r>
    </w:p>
  </w:footnote>
  <w:footnote w:id="14">
    <w:p w14:paraId="0D9A42DA" w14:textId="777E3D82" w:rsidR="000108DA" w:rsidRPr="004B79E6" w:rsidRDefault="000108DA"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Arbejdsdokument fra Kommissionens tjenestegrene, der ledsager denne rapport.</w:t>
      </w:r>
    </w:p>
  </w:footnote>
  <w:footnote w:id="15">
    <w:p w14:paraId="630D0909" w14:textId="5161158D" w:rsidR="002945A9" w:rsidRPr="004B79E6" w:rsidRDefault="002945A9" w:rsidP="00251530">
      <w:pPr>
        <w:pStyle w:val="FootnoteText"/>
        <w:tabs>
          <w:tab w:val="left" w:pos="284"/>
        </w:tabs>
        <w:jc w:val="both"/>
        <w:rPr>
          <w:rFonts w:ascii="Times New Roman" w:hAnsi="Times New Roman" w:cs="Times New Roman"/>
          <w:highlight w:val="yellow"/>
        </w:rPr>
      </w:pPr>
      <w:r>
        <w:rPr>
          <w:rStyle w:val="FootnoteReference"/>
          <w:rFonts w:ascii="Times New Roman" w:hAnsi="Times New Roman" w:cs="Times New Roman"/>
        </w:rPr>
        <w:footnoteRef/>
      </w:r>
      <w:r w:rsidR="00251530">
        <w:tab/>
      </w:r>
      <w:r>
        <w:rPr>
          <w:rFonts w:ascii="Times New Roman" w:hAnsi="Times New Roman"/>
        </w:rPr>
        <w:t xml:space="preserve">Retningslinjerne for rangordning bekræfter i denne forbindelse, at: </w:t>
      </w:r>
      <w:r>
        <w:t>"</w:t>
      </w:r>
      <w:r>
        <w:rPr>
          <w:rFonts w:ascii="Times New Roman" w:hAnsi="Times New Roman"/>
        </w:rPr>
        <w:t>beskrivelsen skal omfatte mere end blot en simpel opremsning af de vigtigste parametre og indeholde mindst et "andet lag" af forklarende oplysninger </w:t>
      </w:r>
      <w:hyperlink r:id="rId2" w:anchor="ntr6-C_2020424EN.01000101-E0006" w:history="1">
        <w:r>
          <w:rPr>
            <w:rStyle w:val="Hyperlink"/>
            <w:rFonts w:ascii="Times New Roman" w:hAnsi="Times New Roman"/>
          </w:rPr>
          <w:t>(</w:t>
        </w:r>
        <w:r>
          <w:rPr>
            <w:rStyle w:val="Hyperlink"/>
            <w:rFonts w:ascii="Times New Roman" w:hAnsi="Times New Roman"/>
            <w:vertAlign w:val="superscript"/>
          </w:rPr>
          <w:t>6</w:t>
        </w:r>
        <w:r>
          <w:rPr>
            <w:rStyle w:val="Hyperlink"/>
            <w:rFonts w:ascii="Times New Roman" w:hAnsi="Times New Roman"/>
          </w:rPr>
          <w:t>)</w:t>
        </w:r>
      </w:hyperlink>
      <w:r>
        <w:rPr>
          <w:rFonts w:ascii="Times New Roman" w:hAnsi="Times New Roman"/>
        </w:rPr>
        <w:t>. Udbyderne kan f.eks. overveje at beskrive virksomhedens interne "tankeproces", som blev anvendt til at identificere de "vigtigste parametre", som en måde, hvorpå man også kan udlede "årsagerne til deres relative betydning".</w:t>
      </w:r>
      <w:r>
        <w:rPr>
          <w:rFonts w:ascii="Times New Roman" w:hAnsi="Times New Roman"/>
          <w:i/>
        </w:rPr>
        <w:t xml:space="preserve"> </w:t>
      </w:r>
      <w:r>
        <w:rPr>
          <w:rFonts w:ascii="Times New Roman" w:hAnsi="Times New Roman"/>
        </w:rPr>
        <w:t>Meddelelse fra Kommissionen — Retningslinjer for gennemsigtighed i rangordningen i henhold til Europa-Parlamentets og Rådets forordning (EU) 2019/1150 (2020/C 424/01), punkt 22.</w:t>
      </w:r>
    </w:p>
  </w:footnote>
  <w:footnote w:id="16">
    <w:p w14:paraId="259E36B6" w14:textId="3ECE3EB3" w:rsidR="005B3DA6" w:rsidRPr="004B79E6" w:rsidRDefault="005B3DA6" w:rsidP="00F6644E">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Arbejdsdokument fra Kommissionens tjenestegrene, der ledsager denne rapport.</w:t>
      </w:r>
    </w:p>
  </w:footnote>
  <w:footnote w:id="17">
    <w:p w14:paraId="765C4444" w14:textId="31E85F6B" w:rsidR="002E5DD2" w:rsidRPr="004B79E6" w:rsidRDefault="002E5DD2"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i/>
        </w:rPr>
        <w:t>Ibid.</w:t>
      </w:r>
    </w:p>
  </w:footnote>
  <w:footnote w:id="18">
    <w:p w14:paraId="2A22E83F" w14:textId="5863DB5B" w:rsidR="00294CF8" w:rsidRPr="004B79E6" w:rsidRDefault="00294CF8"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 xml:space="preserve">Se ekspertgruppens udtalelse på dens websted, der offentliggøres kort efter denne rapport. </w:t>
      </w:r>
    </w:p>
  </w:footnote>
  <w:footnote w:id="19">
    <w:p w14:paraId="14ECB53A" w14:textId="663DE8DF" w:rsidR="003D2860" w:rsidRPr="004B79E6" w:rsidRDefault="003D2860"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Se arbejdsdokument fra Kommissionens tjenestegrene, der ledsager denne rapport, på side 27.</w:t>
      </w:r>
    </w:p>
  </w:footnote>
  <w:footnote w:id="20">
    <w:p w14:paraId="2EF6DCA8" w14:textId="5EC2D2BC" w:rsidR="00A010CD" w:rsidRPr="004B79E6" w:rsidRDefault="00A010CD"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hyperlink r:id="rId3" w:history="1">
        <w:r w:rsidRPr="00251530">
          <w:rPr>
            <w:rStyle w:val="Hyperlink"/>
            <w:rFonts w:ascii="Times New Roman" w:hAnsi="Times New Roman"/>
          </w:rPr>
          <w:t>https://ec.europa.eu/transparency/expert-groups-register/screen/expert-groups/consult?lang=en&amp;do=groupDetail.groupDetail&amp;groupID=1636</w:t>
        </w:r>
      </w:hyperlink>
      <w:r>
        <w:rPr>
          <w:rFonts w:ascii="Times New Roman" w:hAnsi="Times New Roman"/>
        </w:rPr>
        <w:t>.</w:t>
      </w:r>
    </w:p>
  </w:footnote>
  <w:footnote w:id="21">
    <w:p w14:paraId="4135214A" w14:textId="79A1C319" w:rsidR="002945A9" w:rsidRPr="004B79E6" w:rsidRDefault="002945A9" w:rsidP="00251530">
      <w:pPr>
        <w:pStyle w:val="FootnoteText"/>
        <w:tabs>
          <w:tab w:val="left" w:pos="284"/>
        </w:tabs>
        <w:contextualSpacing/>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rPr>
        <w:t>AT, BE, BG, CY, CZ, DE, DK, EE, EL, ES, FI, FR, HR, IE, IT, LU, LV, MT, PT, RO, SE. Senest ajourført: 4. august 2023.</w:t>
      </w:r>
    </w:p>
  </w:footnote>
  <w:footnote w:id="22">
    <w:p w14:paraId="2E4AFAD6" w14:textId="57EA6FF8" w:rsidR="002945A9" w:rsidRPr="004B79E6" w:rsidRDefault="002945A9" w:rsidP="00251530">
      <w:pPr>
        <w:pStyle w:val="FootnoteText"/>
        <w:tabs>
          <w:tab w:val="left" w:pos="284"/>
        </w:tabs>
        <w:contextualSpacing/>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rPr>
        <w:t>NL, PL, SK, SI. Senest ajourført: 4. august 2023.</w:t>
      </w:r>
    </w:p>
  </w:footnote>
  <w:footnote w:id="23">
    <w:p w14:paraId="6FA59DFD" w14:textId="58781677" w:rsidR="00BC5AE0" w:rsidRPr="000265E4" w:rsidRDefault="00BC5AE0" w:rsidP="00251530">
      <w:pPr>
        <w:pStyle w:val="FootnoteText"/>
        <w:tabs>
          <w:tab w:val="left" w:pos="284"/>
        </w:tabs>
        <w:contextualSpacing/>
        <w:jc w:val="both"/>
        <w:rPr>
          <w:rFonts w:ascii="Times New Roman" w:hAnsi="Times New Roman" w:cs="Times New Roman"/>
          <w:lang w:val="en-US"/>
        </w:rPr>
      </w:pPr>
      <w:r>
        <w:rPr>
          <w:rStyle w:val="FootnoteReference"/>
          <w:rFonts w:ascii="Times New Roman" w:hAnsi="Times New Roman" w:cs="Times New Roman"/>
        </w:rPr>
        <w:footnoteRef/>
      </w:r>
      <w:r w:rsidR="00251530">
        <w:rPr>
          <w:rFonts w:ascii="Times New Roman" w:hAnsi="Times New Roman"/>
          <w:lang w:val="en-US"/>
        </w:rPr>
        <w:tab/>
      </w:r>
      <w:r w:rsidRPr="000265E4">
        <w:rPr>
          <w:rFonts w:ascii="Times New Roman" w:hAnsi="Times New Roman"/>
          <w:lang w:val="en-US"/>
        </w:rPr>
        <w:t xml:space="preserve">BE, CY, CZ, DK, EE, EL, ES, FR, HR, IE, IT, LV, LU, PT, RO, august 2023. </w:t>
      </w:r>
    </w:p>
  </w:footnote>
  <w:footnote w:id="24">
    <w:p w14:paraId="08C2B6E7" w14:textId="0C26782C" w:rsidR="002945A9" w:rsidRPr="004B79E6" w:rsidRDefault="002945A9"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rPr>
          <w:rFonts w:ascii="Times New Roman" w:hAnsi="Times New Roman"/>
        </w:rPr>
        <w:tab/>
      </w:r>
      <w:r>
        <w:rPr>
          <w:rFonts w:ascii="Times New Roman" w:hAnsi="Times New Roman"/>
        </w:rPr>
        <w:t xml:space="preserve">BE, DK, FR, IE, NL (IT tilsluttede sig i 2023). </w:t>
      </w:r>
    </w:p>
  </w:footnote>
  <w:footnote w:id="25">
    <w:p w14:paraId="108E569B" w14:textId="45E6E4DC" w:rsidR="002945A9" w:rsidRPr="004B79E6" w:rsidRDefault="002945A9" w:rsidP="00251530">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251530">
        <w:tab/>
      </w:r>
      <w:r>
        <w:rPr>
          <w:rFonts w:ascii="Times New Roman" w:hAnsi="Times New Roman"/>
        </w:rPr>
        <w:t xml:space="preserve">23 medlemsstater er en del af denne P2B-wiki og det uformelle netværk af P2B-håndhævelsesmyndigheder. </w:t>
      </w:r>
    </w:p>
  </w:footnote>
  <w:footnote w:id="26">
    <w:p w14:paraId="4C99E820" w14:textId="3CDC7C17" w:rsidR="002945A9" w:rsidRPr="000265E4" w:rsidRDefault="002945A9" w:rsidP="00F6644E">
      <w:pPr>
        <w:pStyle w:val="FootnoteText"/>
        <w:tabs>
          <w:tab w:val="left" w:pos="284"/>
        </w:tabs>
        <w:jc w:val="both"/>
        <w:rPr>
          <w:rFonts w:ascii="Times New Roman" w:hAnsi="Times New Roman" w:cs="Times New Roman"/>
          <w:lang w:val="en-US"/>
        </w:rPr>
      </w:pPr>
      <w:r>
        <w:rPr>
          <w:rStyle w:val="FootnoteReference"/>
          <w:rFonts w:ascii="Times New Roman" w:hAnsi="Times New Roman" w:cs="Times New Roman"/>
        </w:rPr>
        <w:footnoteRef/>
      </w:r>
      <w:r w:rsidR="00F6644E">
        <w:rPr>
          <w:rFonts w:ascii="Times New Roman" w:hAnsi="Times New Roman"/>
          <w:lang w:val="en-US"/>
        </w:rPr>
        <w:tab/>
      </w:r>
      <w:hyperlink r:id="rId4" w:history="1">
        <w:r w:rsidRPr="000265E4">
          <w:rPr>
            <w:rFonts w:ascii="Times New Roman" w:hAnsi="Times New Roman"/>
            <w:color w:val="0000FF"/>
            <w:u w:val="single"/>
            <w:lang w:val="en-US"/>
          </w:rPr>
          <w:t>Platform to business — AGCOM</w:t>
        </w:r>
      </w:hyperlink>
      <w:r w:rsidRPr="000265E4">
        <w:rPr>
          <w:lang w:val="en-US"/>
        </w:rPr>
        <w:t>.</w:t>
      </w:r>
      <w:r w:rsidRPr="000265E4">
        <w:rPr>
          <w:rFonts w:ascii="Times New Roman" w:hAnsi="Times New Roman"/>
          <w:lang w:val="en-US"/>
        </w:rPr>
        <w:t xml:space="preserve"> </w:t>
      </w:r>
    </w:p>
  </w:footnote>
  <w:footnote w:id="27">
    <w:p w14:paraId="79AB62EB" w14:textId="6CF1CA5D" w:rsidR="002945A9" w:rsidRPr="000265E4" w:rsidRDefault="002945A9" w:rsidP="00F6644E">
      <w:pPr>
        <w:pStyle w:val="FootnoteText"/>
        <w:tabs>
          <w:tab w:val="left" w:pos="284"/>
        </w:tabs>
        <w:jc w:val="both"/>
        <w:rPr>
          <w:rFonts w:ascii="Times New Roman" w:hAnsi="Times New Roman" w:cs="Times New Roman"/>
          <w:lang w:val="en-US"/>
        </w:rPr>
      </w:pPr>
      <w:r>
        <w:rPr>
          <w:rStyle w:val="FootnoteReference"/>
          <w:rFonts w:ascii="Times New Roman" w:hAnsi="Times New Roman" w:cs="Times New Roman"/>
        </w:rPr>
        <w:footnoteRef/>
      </w:r>
      <w:r w:rsidR="00F6644E">
        <w:rPr>
          <w:rFonts w:ascii="Times New Roman" w:hAnsi="Times New Roman"/>
          <w:lang w:val="en-US"/>
        </w:rPr>
        <w:tab/>
      </w:r>
      <w:hyperlink r:id="rId5" w:history="1">
        <w:r w:rsidRPr="000265E4">
          <w:rPr>
            <w:rFonts w:ascii="Times New Roman" w:hAnsi="Times New Roman"/>
            <w:color w:val="0000FF"/>
            <w:u w:val="single"/>
            <w:lang w:val="en-US"/>
          </w:rPr>
          <w:t>ACM publishes draft guidelines regarding the rules for online platforms and search engines |</w:t>
        </w:r>
      </w:hyperlink>
      <w:hyperlink r:id="rId6" w:history="1">
        <w:r w:rsidRPr="000265E4">
          <w:rPr>
            <w:rFonts w:ascii="Times New Roman" w:hAnsi="Times New Roman"/>
            <w:color w:val="0000FF"/>
            <w:u w:val="single"/>
            <w:lang w:val="en-US"/>
          </w:rPr>
          <w:t xml:space="preserve"> ACM.nl</w:t>
        </w:r>
      </w:hyperlink>
      <w:r w:rsidRPr="000265E4">
        <w:rPr>
          <w:lang w:val="en-US"/>
        </w:rPr>
        <w:t>.</w:t>
      </w:r>
      <w:r w:rsidRPr="000265E4">
        <w:rPr>
          <w:rFonts w:ascii="Times New Roman" w:hAnsi="Times New Roman"/>
          <w:lang w:val="en-US"/>
        </w:rPr>
        <w:t xml:space="preserve"> </w:t>
      </w:r>
    </w:p>
  </w:footnote>
  <w:footnote w:id="28">
    <w:p w14:paraId="332BAF4F" w14:textId="338C3E62" w:rsidR="002945A9" w:rsidRPr="004B79E6" w:rsidRDefault="002945A9" w:rsidP="00F6644E">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F6644E">
        <w:tab/>
      </w:r>
      <w:r>
        <w:rPr>
          <w:rFonts w:ascii="Times New Roman" w:hAnsi="Times New Roman"/>
        </w:rPr>
        <w:t>Meddelelse fra Kommissionen — Retningslinjer for gennemsigtighed i rangordningen i henhold til Europa-Parlamentets og Rådets forordning (EU) 2019/1150 (2020/C 424/01, C/2020/8579).</w:t>
      </w:r>
    </w:p>
  </w:footnote>
  <w:footnote w:id="29">
    <w:p w14:paraId="3B45C943" w14:textId="5096455E" w:rsidR="00EF68B0" w:rsidRPr="004B79E6" w:rsidRDefault="00EF68B0" w:rsidP="00F6644E">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F6644E">
        <w:tab/>
      </w:r>
      <w:r>
        <w:rPr>
          <w:rFonts w:ascii="Times New Roman" w:hAnsi="Times New Roman"/>
        </w:rPr>
        <w:t>Liste over udpegede organisationer, foreninger og offentlige enheder, udarbejdet og offentliggjort i henhold til artikel 14, stk. 6, i Europa-Parlamentets og Rådets forordning (EU) 2019/1150 om fremme af retfærdighed og gennemsigtighed for brugere af onlineformidlingstjenester (2021/C 402/05).</w:t>
      </w:r>
    </w:p>
  </w:footnote>
  <w:footnote w:id="30">
    <w:p w14:paraId="6975FE13" w14:textId="25C19751" w:rsidR="00433E15" w:rsidRPr="004B79E6" w:rsidRDefault="00433E15" w:rsidP="00F6644E">
      <w:pPr>
        <w:pStyle w:val="FootnoteText"/>
        <w:tabs>
          <w:tab w:val="left" w:pos="284"/>
        </w:tabs>
        <w:jc w:val="both"/>
        <w:rPr>
          <w:rFonts w:ascii="Times New Roman" w:hAnsi="Times New Roman" w:cs="Times New Roman"/>
        </w:rPr>
      </w:pPr>
      <w:r>
        <w:rPr>
          <w:rStyle w:val="FootnoteReference"/>
          <w:rFonts w:ascii="Times New Roman" w:hAnsi="Times New Roman" w:cs="Times New Roman"/>
        </w:rPr>
        <w:footnoteRef/>
      </w:r>
      <w:r w:rsidR="00F6644E">
        <w:tab/>
      </w:r>
      <w:r>
        <w:rPr>
          <w:rFonts w:ascii="Times New Roman" w:hAnsi="Times New Roman"/>
        </w:rPr>
        <w:t>Forslag til EUROPA-PARLAMENTETS OG RÅDETS FORORDNING om oprettelse af en fælles ramme for medietjenester i det indre marked (europæisk retsakt om mediefrihed) og om ændring af direktiv 2010/13/ EU (COM/2022/457 final</w:t>
      </w:r>
      <w:r>
        <w:t>).</w:t>
      </w:r>
    </w:p>
  </w:footnote>
  <w:footnote w:id="31">
    <w:p w14:paraId="69D60735" w14:textId="74449D2C" w:rsidR="00F81C3C" w:rsidRPr="000265E4" w:rsidRDefault="00F81C3C" w:rsidP="00F6644E">
      <w:pPr>
        <w:pStyle w:val="FootnoteText"/>
        <w:tabs>
          <w:tab w:val="left" w:pos="284"/>
        </w:tabs>
        <w:jc w:val="both"/>
        <w:rPr>
          <w:rFonts w:ascii="Times New Roman" w:hAnsi="Times New Roman" w:cs="Times New Roman"/>
          <w:lang w:val="en-US"/>
        </w:rPr>
      </w:pPr>
      <w:r>
        <w:rPr>
          <w:rStyle w:val="FootnoteReference"/>
          <w:rFonts w:ascii="Times New Roman" w:hAnsi="Times New Roman" w:cs="Times New Roman"/>
        </w:rPr>
        <w:footnoteRef/>
      </w:r>
      <w:r w:rsidR="00F6644E">
        <w:rPr>
          <w:rFonts w:ascii="Times New Roman" w:hAnsi="Times New Roman"/>
          <w:lang w:val="en-US"/>
        </w:rPr>
        <w:tab/>
      </w:r>
      <w:r w:rsidRPr="000265E4">
        <w:rPr>
          <w:rFonts w:ascii="Times New Roman" w:hAnsi="Times New Roman"/>
          <w:lang w:val="en-US"/>
        </w:rPr>
        <w:t>"Co-creation of a transition pathway for a more resilient, digital and green retail Ecosystem", SWD(2023) 283</w:t>
      </w:r>
      <w:r w:rsidR="00F6644E">
        <w:rPr>
          <w:rFonts w:ascii="Times New Roman" w:hAnsi="Times New Roman"/>
          <w:lang w:val="en-US"/>
        </w:rPr>
        <w:t> </w:t>
      </w:r>
      <w:r w:rsidRPr="000265E4">
        <w:rPr>
          <w:rFonts w:ascii="Times New Roman" w:hAnsi="Times New Roman"/>
          <w:lang w:val="en-US"/>
        </w:rPr>
        <w:t>final.</w:t>
      </w:r>
      <w:r w:rsidR="00F6644E">
        <w:rPr>
          <w:rFonts w:ascii="Times New Roman" w:hAnsi="Times New Roman"/>
          <w:lang w:val="en-US"/>
        </w:rPr>
        <w:t> </w:t>
      </w:r>
      <w:hyperlink r:id="rId7" w:history="1">
        <w:r w:rsidRPr="00F6644E">
          <w:rPr>
            <w:rStyle w:val="Hyperlink"/>
            <w:rFonts w:ascii="Times New Roman" w:hAnsi="Times New Roman"/>
            <w:lang w:val="en-US"/>
          </w:rPr>
          <w:t>https://single-market-economy.ec.europa.eu/system/files/2023-07/SWD_2023_283_F1_STAFF_WORKING_PAPER_EN_V4_P1_2864349.PDF</w:t>
        </w:r>
      </w:hyperlink>
      <w:r w:rsidRPr="000265E4">
        <w:rPr>
          <w:rFonts w:ascii="Times New Roman" w:hAnsi="Times New Roman"/>
          <w:lang w:val="en-US"/>
        </w:rPr>
        <w:t>.</w:t>
      </w:r>
    </w:p>
  </w:footnote>
  <w:footnote w:id="32">
    <w:p w14:paraId="49235F81" w14:textId="6CF8124A" w:rsidR="00712E99" w:rsidRPr="004B79E6" w:rsidRDefault="00712E99" w:rsidP="00F6644E">
      <w:pPr>
        <w:pStyle w:val="Body"/>
        <w:tabs>
          <w:tab w:val="left" w:pos="284"/>
        </w:tabs>
        <w:spacing w:after="0"/>
        <w:rPr>
          <w:rFonts w:ascii="Times New Roman" w:eastAsiaTheme="minorHAnsi" w:hAnsi="Times New Roman"/>
          <w:sz w:val="20"/>
        </w:rPr>
      </w:pPr>
      <w:r>
        <w:rPr>
          <w:rStyle w:val="FootnoteReference"/>
          <w:rFonts w:ascii="Times New Roman" w:hAnsi="Times New Roman"/>
          <w:sz w:val="20"/>
        </w:rPr>
        <w:footnoteRef/>
      </w:r>
      <w:r w:rsidR="00F6644E">
        <w:tab/>
      </w:r>
      <w:r>
        <w:rPr>
          <w:rFonts w:ascii="Times New Roman" w:hAnsi="Times New Roman"/>
          <w:sz w:val="20"/>
        </w:rPr>
        <w:t xml:space="preserve">En sammenligning af resultaterne af undersøgelserne fra 2020 og 2022 viste f.eks., at flere store onlineplatforme fra forskellige sektorer i platformsøkonomien (onlinerejsebureauer, e-handelspladser, app-butikker osv.) har revideret deres vilkår og betingelser for at skabe større klarhed og give flere oplysninger. </w:t>
      </w:r>
    </w:p>
    <w:p w14:paraId="6D13B0CD" w14:textId="77777777" w:rsidR="00712E99" w:rsidRPr="004B79E6" w:rsidRDefault="00712E99" w:rsidP="004B79E6">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412C4" w14:textId="77777777" w:rsidR="00DD128C" w:rsidRPr="00DD128C" w:rsidRDefault="00DD128C" w:rsidP="00DD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D354" w14:textId="77777777" w:rsidR="00DD128C" w:rsidRPr="00DD128C" w:rsidRDefault="00DD128C" w:rsidP="00DD128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5B83" w14:textId="77777777" w:rsidR="00DD128C" w:rsidRPr="00DD128C" w:rsidRDefault="00DD128C" w:rsidP="00DD128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1141" w14:textId="77777777" w:rsidR="002945A9" w:rsidRDefault="002945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C4E3" w14:textId="77777777" w:rsidR="002945A9" w:rsidRDefault="002945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F027" w14:textId="77777777" w:rsidR="002945A9" w:rsidRDefault="00294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3B4"/>
    <w:multiLevelType w:val="hybridMultilevel"/>
    <w:tmpl w:val="CC6CF6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F75B6B"/>
    <w:multiLevelType w:val="multilevel"/>
    <w:tmpl w:val="302E9FEC"/>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255B7D"/>
    <w:multiLevelType w:val="hybridMultilevel"/>
    <w:tmpl w:val="15BE99F6"/>
    <w:lvl w:ilvl="0" w:tplc="DFAC8502">
      <w:start w:val="1"/>
      <w:numFmt w:val="decimal"/>
      <w:lvlText w:val="%1."/>
      <w:lvlJc w:val="left"/>
      <w:pPr>
        <w:tabs>
          <w:tab w:val="num" w:pos="720"/>
        </w:tabs>
        <w:ind w:left="720" w:hanging="360"/>
      </w:pPr>
    </w:lvl>
    <w:lvl w:ilvl="1" w:tplc="287C85D6">
      <w:start w:val="1"/>
      <w:numFmt w:val="decimal"/>
      <w:lvlText w:val="%2."/>
      <w:lvlJc w:val="left"/>
      <w:pPr>
        <w:tabs>
          <w:tab w:val="num" w:pos="1440"/>
        </w:tabs>
        <w:ind w:left="1440" w:hanging="360"/>
      </w:pPr>
    </w:lvl>
    <w:lvl w:ilvl="2" w:tplc="C5E688D0">
      <w:start w:val="1"/>
      <w:numFmt w:val="decimal"/>
      <w:lvlText w:val="%3."/>
      <w:lvlJc w:val="left"/>
      <w:pPr>
        <w:tabs>
          <w:tab w:val="num" w:pos="2160"/>
        </w:tabs>
        <w:ind w:left="2160" w:hanging="360"/>
      </w:pPr>
    </w:lvl>
    <w:lvl w:ilvl="3" w:tplc="0D26B99E">
      <w:start w:val="1"/>
      <w:numFmt w:val="decimal"/>
      <w:lvlText w:val="%4."/>
      <w:lvlJc w:val="left"/>
      <w:pPr>
        <w:tabs>
          <w:tab w:val="num" w:pos="2880"/>
        </w:tabs>
        <w:ind w:left="2880" w:hanging="360"/>
      </w:pPr>
    </w:lvl>
    <w:lvl w:ilvl="4" w:tplc="849E22DE">
      <w:start w:val="1"/>
      <w:numFmt w:val="decimal"/>
      <w:lvlText w:val="%5."/>
      <w:lvlJc w:val="left"/>
      <w:pPr>
        <w:tabs>
          <w:tab w:val="num" w:pos="3600"/>
        </w:tabs>
        <w:ind w:left="3600" w:hanging="360"/>
      </w:pPr>
    </w:lvl>
    <w:lvl w:ilvl="5" w:tplc="2A881D1E">
      <w:start w:val="1"/>
      <w:numFmt w:val="decimal"/>
      <w:lvlText w:val="%6."/>
      <w:lvlJc w:val="left"/>
      <w:pPr>
        <w:tabs>
          <w:tab w:val="num" w:pos="4320"/>
        </w:tabs>
        <w:ind w:left="4320" w:hanging="360"/>
      </w:pPr>
    </w:lvl>
    <w:lvl w:ilvl="6" w:tplc="70E22A36">
      <w:start w:val="1"/>
      <w:numFmt w:val="decimal"/>
      <w:lvlText w:val="%7."/>
      <w:lvlJc w:val="left"/>
      <w:pPr>
        <w:tabs>
          <w:tab w:val="num" w:pos="5040"/>
        </w:tabs>
        <w:ind w:left="5040" w:hanging="360"/>
      </w:pPr>
    </w:lvl>
    <w:lvl w:ilvl="7" w:tplc="C2642194">
      <w:start w:val="1"/>
      <w:numFmt w:val="decimal"/>
      <w:lvlText w:val="%8."/>
      <w:lvlJc w:val="left"/>
      <w:pPr>
        <w:tabs>
          <w:tab w:val="num" w:pos="5760"/>
        </w:tabs>
        <w:ind w:left="5760" w:hanging="360"/>
      </w:pPr>
    </w:lvl>
    <w:lvl w:ilvl="8" w:tplc="9468F1F8">
      <w:start w:val="1"/>
      <w:numFmt w:val="decimal"/>
      <w:lvlText w:val="%9."/>
      <w:lvlJc w:val="left"/>
      <w:pPr>
        <w:tabs>
          <w:tab w:val="num" w:pos="6480"/>
        </w:tabs>
        <w:ind w:left="6480" w:hanging="360"/>
      </w:pPr>
    </w:lvl>
  </w:abstractNum>
  <w:abstractNum w:abstractNumId="3" w15:restartNumberingAfterBreak="0">
    <w:nsid w:val="1D2F4947"/>
    <w:multiLevelType w:val="hybridMultilevel"/>
    <w:tmpl w:val="9FB0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70403"/>
    <w:multiLevelType w:val="multilevel"/>
    <w:tmpl w:val="302E9FEC"/>
    <w:lvl w:ilvl="0">
      <w:start w:val="1"/>
      <w:numFmt w:val="decimal"/>
      <w:lvlText w:val="%1."/>
      <w:lvlJc w:val="left"/>
      <w:pPr>
        <w:ind w:left="360" w:hanging="360"/>
      </w:pPr>
    </w:lvl>
    <w:lvl w:ilvl="1">
      <w:start w:val="1"/>
      <w:numFmt w:val="lowerLetter"/>
      <w:lvlText w:val="%2)"/>
      <w:lvlJc w:val="left"/>
      <w:pPr>
        <w:ind w:left="295" w:hanging="360"/>
      </w:pPr>
    </w:lvl>
    <w:lvl w:ilvl="2">
      <w:start w:val="1"/>
      <w:numFmt w:val="lowerRoman"/>
      <w:lvlText w:val="%3)"/>
      <w:lvlJc w:val="left"/>
      <w:pPr>
        <w:ind w:left="655" w:hanging="360"/>
      </w:pPr>
    </w:lvl>
    <w:lvl w:ilvl="3">
      <w:start w:val="1"/>
      <w:numFmt w:val="decimal"/>
      <w:lvlText w:val="(%4)"/>
      <w:lvlJc w:val="left"/>
      <w:pPr>
        <w:ind w:left="1015" w:hanging="360"/>
      </w:pPr>
    </w:lvl>
    <w:lvl w:ilvl="4">
      <w:start w:val="1"/>
      <w:numFmt w:val="lowerLetter"/>
      <w:lvlText w:val="(%5)"/>
      <w:lvlJc w:val="left"/>
      <w:pPr>
        <w:ind w:left="1375" w:hanging="360"/>
      </w:pPr>
    </w:lvl>
    <w:lvl w:ilvl="5">
      <w:start w:val="1"/>
      <w:numFmt w:val="lowerRoman"/>
      <w:lvlText w:val="(%6)"/>
      <w:lvlJc w:val="left"/>
      <w:pPr>
        <w:ind w:left="1735" w:hanging="360"/>
      </w:pPr>
    </w:lvl>
    <w:lvl w:ilvl="6">
      <w:start w:val="1"/>
      <w:numFmt w:val="decimal"/>
      <w:lvlText w:val="%7."/>
      <w:lvlJc w:val="left"/>
      <w:pPr>
        <w:ind w:left="2095" w:hanging="360"/>
      </w:pPr>
    </w:lvl>
    <w:lvl w:ilvl="7">
      <w:start w:val="1"/>
      <w:numFmt w:val="lowerLetter"/>
      <w:lvlText w:val="%8."/>
      <w:lvlJc w:val="left"/>
      <w:pPr>
        <w:ind w:left="2455" w:hanging="360"/>
      </w:pPr>
    </w:lvl>
    <w:lvl w:ilvl="8">
      <w:start w:val="1"/>
      <w:numFmt w:val="lowerRoman"/>
      <w:lvlText w:val="%9."/>
      <w:lvlJc w:val="left"/>
      <w:pPr>
        <w:ind w:left="2815"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nl-NL" w:vendorID="64" w:dllVersion="0" w:nlCheck="1" w:checkStyle="0"/>
  <w:activeWritingStyle w:appName="MSWord" w:lang="hu-HU" w:vendorID="64" w:dllVersion="0" w:nlCheck="1" w:checkStyle="0"/>
  <w:activeWritingStyle w:appName="MSWord" w:lang="fr-BE" w:vendorID="64" w:dllVersion="0" w:nlCheck="1" w:checkStyle="0"/>
  <w:activeWritingStyle w:appName="MSWord" w:lang="da-DK"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681FAE5-DBF4-4015-98F9-54E4B04B35BB"/>
    <w:docVar w:name="LW_COVERPAGE_TYPE" w:val="1"/>
    <w:docVar w:name="LW_CROSSREFERENCE" w:val="{SWD(2023) 300 final}"/>
    <w:docVar w:name="LW_DocType" w:val="NORMAL"/>
    <w:docVar w:name="LW_EMISSION" w:val="12.9.2023"/>
    <w:docVar w:name="LW_EMISSION_ISODATE" w:val="2023-09-12"/>
    <w:docVar w:name="LW_EMISSION_LOCATION" w:val="BRX"/>
    <w:docVar w:name="LW_EMISSION_PREFIX" w:val="Bruxelles, den "/>
    <w:docVar w:name="LW_EMISSION_SUFFIX" w:val=" "/>
    <w:docVar w:name="LW_ID_DOCTYPE_NONLW" w:val="CP-008"/>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3) 52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den første foreløbige revision af gennemførelsen af forordning (EU) 2019/1150 om fremme af retfærdighed og gennemsigtighed for brugere af onlineformidlingstjenester"/>
    <w:docVar w:name="LW_TYPE.DOC.CP" w:val="RAPPORT FRA KOMMISSIONEN TIL EUROPA-PARLAMENTET, RÅDET, DET EUROPÆISKE ØKONOMISKE OG SOCIALE UDVALG OG REGIONSUDVALGET"/>
    <w:docVar w:name="LwApiVersions" w:val="LW4CoDe 1.23.2.0; LW 8.0, Build 20211117"/>
  </w:docVars>
  <w:rsids>
    <w:rsidRoot w:val="008850CE"/>
    <w:rsid w:val="000108DA"/>
    <w:rsid w:val="0001464A"/>
    <w:rsid w:val="000265E4"/>
    <w:rsid w:val="000310E2"/>
    <w:rsid w:val="00031D58"/>
    <w:rsid w:val="000343DD"/>
    <w:rsid w:val="000365BA"/>
    <w:rsid w:val="00040144"/>
    <w:rsid w:val="00045443"/>
    <w:rsid w:val="000458D5"/>
    <w:rsid w:val="00046B75"/>
    <w:rsid w:val="0005017B"/>
    <w:rsid w:val="0005205F"/>
    <w:rsid w:val="00052623"/>
    <w:rsid w:val="00055E30"/>
    <w:rsid w:val="00061530"/>
    <w:rsid w:val="00064F61"/>
    <w:rsid w:val="0006685B"/>
    <w:rsid w:val="00071004"/>
    <w:rsid w:val="000724AF"/>
    <w:rsid w:val="00082397"/>
    <w:rsid w:val="000A1727"/>
    <w:rsid w:val="000A5592"/>
    <w:rsid w:val="000A765E"/>
    <w:rsid w:val="000B7405"/>
    <w:rsid w:val="000B772C"/>
    <w:rsid w:val="000C057A"/>
    <w:rsid w:val="000C3AB9"/>
    <w:rsid w:val="000C4031"/>
    <w:rsid w:val="000C493D"/>
    <w:rsid w:val="000D06B9"/>
    <w:rsid w:val="000D72FE"/>
    <w:rsid w:val="000D7418"/>
    <w:rsid w:val="000E027A"/>
    <w:rsid w:val="000E14E0"/>
    <w:rsid w:val="000E665C"/>
    <w:rsid w:val="000F1C3C"/>
    <w:rsid w:val="000F3174"/>
    <w:rsid w:val="00111D82"/>
    <w:rsid w:val="001137B0"/>
    <w:rsid w:val="00114B0E"/>
    <w:rsid w:val="00123491"/>
    <w:rsid w:val="00124FD6"/>
    <w:rsid w:val="001269F1"/>
    <w:rsid w:val="00134534"/>
    <w:rsid w:val="001373C6"/>
    <w:rsid w:val="00140E4B"/>
    <w:rsid w:val="00141C9C"/>
    <w:rsid w:val="0014431E"/>
    <w:rsid w:val="001541AC"/>
    <w:rsid w:val="00164C18"/>
    <w:rsid w:val="001677F2"/>
    <w:rsid w:val="001711D8"/>
    <w:rsid w:val="001716EC"/>
    <w:rsid w:val="0017483C"/>
    <w:rsid w:val="00175D96"/>
    <w:rsid w:val="00175EBB"/>
    <w:rsid w:val="00181395"/>
    <w:rsid w:val="0018234E"/>
    <w:rsid w:val="001918F4"/>
    <w:rsid w:val="00192325"/>
    <w:rsid w:val="00195210"/>
    <w:rsid w:val="00196E07"/>
    <w:rsid w:val="001A1FBD"/>
    <w:rsid w:val="001A62A5"/>
    <w:rsid w:val="001A6EB3"/>
    <w:rsid w:val="001B75DA"/>
    <w:rsid w:val="001C34CB"/>
    <w:rsid w:val="001C6071"/>
    <w:rsid w:val="001E0508"/>
    <w:rsid w:val="001E2721"/>
    <w:rsid w:val="001E3B32"/>
    <w:rsid w:val="001F1BFB"/>
    <w:rsid w:val="001F2AD9"/>
    <w:rsid w:val="00200870"/>
    <w:rsid w:val="002023F6"/>
    <w:rsid w:val="00213114"/>
    <w:rsid w:val="00213A5E"/>
    <w:rsid w:val="002150AC"/>
    <w:rsid w:val="00217AC8"/>
    <w:rsid w:val="00221CEB"/>
    <w:rsid w:val="00230507"/>
    <w:rsid w:val="0023663B"/>
    <w:rsid w:val="0025115E"/>
    <w:rsid w:val="00251530"/>
    <w:rsid w:val="0025231A"/>
    <w:rsid w:val="002609D3"/>
    <w:rsid w:val="0027703A"/>
    <w:rsid w:val="002803A3"/>
    <w:rsid w:val="00282271"/>
    <w:rsid w:val="002876C6"/>
    <w:rsid w:val="00291609"/>
    <w:rsid w:val="002945A9"/>
    <w:rsid w:val="0029470A"/>
    <w:rsid w:val="00294CF8"/>
    <w:rsid w:val="00296153"/>
    <w:rsid w:val="00296AB5"/>
    <w:rsid w:val="002A1328"/>
    <w:rsid w:val="002A140C"/>
    <w:rsid w:val="002A5828"/>
    <w:rsid w:val="002A6FAC"/>
    <w:rsid w:val="002B2D50"/>
    <w:rsid w:val="002C11F8"/>
    <w:rsid w:val="002C223B"/>
    <w:rsid w:val="002C68F0"/>
    <w:rsid w:val="002D53A5"/>
    <w:rsid w:val="002D5AE2"/>
    <w:rsid w:val="002D7B91"/>
    <w:rsid w:val="002E22C7"/>
    <w:rsid w:val="002E5BAC"/>
    <w:rsid w:val="002E5DD2"/>
    <w:rsid w:val="002F10DD"/>
    <w:rsid w:val="002F2455"/>
    <w:rsid w:val="002F7324"/>
    <w:rsid w:val="003013A2"/>
    <w:rsid w:val="00305F91"/>
    <w:rsid w:val="00311518"/>
    <w:rsid w:val="00313363"/>
    <w:rsid w:val="003171EC"/>
    <w:rsid w:val="00321044"/>
    <w:rsid w:val="0032186E"/>
    <w:rsid w:val="00322F2D"/>
    <w:rsid w:val="0032304D"/>
    <w:rsid w:val="0033284B"/>
    <w:rsid w:val="0034164E"/>
    <w:rsid w:val="00344590"/>
    <w:rsid w:val="00346B6D"/>
    <w:rsid w:val="003548CC"/>
    <w:rsid w:val="00356C36"/>
    <w:rsid w:val="003572CA"/>
    <w:rsid w:val="003615B1"/>
    <w:rsid w:val="0037662C"/>
    <w:rsid w:val="00377684"/>
    <w:rsid w:val="00377EFC"/>
    <w:rsid w:val="00381ED7"/>
    <w:rsid w:val="00383F27"/>
    <w:rsid w:val="003856F6"/>
    <w:rsid w:val="003904E2"/>
    <w:rsid w:val="00393BEA"/>
    <w:rsid w:val="003A183C"/>
    <w:rsid w:val="003A1A66"/>
    <w:rsid w:val="003A4BC4"/>
    <w:rsid w:val="003A6A77"/>
    <w:rsid w:val="003C6E08"/>
    <w:rsid w:val="003C7C56"/>
    <w:rsid w:val="003D2860"/>
    <w:rsid w:val="003E1045"/>
    <w:rsid w:val="003E5861"/>
    <w:rsid w:val="003F4B05"/>
    <w:rsid w:val="003F5439"/>
    <w:rsid w:val="003F7CE5"/>
    <w:rsid w:val="00402324"/>
    <w:rsid w:val="004037C2"/>
    <w:rsid w:val="004050C2"/>
    <w:rsid w:val="00420104"/>
    <w:rsid w:val="00430C69"/>
    <w:rsid w:val="00433E15"/>
    <w:rsid w:val="00436A42"/>
    <w:rsid w:val="004426BF"/>
    <w:rsid w:val="00445694"/>
    <w:rsid w:val="004459DF"/>
    <w:rsid w:val="004473BB"/>
    <w:rsid w:val="004529A1"/>
    <w:rsid w:val="0045378F"/>
    <w:rsid w:val="0046283B"/>
    <w:rsid w:val="004628FB"/>
    <w:rsid w:val="00471966"/>
    <w:rsid w:val="00476F50"/>
    <w:rsid w:val="0047754C"/>
    <w:rsid w:val="00485F7A"/>
    <w:rsid w:val="00486ED3"/>
    <w:rsid w:val="0049543E"/>
    <w:rsid w:val="00497517"/>
    <w:rsid w:val="0049778A"/>
    <w:rsid w:val="004A5EBD"/>
    <w:rsid w:val="004B4FCA"/>
    <w:rsid w:val="004B615C"/>
    <w:rsid w:val="004B79E6"/>
    <w:rsid w:val="004C2ADF"/>
    <w:rsid w:val="004C48AD"/>
    <w:rsid w:val="004C7A0B"/>
    <w:rsid w:val="004D497D"/>
    <w:rsid w:val="004D57D4"/>
    <w:rsid w:val="004D58AD"/>
    <w:rsid w:val="004D5F07"/>
    <w:rsid w:val="004E4F3A"/>
    <w:rsid w:val="004E6311"/>
    <w:rsid w:val="004F596C"/>
    <w:rsid w:val="004F6F43"/>
    <w:rsid w:val="00501609"/>
    <w:rsid w:val="00505E37"/>
    <w:rsid w:val="00506A3D"/>
    <w:rsid w:val="0050791B"/>
    <w:rsid w:val="00512482"/>
    <w:rsid w:val="005135B7"/>
    <w:rsid w:val="00513745"/>
    <w:rsid w:val="00513FA4"/>
    <w:rsid w:val="00517993"/>
    <w:rsid w:val="00531AF4"/>
    <w:rsid w:val="00541A95"/>
    <w:rsid w:val="00553434"/>
    <w:rsid w:val="00553E7F"/>
    <w:rsid w:val="005712EE"/>
    <w:rsid w:val="00571BFB"/>
    <w:rsid w:val="00581361"/>
    <w:rsid w:val="00585137"/>
    <w:rsid w:val="0058729A"/>
    <w:rsid w:val="005876BF"/>
    <w:rsid w:val="005900F5"/>
    <w:rsid w:val="00596B59"/>
    <w:rsid w:val="005A4498"/>
    <w:rsid w:val="005B31C5"/>
    <w:rsid w:val="005B35D2"/>
    <w:rsid w:val="005B363E"/>
    <w:rsid w:val="005B3DA6"/>
    <w:rsid w:val="005B664B"/>
    <w:rsid w:val="005B6AD1"/>
    <w:rsid w:val="005C4674"/>
    <w:rsid w:val="005C5839"/>
    <w:rsid w:val="005C5E0F"/>
    <w:rsid w:val="005D12BC"/>
    <w:rsid w:val="005D6455"/>
    <w:rsid w:val="005E2AA0"/>
    <w:rsid w:val="005E6132"/>
    <w:rsid w:val="005E7BF9"/>
    <w:rsid w:val="005F0545"/>
    <w:rsid w:val="005F243A"/>
    <w:rsid w:val="005F2AAD"/>
    <w:rsid w:val="005F77C2"/>
    <w:rsid w:val="00607E6C"/>
    <w:rsid w:val="006121FD"/>
    <w:rsid w:val="00614E64"/>
    <w:rsid w:val="006155AE"/>
    <w:rsid w:val="0061738E"/>
    <w:rsid w:val="00630359"/>
    <w:rsid w:val="006304D6"/>
    <w:rsid w:val="00630607"/>
    <w:rsid w:val="00631524"/>
    <w:rsid w:val="006327B5"/>
    <w:rsid w:val="00634094"/>
    <w:rsid w:val="00635339"/>
    <w:rsid w:val="00645F04"/>
    <w:rsid w:val="00651F63"/>
    <w:rsid w:val="0065207A"/>
    <w:rsid w:val="006530DE"/>
    <w:rsid w:val="00670085"/>
    <w:rsid w:val="00676855"/>
    <w:rsid w:val="00677A20"/>
    <w:rsid w:val="00682C75"/>
    <w:rsid w:val="00685602"/>
    <w:rsid w:val="00687CC1"/>
    <w:rsid w:val="00692C66"/>
    <w:rsid w:val="00692D0E"/>
    <w:rsid w:val="006933E6"/>
    <w:rsid w:val="00693AE2"/>
    <w:rsid w:val="00696A27"/>
    <w:rsid w:val="006A0413"/>
    <w:rsid w:val="006A108F"/>
    <w:rsid w:val="006A6E69"/>
    <w:rsid w:val="006B4CA5"/>
    <w:rsid w:val="006B5929"/>
    <w:rsid w:val="006C21A7"/>
    <w:rsid w:val="006C73CA"/>
    <w:rsid w:val="006D1E51"/>
    <w:rsid w:val="006D4465"/>
    <w:rsid w:val="006E3C67"/>
    <w:rsid w:val="006F0394"/>
    <w:rsid w:val="006F0C97"/>
    <w:rsid w:val="007048DE"/>
    <w:rsid w:val="00706DE5"/>
    <w:rsid w:val="00712E99"/>
    <w:rsid w:val="00714388"/>
    <w:rsid w:val="00715111"/>
    <w:rsid w:val="00716523"/>
    <w:rsid w:val="0072044A"/>
    <w:rsid w:val="00726B45"/>
    <w:rsid w:val="00730715"/>
    <w:rsid w:val="00732C2F"/>
    <w:rsid w:val="00741C27"/>
    <w:rsid w:val="00743214"/>
    <w:rsid w:val="007454F1"/>
    <w:rsid w:val="00745924"/>
    <w:rsid w:val="0074785C"/>
    <w:rsid w:val="00751235"/>
    <w:rsid w:val="00760608"/>
    <w:rsid w:val="00763EE5"/>
    <w:rsid w:val="00764BFC"/>
    <w:rsid w:val="0077215D"/>
    <w:rsid w:val="00774604"/>
    <w:rsid w:val="00775DB8"/>
    <w:rsid w:val="007843EA"/>
    <w:rsid w:val="007851E4"/>
    <w:rsid w:val="00787CD0"/>
    <w:rsid w:val="00790385"/>
    <w:rsid w:val="007A7ABD"/>
    <w:rsid w:val="007B7EDA"/>
    <w:rsid w:val="007C2CBF"/>
    <w:rsid w:val="007C5130"/>
    <w:rsid w:val="007C5E4E"/>
    <w:rsid w:val="007C7337"/>
    <w:rsid w:val="007D0C55"/>
    <w:rsid w:val="007D4063"/>
    <w:rsid w:val="007D6403"/>
    <w:rsid w:val="007D6732"/>
    <w:rsid w:val="007E18C1"/>
    <w:rsid w:val="007E2D91"/>
    <w:rsid w:val="0080787C"/>
    <w:rsid w:val="00812134"/>
    <w:rsid w:val="00812E24"/>
    <w:rsid w:val="00815B26"/>
    <w:rsid w:val="00827817"/>
    <w:rsid w:val="00827E08"/>
    <w:rsid w:val="0083248A"/>
    <w:rsid w:val="00832C3C"/>
    <w:rsid w:val="0083338F"/>
    <w:rsid w:val="0083580C"/>
    <w:rsid w:val="00840CFB"/>
    <w:rsid w:val="00845DBD"/>
    <w:rsid w:val="008472F4"/>
    <w:rsid w:val="00847C9C"/>
    <w:rsid w:val="00856289"/>
    <w:rsid w:val="00863905"/>
    <w:rsid w:val="008645C7"/>
    <w:rsid w:val="00874544"/>
    <w:rsid w:val="00877A43"/>
    <w:rsid w:val="0088210F"/>
    <w:rsid w:val="00884B41"/>
    <w:rsid w:val="00884BD2"/>
    <w:rsid w:val="008850CE"/>
    <w:rsid w:val="00885671"/>
    <w:rsid w:val="008906C6"/>
    <w:rsid w:val="00893F54"/>
    <w:rsid w:val="008A1C38"/>
    <w:rsid w:val="008A31FB"/>
    <w:rsid w:val="008A4779"/>
    <w:rsid w:val="008B2427"/>
    <w:rsid w:val="008B2C03"/>
    <w:rsid w:val="008B55A6"/>
    <w:rsid w:val="008C14BF"/>
    <w:rsid w:val="008D166B"/>
    <w:rsid w:val="008D468D"/>
    <w:rsid w:val="008E2998"/>
    <w:rsid w:val="008F021D"/>
    <w:rsid w:val="008F3A2D"/>
    <w:rsid w:val="008F3AAE"/>
    <w:rsid w:val="008F51B0"/>
    <w:rsid w:val="008F5FD1"/>
    <w:rsid w:val="00904EEE"/>
    <w:rsid w:val="0091053C"/>
    <w:rsid w:val="0091099E"/>
    <w:rsid w:val="00917FEA"/>
    <w:rsid w:val="00920FB3"/>
    <w:rsid w:val="00926CA6"/>
    <w:rsid w:val="00942E7A"/>
    <w:rsid w:val="0094493F"/>
    <w:rsid w:val="009508B6"/>
    <w:rsid w:val="00954428"/>
    <w:rsid w:val="009566B3"/>
    <w:rsid w:val="0096305C"/>
    <w:rsid w:val="00967E6C"/>
    <w:rsid w:val="00967F43"/>
    <w:rsid w:val="009703BB"/>
    <w:rsid w:val="009742AF"/>
    <w:rsid w:val="009838A6"/>
    <w:rsid w:val="0098539C"/>
    <w:rsid w:val="00990CFE"/>
    <w:rsid w:val="009A6CBA"/>
    <w:rsid w:val="009C097F"/>
    <w:rsid w:val="009C3A67"/>
    <w:rsid w:val="009C5C0B"/>
    <w:rsid w:val="009C6745"/>
    <w:rsid w:val="009D214D"/>
    <w:rsid w:val="009D53C8"/>
    <w:rsid w:val="009E633E"/>
    <w:rsid w:val="009F6103"/>
    <w:rsid w:val="009F61E1"/>
    <w:rsid w:val="00A010CD"/>
    <w:rsid w:val="00A0153F"/>
    <w:rsid w:val="00A0289E"/>
    <w:rsid w:val="00A03E97"/>
    <w:rsid w:val="00A045E7"/>
    <w:rsid w:val="00A10FB9"/>
    <w:rsid w:val="00A157C0"/>
    <w:rsid w:val="00A20944"/>
    <w:rsid w:val="00A2480C"/>
    <w:rsid w:val="00A27132"/>
    <w:rsid w:val="00A31B49"/>
    <w:rsid w:val="00A35D84"/>
    <w:rsid w:val="00A40690"/>
    <w:rsid w:val="00A42169"/>
    <w:rsid w:val="00A43418"/>
    <w:rsid w:val="00A45307"/>
    <w:rsid w:val="00A51056"/>
    <w:rsid w:val="00A555FC"/>
    <w:rsid w:val="00A5637D"/>
    <w:rsid w:val="00A64411"/>
    <w:rsid w:val="00A6577B"/>
    <w:rsid w:val="00A66077"/>
    <w:rsid w:val="00A6721D"/>
    <w:rsid w:val="00A71C83"/>
    <w:rsid w:val="00A7386F"/>
    <w:rsid w:val="00A74ECB"/>
    <w:rsid w:val="00A83B29"/>
    <w:rsid w:val="00A846B3"/>
    <w:rsid w:val="00A8768E"/>
    <w:rsid w:val="00A87C50"/>
    <w:rsid w:val="00A90035"/>
    <w:rsid w:val="00AA5574"/>
    <w:rsid w:val="00AA7956"/>
    <w:rsid w:val="00AB002A"/>
    <w:rsid w:val="00AC0AFF"/>
    <w:rsid w:val="00AC6458"/>
    <w:rsid w:val="00AD2D71"/>
    <w:rsid w:val="00AD610D"/>
    <w:rsid w:val="00AD7B46"/>
    <w:rsid w:val="00AE224A"/>
    <w:rsid w:val="00AE7CDF"/>
    <w:rsid w:val="00AF3801"/>
    <w:rsid w:val="00B02A8B"/>
    <w:rsid w:val="00B07550"/>
    <w:rsid w:val="00B14781"/>
    <w:rsid w:val="00B22EEA"/>
    <w:rsid w:val="00B240CD"/>
    <w:rsid w:val="00B35824"/>
    <w:rsid w:val="00B3633A"/>
    <w:rsid w:val="00B37B8C"/>
    <w:rsid w:val="00B50C23"/>
    <w:rsid w:val="00B51115"/>
    <w:rsid w:val="00B54DDF"/>
    <w:rsid w:val="00B65FA4"/>
    <w:rsid w:val="00B70E5F"/>
    <w:rsid w:val="00B7116C"/>
    <w:rsid w:val="00B82D84"/>
    <w:rsid w:val="00B82F60"/>
    <w:rsid w:val="00B862AD"/>
    <w:rsid w:val="00B87DDD"/>
    <w:rsid w:val="00B9082A"/>
    <w:rsid w:val="00BA278F"/>
    <w:rsid w:val="00BA49C8"/>
    <w:rsid w:val="00BB4535"/>
    <w:rsid w:val="00BB6309"/>
    <w:rsid w:val="00BC5524"/>
    <w:rsid w:val="00BC5AE0"/>
    <w:rsid w:val="00BD6B28"/>
    <w:rsid w:val="00BD6D93"/>
    <w:rsid w:val="00BE404C"/>
    <w:rsid w:val="00BF3002"/>
    <w:rsid w:val="00BF4C2D"/>
    <w:rsid w:val="00C041C7"/>
    <w:rsid w:val="00C04607"/>
    <w:rsid w:val="00C050C9"/>
    <w:rsid w:val="00C05522"/>
    <w:rsid w:val="00C112EE"/>
    <w:rsid w:val="00C12ACB"/>
    <w:rsid w:val="00C20802"/>
    <w:rsid w:val="00C2261A"/>
    <w:rsid w:val="00C228FD"/>
    <w:rsid w:val="00C245F2"/>
    <w:rsid w:val="00C25F21"/>
    <w:rsid w:val="00C26798"/>
    <w:rsid w:val="00C268AB"/>
    <w:rsid w:val="00C311D5"/>
    <w:rsid w:val="00C3145B"/>
    <w:rsid w:val="00C31884"/>
    <w:rsid w:val="00C33B12"/>
    <w:rsid w:val="00C36614"/>
    <w:rsid w:val="00C36BE9"/>
    <w:rsid w:val="00C37642"/>
    <w:rsid w:val="00C44957"/>
    <w:rsid w:val="00C45706"/>
    <w:rsid w:val="00C46CE1"/>
    <w:rsid w:val="00C5581B"/>
    <w:rsid w:val="00C67F38"/>
    <w:rsid w:val="00C75F41"/>
    <w:rsid w:val="00C7659F"/>
    <w:rsid w:val="00C80230"/>
    <w:rsid w:val="00C8367C"/>
    <w:rsid w:val="00CA758D"/>
    <w:rsid w:val="00CB06ED"/>
    <w:rsid w:val="00CB3F30"/>
    <w:rsid w:val="00CB4D1C"/>
    <w:rsid w:val="00CC0982"/>
    <w:rsid w:val="00CC0D4E"/>
    <w:rsid w:val="00CC15DC"/>
    <w:rsid w:val="00CC1BDE"/>
    <w:rsid w:val="00CD00A8"/>
    <w:rsid w:val="00CD06CF"/>
    <w:rsid w:val="00CD0C0D"/>
    <w:rsid w:val="00CD5228"/>
    <w:rsid w:val="00CD5CDB"/>
    <w:rsid w:val="00CE4B63"/>
    <w:rsid w:val="00CE57A9"/>
    <w:rsid w:val="00CF2BE9"/>
    <w:rsid w:val="00CF524E"/>
    <w:rsid w:val="00D00DED"/>
    <w:rsid w:val="00D0319E"/>
    <w:rsid w:val="00D03D59"/>
    <w:rsid w:val="00D10DFB"/>
    <w:rsid w:val="00D10EA6"/>
    <w:rsid w:val="00D14CEF"/>
    <w:rsid w:val="00D214E9"/>
    <w:rsid w:val="00D25BD4"/>
    <w:rsid w:val="00D37D2A"/>
    <w:rsid w:val="00D43F3D"/>
    <w:rsid w:val="00D46A83"/>
    <w:rsid w:val="00D51452"/>
    <w:rsid w:val="00D54552"/>
    <w:rsid w:val="00D624B2"/>
    <w:rsid w:val="00D62E34"/>
    <w:rsid w:val="00D662AA"/>
    <w:rsid w:val="00D70A67"/>
    <w:rsid w:val="00D81461"/>
    <w:rsid w:val="00D9177B"/>
    <w:rsid w:val="00D91862"/>
    <w:rsid w:val="00DA24EE"/>
    <w:rsid w:val="00DA533C"/>
    <w:rsid w:val="00DB1196"/>
    <w:rsid w:val="00DB36DA"/>
    <w:rsid w:val="00DB4A20"/>
    <w:rsid w:val="00DB501A"/>
    <w:rsid w:val="00DC04E0"/>
    <w:rsid w:val="00DC2FA5"/>
    <w:rsid w:val="00DC6BAD"/>
    <w:rsid w:val="00DD0547"/>
    <w:rsid w:val="00DD070B"/>
    <w:rsid w:val="00DD076E"/>
    <w:rsid w:val="00DD128C"/>
    <w:rsid w:val="00DD376F"/>
    <w:rsid w:val="00DD7231"/>
    <w:rsid w:val="00DE0F26"/>
    <w:rsid w:val="00DE2AC2"/>
    <w:rsid w:val="00DE4FF6"/>
    <w:rsid w:val="00DE63D1"/>
    <w:rsid w:val="00DF2C4C"/>
    <w:rsid w:val="00DF3B32"/>
    <w:rsid w:val="00E03B0C"/>
    <w:rsid w:val="00E13C02"/>
    <w:rsid w:val="00E16853"/>
    <w:rsid w:val="00E219CE"/>
    <w:rsid w:val="00E222B9"/>
    <w:rsid w:val="00E2254B"/>
    <w:rsid w:val="00E24239"/>
    <w:rsid w:val="00E30F45"/>
    <w:rsid w:val="00E32C6B"/>
    <w:rsid w:val="00E35A04"/>
    <w:rsid w:val="00E36322"/>
    <w:rsid w:val="00E37E30"/>
    <w:rsid w:val="00E4581E"/>
    <w:rsid w:val="00E46EC8"/>
    <w:rsid w:val="00E51954"/>
    <w:rsid w:val="00E53850"/>
    <w:rsid w:val="00E56522"/>
    <w:rsid w:val="00E5687A"/>
    <w:rsid w:val="00E6049B"/>
    <w:rsid w:val="00E66524"/>
    <w:rsid w:val="00E669E5"/>
    <w:rsid w:val="00E731D2"/>
    <w:rsid w:val="00E7682A"/>
    <w:rsid w:val="00E778E8"/>
    <w:rsid w:val="00E832E8"/>
    <w:rsid w:val="00E877F5"/>
    <w:rsid w:val="00E87D07"/>
    <w:rsid w:val="00E90477"/>
    <w:rsid w:val="00E90DE8"/>
    <w:rsid w:val="00EA5089"/>
    <w:rsid w:val="00EB3B53"/>
    <w:rsid w:val="00EB4E8F"/>
    <w:rsid w:val="00EB61BC"/>
    <w:rsid w:val="00EC219E"/>
    <w:rsid w:val="00EC3044"/>
    <w:rsid w:val="00EC454B"/>
    <w:rsid w:val="00EC6506"/>
    <w:rsid w:val="00ED419B"/>
    <w:rsid w:val="00ED464D"/>
    <w:rsid w:val="00ED6B30"/>
    <w:rsid w:val="00EE191E"/>
    <w:rsid w:val="00EE2B94"/>
    <w:rsid w:val="00EF3E86"/>
    <w:rsid w:val="00EF68B0"/>
    <w:rsid w:val="00EF781E"/>
    <w:rsid w:val="00EF79F2"/>
    <w:rsid w:val="00F10654"/>
    <w:rsid w:val="00F11625"/>
    <w:rsid w:val="00F11E50"/>
    <w:rsid w:val="00F1211E"/>
    <w:rsid w:val="00F21B4B"/>
    <w:rsid w:val="00F2606D"/>
    <w:rsid w:val="00F3075B"/>
    <w:rsid w:val="00F31DF1"/>
    <w:rsid w:val="00F3617D"/>
    <w:rsid w:val="00F37832"/>
    <w:rsid w:val="00F43C33"/>
    <w:rsid w:val="00F55B59"/>
    <w:rsid w:val="00F611D2"/>
    <w:rsid w:val="00F65940"/>
    <w:rsid w:val="00F6644E"/>
    <w:rsid w:val="00F71BDD"/>
    <w:rsid w:val="00F73BF3"/>
    <w:rsid w:val="00F73FE7"/>
    <w:rsid w:val="00F74F11"/>
    <w:rsid w:val="00F8046E"/>
    <w:rsid w:val="00F81C3C"/>
    <w:rsid w:val="00F84FB7"/>
    <w:rsid w:val="00F92CDD"/>
    <w:rsid w:val="00F93ACA"/>
    <w:rsid w:val="00FA201A"/>
    <w:rsid w:val="00FA34C1"/>
    <w:rsid w:val="00FB1EC9"/>
    <w:rsid w:val="00FB31AA"/>
    <w:rsid w:val="00FD1B4F"/>
    <w:rsid w:val="00FD1D33"/>
    <w:rsid w:val="00FD2941"/>
    <w:rsid w:val="00FD4AA7"/>
    <w:rsid w:val="00FD6997"/>
    <w:rsid w:val="00FE5644"/>
    <w:rsid w:val="00FF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8B096B"/>
  <w15:chartTrackingRefBased/>
  <w15:docId w15:val="{39DEA180-6C09-43BE-90C0-F7CD9965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7"/>
    <w:pPr>
      <w:ind w:left="720"/>
      <w:contextualSpacing/>
    </w:pPr>
  </w:style>
  <w:style w:type="character" w:styleId="Hyperlink">
    <w:name w:val="Hyperlink"/>
    <w:basedOn w:val="DefaultParagraphFont"/>
    <w:uiPriority w:val="99"/>
    <w:unhideWhenUsed/>
    <w:rsid w:val="000F3174"/>
    <w:rPr>
      <w:color w:val="0000FF" w:themeColor="hyperlink"/>
      <w:u w:val="single"/>
    </w:rPr>
  </w:style>
  <w:style w:type="paragraph" w:styleId="FootnoteText">
    <w:name w:val="footnote text"/>
    <w:basedOn w:val="Normal"/>
    <w:link w:val="FootnoteTextChar"/>
    <w:uiPriority w:val="99"/>
    <w:unhideWhenUsed/>
    <w:qFormat/>
    <w:rsid w:val="000F3174"/>
    <w:pPr>
      <w:spacing w:after="0" w:line="240" w:lineRule="auto"/>
    </w:pPr>
    <w:rPr>
      <w:sz w:val="20"/>
    </w:rPr>
  </w:style>
  <w:style w:type="character" w:customStyle="1" w:styleId="FootnoteTextChar">
    <w:name w:val="Footnote Text Char"/>
    <w:basedOn w:val="DefaultParagraphFont"/>
    <w:link w:val="FootnoteText"/>
    <w:uiPriority w:val="99"/>
    <w:qFormat/>
    <w:rsid w:val="000F3174"/>
    <w:rPr>
      <w:sz w:val="20"/>
    </w:rPr>
  </w:style>
  <w:style w:type="character" w:styleId="FootnoteReference">
    <w:name w:val="footnote reference"/>
    <w:basedOn w:val="DefaultParagraphFont"/>
    <w:link w:val="AppelnotedebasdepageCharCharCharCharCharCharChar"/>
    <w:uiPriority w:val="99"/>
    <w:unhideWhenUsed/>
    <w:qFormat/>
    <w:rsid w:val="000F3174"/>
    <w:rPr>
      <w:vertAlign w:val="superscript"/>
    </w:rPr>
  </w:style>
  <w:style w:type="table" w:styleId="TableGrid">
    <w:name w:val="Table Grid"/>
    <w:uiPriority w:val="39"/>
    <w:rsid w:val="00954428"/>
    <w:pPr>
      <w:spacing w:after="0" w:line="240" w:lineRule="auto"/>
    </w:pPr>
    <w:rPr>
      <w:rFonts w:ascii="Calibri" w:eastAsia="Times New Roman" w:hAnsi="Calibri" w:cs="Times New Roman"/>
      <w:sz w:val="24"/>
      <w:lang w:val="en-GB" w:eastAsia="en-GB"/>
    </w:rPr>
    <w:tblPr>
      <w:tblInd w:w="0" w:type="dxa"/>
      <w:tblBorders>
        <w:top w:val="single" w:sz="4" w:space="0" w:color="A4C4E6"/>
        <w:left w:val="single" w:sz="4" w:space="0" w:color="A4C4E6"/>
        <w:bottom w:val="single" w:sz="4" w:space="0" w:color="A4C4E6"/>
        <w:right w:val="single" w:sz="4" w:space="0" w:color="A4C4E6"/>
        <w:insideH w:val="single" w:sz="4" w:space="0" w:color="A4C4E6"/>
        <w:insideV w:val="single" w:sz="4" w:space="0" w:color="A4C4E6"/>
      </w:tblBorders>
      <w:tblCellMar>
        <w:top w:w="0" w:type="dxa"/>
        <w:left w:w="108" w:type="dxa"/>
        <w:bottom w:w="0" w:type="dxa"/>
        <w:right w:w="108" w:type="dxa"/>
      </w:tblCellMar>
    </w:tblPr>
    <w:tcPr>
      <w:shd w:val="clear" w:color="auto" w:fill="FFFFFF"/>
      <w:tcMar>
        <w:top w:w="80" w:type="dxa"/>
        <w:left w:w="120" w:type="dxa"/>
        <w:bottom w:w="80" w:type="dxa"/>
        <w:right w:w="120" w:type="dxa"/>
      </w:tcMar>
      <w:vAlign w:val="center"/>
    </w:tcPr>
    <w:tblStylePr w:type="firstRow">
      <w:pPr>
        <w:jc w:val="center"/>
      </w:pPr>
      <w:rPr>
        <w:rFonts w:ascii="Calibri" w:hAnsi="Calibri"/>
        <w:b/>
        <w:color w:val="006FB4"/>
        <w:sz w:val="24"/>
      </w:rPr>
      <w:tblPr/>
      <w:tcPr>
        <w:tcBorders>
          <w:bottom w:val="single" w:sz="4" w:space="0" w:color="FFFFFF"/>
          <w:insideH w:val="single" w:sz="4" w:space="0" w:color="FFFFFF"/>
          <w:insideV w:val="single" w:sz="4" w:space="0" w:color="FFFFFF"/>
        </w:tcBorders>
        <w:shd w:val="clear" w:color="auto" w:fill="A4C4E6"/>
        <w:vAlign w:val="center"/>
      </w:tcPr>
    </w:tblStylePr>
  </w:style>
  <w:style w:type="paragraph" w:customStyle="1" w:styleId="AppelnotedebasdepageCharCharCharCharCharCharChar">
    <w:name w:val="Appel note de bas de page Char Char Char Char Char Char Char"/>
    <w:basedOn w:val="Normal"/>
    <w:link w:val="FootnoteReference"/>
    <w:uiPriority w:val="99"/>
    <w:rsid w:val="00954428"/>
    <w:pPr>
      <w:spacing w:after="0" w:line="240" w:lineRule="auto"/>
      <w:jc w:val="both"/>
    </w:pPr>
    <w:rPr>
      <w:vertAlign w:val="superscript"/>
    </w:rPr>
  </w:style>
  <w:style w:type="table" w:styleId="TableGridLight">
    <w:name w:val="Grid Table Light"/>
    <w:basedOn w:val="TableNormal"/>
    <w:uiPriority w:val="40"/>
    <w:rsid w:val="009544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50C23"/>
    <w:rPr>
      <w:sz w:val="16"/>
    </w:rPr>
  </w:style>
  <w:style w:type="paragraph" w:styleId="CommentText">
    <w:name w:val="annotation text"/>
    <w:basedOn w:val="Normal"/>
    <w:link w:val="CommentTextChar"/>
    <w:uiPriority w:val="99"/>
    <w:unhideWhenUsed/>
    <w:rsid w:val="00B50C23"/>
    <w:pPr>
      <w:spacing w:line="240" w:lineRule="auto"/>
    </w:pPr>
    <w:rPr>
      <w:sz w:val="20"/>
    </w:rPr>
  </w:style>
  <w:style w:type="character" w:customStyle="1" w:styleId="CommentTextChar">
    <w:name w:val="Comment Text Char"/>
    <w:basedOn w:val="DefaultParagraphFont"/>
    <w:link w:val="CommentText"/>
    <w:uiPriority w:val="99"/>
    <w:rsid w:val="00B50C23"/>
    <w:rPr>
      <w:sz w:val="20"/>
    </w:rPr>
  </w:style>
  <w:style w:type="paragraph" w:styleId="CommentSubject">
    <w:name w:val="annotation subject"/>
    <w:basedOn w:val="CommentText"/>
    <w:next w:val="CommentText"/>
    <w:link w:val="CommentSubjectChar"/>
    <w:uiPriority w:val="99"/>
    <w:semiHidden/>
    <w:unhideWhenUsed/>
    <w:rsid w:val="00B50C23"/>
    <w:rPr>
      <w:b/>
    </w:rPr>
  </w:style>
  <w:style w:type="character" w:customStyle="1" w:styleId="CommentSubjectChar">
    <w:name w:val="Comment Subject Char"/>
    <w:basedOn w:val="CommentTextChar"/>
    <w:link w:val="CommentSubject"/>
    <w:uiPriority w:val="99"/>
    <w:semiHidden/>
    <w:rsid w:val="00B50C23"/>
    <w:rPr>
      <w:b/>
      <w:sz w:val="20"/>
    </w:rPr>
  </w:style>
  <w:style w:type="paragraph" w:styleId="BalloonText">
    <w:name w:val="Balloon Text"/>
    <w:basedOn w:val="Normal"/>
    <w:link w:val="BalloonTextChar"/>
    <w:uiPriority w:val="99"/>
    <w:semiHidden/>
    <w:unhideWhenUsed/>
    <w:rsid w:val="00B50C23"/>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B50C23"/>
    <w:rPr>
      <w:rFonts w:ascii="Segoe UI" w:hAnsi="Segoe UI" w:cs="Segoe UI"/>
      <w:sz w:val="18"/>
    </w:rPr>
  </w:style>
  <w:style w:type="paragraph" w:styleId="Header">
    <w:name w:val="header"/>
    <w:basedOn w:val="Normal"/>
    <w:link w:val="HeaderChar"/>
    <w:uiPriority w:val="99"/>
    <w:unhideWhenUsed/>
    <w:rsid w:val="00963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5C"/>
  </w:style>
  <w:style w:type="paragraph" w:styleId="Footer">
    <w:name w:val="footer"/>
    <w:basedOn w:val="Normal"/>
    <w:link w:val="FooterChar"/>
    <w:uiPriority w:val="99"/>
    <w:unhideWhenUsed/>
    <w:rsid w:val="00963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5C"/>
  </w:style>
  <w:style w:type="character" w:customStyle="1" w:styleId="Marker">
    <w:name w:val="Marker"/>
    <w:basedOn w:val="DefaultParagraphFont"/>
    <w:rsid w:val="008A1C38"/>
    <w:rPr>
      <w:color w:val="0000FF"/>
      <w:shd w:val="clear" w:color="auto" w:fill="auto"/>
    </w:rPr>
  </w:style>
  <w:style w:type="paragraph" w:customStyle="1" w:styleId="Pagedecouverture">
    <w:name w:val="Page de couverture"/>
    <w:basedOn w:val="Normal"/>
    <w:next w:val="Normal"/>
    <w:rsid w:val="008A1C3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A1C3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A1C38"/>
    <w:rPr>
      <w:rFonts w:ascii="Times New Roman" w:hAnsi="Times New Roman" w:cs="Times New Roman"/>
      <w:sz w:val="24"/>
    </w:rPr>
  </w:style>
  <w:style w:type="paragraph" w:customStyle="1" w:styleId="FooterSensitivity">
    <w:name w:val="Footer Sensitivity"/>
    <w:basedOn w:val="Normal"/>
    <w:link w:val="FooterSensitivityChar"/>
    <w:rsid w:val="008A1C3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A1C38"/>
    <w:rPr>
      <w:rFonts w:ascii="Times New Roman" w:hAnsi="Times New Roman" w:cs="Times New Roman"/>
      <w:b/>
      <w:sz w:val="32"/>
    </w:rPr>
  </w:style>
  <w:style w:type="paragraph" w:customStyle="1" w:styleId="HeaderCoverPage">
    <w:name w:val="Header Cover Page"/>
    <w:basedOn w:val="Normal"/>
    <w:link w:val="HeaderCoverPageChar"/>
    <w:rsid w:val="008A1C3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A1C38"/>
    <w:rPr>
      <w:rFonts w:ascii="Times New Roman" w:hAnsi="Times New Roman" w:cs="Times New Roman"/>
      <w:sz w:val="24"/>
    </w:rPr>
  </w:style>
  <w:style w:type="paragraph" w:customStyle="1" w:styleId="HeaderSensitivity">
    <w:name w:val="Header Sensitivity"/>
    <w:basedOn w:val="Normal"/>
    <w:link w:val="HeaderSensitivityChar"/>
    <w:rsid w:val="008A1C3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A1C38"/>
    <w:rPr>
      <w:rFonts w:ascii="Times New Roman" w:hAnsi="Times New Roman" w:cs="Times New Roman"/>
      <w:b/>
      <w:sz w:val="32"/>
    </w:rPr>
  </w:style>
  <w:style w:type="paragraph" w:customStyle="1" w:styleId="HeaderSensitivityRight">
    <w:name w:val="Header Sensitivity Right"/>
    <w:basedOn w:val="Normal"/>
    <w:link w:val="HeaderSensitivityRightChar"/>
    <w:rsid w:val="008A1C3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A1C38"/>
    <w:rPr>
      <w:rFonts w:ascii="Times New Roman" w:hAnsi="Times New Roman" w:cs="Times New Roman"/>
      <w:sz w:val="28"/>
    </w:rPr>
  </w:style>
  <w:style w:type="paragraph" w:customStyle="1" w:styleId="Body">
    <w:name w:val="Body"/>
    <w:basedOn w:val="Normal"/>
    <w:link w:val="BodyChar"/>
    <w:qFormat/>
    <w:rsid w:val="00BD6B28"/>
    <w:pPr>
      <w:spacing w:after="240" w:line="240" w:lineRule="auto"/>
      <w:jc w:val="both"/>
    </w:pPr>
    <w:rPr>
      <w:rFonts w:ascii="Arial" w:eastAsia="Times New Roman" w:hAnsi="Arial" w:cs="Times New Roman"/>
    </w:rPr>
  </w:style>
  <w:style w:type="character" w:customStyle="1" w:styleId="BodyChar">
    <w:name w:val="Body Char"/>
    <w:link w:val="Body"/>
    <w:rsid w:val="00BD6B28"/>
    <w:rPr>
      <w:rFonts w:ascii="Arial" w:eastAsia="Times New Roman" w:hAnsi="Arial" w:cs="Times New Roman"/>
    </w:rPr>
  </w:style>
  <w:style w:type="paragraph" w:styleId="Revision">
    <w:name w:val="Revision"/>
    <w:hidden/>
    <w:uiPriority w:val="99"/>
    <w:semiHidden/>
    <w:rsid w:val="00E7682A"/>
    <w:pPr>
      <w:spacing w:after="0" w:line="240" w:lineRule="auto"/>
    </w:pPr>
  </w:style>
  <w:style w:type="character" w:styleId="Strong">
    <w:name w:val="Strong"/>
    <w:basedOn w:val="DefaultParagraphFont"/>
    <w:uiPriority w:val="22"/>
    <w:qFormat/>
    <w:rsid w:val="00845DBD"/>
    <w:rPr>
      <w:b/>
    </w:rPr>
  </w:style>
  <w:style w:type="character" w:customStyle="1" w:styleId="UnresolvedMention1">
    <w:name w:val="Unresolved Mention1"/>
    <w:basedOn w:val="DefaultParagraphFont"/>
    <w:uiPriority w:val="99"/>
    <w:semiHidden/>
    <w:unhideWhenUsed/>
    <w:rsid w:val="00AB002A"/>
    <w:rPr>
      <w:color w:val="605E5C"/>
      <w:shd w:val="clear" w:color="auto" w:fill="E1DFDD"/>
    </w:rPr>
  </w:style>
  <w:style w:type="character" w:styleId="FollowedHyperlink">
    <w:name w:val="FollowedHyperlink"/>
    <w:basedOn w:val="DefaultParagraphFont"/>
    <w:uiPriority w:val="99"/>
    <w:semiHidden/>
    <w:unhideWhenUsed/>
    <w:rsid w:val="00BC5AE0"/>
    <w:rPr>
      <w:color w:val="800080" w:themeColor="followedHyperlink"/>
      <w:u w:val="single"/>
    </w:rPr>
  </w:style>
  <w:style w:type="character" w:customStyle="1" w:styleId="UnresolvedMention">
    <w:name w:val="Unresolved Mention"/>
    <w:basedOn w:val="DefaultParagraphFont"/>
    <w:uiPriority w:val="99"/>
    <w:semiHidden/>
    <w:unhideWhenUsed/>
    <w:rsid w:val="00A2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4451">
      <w:bodyDiv w:val="1"/>
      <w:marLeft w:val="0"/>
      <w:marRight w:val="0"/>
      <w:marTop w:val="0"/>
      <w:marBottom w:val="0"/>
      <w:divBdr>
        <w:top w:val="none" w:sz="0" w:space="0" w:color="auto"/>
        <w:left w:val="none" w:sz="0" w:space="0" w:color="auto"/>
        <w:bottom w:val="none" w:sz="0" w:space="0" w:color="auto"/>
        <w:right w:val="none" w:sz="0" w:space="0" w:color="auto"/>
      </w:divBdr>
    </w:div>
    <w:div w:id="277176670">
      <w:bodyDiv w:val="1"/>
      <w:marLeft w:val="0"/>
      <w:marRight w:val="0"/>
      <w:marTop w:val="0"/>
      <w:marBottom w:val="0"/>
      <w:divBdr>
        <w:top w:val="none" w:sz="0" w:space="0" w:color="auto"/>
        <w:left w:val="none" w:sz="0" w:space="0" w:color="auto"/>
        <w:bottom w:val="none" w:sz="0" w:space="0" w:color="auto"/>
        <w:right w:val="none" w:sz="0" w:space="0" w:color="auto"/>
      </w:divBdr>
    </w:div>
    <w:div w:id="487092891">
      <w:bodyDiv w:val="1"/>
      <w:marLeft w:val="0"/>
      <w:marRight w:val="0"/>
      <w:marTop w:val="0"/>
      <w:marBottom w:val="0"/>
      <w:divBdr>
        <w:top w:val="none" w:sz="0" w:space="0" w:color="auto"/>
        <w:left w:val="none" w:sz="0" w:space="0" w:color="auto"/>
        <w:bottom w:val="none" w:sz="0" w:space="0" w:color="auto"/>
        <w:right w:val="none" w:sz="0" w:space="0" w:color="auto"/>
      </w:divBdr>
    </w:div>
    <w:div w:id="824518561">
      <w:bodyDiv w:val="1"/>
      <w:marLeft w:val="0"/>
      <w:marRight w:val="0"/>
      <w:marTop w:val="0"/>
      <w:marBottom w:val="0"/>
      <w:divBdr>
        <w:top w:val="none" w:sz="0" w:space="0" w:color="auto"/>
        <w:left w:val="none" w:sz="0" w:space="0" w:color="auto"/>
        <w:bottom w:val="none" w:sz="0" w:space="0" w:color="auto"/>
        <w:right w:val="none" w:sz="0" w:space="0" w:color="auto"/>
      </w:divBdr>
    </w:div>
    <w:div w:id="1058363613">
      <w:bodyDiv w:val="1"/>
      <w:marLeft w:val="0"/>
      <w:marRight w:val="0"/>
      <w:marTop w:val="0"/>
      <w:marBottom w:val="0"/>
      <w:divBdr>
        <w:top w:val="none" w:sz="0" w:space="0" w:color="auto"/>
        <w:left w:val="none" w:sz="0" w:space="0" w:color="auto"/>
        <w:bottom w:val="none" w:sz="0" w:space="0" w:color="auto"/>
        <w:right w:val="none" w:sz="0" w:space="0" w:color="auto"/>
      </w:divBdr>
    </w:div>
    <w:div w:id="1346666406">
      <w:bodyDiv w:val="1"/>
      <w:marLeft w:val="0"/>
      <w:marRight w:val="0"/>
      <w:marTop w:val="0"/>
      <w:marBottom w:val="0"/>
      <w:divBdr>
        <w:top w:val="none" w:sz="0" w:space="0" w:color="auto"/>
        <w:left w:val="none" w:sz="0" w:space="0" w:color="auto"/>
        <w:bottom w:val="none" w:sz="0" w:space="0" w:color="auto"/>
        <w:right w:val="none" w:sz="0" w:space="0" w:color="auto"/>
      </w:divBdr>
    </w:div>
    <w:div w:id="1753315361">
      <w:bodyDiv w:val="1"/>
      <w:marLeft w:val="0"/>
      <w:marRight w:val="0"/>
      <w:marTop w:val="0"/>
      <w:marBottom w:val="0"/>
      <w:divBdr>
        <w:top w:val="none" w:sz="0" w:space="0" w:color="auto"/>
        <w:left w:val="none" w:sz="0" w:space="0" w:color="auto"/>
        <w:bottom w:val="none" w:sz="0" w:space="0" w:color="auto"/>
        <w:right w:val="none" w:sz="0" w:space="0" w:color="auto"/>
      </w:divBdr>
    </w:div>
    <w:div w:id="18343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ommission.europa.eu/strategy-and-policy/priorities-2019-2024/europe-fit-digital-age/digital-services-act-ensuring-safe-and-accountable-online-environment_da" TargetMode="External"/><Relationship Id="rId3" Type="http://schemas.openxmlformats.org/officeDocument/2006/relationships/customXml" Target="../customXml/item3.xml"/><Relationship Id="rId21" Type="http://schemas.openxmlformats.org/officeDocument/2006/relationships/hyperlink" Target="https://eures.ec.europa.eu/eu-proposes-directive-protect-rights-platform-workers-2022-03-17_da"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eur-lex.europa.eu/legal-content/DA/TXT/?uri=CELEX%3A52021XC1005%2801%29&amp;qid=1678894695265"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igital-strategy.ec.europa.eu/en/policies/digital-services-act-packag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DA/TXT/?uri=CELEX%3A52020XC1208%2801%29&amp;qid=1678894695265"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gital-strategy.ec.europa.eu/en/policies/eu-observatory-online-platform-economy"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igital-markets-act.ec.europa.eu/about-dma_en"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resource.html?uri=cellar:99c9ae01-492c-11e8-be1d-01aa75ed71a1.0001.02/DOC_1&amp;format=PDF" TargetMode="External"/><Relationship Id="rId27" Type="http://schemas.openxmlformats.org/officeDocument/2006/relationships/hyperlink" Target="https://commission.europa.eu/strategy-and-policy/priorities-2019-2024/europe-fit-digital-age/digital-markets-act-ensuring-fair-and-open-digital-markets_da" TargetMode="External"/><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en&amp;do=groupDetail.groupDetail&amp;groupID=1636" TargetMode="External"/><Relationship Id="rId7" Type="http://schemas.openxmlformats.org/officeDocument/2006/relationships/hyperlink" Target="https://single-market-economy.ec.europa.eu/system/files/2023-07/SWD_2023_283_F1_STAFF_WORKING_PAPER_EN_V4_P1_2864349.PDF" TargetMode="External"/><Relationship Id="rId2" Type="http://schemas.openxmlformats.org/officeDocument/2006/relationships/hyperlink" Target="https://eur-lex.europa.eu/legal-content/DA/TXT/?uri=CELEX%3A52020XC1208%2801%29" TargetMode="External"/><Relationship Id="rId1" Type="http://schemas.openxmlformats.org/officeDocument/2006/relationships/hyperlink" Target="https://github.com/openTermsArchive/p2b-compliance-versions" TargetMode="External"/><Relationship Id="rId6" Type="http://schemas.openxmlformats.org/officeDocument/2006/relationships/hyperlink" Target="https://www.acm.nl/en/publications/acm-publishes-draft-guidelines-regarding-rules-online-platforms-and-search-engines" TargetMode="External"/><Relationship Id="rId5" Type="http://schemas.openxmlformats.org/officeDocument/2006/relationships/hyperlink" Target="https://www.acm.nl/en/publications/acm-publishes-draft-guidelines-regarding-rules-online-platforms-and-search-engines" TargetMode="External"/><Relationship Id="rId4" Type="http://schemas.openxmlformats.org/officeDocument/2006/relationships/hyperlink" Target="https://www.agcom.it/platform-to-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UVNUSV5RWJH5-1794381228-12373</_dlc_DocId>
    <_dlc_DocIdUrl xmlns="866aabb8-7ec2-447a-a7ff-f911015037e7">
      <Url>https://myintracomm-collab.ec.europa.eu/dg/CONNECT/directorateF/UnitF2/_layouts/15/DocIdRedir.aspx?ID=UVNUSV5RWJH5-1794381228-12373</Url>
      <Description>UVNUSV5RWJH5-1794381228-12373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11" ma:contentTypeDescription="Create a new document." ma:contentTypeScope="" ma:versionID="2ec96d040356676af7d0b44ebe4783c3">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8c6cf43d11bcd74e93e3de6dac6e21b2"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8AD9-B1DE-4123-BB2B-2616B639C248}">
  <ds:schemaRefs>
    <ds:schemaRef ds:uri="http://schemas.microsoft.com/sharepoint/v3/contenttype/forms"/>
  </ds:schemaRefs>
</ds:datastoreItem>
</file>

<file path=customXml/itemProps2.xml><?xml version="1.0" encoding="utf-8"?>
<ds:datastoreItem xmlns:ds="http://schemas.openxmlformats.org/officeDocument/2006/customXml" ds:itemID="{A3709152-79CA-4864-945C-03C5A0DE03A9}">
  <ds:schemaRefs>
    <ds:schemaRef ds:uri="http://schemas.microsoft.com/office/2006/metadata/properties"/>
    <ds:schemaRef ds:uri="http://schemas.microsoft.com/office/infopath/2007/PartnerControls"/>
    <ds:schemaRef ds:uri="2dd8d85e-8862-4fd7-b17a-fcd630b045fb"/>
    <ds:schemaRef ds:uri="866aabb8-7ec2-447a-a7ff-f911015037e7"/>
  </ds:schemaRefs>
</ds:datastoreItem>
</file>

<file path=customXml/itemProps3.xml><?xml version="1.0" encoding="utf-8"?>
<ds:datastoreItem xmlns:ds="http://schemas.openxmlformats.org/officeDocument/2006/customXml" ds:itemID="{1AC818EC-CBAC-47FE-BED2-C504C17558D7}">
  <ds:schemaRefs>
    <ds:schemaRef ds:uri="http://schemas.microsoft.com/sharepoint/events"/>
  </ds:schemaRefs>
</ds:datastoreItem>
</file>

<file path=customXml/itemProps4.xml><?xml version="1.0" encoding="utf-8"?>
<ds:datastoreItem xmlns:ds="http://schemas.openxmlformats.org/officeDocument/2006/customXml" ds:itemID="{E495503D-175B-45B5-8B7D-0E01DAE98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7C5719-F5CB-4C3D-BD2E-543A45C6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5660</Words>
  <Characters>37356</Characters>
  <Application>Microsoft Office Word</Application>
  <DocSecurity>0</DocSecurity>
  <Lines>655</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2023-07-03T14:51:00Z</cp:lastPrinted>
  <dcterms:created xsi:type="dcterms:W3CDTF">2023-09-04T08:09:00Z</dcterms:created>
  <dcterms:modified xsi:type="dcterms:W3CDTF">2023-10-04T06:23:00Z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0x010100258AA79CEB83498886A3A0868112325000A0BDFF1823B4BC488305CC72AA7E9C5D</vt:lpwstr>
  </property>
  <property fmtid="{D5CDD505-2E9C-101B-9397-08002B2CF9AE}" pid="3" name="_dlc_DocIdItemGuid">
    <vt:lpwstr>511d0838-0f03-41e6-90a4-e260dd9ecec5</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PTemplateID">
    <vt:lpwstr>CP-008</vt:lpwstr>
  </property>
  <property fmtid="{D5CDD505-2E9C-101B-9397-08002B2CF9AE}" pid="9" name="Last edited using">
    <vt:lpwstr>LW 9.0, Build 20230317</vt:lpwstr>
  </property>
  <property fmtid="{D5CDD505-2E9C-101B-9397-08002B2CF9AE}" pid="10" name="Created using">
    <vt:lpwstr>LW 9.0, Build 20230317</vt:lpwstr>
  </property>
  <property fmtid="{D5CDD505-2E9C-101B-9397-08002B2CF9AE}" pid="11" name="MSIP_Label_6bd9ddd1-4d20-43f6-abfa-fc3c07406f94_Enabled">
    <vt:lpwstr>true</vt:lpwstr>
  </property>
  <property fmtid="{D5CDD505-2E9C-101B-9397-08002B2CF9AE}" pid="12" name="MSIP_Label_6bd9ddd1-4d20-43f6-abfa-fc3c07406f94_SetDate">
    <vt:lpwstr>2023-05-05T06:54:56Z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dbb4ad2d-a116-408e-8710-43c185784f8a</vt:lpwstr>
  </property>
  <property fmtid="{D5CDD505-2E9C-101B-9397-08002B2CF9AE}" pid="17" name="MSIP_Label_6bd9ddd1-4d20-43f6-abfa-fc3c07406f94_ContentBits">
    <vt:lpwstr>0</vt:lpwstr>
  </property>
  <property fmtid="{D5CDD505-2E9C-101B-9397-08002B2CF9AE}" pid="18" name="_NewReviewCycle">
    <vt:lpwstr/>
  </property>
</Properties>
</file>