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747D1" w14:textId="56AA635E" w:rsidR="739545FD" w:rsidRPr="00780A89" w:rsidRDefault="00A73D7D" w:rsidP="00A73D7D">
      <w:pPr>
        <w:pStyle w:val="Pagedecouverture"/>
        <w:rPr>
          <w:noProof/>
          <w:lang w:val="en-IE"/>
        </w:rPr>
      </w:pPr>
      <w:bookmarkStart w:id="0" w:name="LW_BM_COVERPAGE"/>
      <w:r>
        <w:rPr>
          <w:noProof/>
          <w:lang w:val="en-IE"/>
        </w:rPr>
        <w:pict w14:anchorId="0D60A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1C73DD7-DCA1-49D5-AB41-4A1687DB9379" style="width:455.25pt;height:324pt">
            <v:imagedata r:id="rId11" o:title=""/>
          </v:shape>
        </w:pict>
      </w:r>
    </w:p>
    <w:bookmarkEnd w:id="0"/>
    <w:p w14:paraId="211BF770" w14:textId="77777777" w:rsidR="003C4699" w:rsidRDefault="003C4699" w:rsidP="003C4699">
      <w:pPr>
        <w:rPr>
          <w:noProof/>
          <w:lang w:val="en-IE"/>
        </w:rPr>
        <w:sectPr w:rsidR="003C4699" w:rsidSect="00A73D7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1ED6CB8" w14:textId="5D64311F" w:rsidR="3C9276BA" w:rsidRPr="00780A89" w:rsidRDefault="3C9276BA" w:rsidP="1FAF0ABF">
      <w:pPr>
        <w:pStyle w:val="Title"/>
        <w:spacing w:after="240"/>
        <w:rPr>
          <w:rFonts w:ascii="Times New Roman" w:eastAsia="Times New Roman" w:hAnsi="Times New Roman" w:cs="Times New Roman"/>
          <w:noProof/>
          <w:color w:val="000000" w:themeColor="text1"/>
          <w:sz w:val="32"/>
          <w:szCs w:val="32"/>
          <w:lang w:val="en-IE"/>
        </w:rPr>
      </w:pPr>
      <w:bookmarkStart w:id="1" w:name="_GoBack"/>
      <w:bookmarkEnd w:id="1"/>
      <w:r w:rsidRPr="00780A89">
        <w:rPr>
          <w:rFonts w:ascii="Times New Roman" w:eastAsia="Times New Roman" w:hAnsi="Times New Roman" w:cs="Times New Roman"/>
          <w:b/>
          <w:bCs/>
          <w:noProof/>
          <w:color w:val="000000" w:themeColor="text1"/>
          <w:sz w:val="32"/>
          <w:szCs w:val="32"/>
          <w:u w:val="single"/>
          <w:lang w:val="en-IE"/>
        </w:rPr>
        <w:lastRenderedPageBreak/>
        <w:t>Report on the Gas Security of Supply Regulation (EU) 2017/1938</w:t>
      </w:r>
    </w:p>
    <w:p w14:paraId="58DCB468" w14:textId="60B24806" w:rsidR="3C9276BA" w:rsidRPr="00780A89" w:rsidRDefault="626D88F2" w:rsidP="1FAF0ABF">
      <w:pPr>
        <w:pStyle w:val="ListParagraph"/>
        <w:numPr>
          <w:ilvl w:val="0"/>
          <w:numId w:val="3"/>
        </w:numPr>
        <w:rPr>
          <w:rFonts w:ascii="Times New Roman" w:eastAsia="Times New Roman" w:hAnsi="Times New Roman" w:cs="Times New Roman"/>
          <w:noProof/>
          <w:color w:val="000000" w:themeColor="text1"/>
          <w:sz w:val="24"/>
          <w:szCs w:val="24"/>
          <w:lang w:val="en-IE"/>
        </w:rPr>
      </w:pPr>
      <w:r w:rsidRPr="00780A89">
        <w:rPr>
          <w:rStyle w:val="Heading1Char"/>
          <w:rFonts w:ascii="Times New Roman" w:eastAsia="Times New Roman" w:hAnsi="Times New Roman" w:cs="Times New Roman"/>
          <w:b/>
          <w:bCs/>
          <w:noProof/>
          <w:color w:val="000000" w:themeColor="text1"/>
          <w:sz w:val="24"/>
          <w:szCs w:val="24"/>
          <w:u w:val="single"/>
          <w:lang w:val="en-IE"/>
        </w:rPr>
        <w:t>Introduction</w:t>
      </w:r>
    </w:p>
    <w:p w14:paraId="35F0EAD5" w14:textId="33307FA0" w:rsidR="00007C24" w:rsidRPr="00780A89" w:rsidRDefault="00007C24" w:rsidP="73B12684">
      <w:pPr>
        <w:spacing w:before="100" w:beforeAutospacing="1" w:line="240" w:lineRule="auto"/>
        <w:jc w:val="both"/>
        <w:rPr>
          <w:rFonts w:ascii="Times New Roman" w:eastAsia="Times New Roman" w:hAnsi="Times New Roman" w:cs="Times New Roman"/>
          <w:noProof/>
          <w:color w:val="404040"/>
          <w:sz w:val="24"/>
          <w:szCs w:val="24"/>
          <w:lang w:val="en-IE" w:eastAsia="en-IE"/>
        </w:rPr>
      </w:pPr>
      <w:r w:rsidRPr="73B12684">
        <w:rPr>
          <w:rFonts w:ascii="Times New Roman" w:eastAsia="Times New Roman" w:hAnsi="Times New Roman" w:cs="Times New Roman"/>
          <w:noProof/>
          <w:sz w:val="24"/>
          <w:szCs w:val="24"/>
          <w:lang w:val="en-IE" w:eastAsia="en-IE"/>
        </w:rPr>
        <w:t xml:space="preserve">Regulation (EU) 2017/1938 on measures to safeguard the security of gas supply </w:t>
      </w:r>
      <w:r w:rsidR="00746A6C">
        <w:rPr>
          <w:rFonts w:ascii="Times New Roman" w:eastAsia="Times New Roman" w:hAnsi="Times New Roman" w:cs="Times New Roman"/>
          <w:noProof/>
          <w:color w:val="000000" w:themeColor="text1"/>
          <w:sz w:val="24"/>
          <w:szCs w:val="24"/>
          <w:lang w:val="en-IE"/>
        </w:rPr>
        <w:t>(“</w:t>
      </w:r>
      <w:r w:rsidR="00746A6C" w:rsidRPr="008D4360">
        <w:rPr>
          <w:rFonts w:ascii="Times New Roman" w:eastAsia="Times New Roman" w:hAnsi="Times New Roman" w:cs="Times New Roman"/>
          <w:b/>
          <w:bCs/>
          <w:noProof/>
          <w:color w:val="000000" w:themeColor="text1"/>
          <w:sz w:val="24"/>
          <w:szCs w:val="24"/>
          <w:lang w:val="en-IE"/>
        </w:rPr>
        <w:t>the Gas Security of Supply Regulation</w:t>
      </w:r>
      <w:r w:rsidR="00746A6C">
        <w:rPr>
          <w:rFonts w:ascii="Times New Roman" w:eastAsia="Times New Roman" w:hAnsi="Times New Roman" w:cs="Times New Roman"/>
          <w:noProof/>
          <w:color w:val="000000" w:themeColor="text1"/>
          <w:sz w:val="24"/>
          <w:szCs w:val="24"/>
          <w:lang w:val="en-IE"/>
        </w:rPr>
        <w:t xml:space="preserve">”) </w:t>
      </w:r>
      <w:r w:rsidR="00833985">
        <w:rPr>
          <w:rFonts w:ascii="Times New Roman" w:eastAsia="Times New Roman" w:hAnsi="Times New Roman" w:cs="Times New Roman"/>
          <w:noProof/>
          <w:sz w:val="24"/>
          <w:szCs w:val="24"/>
          <w:lang w:val="en-IE" w:eastAsia="en-IE"/>
        </w:rPr>
        <w:t>aims</w:t>
      </w:r>
      <w:r w:rsidR="00166B22" w:rsidRPr="73B12684">
        <w:rPr>
          <w:rFonts w:ascii="Times New Roman" w:eastAsia="Times New Roman" w:hAnsi="Times New Roman" w:cs="Times New Roman"/>
          <w:noProof/>
          <w:sz w:val="24"/>
          <w:szCs w:val="24"/>
          <w:lang w:val="en-IE" w:eastAsia="en-IE"/>
        </w:rPr>
        <w:t xml:space="preserve"> to prevent</w:t>
      </w:r>
      <w:r w:rsidR="00746A6C">
        <w:rPr>
          <w:rFonts w:ascii="Times New Roman" w:eastAsia="Times New Roman" w:hAnsi="Times New Roman" w:cs="Times New Roman"/>
          <w:noProof/>
          <w:sz w:val="24"/>
          <w:szCs w:val="24"/>
          <w:lang w:val="en-IE" w:eastAsia="en-IE"/>
        </w:rPr>
        <w:t>,</w:t>
      </w:r>
      <w:r w:rsidR="00166B22" w:rsidRPr="73B12684">
        <w:rPr>
          <w:rFonts w:ascii="Times New Roman" w:eastAsia="Times New Roman" w:hAnsi="Times New Roman" w:cs="Times New Roman"/>
          <w:noProof/>
          <w:sz w:val="24"/>
          <w:szCs w:val="24"/>
          <w:lang w:val="en-IE" w:eastAsia="en-IE"/>
        </w:rPr>
        <w:t xml:space="preserve"> and respond to</w:t>
      </w:r>
      <w:r w:rsidR="00746A6C">
        <w:rPr>
          <w:rFonts w:ascii="Times New Roman" w:eastAsia="Times New Roman" w:hAnsi="Times New Roman" w:cs="Times New Roman"/>
          <w:noProof/>
          <w:sz w:val="24"/>
          <w:szCs w:val="24"/>
          <w:lang w:val="en-IE" w:eastAsia="en-IE"/>
        </w:rPr>
        <w:t>,</w:t>
      </w:r>
      <w:r w:rsidR="00166B22" w:rsidRPr="73B12684">
        <w:rPr>
          <w:rFonts w:ascii="Times New Roman" w:eastAsia="Times New Roman" w:hAnsi="Times New Roman" w:cs="Times New Roman"/>
          <w:noProof/>
          <w:sz w:val="24"/>
          <w:szCs w:val="24"/>
          <w:lang w:val="en-IE" w:eastAsia="en-IE"/>
        </w:rPr>
        <w:t xml:space="preserve"> potential gas supply disruptions</w:t>
      </w:r>
      <w:r w:rsidRPr="73B12684">
        <w:rPr>
          <w:rFonts w:ascii="Times New Roman" w:eastAsia="Times New Roman" w:hAnsi="Times New Roman" w:cs="Times New Roman"/>
          <w:noProof/>
          <w:sz w:val="24"/>
          <w:szCs w:val="24"/>
          <w:lang w:val="en-IE" w:eastAsia="en-IE"/>
        </w:rPr>
        <w:t xml:space="preserve">. It lays down the framework for EU emergency preparedness and resilience to gas disruptions. </w:t>
      </w:r>
    </w:p>
    <w:p w14:paraId="1C34BFA0" w14:textId="37A1997B" w:rsidR="00521D11" w:rsidRPr="00780A89" w:rsidRDefault="00521D11" w:rsidP="0598A597">
      <w:pPr>
        <w:jc w:val="both"/>
        <w:rPr>
          <w:rFonts w:ascii="Times New Roman" w:eastAsia="Times New Roman" w:hAnsi="Times New Roman" w:cs="Times New Roman"/>
          <w:noProof/>
          <w:color w:val="000000" w:themeColor="text1"/>
          <w:sz w:val="24"/>
          <w:szCs w:val="24"/>
          <w:lang w:val="en-IE"/>
        </w:rPr>
      </w:pPr>
      <w:r w:rsidRPr="00746A6C">
        <w:rPr>
          <w:rFonts w:ascii="Times New Roman" w:eastAsia="Times New Roman" w:hAnsi="Times New Roman" w:cs="Times New Roman"/>
          <w:noProof/>
          <w:color w:val="000000" w:themeColor="text1"/>
          <w:sz w:val="24"/>
          <w:szCs w:val="24"/>
          <w:lang w:val="en-IE"/>
        </w:rPr>
        <w:t xml:space="preserve">Article 17 </w:t>
      </w:r>
      <w:r w:rsidRPr="0AFCBEB5">
        <w:rPr>
          <w:rFonts w:ascii="Times New Roman" w:eastAsia="Times New Roman" w:hAnsi="Times New Roman" w:cs="Times New Roman"/>
          <w:noProof/>
          <w:color w:val="000000" w:themeColor="text1"/>
          <w:sz w:val="24"/>
          <w:szCs w:val="24"/>
          <w:lang w:val="en-IE"/>
        </w:rPr>
        <w:t xml:space="preserve">of the </w:t>
      </w:r>
      <w:r w:rsidR="00746A6C">
        <w:rPr>
          <w:rFonts w:ascii="Times New Roman" w:eastAsia="Times New Roman" w:hAnsi="Times New Roman" w:cs="Times New Roman"/>
          <w:noProof/>
          <w:color w:val="000000" w:themeColor="text1"/>
          <w:sz w:val="24"/>
          <w:szCs w:val="24"/>
          <w:lang w:val="en-IE"/>
        </w:rPr>
        <w:t xml:space="preserve">Gas Security of Supply </w:t>
      </w:r>
      <w:r w:rsidR="00746A6C" w:rsidRPr="0AFCBEB5">
        <w:rPr>
          <w:rFonts w:ascii="Times New Roman" w:eastAsia="Times New Roman" w:hAnsi="Times New Roman" w:cs="Times New Roman"/>
          <w:noProof/>
          <w:color w:val="000000" w:themeColor="text1"/>
          <w:sz w:val="24"/>
          <w:szCs w:val="24"/>
          <w:lang w:val="en-IE"/>
        </w:rPr>
        <w:t>Regulation</w:t>
      </w:r>
      <w:r w:rsidR="00746A6C">
        <w:rPr>
          <w:rFonts w:ascii="Times New Roman" w:eastAsia="Times New Roman" w:hAnsi="Times New Roman" w:cs="Times New Roman"/>
          <w:noProof/>
          <w:color w:val="000000" w:themeColor="text1"/>
          <w:sz w:val="24"/>
          <w:szCs w:val="24"/>
          <w:lang w:val="en-IE"/>
        </w:rPr>
        <w:t xml:space="preserve"> t</w:t>
      </w:r>
      <w:r w:rsidRPr="0AFCBEB5">
        <w:rPr>
          <w:rFonts w:ascii="Times New Roman" w:eastAsia="Times New Roman" w:hAnsi="Times New Roman" w:cs="Times New Roman"/>
          <w:noProof/>
          <w:color w:val="000000" w:themeColor="text1"/>
          <w:sz w:val="24"/>
          <w:szCs w:val="24"/>
          <w:lang w:val="en-IE"/>
        </w:rPr>
        <w:t>asks the Commission</w:t>
      </w:r>
      <w:r w:rsidR="003E0216" w:rsidRPr="0AFCBEB5">
        <w:rPr>
          <w:rFonts w:ascii="Times New Roman" w:eastAsia="Times New Roman" w:hAnsi="Times New Roman" w:cs="Times New Roman"/>
          <w:noProof/>
          <w:color w:val="000000" w:themeColor="text1"/>
          <w:sz w:val="24"/>
          <w:szCs w:val="24"/>
          <w:lang w:val="en-IE"/>
        </w:rPr>
        <w:t>, on the basis of the assessments</w:t>
      </w:r>
      <w:r w:rsidR="0082544E" w:rsidRPr="0AFCBEB5">
        <w:rPr>
          <w:rFonts w:ascii="Times New Roman" w:eastAsia="Times New Roman" w:hAnsi="Times New Roman" w:cs="Times New Roman"/>
          <w:noProof/>
          <w:color w:val="000000" w:themeColor="text1"/>
          <w:sz w:val="24"/>
          <w:szCs w:val="24"/>
          <w:lang w:val="en-IE"/>
        </w:rPr>
        <w:t xml:space="preserve"> of </w:t>
      </w:r>
      <w:r w:rsidR="00CF04CD" w:rsidRPr="0AFCBEB5">
        <w:rPr>
          <w:rFonts w:ascii="Times New Roman" w:eastAsia="Times New Roman" w:hAnsi="Times New Roman" w:cs="Times New Roman"/>
          <w:noProof/>
          <w:color w:val="000000" w:themeColor="text1"/>
          <w:sz w:val="24"/>
          <w:szCs w:val="24"/>
          <w:lang w:val="en-IE"/>
        </w:rPr>
        <w:t xml:space="preserve">the </w:t>
      </w:r>
      <w:r w:rsidR="00E26AF2" w:rsidRPr="0AFCBEB5">
        <w:rPr>
          <w:rFonts w:ascii="Times New Roman" w:eastAsia="Times New Roman" w:hAnsi="Times New Roman" w:cs="Times New Roman"/>
          <w:noProof/>
          <w:color w:val="000000" w:themeColor="text1"/>
          <w:sz w:val="24"/>
          <w:szCs w:val="24"/>
          <w:lang w:val="en-IE"/>
        </w:rPr>
        <w:t xml:space="preserve">Member States </w:t>
      </w:r>
      <w:r w:rsidR="00CF04CD" w:rsidRPr="0AFCBEB5">
        <w:rPr>
          <w:rFonts w:ascii="Times New Roman" w:eastAsia="Times New Roman" w:hAnsi="Times New Roman" w:cs="Times New Roman"/>
          <w:noProof/>
          <w:color w:val="000000" w:themeColor="text1"/>
          <w:sz w:val="24"/>
          <w:szCs w:val="24"/>
          <w:lang w:val="en-IE"/>
        </w:rPr>
        <w:t>preventive action plans and emergency plans</w:t>
      </w:r>
      <w:r w:rsidR="003E0216" w:rsidRPr="0AFCBEB5">
        <w:rPr>
          <w:rFonts w:ascii="Times New Roman" w:eastAsia="Times New Roman" w:hAnsi="Times New Roman" w:cs="Times New Roman"/>
          <w:noProof/>
          <w:color w:val="000000" w:themeColor="text1"/>
          <w:sz w:val="24"/>
          <w:szCs w:val="24"/>
          <w:lang w:val="en-IE"/>
        </w:rPr>
        <w:t xml:space="preserve">, </w:t>
      </w:r>
      <w:r w:rsidRPr="0AFCBEB5">
        <w:rPr>
          <w:rFonts w:ascii="Times New Roman" w:eastAsia="Times New Roman" w:hAnsi="Times New Roman" w:cs="Times New Roman"/>
          <w:noProof/>
          <w:color w:val="000000" w:themeColor="text1"/>
          <w:sz w:val="24"/>
          <w:szCs w:val="24"/>
          <w:lang w:val="en-IE"/>
        </w:rPr>
        <w:t xml:space="preserve">with drawing conclusions as to possible means to enhance security of gas supply at Union level and </w:t>
      </w:r>
      <w:r w:rsidR="613348DE" w:rsidRPr="0AFCBEB5">
        <w:rPr>
          <w:rFonts w:ascii="Times New Roman" w:eastAsia="Times New Roman" w:hAnsi="Times New Roman" w:cs="Times New Roman"/>
          <w:noProof/>
          <w:color w:val="000000" w:themeColor="text1"/>
          <w:sz w:val="24"/>
          <w:szCs w:val="24"/>
          <w:lang w:val="en-IE"/>
        </w:rPr>
        <w:t xml:space="preserve">to </w:t>
      </w:r>
      <w:r w:rsidRPr="0AFCBEB5">
        <w:rPr>
          <w:rFonts w:ascii="Times New Roman" w:eastAsia="Times New Roman" w:hAnsi="Times New Roman" w:cs="Times New Roman"/>
          <w:noProof/>
          <w:color w:val="000000" w:themeColor="text1"/>
          <w:sz w:val="24"/>
          <w:szCs w:val="24"/>
          <w:lang w:val="en-IE"/>
        </w:rPr>
        <w:t xml:space="preserve">submit </w:t>
      </w:r>
      <w:r w:rsidR="0086510D" w:rsidRPr="0AFCBEB5">
        <w:rPr>
          <w:rFonts w:ascii="Times New Roman" w:eastAsia="Times New Roman" w:hAnsi="Times New Roman" w:cs="Times New Roman"/>
          <w:noProof/>
          <w:color w:val="000000" w:themeColor="text1"/>
          <w:sz w:val="24"/>
          <w:szCs w:val="24"/>
          <w:lang w:val="en-IE"/>
        </w:rPr>
        <w:t>by 1 September 202</w:t>
      </w:r>
      <w:r w:rsidR="004D5E86">
        <w:rPr>
          <w:rFonts w:ascii="Times New Roman" w:eastAsia="Times New Roman" w:hAnsi="Times New Roman" w:cs="Times New Roman"/>
          <w:noProof/>
          <w:color w:val="000000" w:themeColor="text1"/>
          <w:sz w:val="24"/>
          <w:szCs w:val="24"/>
          <w:lang w:val="en-IE"/>
        </w:rPr>
        <w:t>3</w:t>
      </w:r>
      <w:r w:rsidR="0086510D" w:rsidRPr="0AFCBEB5">
        <w:rPr>
          <w:rFonts w:ascii="Times New Roman" w:eastAsia="Times New Roman" w:hAnsi="Times New Roman" w:cs="Times New Roman"/>
          <w:noProof/>
          <w:color w:val="000000" w:themeColor="text1"/>
          <w:sz w:val="24"/>
          <w:szCs w:val="24"/>
          <w:lang w:val="en-IE"/>
        </w:rPr>
        <w:t xml:space="preserve"> </w:t>
      </w:r>
      <w:r w:rsidRPr="0AFCBEB5">
        <w:rPr>
          <w:rFonts w:ascii="Times New Roman" w:eastAsia="Times New Roman" w:hAnsi="Times New Roman" w:cs="Times New Roman"/>
          <w:noProof/>
          <w:color w:val="000000" w:themeColor="text1"/>
          <w:sz w:val="24"/>
          <w:szCs w:val="24"/>
          <w:lang w:val="en-IE"/>
        </w:rPr>
        <w:t xml:space="preserve">a </w:t>
      </w:r>
      <w:r w:rsidRPr="008D4360">
        <w:rPr>
          <w:rFonts w:ascii="Times New Roman" w:eastAsia="Times New Roman" w:hAnsi="Times New Roman" w:cs="Times New Roman"/>
          <w:b/>
          <w:bCs/>
          <w:noProof/>
          <w:color w:val="000000" w:themeColor="text1"/>
          <w:sz w:val="24"/>
          <w:szCs w:val="24"/>
          <w:lang w:val="en-IE"/>
        </w:rPr>
        <w:t>report</w:t>
      </w:r>
      <w:r w:rsidRPr="0AFCBEB5">
        <w:rPr>
          <w:rFonts w:ascii="Times New Roman" w:eastAsia="Times New Roman" w:hAnsi="Times New Roman" w:cs="Times New Roman"/>
          <w:noProof/>
          <w:color w:val="000000" w:themeColor="text1"/>
          <w:sz w:val="24"/>
          <w:szCs w:val="24"/>
          <w:lang w:val="en-IE"/>
        </w:rPr>
        <w:t xml:space="preserve"> to the European Parliament and Council on the application of this Regulation, and where necessary, legislative proposals to amend this Regulation</w:t>
      </w:r>
      <w:r w:rsidR="00F16A09" w:rsidRPr="0AFCBEB5">
        <w:rPr>
          <w:rFonts w:ascii="Times New Roman" w:eastAsia="Times New Roman" w:hAnsi="Times New Roman" w:cs="Times New Roman"/>
          <w:noProof/>
          <w:color w:val="000000" w:themeColor="text1"/>
          <w:sz w:val="24"/>
          <w:szCs w:val="24"/>
          <w:lang w:val="en-IE"/>
        </w:rPr>
        <w:t>.</w:t>
      </w:r>
      <w:r w:rsidR="007E01C0" w:rsidRPr="007E01C0">
        <w:rPr>
          <w:rFonts w:ascii="Times New Roman" w:eastAsia="Times New Roman" w:hAnsi="Times New Roman" w:cs="Times New Roman"/>
          <w:noProof/>
          <w:color w:val="000000" w:themeColor="text1"/>
          <w:sz w:val="24"/>
          <w:szCs w:val="24"/>
          <w:lang w:val="en-IE"/>
        </w:rPr>
        <w:t xml:space="preserve"> </w:t>
      </w:r>
    </w:p>
    <w:p w14:paraId="67EC25CB" w14:textId="6E32BD7C" w:rsidR="1FAF0ABF" w:rsidRPr="00780A89" w:rsidRDefault="55F964F4" w:rsidP="1FE3319D">
      <w:pPr>
        <w:jc w:val="both"/>
        <w:rPr>
          <w:rFonts w:ascii="Times New Roman" w:eastAsia="Times New Roman" w:hAnsi="Times New Roman" w:cs="Times New Roman"/>
          <w:noProof/>
          <w:color w:val="000000" w:themeColor="text1"/>
          <w:sz w:val="24"/>
          <w:szCs w:val="24"/>
          <w:lang w:val="en-IE"/>
        </w:rPr>
      </w:pPr>
      <w:r w:rsidRPr="0AFCBEB5">
        <w:rPr>
          <w:rFonts w:ascii="Times New Roman" w:eastAsia="Times New Roman" w:hAnsi="Times New Roman" w:cs="Times New Roman"/>
          <w:noProof/>
          <w:color w:val="000000" w:themeColor="text1"/>
          <w:sz w:val="24"/>
          <w:szCs w:val="24"/>
          <w:lang w:val="en-IE"/>
        </w:rPr>
        <w:t xml:space="preserve">Over the past </w:t>
      </w:r>
      <w:r w:rsidR="00AE756E">
        <w:rPr>
          <w:rFonts w:ascii="Times New Roman" w:eastAsia="Times New Roman" w:hAnsi="Times New Roman" w:cs="Times New Roman"/>
          <w:noProof/>
          <w:color w:val="000000" w:themeColor="text1"/>
          <w:sz w:val="24"/>
          <w:szCs w:val="24"/>
          <w:lang w:val="en-IE"/>
        </w:rPr>
        <w:t>six</w:t>
      </w:r>
      <w:r w:rsidRPr="0AFCBEB5">
        <w:rPr>
          <w:rFonts w:ascii="Times New Roman" w:eastAsia="Times New Roman" w:hAnsi="Times New Roman" w:cs="Times New Roman"/>
          <w:noProof/>
          <w:color w:val="000000" w:themeColor="text1"/>
          <w:sz w:val="24"/>
          <w:szCs w:val="24"/>
          <w:lang w:val="en-IE"/>
        </w:rPr>
        <w:t xml:space="preserve"> years,</w:t>
      </w:r>
      <w:r w:rsidR="001365C7" w:rsidRPr="0AFCBEB5">
        <w:rPr>
          <w:rFonts w:ascii="Times New Roman" w:eastAsia="Times New Roman" w:hAnsi="Times New Roman" w:cs="Times New Roman"/>
          <w:noProof/>
          <w:color w:val="000000" w:themeColor="text1"/>
          <w:sz w:val="24"/>
          <w:szCs w:val="24"/>
          <w:lang w:val="en-IE"/>
        </w:rPr>
        <w:t xml:space="preserve"> since the adoption of the </w:t>
      </w:r>
      <w:r w:rsidR="00E30CDB">
        <w:rPr>
          <w:rFonts w:ascii="Times New Roman" w:eastAsia="Times New Roman" w:hAnsi="Times New Roman" w:cs="Times New Roman"/>
          <w:noProof/>
          <w:color w:val="000000" w:themeColor="text1"/>
          <w:sz w:val="24"/>
          <w:szCs w:val="24"/>
          <w:lang w:val="en-IE"/>
        </w:rPr>
        <w:t xml:space="preserve">Gas Security of Supply </w:t>
      </w:r>
      <w:r w:rsidR="001365C7" w:rsidRPr="0AFCBEB5">
        <w:rPr>
          <w:rFonts w:ascii="Times New Roman" w:eastAsia="Times New Roman" w:hAnsi="Times New Roman" w:cs="Times New Roman"/>
          <w:noProof/>
          <w:color w:val="000000" w:themeColor="text1"/>
          <w:sz w:val="24"/>
          <w:szCs w:val="24"/>
          <w:lang w:val="en-IE"/>
        </w:rPr>
        <w:t>Regulation,</w:t>
      </w:r>
      <w:r w:rsidRPr="0AFCBEB5">
        <w:rPr>
          <w:rFonts w:ascii="Times New Roman" w:eastAsia="Times New Roman" w:hAnsi="Times New Roman" w:cs="Times New Roman"/>
          <w:noProof/>
          <w:color w:val="000000" w:themeColor="text1"/>
          <w:sz w:val="24"/>
          <w:szCs w:val="24"/>
          <w:lang w:val="en-IE"/>
        </w:rPr>
        <w:t xml:space="preserve"> the </w:t>
      </w:r>
      <w:r w:rsidR="00746A6C">
        <w:rPr>
          <w:rFonts w:ascii="Times New Roman" w:eastAsia="Times New Roman" w:hAnsi="Times New Roman" w:cs="Times New Roman"/>
          <w:noProof/>
          <w:color w:val="000000" w:themeColor="text1"/>
          <w:sz w:val="24"/>
          <w:szCs w:val="24"/>
          <w:lang w:val="en-IE"/>
        </w:rPr>
        <w:t xml:space="preserve">gas </w:t>
      </w:r>
      <w:r w:rsidRPr="0AFCBEB5">
        <w:rPr>
          <w:rFonts w:ascii="Times New Roman" w:eastAsia="Times New Roman" w:hAnsi="Times New Roman" w:cs="Times New Roman"/>
          <w:noProof/>
          <w:color w:val="000000" w:themeColor="text1"/>
          <w:sz w:val="24"/>
          <w:szCs w:val="24"/>
          <w:lang w:val="en-IE"/>
        </w:rPr>
        <w:t>security of supply landscape has undergone profound changes, most notably in 2022 after the Russian invasion of Ukraine</w:t>
      </w:r>
      <w:r w:rsidR="00840667">
        <w:rPr>
          <w:rFonts w:ascii="Times New Roman" w:eastAsia="Times New Roman" w:hAnsi="Times New Roman" w:cs="Times New Roman"/>
          <w:noProof/>
          <w:color w:val="000000" w:themeColor="text1"/>
          <w:sz w:val="24"/>
          <w:szCs w:val="24"/>
          <w:lang w:val="en-IE"/>
        </w:rPr>
        <w:t xml:space="preserve"> - i</w:t>
      </w:r>
      <w:r w:rsidRPr="0AFCBEB5">
        <w:rPr>
          <w:rFonts w:ascii="Times New Roman" w:eastAsia="Times New Roman" w:hAnsi="Times New Roman" w:cs="Times New Roman"/>
          <w:noProof/>
          <w:color w:val="000000" w:themeColor="text1"/>
          <w:sz w:val="24"/>
          <w:szCs w:val="24"/>
          <w:lang w:val="en-IE"/>
        </w:rPr>
        <w:t xml:space="preserve">n response to </w:t>
      </w:r>
      <w:r w:rsidR="00840667">
        <w:rPr>
          <w:rFonts w:ascii="Times New Roman" w:eastAsia="Times New Roman" w:hAnsi="Times New Roman" w:cs="Times New Roman"/>
          <w:noProof/>
          <w:color w:val="000000" w:themeColor="text1"/>
          <w:sz w:val="24"/>
          <w:szCs w:val="24"/>
          <w:lang w:val="en-IE"/>
        </w:rPr>
        <w:t>which</w:t>
      </w:r>
      <w:r w:rsidRPr="0AFCBEB5">
        <w:rPr>
          <w:rFonts w:ascii="Times New Roman" w:eastAsia="Times New Roman" w:hAnsi="Times New Roman" w:cs="Times New Roman"/>
          <w:noProof/>
          <w:color w:val="000000" w:themeColor="text1"/>
          <w:sz w:val="24"/>
          <w:szCs w:val="24"/>
          <w:lang w:val="en-IE"/>
        </w:rPr>
        <w:t xml:space="preserve">, the European Commission </w:t>
      </w:r>
      <w:r w:rsidR="22C65398" w:rsidRPr="1509B8FC">
        <w:rPr>
          <w:rFonts w:ascii="Times New Roman" w:eastAsia="Times New Roman" w:hAnsi="Times New Roman" w:cs="Times New Roman"/>
          <w:noProof/>
          <w:color w:val="000000" w:themeColor="text1"/>
          <w:sz w:val="24"/>
          <w:szCs w:val="24"/>
          <w:lang w:val="en-IE"/>
        </w:rPr>
        <w:t xml:space="preserve">adopted </w:t>
      </w:r>
      <w:r w:rsidRPr="0AFCBEB5">
        <w:rPr>
          <w:rFonts w:ascii="Times New Roman" w:eastAsia="Times New Roman" w:hAnsi="Times New Roman" w:cs="Times New Roman"/>
          <w:noProof/>
          <w:color w:val="000000" w:themeColor="text1"/>
          <w:sz w:val="24"/>
          <w:szCs w:val="24"/>
          <w:lang w:val="en-IE"/>
        </w:rPr>
        <w:t xml:space="preserve">the </w:t>
      </w:r>
      <w:r w:rsidRPr="008D4360">
        <w:rPr>
          <w:rFonts w:ascii="Times New Roman" w:eastAsia="Times New Roman" w:hAnsi="Times New Roman" w:cs="Times New Roman"/>
          <w:b/>
          <w:bCs/>
          <w:noProof/>
          <w:color w:val="000000" w:themeColor="text1"/>
          <w:sz w:val="24"/>
          <w:szCs w:val="24"/>
          <w:lang w:val="en-IE"/>
        </w:rPr>
        <w:t>REPowerEU Plan</w:t>
      </w:r>
      <w:r w:rsidRPr="0AFCBEB5">
        <w:rPr>
          <w:rStyle w:val="FootnoteReference"/>
          <w:rFonts w:ascii="Times New Roman" w:eastAsia="Times New Roman" w:hAnsi="Times New Roman" w:cs="Times New Roman"/>
          <w:noProof/>
          <w:color w:val="000000" w:themeColor="text1"/>
          <w:sz w:val="24"/>
          <w:szCs w:val="24"/>
          <w:lang w:val="en-IE"/>
        </w:rPr>
        <w:footnoteReference w:id="2"/>
      </w:r>
      <w:r w:rsidRPr="0AFCBEB5">
        <w:rPr>
          <w:rFonts w:ascii="Times New Roman" w:eastAsia="Times New Roman" w:hAnsi="Times New Roman" w:cs="Times New Roman"/>
          <w:noProof/>
          <w:color w:val="000000" w:themeColor="text1"/>
          <w:sz w:val="24"/>
          <w:szCs w:val="24"/>
          <w:lang w:val="en-IE"/>
        </w:rPr>
        <w:t xml:space="preserve">, aiming to save energy, accelerate the clean energy transition and diversify </w:t>
      </w:r>
      <w:r w:rsidR="00414B09" w:rsidRPr="0AFCBEB5">
        <w:rPr>
          <w:rFonts w:ascii="Times New Roman" w:eastAsia="Times New Roman" w:hAnsi="Times New Roman" w:cs="Times New Roman"/>
          <w:noProof/>
          <w:color w:val="000000" w:themeColor="text1"/>
          <w:sz w:val="24"/>
          <w:szCs w:val="24"/>
          <w:lang w:val="en-IE"/>
        </w:rPr>
        <w:t xml:space="preserve">the </w:t>
      </w:r>
      <w:r w:rsidRPr="0AFCBEB5">
        <w:rPr>
          <w:rFonts w:ascii="Times New Roman" w:eastAsia="Times New Roman" w:hAnsi="Times New Roman" w:cs="Times New Roman"/>
          <w:noProof/>
          <w:color w:val="000000" w:themeColor="text1"/>
          <w:sz w:val="24"/>
          <w:szCs w:val="24"/>
          <w:lang w:val="en-IE"/>
        </w:rPr>
        <w:t xml:space="preserve">energy </w:t>
      </w:r>
      <w:r w:rsidR="00414B09" w:rsidRPr="0AFCBEB5">
        <w:rPr>
          <w:rFonts w:ascii="Times New Roman" w:eastAsia="Times New Roman" w:hAnsi="Times New Roman" w:cs="Times New Roman"/>
          <w:noProof/>
          <w:color w:val="000000" w:themeColor="text1"/>
          <w:sz w:val="24"/>
          <w:szCs w:val="24"/>
          <w:lang w:val="en-IE"/>
        </w:rPr>
        <w:t xml:space="preserve">supply </w:t>
      </w:r>
      <w:r w:rsidR="008B5160" w:rsidRPr="0AFCBEB5">
        <w:rPr>
          <w:rFonts w:ascii="Times New Roman" w:eastAsia="Times New Roman" w:hAnsi="Times New Roman" w:cs="Times New Roman"/>
          <w:noProof/>
          <w:color w:val="000000" w:themeColor="text1"/>
          <w:sz w:val="24"/>
          <w:szCs w:val="24"/>
          <w:lang w:val="en-IE"/>
        </w:rPr>
        <w:t xml:space="preserve">for </w:t>
      </w:r>
      <w:r w:rsidRPr="0AFCBEB5">
        <w:rPr>
          <w:rFonts w:ascii="Times New Roman" w:eastAsia="Times New Roman" w:hAnsi="Times New Roman" w:cs="Times New Roman"/>
          <w:noProof/>
          <w:color w:val="000000" w:themeColor="text1"/>
          <w:sz w:val="24"/>
          <w:szCs w:val="24"/>
          <w:lang w:val="en-IE"/>
        </w:rPr>
        <w:t xml:space="preserve">the </w:t>
      </w:r>
      <w:r w:rsidR="000A3E64" w:rsidRPr="0AFCBEB5">
        <w:rPr>
          <w:rFonts w:ascii="Times New Roman" w:eastAsia="Times New Roman" w:hAnsi="Times New Roman" w:cs="Times New Roman"/>
          <w:noProof/>
          <w:color w:val="000000" w:themeColor="text1"/>
          <w:sz w:val="24"/>
          <w:szCs w:val="24"/>
          <w:lang w:val="en-IE"/>
        </w:rPr>
        <w:t xml:space="preserve">EU to </w:t>
      </w:r>
      <w:r w:rsidR="002A76E6" w:rsidRPr="0AFCBEB5">
        <w:rPr>
          <w:rFonts w:ascii="Times New Roman" w:eastAsia="Times New Roman" w:hAnsi="Times New Roman" w:cs="Times New Roman"/>
          <w:noProof/>
          <w:color w:val="000000" w:themeColor="text1"/>
          <w:sz w:val="24"/>
          <w:szCs w:val="24"/>
          <w:lang w:val="en-IE"/>
        </w:rPr>
        <w:t>fully mitigate</w:t>
      </w:r>
      <w:r w:rsidR="00764864" w:rsidRPr="0AFCBEB5">
        <w:rPr>
          <w:rFonts w:ascii="Times New Roman" w:eastAsia="Times New Roman" w:hAnsi="Times New Roman" w:cs="Times New Roman"/>
          <w:noProof/>
          <w:color w:val="000000" w:themeColor="text1"/>
          <w:sz w:val="24"/>
          <w:szCs w:val="24"/>
          <w:lang w:val="en-IE"/>
        </w:rPr>
        <w:t xml:space="preserve"> its</w:t>
      </w:r>
      <w:r w:rsidR="000A3E64" w:rsidRPr="0AFCBEB5">
        <w:rPr>
          <w:rFonts w:ascii="Times New Roman" w:eastAsia="Times New Roman" w:hAnsi="Times New Roman" w:cs="Times New Roman"/>
          <w:noProof/>
          <w:color w:val="000000" w:themeColor="text1"/>
          <w:sz w:val="24"/>
          <w:szCs w:val="24"/>
          <w:lang w:val="en-IE"/>
        </w:rPr>
        <w:t xml:space="preserve"> </w:t>
      </w:r>
      <w:r w:rsidRPr="0AFCBEB5">
        <w:rPr>
          <w:rFonts w:ascii="Times New Roman" w:eastAsia="Times New Roman" w:hAnsi="Times New Roman" w:cs="Times New Roman"/>
          <w:noProof/>
          <w:color w:val="000000" w:themeColor="text1"/>
          <w:sz w:val="24"/>
          <w:szCs w:val="24"/>
          <w:lang w:val="en-IE"/>
        </w:rPr>
        <w:t>dependence on Russian gas as soon as possible.</w:t>
      </w:r>
      <w:r w:rsidR="00C67148">
        <w:rPr>
          <w:rFonts w:ascii="Times New Roman" w:eastAsia="Times New Roman" w:hAnsi="Times New Roman" w:cs="Times New Roman"/>
          <w:noProof/>
          <w:color w:val="000000" w:themeColor="text1"/>
          <w:sz w:val="24"/>
          <w:szCs w:val="24"/>
          <w:lang w:val="en-IE"/>
        </w:rPr>
        <w:t xml:space="preserve"> </w:t>
      </w:r>
    </w:p>
    <w:p w14:paraId="1B1D4E1C" w14:textId="186B0316" w:rsidR="1FAF0ABF" w:rsidRPr="00780A89" w:rsidRDefault="55F964F4" w:rsidP="1FE3319D">
      <w:pPr>
        <w:jc w:val="both"/>
        <w:rPr>
          <w:rFonts w:ascii="Times New Roman" w:eastAsia="Times New Roman" w:hAnsi="Times New Roman" w:cs="Times New Roman"/>
          <w:noProof/>
          <w:color w:val="000000" w:themeColor="text1"/>
          <w:sz w:val="24"/>
          <w:szCs w:val="24"/>
          <w:lang w:val="en-IE"/>
        </w:rPr>
      </w:pPr>
      <w:r w:rsidRPr="0AFCBEB5">
        <w:rPr>
          <w:rFonts w:ascii="Times New Roman" w:eastAsia="Times New Roman" w:hAnsi="Times New Roman" w:cs="Times New Roman"/>
          <w:noProof/>
          <w:color w:val="000000" w:themeColor="text1"/>
          <w:sz w:val="24"/>
          <w:szCs w:val="24"/>
          <w:lang w:val="en-IE"/>
        </w:rPr>
        <w:t xml:space="preserve">As a result, </w:t>
      </w:r>
      <w:r w:rsidRPr="008D4360">
        <w:rPr>
          <w:rFonts w:ascii="Times New Roman" w:eastAsia="Times New Roman" w:hAnsi="Times New Roman" w:cs="Times New Roman"/>
          <w:b/>
          <w:bCs/>
          <w:noProof/>
          <w:color w:val="000000" w:themeColor="text1"/>
          <w:sz w:val="24"/>
          <w:szCs w:val="24"/>
          <w:lang w:val="en-IE"/>
        </w:rPr>
        <w:t>Russia</w:t>
      </w:r>
      <w:r w:rsidR="000E79AD" w:rsidRPr="008D4360">
        <w:rPr>
          <w:rFonts w:ascii="Times New Roman" w:eastAsia="Times New Roman" w:hAnsi="Times New Roman" w:cs="Times New Roman"/>
          <w:b/>
          <w:bCs/>
          <w:noProof/>
          <w:color w:val="000000" w:themeColor="text1"/>
          <w:sz w:val="24"/>
          <w:szCs w:val="24"/>
          <w:lang w:val="en-IE"/>
        </w:rPr>
        <w:t>n gas imports</w:t>
      </w:r>
      <w:r w:rsidRPr="008D4360">
        <w:rPr>
          <w:rFonts w:ascii="Times New Roman" w:eastAsia="Times New Roman" w:hAnsi="Times New Roman" w:cs="Times New Roman"/>
          <w:b/>
          <w:bCs/>
          <w:noProof/>
          <w:color w:val="000000" w:themeColor="text1"/>
          <w:sz w:val="24"/>
          <w:szCs w:val="24"/>
          <w:lang w:val="en-IE"/>
        </w:rPr>
        <w:t xml:space="preserve"> have been </w:t>
      </w:r>
      <w:r w:rsidR="00AE756E" w:rsidRPr="008D4360">
        <w:rPr>
          <w:rFonts w:ascii="Times New Roman" w:eastAsia="Times New Roman" w:hAnsi="Times New Roman" w:cs="Times New Roman"/>
          <w:b/>
          <w:bCs/>
          <w:noProof/>
          <w:color w:val="000000" w:themeColor="text1"/>
          <w:sz w:val="24"/>
          <w:szCs w:val="24"/>
          <w:lang w:val="en-IE"/>
        </w:rPr>
        <w:t xml:space="preserve">to a large extent </w:t>
      </w:r>
      <w:r w:rsidRPr="008D4360">
        <w:rPr>
          <w:rFonts w:ascii="Times New Roman" w:eastAsia="Times New Roman" w:hAnsi="Times New Roman" w:cs="Times New Roman"/>
          <w:b/>
          <w:bCs/>
          <w:noProof/>
          <w:color w:val="000000" w:themeColor="text1"/>
          <w:sz w:val="24"/>
          <w:szCs w:val="24"/>
          <w:lang w:val="en-IE"/>
        </w:rPr>
        <w:t xml:space="preserve">replaced </w:t>
      </w:r>
      <w:r w:rsidRPr="0AFCBEB5">
        <w:rPr>
          <w:rFonts w:ascii="Times New Roman" w:eastAsia="Times New Roman" w:hAnsi="Times New Roman" w:cs="Times New Roman"/>
          <w:noProof/>
          <w:color w:val="000000" w:themeColor="text1"/>
          <w:sz w:val="24"/>
          <w:szCs w:val="24"/>
          <w:lang w:val="en-IE"/>
        </w:rPr>
        <w:t>by supplies from alternative suppliers in the form of additional pipeline import from trusted partners and, above all, a considerable increase in LNG import</w:t>
      </w:r>
      <w:r w:rsidR="00167DE0" w:rsidRPr="0AFCBEB5">
        <w:rPr>
          <w:rFonts w:ascii="Times New Roman" w:eastAsia="Times New Roman" w:hAnsi="Times New Roman" w:cs="Times New Roman"/>
          <w:noProof/>
          <w:color w:val="000000" w:themeColor="text1"/>
          <w:sz w:val="24"/>
          <w:szCs w:val="24"/>
          <w:lang w:val="en-IE"/>
        </w:rPr>
        <w:t>s</w:t>
      </w:r>
      <w:r w:rsidRPr="0AFCBEB5">
        <w:rPr>
          <w:rFonts w:ascii="Times New Roman" w:eastAsia="Times New Roman" w:hAnsi="Times New Roman" w:cs="Times New Roman"/>
          <w:noProof/>
          <w:color w:val="000000" w:themeColor="text1"/>
          <w:sz w:val="24"/>
          <w:szCs w:val="24"/>
          <w:lang w:val="en-IE"/>
        </w:rPr>
        <w:t xml:space="preserve"> (50 bcm</w:t>
      </w:r>
      <w:r w:rsidR="607829FC" w:rsidRPr="0AFCBEB5">
        <w:rPr>
          <w:rFonts w:ascii="Times New Roman" w:eastAsia="Times New Roman" w:hAnsi="Times New Roman" w:cs="Times New Roman"/>
          <w:noProof/>
          <w:color w:val="000000" w:themeColor="text1"/>
          <w:sz w:val="24"/>
          <w:szCs w:val="24"/>
          <w:lang w:val="en-IE"/>
        </w:rPr>
        <w:t>, or a 73%</w:t>
      </w:r>
      <w:r w:rsidRPr="0AFCBEB5">
        <w:rPr>
          <w:rFonts w:ascii="Times New Roman" w:eastAsia="Times New Roman" w:hAnsi="Times New Roman" w:cs="Times New Roman"/>
          <w:noProof/>
          <w:color w:val="000000" w:themeColor="text1"/>
          <w:sz w:val="24"/>
          <w:szCs w:val="24"/>
          <w:lang w:val="en-IE"/>
        </w:rPr>
        <w:t xml:space="preserve"> increase in 2022</w:t>
      </w:r>
      <w:r w:rsidR="26D34A4E" w:rsidRPr="0AFCBEB5">
        <w:rPr>
          <w:rFonts w:ascii="Times New Roman" w:eastAsia="Times New Roman" w:hAnsi="Times New Roman" w:cs="Times New Roman"/>
          <w:noProof/>
          <w:color w:val="000000" w:themeColor="text1"/>
          <w:sz w:val="24"/>
          <w:szCs w:val="24"/>
          <w:lang w:val="en-IE"/>
        </w:rPr>
        <w:t xml:space="preserve"> year-on-year</w:t>
      </w:r>
      <w:r w:rsidRPr="0AFCBEB5">
        <w:rPr>
          <w:rFonts w:ascii="Times New Roman" w:eastAsia="Times New Roman" w:hAnsi="Times New Roman" w:cs="Times New Roman"/>
          <w:noProof/>
          <w:color w:val="000000" w:themeColor="text1"/>
          <w:sz w:val="24"/>
          <w:szCs w:val="24"/>
          <w:lang w:val="en-IE"/>
        </w:rPr>
        <w:t xml:space="preserve">). Whereas Russian imports amounted to around 50% of the </w:t>
      </w:r>
      <w:r w:rsidR="00BE3682" w:rsidRPr="0AFCBEB5">
        <w:rPr>
          <w:rFonts w:ascii="Times New Roman" w:eastAsia="Times New Roman" w:hAnsi="Times New Roman" w:cs="Times New Roman"/>
          <w:noProof/>
          <w:color w:val="000000" w:themeColor="text1"/>
          <w:sz w:val="24"/>
          <w:szCs w:val="24"/>
          <w:lang w:val="en-IE"/>
        </w:rPr>
        <w:t xml:space="preserve">EU’s </w:t>
      </w:r>
      <w:r w:rsidR="0071051C" w:rsidRPr="0AFCBEB5">
        <w:rPr>
          <w:rFonts w:ascii="Times New Roman" w:eastAsia="Times New Roman" w:hAnsi="Times New Roman" w:cs="Times New Roman"/>
          <w:noProof/>
          <w:color w:val="000000" w:themeColor="text1"/>
          <w:sz w:val="24"/>
          <w:szCs w:val="24"/>
          <w:lang w:val="en-IE"/>
        </w:rPr>
        <w:t>pipeline</w:t>
      </w:r>
      <w:r w:rsidR="00BE3682" w:rsidRPr="0AFCBEB5">
        <w:rPr>
          <w:rFonts w:ascii="Times New Roman" w:eastAsia="Times New Roman" w:hAnsi="Times New Roman" w:cs="Times New Roman"/>
          <w:noProof/>
          <w:color w:val="000000" w:themeColor="text1"/>
          <w:sz w:val="24"/>
          <w:szCs w:val="24"/>
          <w:lang w:val="en-IE"/>
        </w:rPr>
        <w:t xml:space="preserve"> </w:t>
      </w:r>
      <w:r w:rsidRPr="0AFCBEB5">
        <w:rPr>
          <w:rFonts w:ascii="Times New Roman" w:eastAsia="Times New Roman" w:hAnsi="Times New Roman" w:cs="Times New Roman"/>
          <w:noProof/>
          <w:color w:val="000000" w:themeColor="text1"/>
          <w:sz w:val="24"/>
          <w:szCs w:val="24"/>
          <w:lang w:val="en-IE"/>
        </w:rPr>
        <w:t xml:space="preserve">imports before the war, </w:t>
      </w:r>
      <w:r w:rsidR="008D4360">
        <w:rPr>
          <w:rFonts w:ascii="Times New Roman" w:eastAsia="Times New Roman" w:hAnsi="Times New Roman" w:cs="Times New Roman"/>
          <w:noProof/>
          <w:color w:val="000000" w:themeColor="text1"/>
          <w:sz w:val="24"/>
          <w:szCs w:val="24"/>
          <w:lang w:val="en-IE"/>
        </w:rPr>
        <w:t xml:space="preserve">they </w:t>
      </w:r>
      <w:r w:rsidRPr="0AFCBEB5">
        <w:rPr>
          <w:rFonts w:ascii="Times New Roman" w:eastAsia="Times New Roman" w:hAnsi="Times New Roman" w:cs="Times New Roman"/>
          <w:noProof/>
          <w:color w:val="000000" w:themeColor="text1"/>
          <w:sz w:val="24"/>
          <w:szCs w:val="24"/>
          <w:lang w:val="en-IE"/>
        </w:rPr>
        <w:t xml:space="preserve">represent now less than 10%, showcasing the unprecedented shift </w:t>
      </w:r>
      <w:r w:rsidR="009F41C7" w:rsidRPr="0AFCBEB5">
        <w:rPr>
          <w:rFonts w:ascii="Times New Roman" w:eastAsia="Times New Roman" w:hAnsi="Times New Roman" w:cs="Times New Roman"/>
          <w:noProof/>
          <w:color w:val="000000" w:themeColor="text1"/>
          <w:sz w:val="24"/>
          <w:szCs w:val="24"/>
          <w:lang w:val="en-IE"/>
        </w:rPr>
        <w:t xml:space="preserve">the </w:t>
      </w:r>
      <w:r w:rsidRPr="0AFCBEB5">
        <w:rPr>
          <w:rFonts w:ascii="Times New Roman" w:eastAsia="Times New Roman" w:hAnsi="Times New Roman" w:cs="Times New Roman"/>
          <w:noProof/>
          <w:color w:val="000000" w:themeColor="text1"/>
          <w:sz w:val="24"/>
          <w:szCs w:val="24"/>
          <w:lang w:val="en-IE"/>
        </w:rPr>
        <w:t>EU’s gas system has undergone in the past year.</w:t>
      </w:r>
    </w:p>
    <w:p w14:paraId="5981686B" w14:textId="3932F4B5" w:rsidR="1FAF0ABF" w:rsidRPr="00780A89" w:rsidRDefault="25A82FF5" w:rsidP="008216C3">
      <w:pPr>
        <w:spacing w:line="257" w:lineRule="auto"/>
        <w:jc w:val="both"/>
        <w:rPr>
          <w:rFonts w:ascii="Calibri" w:eastAsia="Calibri" w:hAnsi="Calibri" w:cs="Calibri"/>
          <w:noProof/>
          <w:lang w:val="en-IE"/>
        </w:rPr>
      </w:pPr>
      <w:r w:rsidRPr="0AFCBEB5">
        <w:rPr>
          <w:rFonts w:ascii="Times New Roman" w:eastAsia="Times New Roman" w:hAnsi="Times New Roman" w:cs="Times New Roman"/>
          <w:noProof/>
          <w:color w:val="000000" w:themeColor="text1"/>
          <w:sz w:val="24"/>
          <w:szCs w:val="24"/>
          <w:lang w:val="en-IE"/>
        </w:rPr>
        <w:t>As part of the R</w:t>
      </w:r>
      <w:r w:rsidR="3FCA9C95" w:rsidRPr="0AFCBEB5">
        <w:rPr>
          <w:rFonts w:ascii="Times New Roman" w:eastAsia="Times New Roman" w:hAnsi="Times New Roman" w:cs="Times New Roman"/>
          <w:noProof/>
          <w:color w:val="000000" w:themeColor="text1"/>
          <w:sz w:val="24"/>
          <w:szCs w:val="24"/>
          <w:lang w:val="en-IE"/>
        </w:rPr>
        <w:t>E</w:t>
      </w:r>
      <w:r w:rsidRPr="0AFCBEB5">
        <w:rPr>
          <w:rFonts w:ascii="Times New Roman" w:eastAsia="Times New Roman" w:hAnsi="Times New Roman" w:cs="Times New Roman"/>
          <w:noProof/>
          <w:color w:val="000000" w:themeColor="text1"/>
          <w:sz w:val="24"/>
          <w:szCs w:val="24"/>
          <w:lang w:val="en-IE"/>
        </w:rPr>
        <w:t xml:space="preserve">PowerEU Plan, the EU also adopted the </w:t>
      </w:r>
      <w:r w:rsidRPr="008D4360">
        <w:rPr>
          <w:rFonts w:ascii="Times New Roman" w:eastAsia="Times New Roman" w:hAnsi="Times New Roman" w:cs="Times New Roman"/>
          <w:b/>
          <w:bCs/>
          <w:noProof/>
          <w:color w:val="000000" w:themeColor="text1"/>
          <w:sz w:val="24"/>
          <w:szCs w:val="24"/>
          <w:lang w:val="en-IE"/>
        </w:rPr>
        <w:t xml:space="preserve">revised </w:t>
      </w:r>
      <w:r w:rsidR="00505AE5" w:rsidRPr="008D4360">
        <w:rPr>
          <w:rFonts w:ascii="Times New Roman" w:eastAsia="Times New Roman" w:hAnsi="Times New Roman" w:cs="Times New Roman"/>
          <w:b/>
          <w:bCs/>
          <w:noProof/>
          <w:color w:val="000000" w:themeColor="text1"/>
          <w:sz w:val="24"/>
          <w:szCs w:val="24"/>
          <w:lang w:val="en-IE"/>
        </w:rPr>
        <w:t>Regulation (EU) 2023/435</w:t>
      </w:r>
      <w:r w:rsidR="008D4360">
        <w:rPr>
          <w:rFonts w:ascii="Times New Roman" w:eastAsia="Times New Roman" w:hAnsi="Times New Roman" w:cs="Times New Roman"/>
          <w:noProof/>
          <w:color w:val="000000" w:themeColor="text1"/>
          <w:sz w:val="24"/>
          <w:szCs w:val="24"/>
          <w:lang w:val="en-IE"/>
        </w:rPr>
        <w:t xml:space="preserve">, </w:t>
      </w:r>
      <w:r w:rsidRPr="0AFCBEB5">
        <w:rPr>
          <w:rFonts w:ascii="Times New Roman" w:eastAsia="Times New Roman" w:hAnsi="Times New Roman" w:cs="Times New Roman"/>
          <w:noProof/>
          <w:color w:val="000000" w:themeColor="text1"/>
          <w:sz w:val="24"/>
          <w:szCs w:val="24"/>
          <w:lang w:val="en-IE"/>
        </w:rPr>
        <w:t>allowing Member States to finance in their respective R</w:t>
      </w:r>
      <w:r w:rsidR="69562B45" w:rsidRPr="0AFCBEB5">
        <w:rPr>
          <w:rFonts w:ascii="Times New Roman" w:eastAsia="Times New Roman" w:hAnsi="Times New Roman" w:cs="Times New Roman"/>
          <w:noProof/>
          <w:color w:val="000000" w:themeColor="text1"/>
          <w:sz w:val="24"/>
          <w:szCs w:val="24"/>
          <w:lang w:val="en-IE"/>
        </w:rPr>
        <w:t>E</w:t>
      </w:r>
      <w:r w:rsidRPr="0AFCBEB5">
        <w:rPr>
          <w:rFonts w:ascii="Times New Roman" w:eastAsia="Times New Roman" w:hAnsi="Times New Roman" w:cs="Times New Roman"/>
          <w:noProof/>
          <w:color w:val="000000" w:themeColor="text1"/>
          <w:sz w:val="24"/>
          <w:szCs w:val="24"/>
          <w:lang w:val="en-IE"/>
        </w:rPr>
        <w:t xml:space="preserve">PowerEU chapters, under strict conditions, gas infrastructure investments aiming at diversifying from Russian gas and meeting immediate security of gas supply. </w:t>
      </w:r>
    </w:p>
    <w:p w14:paraId="7D5A6A03" w14:textId="11490BAC" w:rsidR="1FAF0ABF" w:rsidRPr="00780A89" w:rsidRDefault="55F964F4" w:rsidP="1FE3319D">
      <w:pPr>
        <w:jc w:val="both"/>
        <w:rPr>
          <w:rFonts w:ascii="Times New Roman" w:eastAsia="Times New Roman" w:hAnsi="Times New Roman" w:cs="Times New Roman"/>
          <w:noProof/>
          <w:color w:val="000000" w:themeColor="text1"/>
          <w:sz w:val="24"/>
          <w:szCs w:val="24"/>
          <w:lang w:val="en-IE"/>
        </w:rPr>
      </w:pPr>
      <w:r w:rsidRPr="1509B8FC">
        <w:rPr>
          <w:rFonts w:ascii="Times New Roman" w:eastAsia="Times New Roman" w:hAnsi="Times New Roman" w:cs="Times New Roman"/>
          <w:noProof/>
          <w:color w:val="000000" w:themeColor="text1"/>
          <w:sz w:val="24"/>
          <w:szCs w:val="24"/>
          <w:lang w:val="en-IE"/>
        </w:rPr>
        <w:t xml:space="preserve">In addition to the REPowerEU plan, the EU adopted a set of </w:t>
      </w:r>
      <w:r w:rsidR="00833985">
        <w:rPr>
          <w:rFonts w:ascii="Times New Roman" w:eastAsia="Times New Roman" w:hAnsi="Times New Roman" w:cs="Times New Roman"/>
          <w:noProof/>
          <w:color w:val="000000" w:themeColor="text1"/>
          <w:sz w:val="24"/>
          <w:szCs w:val="24"/>
          <w:lang w:val="en-IE"/>
        </w:rPr>
        <w:t>r</w:t>
      </w:r>
      <w:r w:rsidRPr="1509B8FC">
        <w:rPr>
          <w:rFonts w:ascii="Times New Roman" w:eastAsia="Times New Roman" w:hAnsi="Times New Roman" w:cs="Times New Roman"/>
          <w:noProof/>
          <w:color w:val="000000" w:themeColor="text1"/>
          <w:sz w:val="24"/>
          <w:szCs w:val="24"/>
          <w:lang w:val="en-IE"/>
        </w:rPr>
        <w:t>egulations such as the</w:t>
      </w:r>
      <w:r w:rsidRPr="008D4360">
        <w:rPr>
          <w:rFonts w:ascii="Times New Roman" w:eastAsia="Times New Roman" w:hAnsi="Times New Roman" w:cs="Times New Roman"/>
          <w:b/>
          <w:bCs/>
          <w:noProof/>
          <w:color w:val="000000" w:themeColor="text1"/>
          <w:sz w:val="24"/>
          <w:szCs w:val="24"/>
          <w:lang w:val="en-IE"/>
        </w:rPr>
        <w:t xml:space="preserve"> Gas Storage Regulation </w:t>
      </w:r>
      <w:r w:rsidRPr="1509B8FC">
        <w:rPr>
          <w:rFonts w:ascii="Times New Roman" w:eastAsia="Times New Roman" w:hAnsi="Times New Roman" w:cs="Times New Roman"/>
          <w:noProof/>
          <w:color w:val="000000" w:themeColor="text1"/>
          <w:sz w:val="24"/>
          <w:szCs w:val="24"/>
          <w:lang w:val="en-IE"/>
        </w:rPr>
        <w:t>(EU) 2022/1032</w:t>
      </w:r>
      <w:r w:rsidR="1F1D0F2E" w:rsidRPr="1509B8FC">
        <w:rPr>
          <w:rFonts w:ascii="Times New Roman" w:eastAsia="Times New Roman" w:hAnsi="Times New Roman" w:cs="Times New Roman"/>
          <w:noProof/>
          <w:color w:val="000000" w:themeColor="text1"/>
          <w:sz w:val="24"/>
          <w:szCs w:val="24"/>
          <w:lang w:val="en-IE"/>
        </w:rPr>
        <w:t xml:space="preserve"> setting a 90% storage filling target</w:t>
      </w:r>
      <w:r w:rsidRPr="1509B8FC">
        <w:rPr>
          <w:rFonts w:ascii="Times New Roman" w:eastAsia="Times New Roman" w:hAnsi="Times New Roman" w:cs="Times New Roman"/>
          <w:noProof/>
          <w:color w:val="000000" w:themeColor="text1"/>
          <w:sz w:val="24"/>
          <w:szCs w:val="24"/>
          <w:lang w:val="en-IE"/>
        </w:rPr>
        <w:t xml:space="preserve">, the </w:t>
      </w:r>
      <w:r w:rsidR="0A6FAF0C" w:rsidRPr="1509B8FC">
        <w:rPr>
          <w:rFonts w:ascii="Times New Roman" w:eastAsia="Times New Roman" w:hAnsi="Times New Roman" w:cs="Times New Roman"/>
          <w:noProof/>
          <w:color w:val="000000" w:themeColor="text1"/>
          <w:sz w:val="24"/>
          <w:szCs w:val="24"/>
          <w:lang w:val="en-IE"/>
        </w:rPr>
        <w:t xml:space="preserve">temporary </w:t>
      </w:r>
      <w:r w:rsidRPr="008D4360">
        <w:rPr>
          <w:rFonts w:ascii="Times New Roman" w:eastAsia="Times New Roman" w:hAnsi="Times New Roman" w:cs="Times New Roman"/>
          <w:b/>
          <w:bCs/>
          <w:noProof/>
          <w:color w:val="000000" w:themeColor="text1"/>
          <w:sz w:val="24"/>
          <w:szCs w:val="24"/>
          <w:lang w:val="en-IE"/>
        </w:rPr>
        <w:t>Demand Reduction Regulation</w:t>
      </w:r>
      <w:r w:rsidRPr="1509B8FC">
        <w:rPr>
          <w:rFonts w:ascii="Times New Roman" w:eastAsia="Times New Roman" w:hAnsi="Times New Roman" w:cs="Times New Roman"/>
          <w:noProof/>
          <w:color w:val="000000" w:themeColor="text1"/>
          <w:sz w:val="24"/>
          <w:szCs w:val="24"/>
          <w:lang w:val="en-IE"/>
        </w:rPr>
        <w:t xml:space="preserve"> (EU) 2022/1369</w:t>
      </w:r>
      <w:r w:rsidR="7B13692C" w:rsidRPr="1509B8FC">
        <w:rPr>
          <w:rFonts w:ascii="Times New Roman" w:eastAsia="Times New Roman" w:hAnsi="Times New Roman" w:cs="Times New Roman"/>
          <w:noProof/>
          <w:color w:val="000000" w:themeColor="text1"/>
          <w:sz w:val="24"/>
          <w:szCs w:val="24"/>
          <w:lang w:val="en-IE"/>
        </w:rPr>
        <w:t xml:space="preserve"> and its prolongation (Regulation (EU) 2023/706</w:t>
      </w:r>
      <w:r w:rsidR="00D22549">
        <w:rPr>
          <w:rFonts w:ascii="Times New Roman" w:eastAsia="Times New Roman" w:hAnsi="Times New Roman" w:cs="Times New Roman"/>
          <w:noProof/>
          <w:color w:val="000000" w:themeColor="text1"/>
          <w:sz w:val="24"/>
          <w:szCs w:val="24"/>
          <w:lang w:val="en-IE"/>
        </w:rPr>
        <w:t>)</w:t>
      </w:r>
      <w:r w:rsidR="2BD90C3D" w:rsidRPr="1509B8FC">
        <w:rPr>
          <w:rFonts w:ascii="Times New Roman" w:eastAsia="Times New Roman" w:hAnsi="Times New Roman" w:cs="Times New Roman"/>
          <w:noProof/>
          <w:color w:val="000000" w:themeColor="text1"/>
          <w:sz w:val="24"/>
          <w:szCs w:val="24"/>
          <w:lang w:val="en-IE"/>
        </w:rPr>
        <w:t xml:space="preserve"> setting a 15% gas demand reduction target</w:t>
      </w:r>
      <w:r w:rsidRPr="1509B8FC">
        <w:rPr>
          <w:rFonts w:ascii="Times New Roman" w:eastAsia="Times New Roman" w:hAnsi="Times New Roman" w:cs="Times New Roman"/>
          <w:noProof/>
          <w:color w:val="000000" w:themeColor="text1"/>
          <w:sz w:val="24"/>
          <w:szCs w:val="24"/>
          <w:lang w:val="en-IE"/>
        </w:rPr>
        <w:t xml:space="preserve"> and the </w:t>
      </w:r>
      <w:r w:rsidR="1D1F4016" w:rsidRPr="1509B8FC">
        <w:rPr>
          <w:rFonts w:ascii="Times New Roman" w:eastAsia="Times New Roman" w:hAnsi="Times New Roman" w:cs="Times New Roman"/>
          <w:noProof/>
          <w:color w:val="000000" w:themeColor="text1"/>
          <w:sz w:val="24"/>
          <w:szCs w:val="24"/>
          <w:lang w:val="en-IE"/>
        </w:rPr>
        <w:t xml:space="preserve">temporary </w:t>
      </w:r>
      <w:r w:rsidRPr="008D4360">
        <w:rPr>
          <w:rFonts w:ascii="Times New Roman" w:eastAsia="Times New Roman" w:hAnsi="Times New Roman" w:cs="Times New Roman"/>
          <w:b/>
          <w:bCs/>
          <w:noProof/>
          <w:color w:val="000000" w:themeColor="text1"/>
          <w:sz w:val="24"/>
          <w:szCs w:val="24"/>
          <w:lang w:val="en-IE"/>
        </w:rPr>
        <w:t>Solidarity Regulation</w:t>
      </w:r>
      <w:r w:rsidRPr="1509B8FC">
        <w:rPr>
          <w:rFonts w:ascii="Times New Roman" w:eastAsia="Times New Roman" w:hAnsi="Times New Roman" w:cs="Times New Roman"/>
          <w:noProof/>
          <w:color w:val="000000" w:themeColor="text1"/>
          <w:sz w:val="24"/>
          <w:szCs w:val="24"/>
          <w:lang w:val="en-IE"/>
        </w:rPr>
        <w:t xml:space="preserve"> (EU) 2022/2576</w:t>
      </w:r>
      <w:r w:rsidR="6B54CBDA" w:rsidRPr="1509B8FC">
        <w:rPr>
          <w:rFonts w:ascii="Times New Roman" w:eastAsia="Times New Roman" w:hAnsi="Times New Roman" w:cs="Times New Roman"/>
          <w:noProof/>
          <w:color w:val="000000" w:themeColor="text1"/>
          <w:sz w:val="24"/>
          <w:szCs w:val="24"/>
          <w:lang w:val="en-IE"/>
        </w:rPr>
        <w:t xml:space="preserve">, which among others </w:t>
      </w:r>
      <w:r w:rsidR="00A26F13">
        <w:rPr>
          <w:rFonts w:ascii="Times New Roman" w:eastAsia="Times New Roman" w:hAnsi="Times New Roman" w:cs="Times New Roman"/>
          <w:noProof/>
          <w:color w:val="000000" w:themeColor="text1"/>
          <w:sz w:val="24"/>
          <w:szCs w:val="24"/>
          <w:lang w:val="en-IE"/>
        </w:rPr>
        <w:t>provided the legal basis for joint purchas</w:t>
      </w:r>
      <w:r w:rsidR="00AD55AB">
        <w:rPr>
          <w:rFonts w:ascii="Times New Roman" w:eastAsia="Times New Roman" w:hAnsi="Times New Roman" w:cs="Times New Roman"/>
          <w:noProof/>
          <w:color w:val="000000" w:themeColor="text1"/>
          <w:sz w:val="24"/>
          <w:szCs w:val="24"/>
          <w:lang w:val="en-IE"/>
        </w:rPr>
        <w:t>ing</w:t>
      </w:r>
      <w:r w:rsidR="00A26F13">
        <w:rPr>
          <w:rFonts w:ascii="Times New Roman" w:eastAsia="Times New Roman" w:hAnsi="Times New Roman" w:cs="Times New Roman"/>
          <w:noProof/>
          <w:color w:val="000000" w:themeColor="text1"/>
          <w:sz w:val="24"/>
          <w:szCs w:val="24"/>
          <w:lang w:val="en-IE"/>
        </w:rPr>
        <w:t xml:space="preserve"> of gas as well as</w:t>
      </w:r>
      <w:r w:rsidR="6B54CBDA" w:rsidRPr="1509B8FC">
        <w:rPr>
          <w:rFonts w:ascii="Times New Roman" w:eastAsia="Times New Roman" w:hAnsi="Times New Roman" w:cs="Times New Roman"/>
          <w:noProof/>
          <w:color w:val="000000" w:themeColor="text1"/>
          <w:sz w:val="24"/>
          <w:szCs w:val="24"/>
          <w:lang w:val="en-IE"/>
        </w:rPr>
        <w:t xml:space="preserve"> reinforced the solidarity rules in case of an emergency</w:t>
      </w:r>
      <w:r w:rsidRPr="1509B8FC">
        <w:rPr>
          <w:rFonts w:ascii="Times New Roman" w:eastAsia="Times New Roman" w:hAnsi="Times New Roman" w:cs="Times New Roman"/>
          <w:noProof/>
          <w:color w:val="000000" w:themeColor="text1"/>
          <w:sz w:val="24"/>
          <w:szCs w:val="24"/>
          <w:lang w:val="en-IE"/>
        </w:rPr>
        <w:t>. These regulations were adopted to ensure security of gas supply, complementing the existing Gas Security of Supply Regulation.</w:t>
      </w:r>
    </w:p>
    <w:p w14:paraId="7B2F8FDB" w14:textId="60F4FDC6" w:rsidR="1FAF0ABF" w:rsidRPr="00780A89" w:rsidRDefault="55F964F4" w:rsidP="1FE3319D">
      <w:pPr>
        <w:jc w:val="both"/>
        <w:rPr>
          <w:rFonts w:ascii="Times New Roman" w:eastAsia="Times New Roman" w:hAnsi="Times New Roman" w:cs="Times New Roman"/>
          <w:noProof/>
          <w:color w:val="000000" w:themeColor="text1"/>
          <w:sz w:val="24"/>
          <w:szCs w:val="24"/>
          <w:lang w:val="en-IE"/>
        </w:rPr>
      </w:pPr>
      <w:r w:rsidRPr="00780A89">
        <w:rPr>
          <w:rFonts w:ascii="Times New Roman" w:eastAsia="Times New Roman" w:hAnsi="Times New Roman" w:cs="Times New Roman"/>
          <w:noProof/>
          <w:color w:val="000000" w:themeColor="text1"/>
          <w:sz w:val="24"/>
          <w:szCs w:val="24"/>
          <w:lang w:val="en-IE"/>
        </w:rPr>
        <w:t xml:space="preserve">The EU’s </w:t>
      </w:r>
      <w:r w:rsidRPr="00780A89">
        <w:rPr>
          <w:rFonts w:ascii="Times New Roman" w:eastAsia="Times New Roman" w:hAnsi="Times New Roman" w:cs="Times New Roman"/>
          <w:b/>
          <w:bCs/>
          <w:noProof/>
          <w:color w:val="000000" w:themeColor="text1"/>
          <w:sz w:val="24"/>
          <w:szCs w:val="24"/>
          <w:lang w:val="en-IE"/>
        </w:rPr>
        <w:t>phase out of Russian gas</w:t>
      </w:r>
      <w:r w:rsidRPr="00780A89">
        <w:rPr>
          <w:rFonts w:ascii="Times New Roman" w:eastAsia="Times New Roman" w:hAnsi="Times New Roman" w:cs="Times New Roman"/>
          <w:noProof/>
          <w:color w:val="000000" w:themeColor="text1"/>
          <w:sz w:val="24"/>
          <w:szCs w:val="24"/>
          <w:lang w:val="en-IE"/>
        </w:rPr>
        <w:t xml:space="preserve"> requires a strong emphasis on a continued </w:t>
      </w:r>
      <w:r w:rsidRPr="00780A89">
        <w:rPr>
          <w:rFonts w:ascii="Times New Roman" w:eastAsia="Times New Roman" w:hAnsi="Times New Roman" w:cs="Times New Roman"/>
          <w:b/>
          <w:bCs/>
          <w:noProof/>
          <w:color w:val="000000" w:themeColor="text1"/>
          <w:sz w:val="24"/>
          <w:szCs w:val="24"/>
          <w:lang w:val="en-IE"/>
        </w:rPr>
        <w:t>supply diversification</w:t>
      </w:r>
      <w:r w:rsidRPr="00780A89">
        <w:rPr>
          <w:rFonts w:ascii="Times New Roman" w:eastAsia="Times New Roman" w:hAnsi="Times New Roman" w:cs="Times New Roman"/>
          <w:noProof/>
          <w:color w:val="000000" w:themeColor="text1"/>
          <w:sz w:val="24"/>
          <w:szCs w:val="24"/>
          <w:lang w:val="en-IE"/>
        </w:rPr>
        <w:t xml:space="preserve">. This will mean a </w:t>
      </w:r>
      <w:r w:rsidRPr="00780A89">
        <w:rPr>
          <w:rFonts w:ascii="Times New Roman" w:eastAsia="Times New Roman" w:hAnsi="Times New Roman" w:cs="Times New Roman"/>
          <w:b/>
          <w:bCs/>
          <w:noProof/>
          <w:color w:val="000000" w:themeColor="text1"/>
          <w:sz w:val="24"/>
          <w:szCs w:val="24"/>
          <w:lang w:val="en-IE"/>
        </w:rPr>
        <w:t>growing importance of LNG</w:t>
      </w:r>
      <w:r w:rsidRPr="00780A89">
        <w:rPr>
          <w:rFonts w:ascii="Times New Roman" w:eastAsia="Times New Roman" w:hAnsi="Times New Roman" w:cs="Times New Roman"/>
          <w:noProof/>
          <w:color w:val="000000" w:themeColor="text1"/>
          <w:sz w:val="24"/>
          <w:szCs w:val="24"/>
          <w:lang w:val="en-IE"/>
        </w:rPr>
        <w:t xml:space="preserve"> and thereby also a larger reliance on the global LNG market for the years to come. </w:t>
      </w:r>
    </w:p>
    <w:p w14:paraId="35A53C54" w14:textId="749559B2" w:rsidR="1FAF0ABF" w:rsidRPr="00780A89" w:rsidRDefault="55F964F4" w:rsidP="1FE3319D">
      <w:pPr>
        <w:jc w:val="both"/>
        <w:rPr>
          <w:rFonts w:ascii="Times New Roman" w:eastAsia="Times New Roman" w:hAnsi="Times New Roman" w:cs="Times New Roman"/>
          <w:noProof/>
          <w:color w:val="000000" w:themeColor="text1"/>
          <w:sz w:val="24"/>
          <w:szCs w:val="24"/>
          <w:lang w:val="en-IE"/>
        </w:rPr>
      </w:pPr>
      <w:r w:rsidRPr="0AFCBEB5">
        <w:rPr>
          <w:rFonts w:ascii="Times New Roman" w:eastAsia="Times New Roman" w:hAnsi="Times New Roman" w:cs="Times New Roman"/>
          <w:noProof/>
          <w:color w:val="000000" w:themeColor="text1"/>
          <w:sz w:val="24"/>
          <w:szCs w:val="24"/>
          <w:lang w:val="en-IE"/>
        </w:rPr>
        <w:t xml:space="preserve">Furthermore, in the longer-term, gas demand is expected to decrease at a different pace across sectors and Member States, which could result in </w:t>
      </w:r>
      <w:r w:rsidRPr="0AFCBEB5">
        <w:rPr>
          <w:rFonts w:ascii="Times New Roman" w:eastAsia="Times New Roman" w:hAnsi="Times New Roman" w:cs="Times New Roman"/>
          <w:b/>
          <w:bCs/>
          <w:noProof/>
          <w:color w:val="000000" w:themeColor="text1"/>
          <w:sz w:val="24"/>
          <w:szCs w:val="24"/>
          <w:lang w:val="en-IE"/>
        </w:rPr>
        <w:t>a changing demand profile</w:t>
      </w:r>
      <w:r w:rsidRPr="0AFCBEB5">
        <w:rPr>
          <w:rFonts w:ascii="Times New Roman" w:eastAsia="Times New Roman" w:hAnsi="Times New Roman" w:cs="Times New Roman"/>
          <w:noProof/>
          <w:color w:val="000000" w:themeColor="text1"/>
          <w:sz w:val="24"/>
          <w:szCs w:val="24"/>
          <w:lang w:val="en-IE"/>
        </w:rPr>
        <w:t xml:space="preserve"> in the EU. Indeed, the future security of supply architecture must consider</w:t>
      </w:r>
      <w:r w:rsidR="008D4360">
        <w:rPr>
          <w:rFonts w:ascii="Times New Roman" w:eastAsia="Times New Roman" w:hAnsi="Times New Roman" w:cs="Times New Roman"/>
          <w:noProof/>
          <w:color w:val="000000" w:themeColor="text1"/>
          <w:sz w:val="24"/>
          <w:szCs w:val="24"/>
          <w:lang w:val="en-IE"/>
        </w:rPr>
        <w:t xml:space="preserve">, and support, </w:t>
      </w:r>
      <w:r w:rsidRPr="0AFCBEB5">
        <w:rPr>
          <w:rFonts w:ascii="Times New Roman" w:eastAsia="Times New Roman" w:hAnsi="Times New Roman" w:cs="Times New Roman"/>
          <w:noProof/>
          <w:color w:val="000000" w:themeColor="text1"/>
          <w:sz w:val="24"/>
          <w:szCs w:val="24"/>
          <w:lang w:val="en-IE"/>
        </w:rPr>
        <w:t xml:space="preserve">the ongoing </w:t>
      </w:r>
      <w:r w:rsidRPr="0AFCBEB5">
        <w:rPr>
          <w:rFonts w:ascii="Times New Roman" w:eastAsia="Times New Roman" w:hAnsi="Times New Roman" w:cs="Times New Roman"/>
          <w:b/>
          <w:bCs/>
          <w:noProof/>
          <w:color w:val="000000" w:themeColor="text1"/>
          <w:sz w:val="24"/>
          <w:szCs w:val="24"/>
          <w:lang w:val="en-IE"/>
        </w:rPr>
        <w:t>decarbonisation</w:t>
      </w:r>
      <w:r w:rsidRPr="0AFCBEB5">
        <w:rPr>
          <w:rFonts w:ascii="Times New Roman" w:eastAsia="Times New Roman" w:hAnsi="Times New Roman" w:cs="Times New Roman"/>
          <w:noProof/>
          <w:color w:val="000000" w:themeColor="text1"/>
          <w:sz w:val="24"/>
          <w:szCs w:val="24"/>
          <w:lang w:val="en-IE"/>
        </w:rPr>
        <w:t xml:space="preserve"> efforts with continued electrification and the growing importance o</w:t>
      </w:r>
      <w:r w:rsidRPr="0AFCBEB5">
        <w:rPr>
          <w:rFonts w:ascii="Times New Roman" w:eastAsia="Times New Roman" w:hAnsi="Times New Roman" w:cs="Times New Roman"/>
          <w:noProof/>
          <w:sz w:val="24"/>
          <w:szCs w:val="24"/>
          <w:lang w:val="en-IE"/>
        </w:rPr>
        <w:t xml:space="preserve">f </w:t>
      </w:r>
      <w:r w:rsidRPr="0AFCBEB5">
        <w:rPr>
          <w:rFonts w:ascii="Times New Roman" w:eastAsia="Times New Roman" w:hAnsi="Times New Roman" w:cs="Times New Roman"/>
          <w:b/>
          <w:bCs/>
          <w:noProof/>
          <w:sz w:val="24"/>
          <w:szCs w:val="24"/>
          <w:lang w:val="en-IE"/>
        </w:rPr>
        <w:t>biomethane</w:t>
      </w:r>
      <w:r w:rsidRPr="0AFCBEB5">
        <w:rPr>
          <w:rFonts w:ascii="Times New Roman" w:eastAsia="Times New Roman" w:hAnsi="Times New Roman" w:cs="Times New Roman"/>
          <w:noProof/>
          <w:sz w:val="24"/>
          <w:szCs w:val="24"/>
          <w:lang w:val="en-IE"/>
        </w:rPr>
        <w:t xml:space="preserve"> and </w:t>
      </w:r>
      <w:r w:rsidRPr="0AFCBEB5">
        <w:rPr>
          <w:rFonts w:ascii="Times New Roman" w:eastAsia="Times New Roman" w:hAnsi="Times New Roman" w:cs="Times New Roman"/>
          <w:b/>
          <w:bCs/>
          <w:noProof/>
          <w:sz w:val="24"/>
          <w:szCs w:val="24"/>
          <w:lang w:val="en-IE"/>
        </w:rPr>
        <w:t>hydrogen</w:t>
      </w:r>
      <w:r w:rsidRPr="0AFCBEB5">
        <w:rPr>
          <w:rFonts w:ascii="Times New Roman" w:eastAsia="Times New Roman" w:hAnsi="Times New Roman" w:cs="Times New Roman"/>
          <w:noProof/>
          <w:sz w:val="24"/>
          <w:szCs w:val="24"/>
          <w:lang w:val="en-IE"/>
        </w:rPr>
        <w:t>.</w:t>
      </w:r>
      <w:r w:rsidRPr="0AFCBEB5">
        <w:rPr>
          <w:rFonts w:ascii="Times New Roman" w:eastAsia="Times New Roman" w:hAnsi="Times New Roman" w:cs="Times New Roman"/>
          <w:noProof/>
          <w:color w:val="000000" w:themeColor="text1"/>
          <w:sz w:val="24"/>
          <w:szCs w:val="24"/>
          <w:lang w:val="en-IE"/>
        </w:rPr>
        <w:t xml:space="preserve"> This requires an integrated strategy for the future decommissioning and repurposing of infrastructure to ensure an orderly transition that </w:t>
      </w:r>
      <w:r w:rsidR="29CF9B6B" w:rsidRPr="0AFCBEB5">
        <w:rPr>
          <w:rFonts w:ascii="Times New Roman" w:eastAsia="Times New Roman" w:hAnsi="Times New Roman" w:cs="Times New Roman"/>
          <w:noProof/>
          <w:color w:val="000000" w:themeColor="text1"/>
          <w:sz w:val="24"/>
          <w:szCs w:val="24"/>
          <w:lang w:val="en-IE"/>
        </w:rPr>
        <w:t xml:space="preserve">guarantees </w:t>
      </w:r>
      <w:r w:rsidRPr="0AFCBEB5">
        <w:rPr>
          <w:rFonts w:ascii="Times New Roman" w:eastAsia="Times New Roman" w:hAnsi="Times New Roman" w:cs="Times New Roman"/>
          <w:noProof/>
          <w:color w:val="000000" w:themeColor="text1"/>
          <w:sz w:val="24"/>
          <w:szCs w:val="24"/>
          <w:lang w:val="en-IE"/>
        </w:rPr>
        <w:t xml:space="preserve">security of supply of natural gas, biomethane and hydrogen. </w:t>
      </w:r>
    </w:p>
    <w:p w14:paraId="31477E7B" w14:textId="47E5B2DD" w:rsidR="007513C5" w:rsidRDefault="55F964F4" w:rsidP="007513C5">
      <w:pPr>
        <w:jc w:val="both"/>
        <w:rPr>
          <w:rFonts w:ascii="Times New Roman" w:eastAsia="Times New Roman" w:hAnsi="Times New Roman" w:cs="Times New Roman"/>
          <w:noProof/>
          <w:color w:val="000000" w:themeColor="text1"/>
          <w:sz w:val="24"/>
          <w:szCs w:val="24"/>
          <w:lang w:val="en-IE"/>
        </w:rPr>
      </w:pPr>
      <w:r w:rsidRPr="00780A89">
        <w:rPr>
          <w:rFonts w:ascii="Times New Roman" w:eastAsia="Times New Roman" w:hAnsi="Times New Roman" w:cs="Times New Roman"/>
          <w:noProof/>
          <w:color w:val="000000" w:themeColor="text1"/>
          <w:sz w:val="24"/>
          <w:szCs w:val="24"/>
          <w:lang w:val="en-IE"/>
        </w:rPr>
        <w:t xml:space="preserve">The EU’s security of supply architecture will therefore need to continue to adapt according to the changes </w:t>
      </w:r>
      <w:r w:rsidR="003D5002" w:rsidRPr="00780A89">
        <w:rPr>
          <w:rFonts w:ascii="Times New Roman" w:eastAsia="Times New Roman" w:hAnsi="Times New Roman" w:cs="Times New Roman"/>
          <w:noProof/>
          <w:color w:val="000000" w:themeColor="text1"/>
          <w:sz w:val="24"/>
          <w:szCs w:val="24"/>
          <w:lang w:val="en-IE"/>
        </w:rPr>
        <w:t>of</w:t>
      </w:r>
      <w:r w:rsidRPr="00780A89">
        <w:rPr>
          <w:rFonts w:ascii="Times New Roman" w:eastAsia="Times New Roman" w:hAnsi="Times New Roman" w:cs="Times New Roman"/>
          <w:noProof/>
          <w:color w:val="000000" w:themeColor="text1"/>
          <w:sz w:val="24"/>
          <w:szCs w:val="24"/>
          <w:lang w:val="en-IE"/>
        </w:rPr>
        <w:t xml:space="preserve"> the </w:t>
      </w:r>
      <w:r w:rsidR="003D5002" w:rsidRPr="00780A89">
        <w:rPr>
          <w:rFonts w:ascii="Times New Roman" w:eastAsia="Times New Roman" w:hAnsi="Times New Roman" w:cs="Times New Roman"/>
          <w:noProof/>
          <w:color w:val="000000" w:themeColor="text1"/>
          <w:sz w:val="24"/>
          <w:szCs w:val="24"/>
          <w:lang w:val="en-IE"/>
        </w:rPr>
        <w:t>up</w:t>
      </w:r>
      <w:r w:rsidRPr="00780A89">
        <w:rPr>
          <w:rFonts w:ascii="Times New Roman" w:eastAsia="Times New Roman" w:hAnsi="Times New Roman" w:cs="Times New Roman"/>
          <w:noProof/>
          <w:color w:val="000000" w:themeColor="text1"/>
          <w:sz w:val="24"/>
          <w:szCs w:val="24"/>
          <w:lang w:val="en-IE"/>
        </w:rPr>
        <w:t>coming years and decades</w:t>
      </w:r>
      <w:r w:rsidR="006D721B">
        <w:rPr>
          <w:rFonts w:ascii="Times New Roman" w:eastAsia="Times New Roman" w:hAnsi="Times New Roman" w:cs="Times New Roman"/>
          <w:noProof/>
          <w:color w:val="000000" w:themeColor="text1"/>
          <w:sz w:val="24"/>
          <w:szCs w:val="24"/>
          <w:lang w:val="en-IE"/>
        </w:rPr>
        <w:t>.</w:t>
      </w:r>
    </w:p>
    <w:p w14:paraId="29357778" w14:textId="48218C0B" w:rsidR="49FA22C6" w:rsidRPr="007513C5" w:rsidRDefault="00BA2C23" w:rsidP="007513C5">
      <w:pPr>
        <w:jc w:val="both"/>
        <w:rPr>
          <w:rFonts w:ascii="Times New Roman" w:eastAsia="Times New Roman" w:hAnsi="Times New Roman" w:cs="Times New Roman"/>
          <w:noProof/>
          <w:color w:val="000000" w:themeColor="text1"/>
          <w:sz w:val="24"/>
          <w:szCs w:val="24"/>
          <w:lang w:val="en-IE"/>
        </w:rPr>
      </w:pPr>
      <w:r w:rsidRPr="007513C5">
        <w:rPr>
          <w:rFonts w:ascii="Times New Roman" w:eastAsia="Times New Roman" w:hAnsi="Times New Roman" w:cs="Times New Roman"/>
          <w:noProof/>
          <w:color w:val="000000" w:themeColor="text1"/>
          <w:sz w:val="24"/>
          <w:szCs w:val="24"/>
          <w:lang w:val="en-IE"/>
        </w:rPr>
        <w:t>The adoption of th</w:t>
      </w:r>
      <w:r w:rsidR="009152FD" w:rsidRPr="007513C5">
        <w:rPr>
          <w:rFonts w:ascii="Times New Roman" w:eastAsia="Times New Roman" w:hAnsi="Times New Roman" w:cs="Times New Roman"/>
          <w:noProof/>
          <w:color w:val="000000" w:themeColor="text1"/>
          <w:sz w:val="24"/>
          <w:szCs w:val="24"/>
          <w:lang w:val="en-IE"/>
        </w:rPr>
        <w:t>is</w:t>
      </w:r>
      <w:r w:rsidRPr="007513C5">
        <w:rPr>
          <w:rFonts w:ascii="Times New Roman" w:eastAsia="Times New Roman" w:hAnsi="Times New Roman" w:cs="Times New Roman"/>
          <w:noProof/>
          <w:color w:val="000000" w:themeColor="text1"/>
          <w:sz w:val="24"/>
          <w:szCs w:val="24"/>
          <w:lang w:val="en-IE"/>
        </w:rPr>
        <w:t xml:space="preserve"> report </w:t>
      </w:r>
      <w:r w:rsidR="24A6E80E" w:rsidRPr="007513C5">
        <w:rPr>
          <w:rFonts w:ascii="Times New Roman" w:eastAsia="Times New Roman" w:hAnsi="Times New Roman" w:cs="Times New Roman"/>
          <w:noProof/>
          <w:color w:val="000000" w:themeColor="text1"/>
          <w:sz w:val="24"/>
          <w:szCs w:val="24"/>
          <w:lang w:val="en-IE"/>
        </w:rPr>
        <w:t xml:space="preserve">aims at fulfilling the legal requirements of Article 17 of </w:t>
      </w:r>
      <w:r w:rsidRPr="007513C5">
        <w:rPr>
          <w:rFonts w:ascii="Times New Roman" w:eastAsia="Times New Roman" w:hAnsi="Times New Roman" w:cs="Times New Roman"/>
          <w:noProof/>
          <w:color w:val="000000" w:themeColor="text1"/>
          <w:sz w:val="24"/>
          <w:szCs w:val="24"/>
          <w:lang w:val="en-IE"/>
        </w:rPr>
        <w:t>the Gas Security of Supply Regulation</w:t>
      </w:r>
      <w:r w:rsidR="00833985" w:rsidRPr="007513C5">
        <w:rPr>
          <w:rFonts w:ascii="Times New Roman" w:eastAsia="Times New Roman" w:hAnsi="Times New Roman" w:cs="Times New Roman"/>
          <w:noProof/>
          <w:color w:val="000000" w:themeColor="text1"/>
          <w:sz w:val="24"/>
          <w:szCs w:val="24"/>
          <w:lang w:val="en-IE"/>
        </w:rPr>
        <w:t>.</w:t>
      </w:r>
      <w:r w:rsidR="008D4360" w:rsidRPr="007513C5">
        <w:rPr>
          <w:rFonts w:ascii="Times New Roman" w:eastAsia="Times New Roman" w:hAnsi="Times New Roman" w:cs="Times New Roman"/>
          <w:noProof/>
          <w:color w:val="000000" w:themeColor="text1"/>
          <w:sz w:val="24"/>
          <w:szCs w:val="24"/>
          <w:lang w:val="en-IE"/>
        </w:rPr>
        <w:t xml:space="preserve"> </w:t>
      </w:r>
      <w:r w:rsidR="007513C5">
        <w:rPr>
          <w:rFonts w:ascii="Times New Roman" w:eastAsia="Times New Roman" w:hAnsi="Times New Roman" w:cs="Times New Roman"/>
          <w:noProof/>
          <w:color w:val="000000" w:themeColor="text1"/>
          <w:sz w:val="24"/>
          <w:szCs w:val="24"/>
          <w:lang w:val="en-IE"/>
        </w:rPr>
        <w:t>Its</w:t>
      </w:r>
      <w:r w:rsidR="008D4360" w:rsidRPr="007513C5">
        <w:rPr>
          <w:rFonts w:ascii="Times New Roman" w:eastAsia="Times New Roman" w:hAnsi="Times New Roman" w:cs="Times New Roman"/>
          <w:noProof/>
          <w:color w:val="000000" w:themeColor="text1"/>
          <w:sz w:val="24"/>
          <w:szCs w:val="24"/>
          <w:lang w:val="en-IE"/>
        </w:rPr>
        <w:t xml:space="preserve"> </w:t>
      </w:r>
      <w:r w:rsidR="007513C5">
        <w:rPr>
          <w:rFonts w:ascii="Times New Roman" w:eastAsia="Times New Roman" w:hAnsi="Times New Roman" w:cs="Times New Roman"/>
          <w:noProof/>
          <w:color w:val="000000" w:themeColor="text1"/>
          <w:sz w:val="24"/>
          <w:szCs w:val="24"/>
          <w:lang w:val="en-IE"/>
        </w:rPr>
        <w:t xml:space="preserve">timing </w:t>
      </w:r>
      <w:r w:rsidR="008D4360" w:rsidRPr="007513C5">
        <w:rPr>
          <w:rFonts w:ascii="Times New Roman" w:eastAsia="Times New Roman" w:hAnsi="Times New Roman" w:cs="Times New Roman"/>
          <w:noProof/>
          <w:color w:val="000000" w:themeColor="text1"/>
          <w:sz w:val="24"/>
          <w:szCs w:val="24"/>
          <w:lang w:val="en-IE"/>
        </w:rPr>
        <w:t xml:space="preserve">has been slightly adapted to align it with </w:t>
      </w:r>
      <w:r w:rsidR="008D4360" w:rsidRPr="00FD2CCF">
        <w:rPr>
          <w:rFonts w:ascii="Times New Roman" w:eastAsia="Times New Roman" w:hAnsi="Times New Roman" w:cs="Times New Roman"/>
          <w:b/>
          <w:bCs/>
          <w:noProof/>
          <w:color w:val="000000" w:themeColor="text1"/>
          <w:sz w:val="24"/>
          <w:szCs w:val="24"/>
          <w:lang w:val="en-IE"/>
        </w:rPr>
        <w:t>ongoing work on related areas</w:t>
      </w:r>
      <w:r w:rsidR="007513C5">
        <w:rPr>
          <w:rFonts w:ascii="Times New Roman" w:eastAsia="Times New Roman" w:hAnsi="Times New Roman" w:cs="Times New Roman"/>
          <w:noProof/>
          <w:color w:val="000000" w:themeColor="text1"/>
          <w:sz w:val="24"/>
          <w:szCs w:val="24"/>
          <w:lang w:val="en-IE"/>
        </w:rPr>
        <w:t xml:space="preserve"> – taking into account in </w:t>
      </w:r>
      <w:r w:rsidR="008D4360" w:rsidRPr="007513C5">
        <w:rPr>
          <w:rFonts w:ascii="Times New Roman" w:eastAsia="Times New Roman" w:hAnsi="Times New Roman" w:cs="Times New Roman"/>
          <w:noProof/>
          <w:color w:val="000000" w:themeColor="text1"/>
          <w:sz w:val="24"/>
          <w:szCs w:val="24"/>
          <w:lang w:val="en-IE"/>
        </w:rPr>
        <w:t>particular</w:t>
      </w:r>
      <w:r w:rsidR="007513C5">
        <w:rPr>
          <w:rFonts w:ascii="Times New Roman" w:eastAsia="Times New Roman" w:hAnsi="Times New Roman" w:cs="Times New Roman"/>
          <w:noProof/>
          <w:color w:val="000000" w:themeColor="text1"/>
          <w:sz w:val="24"/>
          <w:szCs w:val="24"/>
          <w:lang w:val="en-IE"/>
        </w:rPr>
        <w:t xml:space="preserve"> that</w:t>
      </w:r>
      <w:r w:rsidR="008D4360" w:rsidRPr="007513C5">
        <w:rPr>
          <w:rFonts w:ascii="Times New Roman" w:eastAsia="Times New Roman" w:hAnsi="Times New Roman" w:cs="Times New Roman"/>
          <w:noProof/>
          <w:color w:val="000000" w:themeColor="text1"/>
          <w:sz w:val="24"/>
          <w:szCs w:val="24"/>
          <w:lang w:val="en-IE"/>
        </w:rPr>
        <w:t xml:space="preserve"> </w:t>
      </w:r>
      <w:r w:rsidR="005826FB" w:rsidRPr="007513C5">
        <w:rPr>
          <w:rFonts w:ascii="Times New Roman" w:eastAsia="Calibri" w:hAnsi="Times New Roman" w:cs="Times New Roman"/>
          <w:noProof/>
          <w:color w:val="000000" w:themeColor="text1"/>
          <w:sz w:val="24"/>
          <w:szCs w:val="24"/>
          <w:lang w:val="en-IE"/>
        </w:rPr>
        <w:t xml:space="preserve">Article 30 of </w:t>
      </w:r>
      <w:r w:rsidR="00FB2440" w:rsidRPr="007513C5">
        <w:rPr>
          <w:rFonts w:ascii="Times New Roman" w:eastAsia="Calibri" w:hAnsi="Times New Roman" w:cs="Times New Roman"/>
          <w:noProof/>
          <w:color w:val="000000" w:themeColor="text1"/>
          <w:sz w:val="24"/>
          <w:szCs w:val="24"/>
          <w:lang w:val="en-IE"/>
        </w:rPr>
        <w:t>the Solidarity</w:t>
      </w:r>
      <w:r w:rsidR="005826FB" w:rsidRPr="007513C5">
        <w:rPr>
          <w:rFonts w:ascii="Times New Roman" w:eastAsia="Calibri" w:hAnsi="Times New Roman" w:cs="Times New Roman"/>
          <w:noProof/>
          <w:color w:val="000000" w:themeColor="text1"/>
          <w:sz w:val="24"/>
          <w:szCs w:val="24"/>
          <w:lang w:val="en-IE"/>
        </w:rPr>
        <w:t xml:space="preserve"> Regulation </w:t>
      </w:r>
      <w:r w:rsidR="00A50A73" w:rsidRPr="007513C5">
        <w:rPr>
          <w:rFonts w:ascii="Times New Roman" w:eastAsia="Calibri" w:hAnsi="Times New Roman" w:cs="Times New Roman"/>
          <w:noProof/>
          <w:color w:val="000000" w:themeColor="text1"/>
          <w:sz w:val="24"/>
          <w:szCs w:val="24"/>
          <w:lang w:val="en-IE"/>
        </w:rPr>
        <w:t xml:space="preserve">foresees the review by 1 October 2023, by </w:t>
      </w:r>
      <w:r w:rsidR="005826FB" w:rsidRPr="007513C5">
        <w:rPr>
          <w:rFonts w:ascii="Times New Roman" w:eastAsia="Calibri" w:hAnsi="Times New Roman" w:cs="Times New Roman"/>
          <w:noProof/>
          <w:color w:val="000000" w:themeColor="text1"/>
          <w:sz w:val="24"/>
          <w:szCs w:val="24"/>
          <w:lang w:val="en-IE"/>
        </w:rPr>
        <w:t xml:space="preserve">the </w:t>
      </w:r>
      <w:r w:rsidR="00A50A73" w:rsidRPr="007513C5">
        <w:rPr>
          <w:rFonts w:ascii="Times New Roman" w:eastAsia="Calibri" w:hAnsi="Times New Roman" w:cs="Times New Roman"/>
          <w:noProof/>
          <w:color w:val="000000" w:themeColor="text1"/>
          <w:sz w:val="24"/>
          <w:szCs w:val="24"/>
          <w:lang w:val="en-IE"/>
        </w:rPr>
        <w:t xml:space="preserve">European </w:t>
      </w:r>
      <w:r w:rsidR="005826FB" w:rsidRPr="007513C5">
        <w:rPr>
          <w:rFonts w:ascii="Times New Roman" w:eastAsia="Calibri" w:hAnsi="Times New Roman" w:cs="Times New Roman"/>
          <w:noProof/>
          <w:color w:val="000000" w:themeColor="text1"/>
          <w:sz w:val="24"/>
          <w:szCs w:val="24"/>
          <w:lang w:val="en-IE"/>
        </w:rPr>
        <w:t>Commission</w:t>
      </w:r>
      <w:r w:rsidR="00A50A73" w:rsidRPr="007513C5">
        <w:rPr>
          <w:rFonts w:ascii="Times New Roman" w:eastAsia="Calibri" w:hAnsi="Times New Roman" w:cs="Times New Roman"/>
          <w:noProof/>
          <w:color w:val="000000" w:themeColor="text1"/>
          <w:sz w:val="24"/>
          <w:szCs w:val="24"/>
          <w:lang w:val="en-IE"/>
        </w:rPr>
        <w:t>,</w:t>
      </w:r>
      <w:r w:rsidR="005826FB" w:rsidRPr="007513C5">
        <w:rPr>
          <w:rFonts w:ascii="Times New Roman" w:eastAsia="Calibri" w:hAnsi="Times New Roman" w:cs="Times New Roman"/>
          <w:noProof/>
          <w:color w:val="000000" w:themeColor="text1"/>
          <w:sz w:val="24"/>
          <w:szCs w:val="24"/>
          <w:lang w:val="en-IE"/>
        </w:rPr>
        <w:t xml:space="preserve"> of the Solidarity Regulation</w:t>
      </w:r>
      <w:r w:rsidR="007513C5" w:rsidRPr="007513C5">
        <w:rPr>
          <w:rStyle w:val="FootnoteReference"/>
          <w:rFonts w:ascii="Times New Roman" w:eastAsia="Calibri" w:hAnsi="Times New Roman" w:cs="Times New Roman"/>
          <w:noProof/>
          <w:color w:val="000000" w:themeColor="text1"/>
          <w:sz w:val="24"/>
          <w:szCs w:val="24"/>
          <w:lang w:val="en-IE"/>
        </w:rPr>
        <w:footnoteReference w:id="3"/>
      </w:r>
      <w:r w:rsidR="005826FB" w:rsidRPr="007513C5">
        <w:rPr>
          <w:rFonts w:ascii="Times New Roman" w:eastAsia="Calibri" w:hAnsi="Times New Roman" w:cs="Times New Roman"/>
          <w:noProof/>
          <w:color w:val="000000" w:themeColor="text1"/>
          <w:sz w:val="24"/>
          <w:szCs w:val="24"/>
          <w:lang w:val="en-IE"/>
        </w:rPr>
        <w:t xml:space="preserve">. </w:t>
      </w:r>
    </w:p>
    <w:p w14:paraId="25E653D2" w14:textId="12AEC503" w:rsidR="008D4360" w:rsidRPr="00493098" w:rsidRDefault="007513C5" w:rsidP="00493098">
      <w:pPr>
        <w:jc w:val="both"/>
        <w:rPr>
          <w:rFonts w:ascii="Times New Roman" w:eastAsia="Calibri" w:hAnsi="Times New Roman" w:cs="Times New Roman"/>
          <w:noProof/>
          <w:sz w:val="24"/>
          <w:szCs w:val="24"/>
          <w:lang w:val="en-IE"/>
        </w:rPr>
      </w:pPr>
      <w:r w:rsidRPr="00493098">
        <w:rPr>
          <w:rFonts w:ascii="Times New Roman" w:hAnsi="Times New Roman" w:cs="Times New Roman"/>
          <w:noProof/>
          <w:sz w:val="24"/>
          <w:szCs w:val="24"/>
          <w:lang w:val="en-IE"/>
        </w:rPr>
        <w:t>Furthermore</w:t>
      </w:r>
      <w:r w:rsidR="008D4360" w:rsidRPr="00493098">
        <w:rPr>
          <w:rFonts w:ascii="Times New Roman" w:hAnsi="Times New Roman" w:cs="Times New Roman"/>
          <w:noProof/>
          <w:sz w:val="24"/>
          <w:szCs w:val="24"/>
          <w:lang w:val="en-IE"/>
        </w:rPr>
        <w:t xml:space="preserve">, several security of supply-related provisions are currently being discussed by the co-legislators in the framework of the </w:t>
      </w:r>
      <w:r w:rsidR="008D4360" w:rsidRPr="00493098">
        <w:rPr>
          <w:rFonts w:ascii="Times New Roman" w:hAnsi="Times New Roman" w:cs="Times New Roman"/>
          <w:b/>
          <w:bCs/>
          <w:noProof/>
          <w:sz w:val="24"/>
          <w:szCs w:val="24"/>
          <w:lang w:val="en-IE"/>
        </w:rPr>
        <w:t xml:space="preserve">Hydrogen and decarbonised gas market </w:t>
      </w:r>
      <w:r w:rsidRPr="00493098">
        <w:rPr>
          <w:rFonts w:ascii="Times New Roman" w:hAnsi="Times New Roman" w:cs="Times New Roman"/>
          <w:b/>
          <w:bCs/>
          <w:noProof/>
          <w:sz w:val="24"/>
          <w:szCs w:val="24"/>
          <w:lang w:val="en-IE"/>
        </w:rPr>
        <w:t>package</w:t>
      </w:r>
      <w:r w:rsidRPr="006D721B">
        <w:rPr>
          <w:rStyle w:val="FootnoteReference"/>
          <w:rFonts w:ascii="Times New Roman" w:eastAsia="Times New Roman" w:hAnsi="Times New Roman" w:cs="Times New Roman"/>
          <w:noProof/>
          <w:color w:val="000000" w:themeColor="text1"/>
          <w:sz w:val="24"/>
          <w:szCs w:val="24"/>
          <w:lang w:val="en-IE"/>
        </w:rPr>
        <w:footnoteReference w:id="4"/>
      </w:r>
      <w:r w:rsidR="008D4360" w:rsidRPr="00493098">
        <w:rPr>
          <w:rFonts w:ascii="Times New Roman" w:eastAsia="Calibri" w:hAnsi="Times New Roman" w:cs="Times New Roman"/>
          <w:noProof/>
          <w:sz w:val="24"/>
          <w:szCs w:val="24"/>
          <w:lang w:val="en-IE"/>
        </w:rPr>
        <w:t>.</w:t>
      </w:r>
    </w:p>
    <w:p w14:paraId="5795B8FB" w14:textId="77777777" w:rsidR="008D4360" w:rsidRPr="00780A89" w:rsidRDefault="008D4360" w:rsidP="49FA22C6">
      <w:pPr>
        <w:jc w:val="both"/>
        <w:rPr>
          <w:rFonts w:ascii="Times New Roman" w:eastAsia="Calibri" w:hAnsi="Times New Roman" w:cs="Times New Roman"/>
          <w:noProof/>
          <w:sz w:val="24"/>
          <w:szCs w:val="24"/>
          <w:lang w:val="en-IE"/>
        </w:rPr>
      </w:pPr>
    </w:p>
    <w:p w14:paraId="5277D660" w14:textId="60945B4C" w:rsidR="3C9276BA" w:rsidRPr="00780A89" w:rsidRDefault="626D88F2" w:rsidP="1FAF0ABF">
      <w:pPr>
        <w:pStyle w:val="Heading1"/>
        <w:numPr>
          <w:ilvl w:val="0"/>
          <w:numId w:val="3"/>
        </w:numPr>
        <w:spacing w:after="240"/>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b/>
          <w:bCs/>
          <w:noProof/>
          <w:color w:val="000000" w:themeColor="text1"/>
          <w:sz w:val="24"/>
          <w:szCs w:val="24"/>
          <w:u w:val="single"/>
          <w:lang w:val="en-IE"/>
        </w:rPr>
        <w:t>Commission assessment of Member States’ Preventive Action Plans and Emergency Plans</w:t>
      </w:r>
    </w:p>
    <w:p w14:paraId="16FC68B2" w14:textId="77777777" w:rsidR="001C2FFF" w:rsidRDefault="001C2FFF" w:rsidP="001C2FFF">
      <w:pPr>
        <w:jc w:val="both"/>
        <w:rPr>
          <w:rFonts w:ascii="Times New Roman" w:eastAsia="Times New Roman" w:hAnsi="Times New Roman" w:cs="Times New Roman"/>
          <w:noProof/>
          <w:color w:val="000000" w:themeColor="text1"/>
          <w:sz w:val="24"/>
          <w:szCs w:val="24"/>
          <w:lang w:val="en-IE"/>
        </w:rPr>
      </w:pPr>
      <w:r w:rsidRPr="001C2FFF">
        <w:rPr>
          <w:rFonts w:ascii="Times New Roman" w:eastAsia="Times New Roman" w:hAnsi="Times New Roman" w:cs="Times New Roman"/>
          <w:noProof/>
          <w:color w:val="000000" w:themeColor="text1"/>
          <w:sz w:val="24"/>
          <w:szCs w:val="24"/>
          <w:lang w:val="en-IE"/>
        </w:rPr>
        <w:t xml:space="preserve">Article 17 of the Gas Security of Supply Regulation requires the Commission to submit a report, based on the Commission’s assessments of the updated </w:t>
      </w:r>
      <w:r w:rsidRPr="0AFCBEB5">
        <w:rPr>
          <w:rFonts w:ascii="Times New Roman" w:eastAsia="Times New Roman" w:hAnsi="Times New Roman" w:cs="Times New Roman"/>
          <w:noProof/>
          <w:color w:val="000000" w:themeColor="text1"/>
          <w:sz w:val="24"/>
          <w:szCs w:val="24"/>
          <w:lang w:val="en-IE"/>
        </w:rPr>
        <w:t>Preventive Action Plans (PAPs) and Emergency Plans (EPs)</w:t>
      </w:r>
      <w:r>
        <w:rPr>
          <w:rFonts w:ascii="Times New Roman" w:eastAsia="Times New Roman" w:hAnsi="Times New Roman" w:cs="Times New Roman"/>
          <w:noProof/>
          <w:color w:val="000000" w:themeColor="text1"/>
          <w:sz w:val="24"/>
          <w:szCs w:val="24"/>
          <w:lang w:val="en-IE"/>
        </w:rPr>
        <w:t>.</w:t>
      </w:r>
    </w:p>
    <w:p w14:paraId="7D03A1A4" w14:textId="0C958966" w:rsidR="001C2FFF" w:rsidRPr="001C2FFF" w:rsidRDefault="69BD47E0" w:rsidP="001C2FFF">
      <w:pPr>
        <w:jc w:val="both"/>
        <w:rPr>
          <w:rFonts w:ascii="Times New Roman" w:eastAsia="Times New Roman" w:hAnsi="Times New Roman" w:cs="Times New Roman"/>
          <w:noProof/>
          <w:color w:val="000000" w:themeColor="text1"/>
          <w:sz w:val="24"/>
          <w:szCs w:val="24"/>
        </w:rPr>
      </w:pPr>
      <w:r w:rsidRPr="0AFCBEB5">
        <w:rPr>
          <w:rFonts w:ascii="Times New Roman" w:eastAsia="Times New Roman" w:hAnsi="Times New Roman" w:cs="Times New Roman"/>
          <w:noProof/>
          <w:color w:val="000000" w:themeColor="text1"/>
          <w:sz w:val="24"/>
          <w:szCs w:val="24"/>
          <w:lang w:val="en-IE"/>
        </w:rPr>
        <w:t>In 2019, Member States submitted their</w:t>
      </w:r>
      <w:r w:rsidR="3FE80A3B" w:rsidRPr="0AFCBEB5">
        <w:rPr>
          <w:rFonts w:ascii="Times New Roman" w:eastAsia="Times New Roman" w:hAnsi="Times New Roman" w:cs="Times New Roman"/>
          <w:noProof/>
          <w:color w:val="000000" w:themeColor="text1"/>
          <w:sz w:val="24"/>
          <w:szCs w:val="24"/>
          <w:lang w:val="en-IE"/>
        </w:rPr>
        <w:t xml:space="preserve"> </w:t>
      </w:r>
      <w:r w:rsidR="15973D5C" w:rsidRPr="0AFCBEB5">
        <w:rPr>
          <w:rFonts w:ascii="Times New Roman" w:eastAsia="Times New Roman" w:hAnsi="Times New Roman" w:cs="Times New Roman"/>
          <w:noProof/>
          <w:color w:val="000000" w:themeColor="text1"/>
          <w:sz w:val="24"/>
          <w:szCs w:val="24"/>
          <w:lang w:val="en-IE"/>
        </w:rPr>
        <w:t xml:space="preserve">PAPs </w:t>
      </w:r>
      <w:r w:rsidR="3FE80A3B" w:rsidRPr="0AFCBEB5">
        <w:rPr>
          <w:rFonts w:ascii="Times New Roman" w:eastAsia="Times New Roman" w:hAnsi="Times New Roman" w:cs="Times New Roman"/>
          <w:noProof/>
          <w:color w:val="000000" w:themeColor="text1"/>
          <w:sz w:val="24"/>
          <w:szCs w:val="24"/>
          <w:lang w:val="en-IE"/>
        </w:rPr>
        <w:t xml:space="preserve">and </w:t>
      </w:r>
      <w:r w:rsidR="6D62C46A" w:rsidRPr="0AFCBEB5">
        <w:rPr>
          <w:rFonts w:ascii="Times New Roman" w:eastAsia="Times New Roman" w:hAnsi="Times New Roman" w:cs="Times New Roman"/>
          <w:noProof/>
          <w:color w:val="000000" w:themeColor="text1"/>
          <w:sz w:val="24"/>
          <w:szCs w:val="24"/>
          <w:lang w:val="en-IE"/>
        </w:rPr>
        <w:t>EPs</w:t>
      </w:r>
      <w:r w:rsidRPr="0AFCBEB5">
        <w:rPr>
          <w:rFonts w:ascii="Times New Roman" w:eastAsia="Times New Roman" w:hAnsi="Times New Roman" w:cs="Times New Roman"/>
          <w:noProof/>
          <w:color w:val="000000" w:themeColor="text1"/>
          <w:sz w:val="24"/>
          <w:szCs w:val="24"/>
          <w:lang w:val="en-IE"/>
        </w:rPr>
        <w:t xml:space="preserve"> to the Commission, after which the Commission </w:t>
      </w:r>
      <w:r w:rsidR="00781F3A" w:rsidRPr="0AFCBEB5">
        <w:rPr>
          <w:rFonts w:ascii="Times New Roman" w:eastAsia="Times New Roman" w:hAnsi="Times New Roman" w:cs="Times New Roman"/>
          <w:noProof/>
          <w:color w:val="000000" w:themeColor="text1"/>
          <w:sz w:val="24"/>
          <w:szCs w:val="24"/>
          <w:lang w:val="en-IE"/>
        </w:rPr>
        <w:t>assessed</w:t>
      </w:r>
      <w:r w:rsidRPr="0AFCBEB5">
        <w:rPr>
          <w:rFonts w:ascii="Times New Roman" w:eastAsia="Times New Roman" w:hAnsi="Times New Roman" w:cs="Times New Roman"/>
          <w:noProof/>
          <w:color w:val="000000" w:themeColor="text1"/>
          <w:sz w:val="24"/>
          <w:szCs w:val="24"/>
          <w:lang w:val="en-IE"/>
        </w:rPr>
        <w:t xml:space="preserve"> the plans and issued a series of opinions</w:t>
      </w:r>
      <w:r w:rsidRPr="0AFCBEB5">
        <w:rPr>
          <w:rStyle w:val="FootnoteReference"/>
          <w:rFonts w:ascii="Times New Roman" w:eastAsia="Times New Roman" w:hAnsi="Times New Roman" w:cs="Times New Roman"/>
          <w:noProof/>
          <w:color w:val="000000" w:themeColor="text1"/>
          <w:sz w:val="24"/>
          <w:szCs w:val="24"/>
          <w:lang w:val="en-IE"/>
        </w:rPr>
        <w:footnoteReference w:id="5"/>
      </w:r>
      <w:r w:rsidRPr="0AFCBEB5">
        <w:rPr>
          <w:rFonts w:ascii="Times New Roman" w:eastAsia="Times New Roman" w:hAnsi="Times New Roman" w:cs="Times New Roman"/>
          <w:noProof/>
          <w:color w:val="000000" w:themeColor="text1"/>
          <w:sz w:val="24"/>
          <w:szCs w:val="24"/>
          <w:lang w:val="en-IE"/>
        </w:rPr>
        <w:t xml:space="preserve"> with specific recommendations and points where the plans should be improved. </w:t>
      </w:r>
      <w:r w:rsidR="001C775B" w:rsidRPr="0AFCBEB5">
        <w:rPr>
          <w:rFonts w:ascii="Times New Roman" w:eastAsia="Times New Roman" w:hAnsi="Times New Roman" w:cs="Times New Roman"/>
          <w:noProof/>
          <w:color w:val="000000" w:themeColor="text1"/>
          <w:sz w:val="24"/>
          <w:szCs w:val="24"/>
          <w:lang w:val="en-IE"/>
        </w:rPr>
        <w:t xml:space="preserve">The </w:t>
      </w:r>
      <w:r w:rsidRPr="0AFCBEB5">
        <w:rPr>
          <w:rFonts w:ascii="Times New Roman" w:eastAsia="Times New Roman" w:hAnsi="Times New Roman" w:cs="Times New Roman"/>
          <w:noProof/>
          <w:color w:val="000000" w:themeColor="text1"/>
          <w:sz w:val="24"/>
          <w:szCs w:val="24"/>
          <w:lang w:val="en-IE"/>
        </w:rPr>
        <w:t xml:space="preserve">same process should </w:t>
      </w:r>
      <w:r w:rsidR="001C2FFF">
        <w:rPr>
          <w:rFonts w:ascii="Times New Roman" w:eastAsia="Times New Roman" w:hAnsi="Times New Roman" w:cs="Times New Roman"/>
          <w:noProof/>
          <w:color w:val="000000" w:themeColor="text1"/>
          <w:sz w:val="24"/>
          <w:szCs w:val="24"/>
          <w:lang w:val="en-IE"/>
        </w:rPr>
        <w:t>take</w:t>
      </w:r>
      <w:r w:rsidRPr="0AFCBEB5">
        <w:rPr>
          <w:rFonts w:ascii="Times New Roman" w:eastAsia="Times New Roman" w:hAnsi="Times New Roman" w:cs="Times New Roman"/>
          <w:noProof/>
          <w:color w:val="000000" w:themeColor="text1"/>
          <w:sz w:val="24"/>
          <w:szCs w:val="24"/>
          <w:lang w:val="en-IE"/>
        </w:rPr>
        <w:t xml:space="preserve"> place in 2023</w:t>
      </w:r>
      <w:r w:rsidR="4BB4031D" w:rsidRPr="008216C3">
        <w:rPr>
          <w:rFonts w:ascii="Times New Roman" w:eastAsia="Times New Roman" w:hAnsi="Times New Roman" w:cs="Times New Roman"/>
          <w:noProof/>
          <w:color w:val="000000" w:themeColor="text1"/>
          <w:sz w:val="24"/>
          <w:szCs w:val="24"/>
          <w:lang w:val="en-IE"/>
        </w:rPr>
        <w:t xml:space="preserve"> due to a regular 4-yearly update of the plans required by Articles 9(11) and 10(2)</w:t>
      </w:r>
      <w:r w:rsidR="003E7B21">
        <w:rPr>
          <w:rFonts w:ascii="Times New Roman" w:eastAsia="Times New Roman" w:hAnsi="Times New Roman" w:cs="Times New Roman"/>
          <w:noProof/>
          <w:color w:val="000000" w:themeColor="text1"/>
          <w:sz w:val="24"/>
          <w:szCs w:val="24"/>
          <w:lang w:val="en-IE"/>
        </w:rPr>
        <w:t xml:space="preserve"> of the </w:t>
      </w:r>
      <w:r w:rsidR="00C40468">
        <w:rPr>
          <w:rFonts w:ascii="Times New Roman" w:eastAsia="Times New Roman" w:hAnsi="Times New Roman" w:cs="Times New Roman"/>
          <w:noProof/>
          <w:color w:val="000000" w:themeColor="text1"/>
          <w:sz w:val="24"/>
          <w:szCs w:val="24"/>
          <w:lang w:val="en-IE"/>
        </w:rPr>
        <w:t>Gas Security of Supply Regulation</w:t>
      </w:r>
      <w:r w:rsidRPr="0AFCBEB5">
        <w:rPr>
          <w:rFonts w:ascii="Times New Roman" w:eastAsia="Times New Roman" w:hAnsi="Times New Roman" w:cs="Times New Roman"/>
          <w:noProof/>
          <w:color w:val="000000" w:themeColor="text1"/>
          <w:sz w:val="24"/>
          <w:szCs w:val="24"/>
          <w:lang w:val="en-IE"/>
        </w:rPr>
        <w:t xml:space="preserve">, </w:t>
      </w:r>
      <w:r w:rsidR="001C2FFF">
        <w:rPr>
          <w:rFonts w:ascii="Times New Roman" w:eastAsia="Times New Roman" w:hAnsi="Times New Roman" w:cs="Times New Roman"/>
          <w:noProof/>
          <w:color w:val="000000" w:themeColor="text1"/>
          <w:sz w:val="24"/>
          <w:szCs w:val="24"/>
          <w:lang w:val="en-IE"/>
        </w:rPr>
        <w:t xml:space="preserve">with </w:t>
      </w:r>
      <w:r w:rsidRPr="0AFCBEB5">
        <w:rPr>
          <w:rFonts w:ascii="Times New Roman" w:eastAsia="Times New Roman" w:hAnsi="Times New Roman" w:cs="Times New Roman"/>
          <w:noProof/>
          <w:color w:val="000000" w:themeColor="text1"/>
          <w:sz w:val="24"/>
          <w:szCs w:val="24"/>
          <w:lang w:val="en-IE"/>
        </w:rPr>
        <w:t xml:space="preserve">Member States </w:t>
      </w:r>
      <w:r w:rsidR="001C2FFF">
        <w:rPr>
          <w:rFonts w:ascii="Times New Roman" w:eastAsia="Times New Roman" w:hAnsi="Times New Roman" w:cs="Times New Roman"/>
          <w:noProof/>
          <w:color w:val="000000" w:themeColor="text1"/>
          <w:sz w:val="24"/>
          <w:szCs w:val="24"/>
          <w:lang w:val="en-IE"/>
        </w:rPr>
        <w:t>required</w:t>
      </w:r>
      <w:r w:rsidRPr="0AFCBEB5">
        <w:rPr>
          <w:rFonts w:ascii="Times New Roman" w:eastAsia="Times New Roman" w:hAnsi="Times New Roman" w:cs="Times New Roman"/>
          <w:noProof/>
          <w:color w:val="000000" w:themeColor="text1"/>
          <w:sz w:val="24"/>
          <w:szCs w:val="24"/>
          <w:lang w:val="en-IE"/>
        </w:rPr>
        <w:t xml:space="preserve"> to submit updated plans by March 2023. However, </w:t>
      </w:r>
      <w:r w:rsidR="001C2FFF">
        <w:rPr>
          <w:rFonts w:ascii="Times New Roman" w:eastAsia="Times New Roman" w:hAnsi="Times New Roman" w:cs="Times New Roman"/>
          <w:noProof/>
          <w:color w:val="000000" w:themeColor="text1"/>
          <w:sz w:val="24"/>
          <w:szCs w:val="24"/>
          <w:lang w:val="en-IE"/>
        </w:rPr>
        <w:t>at the time of writing</w:t>
      </w:r>
      <w:r w:rsidR="006D721B">
        <w:rPr>
          <w:rFonts w:ascii="Times New Roman" w:eastAsia="Times New Roman" w:hAnsi="Times New Roman" w:cs="Times New Roman"/>
          <w:noProof/>
          <w:color w:val="000000" w:themeColor="text1"/>
          <w:sz w:val="24"/>
          <w:szCs w:val="24"/>
          <w:lang w:val="en-IE"/>
        </w:rPr>
        <w:t>,</w:t>
      </w:r>
      <w:r w:rsidRPr="0AFCBEB5">
        <w:rPr>
          <w:rFonts w:ascii="Times New Roman" w:eastAsia="Times New Roman" w:hAnsi="Times New Roman" w:cs="Times New Roman"/>
          <w:noProof/>
          <w:color w:val="000000" w:themeColor="text1"/>
          <w:sz w:val="24"/>
          <w:szCs w:val="24"/>
          <w:lang w:val="en-IE"/>
        </w:rPr>
        <w:t xml:space="preserve"> the Commission has received</w:t>
      </w:r>
      <w:r w:rsidR="00FB2CF6" w:rsidRPr="0AFCBEB5">
        <w:rPr>
          <w:rFonts w:ascii="Times New Roman" w:eastAsia="Times New Roman" w:hAnsi="Times New Roman" w:cs="Times New Roman"/>
          <w:noProof/>
          <w:color w:val="000000" w:themeColor="text1"/>
          <w:sz w:val="24"/>
          <w:szCs w:val="24"/>
          <w:lang w:val="en-IE"/>
        </w:rPr>
        <w:t xml:space="preserve"> </w:t>
      </w:r>
      <w:r w:rsidR="5CF08DD1" w:rsidRPr="0AFCBEB5">
        <w:rPr>
          <w:rFonts w:ascii="Times New Roman" w:eastAsia="Times New Roman" w:hAnsi="Times New Roman" w:cs="Times New Roman"/>
          <w:noProof/>
          <w:color w:val="000000" w:themeColor="text1"/>
          <w:sz w:val="24"/>
          <w:szCs w:val="24"/>
          <w:lang w:val="en-IE"/>
        </w:rPr>
        <w:t>both</w:t>
      </w:r>
      <w:r w:rsidR="00FB2CF6" w:rsidRPr="0AFCBEB5">
        <w:rPr>
          <w:rFonts w:ascii="Times New Roman" w:eastAsia="Times New Roman" w:hAnsi="Times New Roman" w:cs="Times New Roman"/>
          <w:noProof/>
          <w:color w:val="000000" w:themeColor="text1"/>
          <w:sz w:val="24"/>
          <w:szCs w:val="24"/>
          <w:lang w:val="en-IE"/>
        </w:rPr>
        <w:t xml:space="preserve"> plans</w:t>
      </w:r>
      <w:r w:rsidR="28CD41DD" w:rsidRPr="0AFCBEB5">
        <w:rPr>
          <w:rFonts w:ascii="Times New Roman" w:eastAsia="Times New Roman" w:hAnsi="Times New Roman" w:cs="Times New Roman"/>
          <w:noProof/>
          <w:color w:val="000000" w:themeColor="text1"/>
          <w:sz w:val="24"/>
          <w:szCs w:val="24"/>
          <w:lang w:val="en-IE"/>
        </w:rPr>
        <w:t xml:space="preserve"> </w:t>
      </w:r>
      <w:r w:rsidR="00CB32AE">
        <w:rPr>
          <w:rFonts w:ascii="Times New Roman" w:eastAsia="Times New Roman" w:hAnsi="Times New Roman" w:cs="Times New Roman"/>
          <w:noProof/>
          <w:color w:val="000000" w:themeColor="text1"/>
          <w:sz w:val="24"/>
          <w:szCs w:val="24"/>
          <w:lang w:val="en-IE"/>
        </w:rPr>
        <w:t xml:space="preserve">only </w:t>
      </w:r>
      <w:r w:rsidR="28CD41DD" w:rsidRPr="0AFCBEB5">
        <w:rPr>
          <w:rFonts w:ascii="Times New Roman" w:eastAsia="Times New Roman" w:hAnsi="Times New Roman" w:cs="Times New Roman"/>
          <w:noProof/>
          <w:color w:val="000000" w:themeColor="text1"/>
          <w:sz w:val="24"/>
          <w:szCs w:val="24"/>
          <w:lang w:val="en-IE"/>
        </w:rPr>
        <w:t xml:space="preserve">from </w:t>
      </w:r>
      <w:r w:rsidR="00CB32AE">
        <w:rPr>
          <w:rFonts w:ascii="Times New Roman" w:eastAsia="Times New Roman" w:hAnsi="Times New Roman" w:cs="Times New Roman"/>
          <w:noProof/>
          <w:color w:val="000000" w:themeColor="text1"/>
          <w:sz w:val="24"/>
          <w:szCs w:val="24"/>
          <w:lang w:val="en-IE"/>
        </w:rPr>
        <w:t>seven</w:t>
      </w:r>
      <w:r w:rsidR="28CD41DD" w:rsidRPr="0AFCBEB5">
        <w:rPr>
          <w:rFonts w:ascii="Times New Roman" w:eastAsia="Times New Roman" w:hAnsi="Times New Roman" w:cs="Times New Roman"/>
          <w:noProof/>
          <w:color w:val="000000" w:themeColor="text1"/>
          <w:sz w:val="24"/>
          <w:szCs w:val="24"/>
          <w:lang w:val="en-IE"/>
        </w:rPr>
        <w:t xml:space="preserve"> Member States, the majority of which were received in June</w:t>
      </w:r>
      <w:r w:rsidR="001C2FFF">
        <w:rPr>
          <w:rFonts w:ascii="Times New Roman" w:eastAsia="Times New Roman" w:hAnsi="Times New Roman" w:cs="Times New Roman"/>
          <w:noProof/>
          <w:color w:val="000000" w:themeColor="text1"/>
          <w:sz w:val="24"/>
          <w:szCs w:val="24"/>
          <w:lang w:val="en-IE"/>
        </w:rPr>
        <w:t>-</w:t>
      </w:r>
      <w:r w:rsidR="28CD41DD" w:rsidRPr="0AFCBEB5">
        <w:rPr>
          <w:rFonts w:ascii="Times New Roman" w:eastAsia="Times New Roman" w:hAnsi="Times New Roman" w:cs="Times New Roman"/>
          <w:noProof/>
          <w:color w:val="000000" w:themeColor="text1"/>
          <w:sz w:val="24"/>
          <w:szCs w:val="24"/>
          <w:lang w:val="en-IE"/>
        </w:rPr>
        <w:t>July 2023</w:t>
      </w:r>
      <w:r w:rsidRPr="0AFCBEB5">
        <w:rPr>
          <w:rStyle w:val="FootnoteReference"/>
          <w:rFonts w:ascii="Times New Roman" w:eastAsia="Times New Roman" w:hAnsi="Times New Roman" w:cs="Times New Roman"/>
          <w:noProof/>
          <w:color w:val="000000" w:themeColor="text1"/>
          <w:sz w:val="24"/>
          <w:szCs w:val="24"/>
          <w:lang w:val="en-IE"/>
        </w:rPr>
        <w:footnoteReference w:id="6"/>
      </w:r>
      <w:r w:rsidR="00CB32AE">
        <w:rPr>
          <w:rFonts w:ascii="Times New Roman" w:eastAsia="Times New Roman" w:hAnsi="Times New Roman" w:cs="Times New Roman"/>
          <w:noProof/>
          <w:color w:val="000000" w:themeColor="text1"/>
          <w:sz w:val="24"/>
          <w:szCs w:val="24"/>
          <w:lang w:val="en-IE"/>
        </w:rPr>
        <w:t>. Consequently</w:t>
      </w:r>
      <w:r w:rsidR="006D721B">
        <w:rPr>
          <w:rFonts w:ascii="Times New Roman" w:eastAsia="Times New Roman" w:hAnsi="Times New Roman" w:cs="Times New Roman"/>
          <w:noProof/>
          <w:color w:val="000000" w:themeColor="text1"/>
          <w:sz w:val="24"/>
          <w:szCs w:val="24"/>
          <w:lang w:val="en-IE"/>
        </w:rPr>
        <w:t>,</w:t>
      </w:r>
      <w:r w:rsidR="00CB32AE">
        <w:rPr>
          <w:rFonts w:ascii="Times New Roman" w:eastAsia="Times New Roman" w:hAnsi="Times New Roman" w:cs="Times New Roman"/>
          <w:noProof/>
          <w:color w:val="000000" w:themeColor="text1"/>
          <w:sz w:val="24"/>
          <w:szCs w:val="24"/>
          <w:lang w:val="en-IE"/>
        </w:rPr>
        <w:t xml:space="preserve"> </w:t>
      </w:r>
      <w:r w:rsidRPr="0AFCBEB5">
        <w:rPr>
          <w:rFonts w:ascii="Times New Roman" w:eastAsia="Times New Roman" w:hAnsi="Times New Roman" w:cs="Times New Roman"/>
          <w:noProof/>
          <w:color w:val="000000" w:themeColor="text1"/>
          <w:sz w:val="24"/>
          <w:szCs w:val="24"/>
          <w:lang w:val="en-IE"/>
        </w:rPr>
        <w:t>the Commission</w:t>
      </w:r>
      <w:r w:rsidR="023D5034" w:rsidRPr="0AFCBEB5">
        <w:rPr>
          <w:rFonts w:ascii="Times New Roman" w:eastAsia="Times New Roman" w:hAnsi="Times New Roman" w:cs="Times New Roman"/>
          <w:noProof/>
          <w:color w:val="000000" w:themeColor="text1"/>
          <w:sz w:val="24"/>
          <w:szCs w:val="24"/>
          <w:lang w:val="en-IE"/>
        </w:rPr>
        <w:t>’s</w:t>
      </w:r>
      <w:r w:rsidRPr="0AFCBEB5">
        <w:rPr>
          <w:rFonts w:ascii="Times New Roman" w:eastAsia="Times New Roman" w:hAnsi="Times New Roman" w:cs="Times New Roman"/>
          <w:noProof/>
          <w:color w:val="000000" w:themeColor="text1"/>
          <w:sz w:val="24"/>
          <w:szCs w:val="24"/>
          <w:lang w:val="en-IE"/>
        </w:rPr>
        <w:t xml:space="preserve"> assessment will be based on the </w:t>
      </w:r>
      <w:r w:rsidR="00CB32AE">
        <w:rPr>
          <w:rFonts w:ascii="Times New Roman" w:eastAsia="Times New Roman" w:hAnsi="Times New Roman" w:cs="Times New Roman"/>
          <w:noProof/>
          <w:color w:val="000000" w:themeColor="text1"/>
          <w:sz w:val="24"/>
          <w:szCs w:val="24"/>
          <w:lang w:val="en-IE"/>
        </w:rPr>
        <w:t xml:space="preserve">PAPs and EPs </w:t>
      </w:r>
      <w:r w:rsidRPr="0AFCBEB5">
        <w:rPr>
          <w:rFonts w:ascii="Times New Roman" w:eastAsia="Times New Roman" w:hAnsi="Times New Roman" w:cs="Times New Roman"/>
          <w:noProof/>
          <w:sz w:val="24"/>
          <w:szCs w:val="24"/>
          <w:lang w:val="en-IE"/>
        </w:rPr>
        <w:t>submitted in 2019,</w:t>
      </w:r>
      <w:r w:rsidRPr="0AFCBEB5">
        <w:rPr>
          <w:rFonts w:ascii="Times New Roman" w:eastAsia="Times New Roman" w:hAnsi="Times New Roman" w:cs="Times New Roman"/>
          <w:noProof/>
          <w:color w:val="000000" w:themeColor="text1"/>
          <w:sz w:val="24"/>
          <w:szCs w:val="24"/>
          <w:lang w:val="en-IE"/>
        </w:rPr>
        <w:t xml:space="preserve"> as well as on the lessons learn</w:t>
      </w:r>
      <w:r w:rsidR="00D22549">
        <w:rPr>
          <w:rFonts w:ascii="Times New Roman" w:eastAsia="Times New Roman" w:hAnsi="Times New Roman" w:cs="Times New Roman"/>
          <w:noProof/>
          <w:color w:val="000000" w:themeColor="text1"/>
          <w:sz w:val="24"/>
          <w:szCs w:val="24"/>
          <w:lang w:val="en-IE"/>
        </w:rPr>
        <w:t>t</w:t>
      </w:r>
      <w:r w:rsidRPr="0AFCBEB5">
        <w:rPr>
          <w:rFonts w:ascii="Times New Roman" w:eastAsia="Times New Roman" w:hAnsi="Times New Roman" w:cs="Times New Roman"/>
          <w:noProof/>
          <w:color w:val="000000" w:themeColor="text1"/>
          <w:sz w:val="24"/>
          <w:szCs w:val="24"/>
          <w:lang w:val="en-IE"/>
        </w:rPr>
        <w:t xml:space="preserve"> from the past year(s)</w:t>
      </w:r>
      <w:r w:rsidR="001C2FFF">
        <w:rPr>
          <w:rFonts w:ascii="Times New Roman" w:eastAsia="Times New Roman" w:hAnsi="Times New Roman" w:cs="Times New Roman"/>
          <w:noProof/>
          <w:color w:val="000000" w:themeColor="text1"/>
          <w:sz w:val="24"/>
          <w:szCs w:val="24"/>
          <w:lang w:val="en-IE"/>
        </w:rPr>
        <w:t>; also, g</w:t>
      </w:r>
      <w:r w:rsidR="001C2FFF" w:rsidRPr="0AFCBEB5">
        <w:rPr>
          <w:rFonts w:ascii="Times New Roman" w:eastAsia="Times New Roman" w:hAnsi="Times New Roman" w:cs="Times New Roman"/>
          <w:noProof/>
          <w:color w:val="000000" w:themeColor="text1"/>
          <w:sz w:val="24"/>
          <w:szCs w:val="24"/>
          <w:lang w:val="en-IE"/>
        </w:rPr>
        <w:t xml:space="preserve">iven that the updated plans were largely missing, the Commission circulated a questionnaire to consult members of the Gas Coordination Group on the provisions of the Gas Security of Supply Regulation. </w:t>
      </w:r>
    </w:p>
    <w:p w14:paraId="6AA07734" w14:textId="14CBC9B2" w:rsidR="001C2FFF" w:rsidRDefault="001C2FFF" w:rsidP="0AFCBEB5">
      <w:pPr>
        <w:keepNext/>
        <w:keepLines/>
        <w:jc w:val="both"/>
        <w:rPr>
          <w:rFonts w:ascii="Times New Roman" w:eastAsia="Times New Roman" w:hAnsi="Times New Roman" w:cs="Times New Roman"/>
          <w:noProof/>
          <w:color w:val="000000" w:themeColor="text1"/>
          <w:sz w:val="24"/>
          <w:szCs w:val="24"/>
          <w:lang w:val="en-IE"/>
        </w:rPr>
      </w:pPr>
      <w:r w:rsidRPr="00780A89">
        <w:rPr>
          <w:rFonts w:ascii="Times New Roman" w:eastAsia="Times New Roman" w:hAnsi="Times New Roman" w:cs="Times New Roman"/>
          <w:noProof/>
          <w:color w:val="000000" w:themeColor="text1"/>
          <w:sz w:val="24"/>
          <w:szCs w:val="24"/>
          <w:lang w:val="en-IE"/>
        </w:rPr>
        <w:t xml:space="preserve">A more elaborate explanation of the context and substance of the provisions, as well as more details of the Commission’s review of the provisions of the Gas Security of Supply Regulation can be found in the Staff Working </w:t>
      </w:r>
      <w:r w:rsidRPr="007B6A59">
        <w:rPr>
          <w:rFonts w:ascii="Times New Roman" w:eastAsia="Times New Roman" w:hAnsi="Times New Roman" w:cs="Times New Roman"/>
          <w:noProof/>
          <w:color w:val="000000" w:themeColor="text1"/>
          <w:sz w:val="24"/>
          <w:szCs w:val="24"/>
          <w:lang w:val="en-IE"/>
        </w:rPr>
        <w:t>Document SWD(</w:t>
      </w:r>
      <w:r w:rsidR="007B6A59" w:rsidRPr="007B6A59">
        <w:rPr>
          <w:rFonts w:ascii="Times New Roman" w:eastAsia="Times New Roman" w:hAnsi="Times New Roman" w:cs="Times New Roman"/>
          <w:noProof/>
          <w:color w:val="000000" w:themeColor="text1"/>
          <w:sz w:val="24"/>
          <w:szCs w:val="24"/>
          <w:lang w:val="en-IE"/>
        </w:rPr>
        <w:t>2023</w:t>
      </w:r>
      <w:r w:rsidRPr="007B6A59">
        <w:rPr>
          <w:rFonts w:ascii="Times New Roman" w:eastAsia="Times New Roman" w:hAnsi="Times New Roman" w:cs="Times New Roman"/>
          <w:noProof/>
          <w:color w:val="000000" w:themeColor="text1"/>
          <w:sz w:val="24"/>
          <w:szCs w:val="24"/>
          <w:lang w:val="en-IE"/>
        </w:rPr>
        <w:t>)</w:t>
      </w:r>
      <w:r w:rsidR="007B6A59" w:rsidRPr="007B6A59">
        <w:rPr>
          <w:rFonts w:ascii="Times New Roman" w:eastAsia="Times New Roman" w:hAnsi="Times New Roman" w:cs="Times New Roman"/>
          <w:noProof/>
          <w:color w:val="000000" w:themeColor="text1"/>
          <w:sz w:val="24"/>
          <w:szCs w:val="24"/>
          <w:lang w:val="en-IE"/>
        </w:rPr>
        <w:t>323</w:t>
      </w:r>
      <w:r w:rsidRPr="00780A89">
        <w:rPr>
          <w:rFonts w:ascii="Times New Roman" w:eastAsia="Times New Roman" w:hAnsi="Times New Roman" w:cs="Times New Roman"/>
          <w:noProof/>
          <w:color w:val="000000" w:themeColor="text1"/>
          <w:sz w:val="24"/>
          <w:szCs w:val="24"/>
          <w:lang w:val="en-IE"/>
        </w:rPr>
        <w:t>.</w:t>
      </w:r>
    </w:p>
    <w:p w14:paraId="33755BA8" w14:textId="77777777" w:rsidR="001C2FFF" w:rsidRPr="00780A89" w:rsidRDefault="001C2FFF" w:rsidP="0AFCBEB5">
      <w:pPr>
        <w:keepNext/>
        <w:keepLines/>
        <w:jc w:val="both"/>
        <w:rPr>
          <w:rFonts w:ascii="Times New Roman" w:eastAsia="Times New Roman" w:hAnsi="Times New Roman" w:cs="Times New Roman"/>
          <w:noProof/>
          <w:color w:val="000000" w:themeColor="text1"/>
          <w:sz w:val="24"/>
          <w:szCs w:val="24"/>
          <w:lang w:val="en-IE"/>
        </w:rPr>
      </w:pPr>
    </w:p>
    <w:p w14:paraId="4465BF8B" w14:textId="7639FCD0" w:rsidR="3C9276BA" w:rsidRPr="00780A89" w:rsidRDefault="626D88F2" w:rsidP="1FAF0ABF">
      <w:pPr>
        <w:pStyle w:val="Heading1"/>
        <w:numPr>
          <w:ilvl w:val="0"/>
          <w:numId w:val="3"/>
        </w:numPr>
        <w:spacing w:after="240"/>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b/>
          <w:bCs/>
          <w:noProof/>
          <w:color w:val="000000" w:themeColor="text1"/>
          <w:sz w:val="24"/>
          <w:szCs w:val="24"/>
          <w:u w:val="single"/>
          <w:lang w:val="en-IE"/>
        </w:rPr>
        <w:t>Review o</w:t>
      </w:r>
      <w:r w:rsidR="00CCE9EC" w:rsidRPr="0AFCBEB5">
        <w:rPr>
          <w:rFonts w:ascii="Times New Roman" w:eastAsia="Times New Roman" w:hAnsi="Times New Roman" w:cs="Times New Roman"/>
          <w:b/>
          <w:bCs/>
          <w:noProof/>
          <w:color w:val="000000" w:themeColor="text1"/>
          <w:sz w:val="24"/>
          <w:szCs w:val="24"/>
          <w:u w:val="single"/>
          <w:lang w:val="en-IE"/>
        </w:rPr>
        <w:t>f</w:t>
      </w:r>
      <w:r w:rsidRPr="0AFCBEB5">
        <w:rPr>
          <w:rFonts w:ascii="Times New Roman" w:eastAsia="Times New Roman" w:hAnsi="Times New Roman" w:cs="Times New Roman"/>
          <w:b/>
          <w:bCs/>
          <w:noProof/>
          <w:color w:val="000000" w:themeColor="text1"/>
          <w:sz w:val="24"/>
          <w:szCs w:val="24"/>
          <w:u w:val="single"/>
          <w:lang w:val="en-IE"/>
        </w:rPr>
        <w:t xml:space="preserve"> </w:t>
      </w:r>
      <w:r w:rsidR="001C2FFF">
        <w:rPr>
          <w:rFonts w:ascii="Times New Roman" w:eastAsia="Times New Roman" w:hAnsi="Times New Roman" w:cs="Times New Roman"/>
          <w:b/>
          <w:bCs/>
          <w:noProof/>
          <w:color w:val="000000" w:themeColor="text1"/>
          <w:sz w:val="24"/>
          <w:szCs w:val="24"/>
          <w:u w:val="single"/>
          <w:lang w:val="en-IE"/>
        </w:rPr>
        <w:t>the Gas Security of Supply Regulation</w:t>
      </w:r>
      <w:r w:rsidRPr="0AFCBEB5">
        <w:rPr>
          <w:rFonts w:ascii="Times New Roman" w:eastAsia="Times New Roman" w:hAnsi="Times New Roman" w:cs="Times New Roman"/>
          <w:b/>
          <w:bCs/>
          <w:noProof/>
          <w:color w:val="000000" w:themeColor="text1"/>
          <w:sz w:val="24"/>
          <w:szCs w:val="24"/>
          <w:u w:val="single"/>
          <w:lang w:val="en-IE"/>
        </w:rPr>
        <w:t xml:space="preserve"> and possible means to enhance security of gas supply</w:t>
      </w:r>
      <w:r w:rsidR="00826052" w:rsidRPr="0AFCBEB5">
        <w:rPr>
          <w:rFonts w:ascii="Times New Roman" w:eastAsia="Times New Roman" w:hAnsi="Times New Roman" w:cs="Times New Roman"/>
          <w:b/>
          <w:bCs/>
          <w:noProof/>
          <w:color w:val="000000" w:themeColor="text1"/>
          <w:sz w:val="24"/>
          <w:szCs w:val="24"/>
          <w:u w:val="single"/>
          <w:lang w:val="en-IE"/>
        </w:rPr>
        <w:t xml:space="preserve"> and lessons learnt from the </w:t>
      </w:r>
      <w:r w:rsidR="005B6ABE" w:rsidRPr="0AFCBEB5">
        <w:rPr>
          <w:rFonts w:ascii="Times New Roman" w:eastAsia="Times New Roman" w:hAnsi="Times New Roman" w:cs="Times New Roman"/>
          <w:b/>
          <w:bCs/>
          <w:noProof/>
          <w:color w:val="000000" w:themeColor="text1"/>
          <w:sz w:val="24"/>
          <w:szCs w:val="24"/>
          <w:u w:val="single"/>
          <w:lang w:val="en-IE"/>
        </w:rPr>
        <w:t>gas crisis</w:t>
      </w:r>
    </w:p>
    <w:p w14:paraId="7AD2D7AE" w14:textId="15FB26B9" w:rsidR="1FAF0ABF" w:rsidRPr="00780A89" w:rsidRDefault="00793CE4" w:rsidP="1FE3319D">
      <w:pPr>
        <w:spacing w:after="240"/>
        <w:rPr>
          <w:rFonts w:ascii="Times New Roman" w:eastAsia="Times New Roman" w:hAnsi="Times New Roman" w:cs="Times New Roman"/>
          <w:noProof/>
          <w:sz w:val="24"/>
          <w:szCs w:val="24"/>
          <w:lang w:val="en-IE"/>
        </w:rPr>
      </w:pPr>
      <w:r>
        <w:rPr>
          <w:rFonts w:ascii="Times New Roman" w:eastAsia="Times New Roman" w:hAnsi="Times New Roman" w:cs="Times New Roman"/>
          <w:b/>
          <w:bCs/>
          <w:i/>
          <w:iCs/>
          <w:noProof/>
          <w:color w:val="000000" w:themeColor="text1"/>
          <w:sz w:val="24"/>
          <w:szCs w:val="24"/>
          <w:lang w:val="en-IE"/>
        </w:rPr>
        <w:t>3</w:t>
      </w:r>
      <w:r w:rsidR="21B8664D" w:rsidRPr="00780A89">
        <w:rPr>
          <w:rFonts w:ascii="Times New Roman" w:eastAsia="Times New Roman" w:hAnsi="Times New Roman" w:cs="Times New Roman"/>
          <w:b/>
          <w:bCs/>
          <w:i/>
          <w:iCs/>
          <w:noProof/>
          <w:color w:val="000000" w:themeColor="text1"/>
          <w:sz w:val="24"/>
          <w:szCs w:val="24"/>
          <w:lang w:val="en-IE"/>
        </w:rPr>
        <w:t>.1. Gas Coordination Group</w:t>
      </w:r>
    </w:p>
    <w:p w14:paraId="44EDCC2E" w14:textId="5AE827F4" w:rsidR="1FAF0ABF" w:rsidRPr="00780A89" w:rsidRDefault="50B03153" w:rsidP="1FE3319D">
      <w:pPr>
        <w:spacing w:after="240"/>
        <w:jc w:val="both"/>
        <w:rPr>
          <w:rFonts w:ascii="Times New Roman" w:eastAsia="Times New Roman" w:hAnsi="Times New Roman" w:cs="Times New Roman"/>
          <w:noProof/>
          <w:color w:val="000000" w:themeColor="text1"/>
          <w:sz w:val="24"/>
          <w:szCs w:val="24"/>
          <w:lang w:val="en-IE"/>
        </w:rPr>
      </w:pPr>
      <w:r w:rsidRPr="00780A89">
        <w:rPr>
          <w:rFonts w:ascii="Times New Roman" w:eastAsia="Times New Roman" w:hAnsi="Times New Roman" w:cs="Times New Roman"/>
          <w:noProof/>
          <w:color w:val="000000" w:themeColor="text1"/>
          <w:sz w:val="24"/>
          <w:szCs w:val="24"/>
          <w:lang w:val="en-IE"/>
        </w:rPr>
        <w:t xml:space="preserve">The </w:t>
      </w:r>
      <w:r w:rsidR="001C2FFF">
        <w:rPr>
          <w:rFonts w:ascii="Times New Roman" w:eastAsia="Times New Roman" w:hAnsi="Times New Roman" w:cs="Times New Roman"/>
          <w:noProof/>
          <w:color w:val="000000" w:themeColor="text1"/>
          <w:sz w:val="24"/>
          <w:szCs w:val="24"/>
          <w:lang w:val="en-IE"/>
        </w:rPr>
        <w:t>Gas Coordination Group (</w:t>
      </w:r>
      <w:r w:rsidRPr="00780A89">
        <w:rPr>
          <w:rFonts w:ascii="Times New Roman" w:eastAsia="Times New Roman" w:hAnsi="Times New Roman" w:cs="Times New Roman"/>
          <w:noProof/>
          <w:color w:val="000000" w:themeColor="text1"/>
          <w:sz w:val="24"/>
          <w:szCs w:val="24"/>
          <w:lang w:val="en-IE"/>
        </w:rPr>
        <w:t>GCG</w:t>
      </w:r>
      <w:r w:rsidR="001C2FFF">
        <w:rPr>
          <w:rFonts w:ascii="Times New Roman" w:eastAsia="Times New Roman" w:hAnsi="Times New Roman" w:cs="Times New Roman"/>
          <w:noProof/>
          <w:color w:val="000000" w:themeColor="text1"/>
          <w:sz w:val="24"/>
          <w:szCs w:val="24"/>
          <w:lang w:val="en-IE"/>
        </w:rPr>
        <w:t>)</w:t>
      </w:r>
      <w:r w:rsidRPr="00780A89">
        <w:rPr>
          <w:rFonts w:ascii="Times New Roman" w:eastAsia="Times New Roman" w:hAnsi="Times New Roman" w:cs="Times New Roman"/>
          <w:noProof/>
          <w:color w:val="000000" w:themeColor="text1"/>
          <w:sz w:val="24"/>
          <w:szCs w:val="24"/>
          <w:lang w:val="en-IE"/>
        </w:rPr>
        <w:t xml:space="preserve"> derives its legal basis from Article 4 of the Gas Security of Supply Regulation, which stipulates that the GCG is chaired by the Commission and is composed of representatives of Member States, ACER, ENTSOG and bodies representing industries and consumers. The Commission can, in consultation with Member States, decide on the composition of the GCG, to ensure it is fully representative. </w:t>
      </w:r>
    </w:p>
    <w:p w14:paraId="01D358E4" w14:textId="26FA9012" w:rsidR="1FAF0ABF" w:rsidRPr="00780A89" w:rsidRDefault="00611031" w:rsidP="1FE3319D">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color w:val="000000" w:themeColor="text1"/>
          <w:sz w:val="24"/>
          <w:szCs w:val="24"/>
          <w:lang w:val="en-IE"/>
        </w:rPr>
        <w:t xml:space="preserve">In </w:t>
      </w:r>
      <w:r w:rsidR="50B03153" w:rsidRPr="00780A89">
        <w:rPr>
          <w:rFonts w:ascii="Times New Roman" w:eastAsia="Times New Roman" w:hAnsi="Times New Roman" w:cs="Times New Roman"/>
          <w:noProof/>
          <w:color w:val="000000" w:themeColor="text1"/>
          <w:sz w:val="24"/>
          <w:szCs w:val="24"/>
          <w:lang w:val="en-IE"/>
        </w:rPr>
        <w:t xml:space="preserve">2022, the GCG </w:t>
      </w:r>
      <w:r w:rsidR="001C2FFF">
        <w:rPr>
          <w:rFonts w:ascii="Times New Roman" w:eastAsia="Times New Roman" w:hAnsi="Times New Roman" w:cs="Times New Roman"/>
          <w:noProof/>
          <w:color w:val="000000" w:themeColor="text1"/>
          <w:sz w:val="24"/>
          <w:szCs w:val="24"/>
          <w:lang w:val="en-IE"/>
        </w:rPr>
        <w:t xml:space="preserve">was </w:t>
      </w:r>
      <w:r w:rsidR="50B03153" w:rsidRPr="00780A89">
        <w:rPr>
          <w:rFonts w:ascii="Times New Roman" w:eastAsia="Times New Roman" w:hAnsi="Times New Roman" w:cs="Times New Roman"/>
          <w:noProof/>
          <w:color w:val="000000" w:themeColor="text1"/>
          <w:sz w:val="24"/>
          <w:szCs w:val="24"/>
          <w:lang w:val="en-IE"/>
        </w:rPr>
        <w:t xml:space="preserve">convened a record number of 24 times. In particular, the </w:t>
      </w:r>
      <w:r w:rsidR="00C516FC">
        <w:rPr>
          <w:rFonts w:ascii="Times New Roman" w:eastAsia="Times New Roman" w:hAnsi="Times New Roman" w:cs="Times New Roman"/>
          <w:noProof/>
          <w:color w:val="000000" w:themeColor="text1"/>
          <w:sz w:val="24"/>
          <w:szCs w:val="24"/>
          <w:lang w:val="en-IE"/>
        </w:rPr>
        <w:t xml:space="preserve">GCG discussed </w:t>
      </w:r>
      <w:r w:rsidR="50B03153" w:rsidRPr="00780A89">
        <w:rPr>
          <w:rFonts w:ascii="Times New Roman" w:eastAsia="Times New Roman" w:hAnsi="Times New Roman" w:cs="Times New Roman"/>
          <w:noProof/>
          <w:color w:val="000000" w:themeColor="text1"/>
          <w:sz w:val="24"/>
          <w:szCs w:val="24"/>
          <w:lang w:val="en-IE"/>
        </w:rPr>
        <w:t xml:space="preserve">latest developments regarding security of gas supply in the context </w:t>
      </w:r>
      <w:r w:rsidR="0A2F4260" w:rsidRPr="00780A89">
        <w:rPr>
          <w:rFonts w:ascii="Times New Roman" w:eastAsia="Times New Roman" w:hAnsi="Times New Roman" w:cs="Times New Roman"/>
          <w:noProof/>
          <w:color w:val="000000" w:themeColor="text1"/>
          <w:sz w:val="24"/>
          <w:szCs w:val="24"/>
          <w:lang w:val="en-IE"/>
        </w:rPr>
        <w:t>of</w:t>
      </w:r>
      <w:r w:rsidR="50B03153" w:rsidRPr="00780A89">
        <w:rPr>
          <w:rFonts w:ascii="Times New Roman" w:eastAsia="Times New Roman" w:hAnsi="Times New Roman" w:cs="Times New Roman"/>
          <w:noProof/>
          <w:color w:val="000000" w:themeColor="text1"/>
          <w:sz w:val="24"/>
          <w:szCs w:val="24"/>
          <w:lang w:val="en-IE"/>
        </w:rPr>
        <w:t xml:space="preserve"> the Russian invasion of Ukraine and subsequent gas supply disruptions. In addition, exch</w:t>
      </w:r>
      <w:r w:rsidR="50B03153" w:rsidRPr="00780A89">
        <w:rPr>
          <w:rFonts w:ascii="Times New Roman" w:eastAsia="Times New Roman" w:hAnsi="Times New Roman" w:cs="Times New Roman"/>
          <w:noProof/>
          <w:sz w:val="24"/>
          <w:szCs w:val="24"/>
          <w:lang w:val="en-IE"/>
        </w:rPr>
        <w:t xml:space="preserve">anges were facilitated on best practices on </w:t>
      </w:r>
      <w:r w:rsidR="00554A7D" w:rsidRPr="00780A89">
        <w:rPr>
          <w:rFonts w:ascii="Times New Roman" w:eastAsia="Times New Roman" w:hAnsi="Times New Roman" w:cs="Times New Roman"/>
          <w:noProof/>
          <w:sz w:val="24"/>
          <w:szCs w:val="24"/>
          <w:lang w:val="en-IE"/>
        </w:rPr>
        <w:t xml:space="preserve">national </w:t>
      </w:r>
      <w:r w:rsidR="50B03153" w:rsidRPr="00780A89">
        <w:rPr>
          <w:rFonts w:ascii="Times New Roman" w:eastAsia="Times New Roman" w:hAnsi="Times New Roman" w:cs="Times New Roman"/>
          <w:noProof/>
          <w:sz w:val="24"/>
          <w:szCs w:val="24"/>
          <w:lang w:val="en-IE"/>
        </w:rPr>
        <w:t xml:space="preserve">preventive and emergency measures, as well as on next steps for EU-wide measures to enhance preparedness, which played a key role in informing the Commission </w:t>
      </w:r>
      <w:r w:rsidR="009B6F92" w:rsidRPr="00780A89">
        <w:rPr>
          <w:rFonts w:ascii="Times New Roman" w:eastAsia="Times New Roman" w:hAnsi="Times New Roman" w:cs="Times New Roman"/>
          <w:noProof/>
          <w:sz w:val="24"/>
          <w:szCs w:val="24"/>
          <w:lang w:val="en-IE"/>
        </w:rPr>
        <w:t>to</w:t>
      </w:r>
      <w:r w:rsidR="50B03153" w:rsidRPr="00780A89">
        <w:rPr>
          <w:rFonts w:ascii="Times New Roman" w:eastAsia="Times New Roman" w:hAnsi="Times New Roman" w:cs="Times New Roman"/>
          <w:noProof/>
          <w:sz w:val="24"/>
          <w:szCs w:val="24"/>
          <w:lang w:val="en-IE"/>
        </w:rPr>
        <w:t xml:space="preserve"> </w:t>
      </w:r>
      <w:r w:rsidR="00612787" w:rsidRPr="00780A89">
        <w:rPr>
          <w:rFonts w:ascii="Times New Roman" w:eastAsia="Times New Roman" w:hAnsi="Times New Roman" w:cs="Times New Roman"/>
          <w:noProof/>
          <w:sz w:val="24"/>
          <w:szCs w:val="24"/>
          <w:lang w:val="en-IE"/>
        </w:rPr>
        <w:t xml:space="preserve">make </w:t>
      </w:r>
      <w:r w:rsidR="50B03153" w:rsidRPr="00780A89">
        <w:rPr>
          <w:rFonts w:ascii="Times New Roman" w:eastAsia="Times New Roman" w:hAnsi="Times New Roman" w:cs="Times New Roman"/>
          <w:noProof/>
          <w:sz w:val="24"/>
          <w:szCs w:val="24"/>
          <w:lang w:val="en-IE"/>
        </w:rPr>
        <w:t>new legis</w:t>
      </w:r>
      <w:r w:rsidR="50B03153" w:rsidRPr="00780A89">
        <w:rPr>
          <w:rFonts w:ascii="Times New Roman" w:eastAsia="Times New Roman" w:hAnsi="Times New Roman" w:cs="Times New Roman"/>
          <w:noProof/>
          <w:color w:val="000000" w:themeColor="text1"/>
          <w:sz w:val="24"/>
          <w:szCs w:val="24"/>
          <w:lang w:val="en-IE"/>
        </w:rPr>
        <w:t xml:space="preserve">lative proposals. </w:t>
      </w:r>
    </w:p>
    <w:p w14:paraId="5F44B2E3" w14:textId="4C082A18" w:rsidR="1FAF0ABF" w:rsidRPr="00780A89" w:rsidRDefault="50B03153" w:rsidP="1FE3319D">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color w:val="000000" w:themeColor="text1"/>
          <w:sz w:val="24"/>
          <w:szCs w:val="24"/>
          <w:lang w:val="en-IE"/>
        </w:rPr>
        <w:t xml:space="preserve">Representatives of the GCG indicated in their responses to a questionnaire circulated by the Commission in May 2023 that they appreciated the functioning of the group, primarily </w:t>
      </w:r>
      <w:r w:rsidRPr="00780A89">
        <w:rPr>
          <w:rFonts w:ascii="Times New Roman" w:eastAsia="Times New Roman" w:hAnsi="Times New Roman" w:cs="Times New Roman"/>
          <w:b/>
          <w:bCs/>
          <w:noProof/>
          <w:color w:val="000000" w:themeColor="text1"/>
          <w:sz w:val="24"/>
          <w:szCs w:val="24"/>
          <w:lang w:val="en-IE"/>
        </w:rPr>
        <w:t>praising its adaptable and flexible format</w:t>
      </w:r>
      <w:r w:rsidRPr="00780A89">
        <w:rPr>
          <w:rFonts w:ascii="Times New Roman" w:eastAsia="Times New Roman" w:hAnsi="Times New Roman" w:cs="Times New Roman"/>
          <w:noProof/>
          <w:color w:val="000000" w:themeColor="text1"/>
          <w:sz w:val="24"/>
          <w:szCs w:val="24"/>
          <w:lang w:val="en-IE"/>
        </w:rPr>
        <w:t>.</w:t>
      </w:r>
    </w:p>
    <w:p w14:paraId="5E0B390B" w14:textId="7C994A9E" w:rsidR="1FAF0ABF" w:rsidRPr="00780A89" w:rsidRDefault="35249326" w:rsidP="1FE3319D">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color w:val="000000" w:themeColor="text1"/>
          <w:sz w:val="24"/>
          <w:szCs w:val="24"/>
          <w:lang w:val="en-IE"/>
        </w:rPr>
        <w:t xml:space="preserve">In addition, the Commission extended ad hoc </w:t>
      </w:r>
      <w:r w:rsidRPr="00780A89">
        <w:rPr>
          <w:rFonts w:ascii="Times New Roman" w:eastAsia="Times New Roman" w:hAnsi="Times New Roman" w:cs="Times New Roman"/>
          <w:b/>
          <w:bCs/>
          <w:noProof/>
          <w:color w:val="000000" w:themeColor="text1"/>
          <w:sz w:val="24"/>
          <w:szCs w:val="24"/>
          <w:lang w:val="en-IE"/>
        </w:rPr>
        <w:t>invitations to third countries</w:t>
      </w:r>
      <w:r w:rsidRPr="00780A89">
        <w:rPr>
          <w:rFonts w:ascii="Times New Roman" w:eastAsia="Times New Roman" w:hAnsi="Times New Roman" w:cs="Times New Roman"/>
          <w:noProof/>
          <w:color w:val="000000" w:themeColor="text1"/>
          <w:sz w:val="24"/>
          <w:szCs w:val="24"/>
          <w:lang w:val="en-IE"/>
        </w:rPr>
        <w:t xml:space="preserve"> for a GCG meeting to exchange views on security of gas supply. Several Member States expressed their positive opinion</w:t>
      </w:r>
      <w:r w:rsidR="4FF99BAF" w:rsidRPr="00780A89">
        <w:rPr>
          <w:rFonts w:ascii="Times New Roman" w:eastAsia="Times New Roman" w:hAnsi="Times New Roman" w:cs="Times New Roman"/>
          <w:noProof/>
          <w:color w:val="000000" w:themeColor="text1"/>
          <w:sz w:val="24"/>
          <w:szCs w:val="24"/>
          <w:lang w:val="en-IE"/>
        </w:rPr>
        <w:t xml:space="preserve"> to continue inviting suppl</w:t>
      </w:r>
      <w:r w:rsidR="5A51F0D7" w:rsidRPr="00780A89">
        <w:rPr>
          <w:rFonts w:ascii="Times New Roman" w:eastAsia="Times New Roman" w:hAnsi="Times New Roman" w:cs="Times New Roman"/>
          <w:noProof/>
          <w:color w:val="000000" w:themeColor="text1"/>
          <w:sz w:val="24"/>
          <w:szCs w:val="24"/>
          <w:lang w:val="en-IE"/>
        </w:rPr>
        <w:t>ier</w:t>
      </w:r>
      <w:r w:rsidR="4FF99BAF" w:rsidRPr="00780A89">
        <w:rPr>
          <w:rFonts w:ascii="Times New Roman" w:eastAsia="Times New Roman" w:hAnsi="Times New Roman" w:cs="Times New Roman"/>
          <w:noProof/>
          <w:color w:val="000000" w:themeColor="text1"/>
          <w:sz w:val="24"/>
          <w:szCs w:val="24"/>
          <w:lang w:val="en-IE"/>
        </w:rPr>
        <w:t xml:space="preserve"> or transit countries </w:t>
      </w:r>
      <w:r w:rsidRPr="00780A89">
        <w:rPr>
          <w:rFonts w:ascii="Times New Roman" w:eastAsia="Times New Roman" w:hAnsi="Times New Roman" w:cs="Times New Roman"/>
          <w:noProof/>
          <w:color w:val="000000" w:themeColor="text1"/>
          <w:sz w:val="24"/>
          <w:szCs w:val="24"/>
          <w:lang w:val="en-IE"/>
        </w:rPr>
        <w:t>with greater frequency.</w:t>
      </w:r>
    </w:p>
    <w:p w14:paraId="6683C456" w14:textId="5F094D90" w:rsidR="39A46370" w:rsidRPr="00780A89" w:rsidRDefault="00793CE4" w:rsidP="1FE3319D">
      <w:pPr>
        <w:pStyle w:val="Heading2"/>
        <w:spacing w:after="240"/>
        <w:rPr>
          <w:rFonts w:ascii="Times New Roman" w:eastAsia="Times New Roman" w:hAnsi="Times New Roman" w:cs="Times New Roman"/>
          <w:noProof/>
          <w:sz w:val="24"/>
          <w:szCs w:val="24"/>
          <w:lang w:val="en-IE"/>
        </w:rPr>
      </w:pPr>
      <w:r>
        <w:rPr>
          <w:rFonts w:ascii="Times New Roman" w:eastAsia="Times New Roman" w:hAnsi="Times New Roman" w:cs="Times New Roman"/>
          <w:b/>
          <w:bCs/>
          <w:i/>
          <w:iCs/>
          <w:noProof/>
          <w:color w:val="000000" w:themeColor="text1"/>
          <w:sz w:val="24"/>
          <w:szCs w:val="24"/>
          <w:lang w:val="en-IE"/>
        </w:rPr>
        <w:t>3</w:t>
      </w:r>
      <w:r w:rsidR="39A46370" w:rsidRPr="00780A89">
        <w:rPr>
          <w:rFonts w:ascii="Times New Roman" w:eastAsia="Times New Roman" w:hAnsi="Times New Roman" w:cs="Times New Roman"/>
          <w:b/>
          <w:bCs/>
          <w:i/>
          <w:iCs/>
          <w:noProof/>
          <w:color w:val="000000" w:themeColor="text1"/>
          <w:sz w:val="24"/>
          <w:szCs w:val="24"/>
          <w:lang w:val="en-IE"/>
        </w:rPr>
        <w:t>.2. The infrastructure standard</w:t>
      </w:r>
    </w:p>
    <w:p w14:paraId="1A14D7D7" w14:textId="10875C8B" w:rsidR="39A46370" w:rsidRPr="00780A89" w:rsidRDefault="39A46370" w:rsidP="1FE3319D">
      <w:pPr>
        <w:jc w:val="both"/>
        <w:rPr>
          <w:rFonts w:ascii="Times New Roman" w:eastAsia="Times New Roman" w:hAnsi="Times New Roman" w:cs="Times New Roman"/>
          <w:noProof/>
          <w:color w:val="000000" w:themeColor="text1"/>
          <w:sz w:val="24"/>
          <w:szCs w:val="24"/>
          <w:lang w:val="en-IE"/>
        </w:rPr>
      </w:pPr>
      <w:r w:rsidRPr="00780A89">
        <w:rPr>
          <w:rFonts w:ascii="Times New Roman" w:eastAsia="Times New Roman" w:hAnsi="Times New Roman" w:cs="Times New Roman"/>
          <w:noProof/>
          <w:color w:val="000000" w:themeColor="text1"/>
          <w:sz w:val="24"/>
          <w:szCs w:val="24"/>
          <w:lang w:val="en-IE"/>
        </w:rPr>
        <w:t xml:space="preserve">Article 5 of the Gas Security of Supply Regulation </w:t>
      </w:r>
      <w:r w:rsidR="00BD11ED" w:rsidRPr="00780A89">
        <w:rPr>
          <w:rFonts w:ascii="Times New Roman" w:eastAsia="Times New Roman" w:hAnsi="Times New Roman" w:cs="Times New Roman"/>
          <w:noProof/>
          <w:color w:val="000000" w:themeColor="text1"/>
          <w:sz w:val="24"/>
          <w:szCs w:val="24"/>
          <w:lang w:val="en-IE"/>
        </w:rPr>
        <w:t xml:space="preserve">provides </w:t>
      </w:r>
      <w:r w:rsidR="00B33320" w:rsidRPr="00780A89">
        <w:rPr>
          <w:rFonts w:ascii="Times New Roman" w:eastAsia="Times New Roman" w:hAnsi="Times New Roman" w:cs="Times New Roman"/>
          <w:noProof/>
          <w:color w:val="000000" w:themeColor="text1"/>
          <w:sz w:val="24"/>
          <w:szCs w:val="24"/>
          <w:lang w:val="en-IE"/>
        </w:rPr>
        <w:t xml:space="preserve">that </w:t>
      </w:r>
      <w:r w:rsidR="57C560DA" w:rsidRPr="00780A89">
        <w:rPr>
          <w:rFonts w:ascii="Times New Roman" w:eastAsia="Times New Roman" w:hAnsi="Times New Roman" w:cs="Times New Roman"/>
          <w:noProof/>
          <w:color w:val="000000" w:themeColor="text1"/>
          <w:sz w:val="24"/>
          <w:szCs w:val="24"/>
          <w:lang w:val="en-IE"/>
        </w:rPr>
        <w:t>Member Stat</w:t>
      </w:r>
      <w:r w:rsidRPr="00780A89">
        <w:rPr>
          <w:rFonts w:ascii="Times New Roman" w:eastAsia="Times New Roman" w:hAnsi="Times New Roman" w:cs="Times New Roman"/>
          <w:noProof/>
          <w:color w:val="000000" w:themeColor="text1"/>
          <w:sz w:val="24"/>
          <w:szCs w:val="24"/>
          <w:lang w:val="en-IE"/>
        </w:rPr>
        <w:t xml:space="preserve">es </w:t>
      </w:r>
      <w:r w:rsidR="001C152D">
        <w:rPr>
          <w:rFonts w:ascii="Times New Roman" w:eastAsia="Times New Roman" w:hAnsi="Times New Roman" w:cs="Times New Roman"/>
          <w:noProof/>
          <w:color w:val="000000" w:themeColor="text1"/>
          <w:sz w:val="24"/>
          <w:szCs w:val="24"/>
          <w:lang w:val="en-IE"/>
        </w:rPr>
        <w:t xml:space="preserve">shall </w:t>
      </w:r>
      <w:r w:rsidRPr="00780A89">
        <w:rPr>
          <w:rFonts w:ascii="Times New Roman" w:eastAsia="Times New Roman" w:hAnsi="Times New Roman" w:cs="Times New Roman"/>
          <w:noProof/>
          <w:color w:val="000000" w:themeColor="text1"/>
          <w:sz w:val="24"/>
          <w:szCs w:val="24"/>
          <w:lang w:val="en-IE"/>
        </w:rPr>
        <w:t>ensure that in case of a disruption of the single largest infrastructure (N-1)</w:t>
      </w:r>
      <w:r w:rsidR="6AF01FD6" w:rsidRPr="00780A89">
        <w:rPr>
          <w:rFonts w:ascii="Times New Roman" w:eastAsia="Times New Roman" w:hAnsi="Times New Roman" w:cs="Times New Roman"/>
          <w:noProof/>
          <w:color w:val="000000" w:themeColor="text1"/>
          <w:sz w:val="24"/>
          <w:szCs w:val="24"/>
          <w:lang w:val="en-IE"/>
        </w:rPr>
        <w:t>,</w:t>
      </w:r>
      <w:r w:rsidR="006D721B">
        <w:rPr>
          <w:rFonts w:ascii="Times New Roman" w:eastAsia="Times New Roman" w:hAnsi="Times New Roman" w:cs="Times New Roman"/>
          <w:noProof/>
          <w:color w:val="000000" w:themeColor="text1"/>
          <w:sz w:val="24"/>
          <w:szCs w:val="24"/>
          <w:lang w:val="en-IE"/>
        </w:rPr>
        <w:t xml:space="preserve"> </w:t>
      </w:r>
      <w:r w:rsidRPr="00780A89">
        <w:rPr>
          <w:rFonts w:ascii="Times New Roman" w:eastAsia="Times New Roman" w:hAnsi="Times New Roman" w:cs="Times New Roman"/>
          <w:noProof/>
          <w:color w:val="000000" w:themeColor="text1"/>
          <w:sz w:val="24"/>
          <w:szCs w:val="24"/>
          <w:lang w:val="en-IE"/>
        </w:rPr>
        <w:t>the total gas demand can be satisfied during a day of exceptionally high gas demand.</w:t>
      </w:r>
      <w:r w:rsidR="58B10D8E" w:rsidRPr="00780A89">
        <w:rPr>
          <w:rFonts w:ascii="Times New Roman" w:eastAsia="Times New Roman" w:hAnsi="Times New Roman" w:cs="Times New Roman"/>
          <w:noProof/>
          <w:color w:val="000000" w:themeColor="text1"/>
          <w:sz w:val="24"/>
          <w:szCs w:val="24"/>
          <w:lang w:val="en-IE"/>
        </w:rPr>
        <w:t xml:space="preserve"> </w:t>
      </w:r>
      <w:r w:rsidR="06470193" w:rsidRPr="00780A89">
        <w:rPr>
          <w:rFonts w:ascii="Times New Roman" w:eastAsia="Times New Roman" w:hAnsi="Times New Roman" w:cs="Times New Roman"/>
          <w:noProof/>
          <w:color w:val="000000" w:themeColor="text1"/>
          <w:sz w:val="24"/>
          <w:szCs w:val="24"/>
          <w:lang w:val="en-IE"/>
        </w:rPr>
        <w:t xml:space="preserve">This includes an obligation to </w:t>
      </w:r>
      <w:r w:rsidR="005F1BD7">
        <w:rPr>
          <w:rFonts w:ascii="Times New Roman" w:eastAsia="Times New Roman" w:hAnsi="Times New Roman" w:cs="Times New Roman"/>
          <w:noProof/>
          <w:color w:val="000000" w:themeColor="text1"/>
          <w:sz w:val="24"/>
          <w:szCs w:val="24"/>
          <w:lang w:val="en-IE"/>
        </w:rPr>
        <w:t>enable permanent physical</w:t>
      </w:r>
      <w:r w:rsidR="06470193" w:rsidRPr="00780A89">
        <w:rPr>
          <w:rFonts w:ascii="Times New Roman" w:eastAsia="Times New Roman" w:hAnsi="Times New Roman" w:cs="Times New Roman"/>
          <w:noProof/>
          <w:color w:val="000000" w:themeColor="text1"/>
          <w:sz w:val="24"/>
          <w:szCs w:val="24"/>
          <w:lang w:val="en-IE"/>
        </w:rPr>
        <w:t xml:space="preserve"> bi-directional capacity on interconnectors between Member </w:t>
      </w:r>
      <w:r w:rsidR="00A819BF" w:rsidRPr="00780A89">
        <w:rPr>
          <w:rFonts w:ascii="Times New Roman" w:eastAsia="Times New Roman" w:hAnsi="Times New Roman" w:cs="Times New Roman"/>
          <w:noProof/>
          <w:color w:val="000000" w:themeColor="text1"/>
          <w:sz w:val="24"/>
          <w:szCs w:val="24"/>
          <w:lang w:val="en-IE"/>
        </w:rPr>
        <w:t>States unless</w:t>
      </w:r>
      <w:r w:rsidR="06470193" w:rsidRPr="00780A89">
        <w:rPr>
          <w:rFonts w:ascii="Times New Roman" w:eastAsia="Times New Roman" w:hAnsi="Times New Roman" w:cs="Times New Roman"/>
          <w:noProof/>
          <w:color w:val="000000" w:themeColor="text1"/>
          <w:sz w:val="24"/>
          <w:szCs w:val="24"/>
          <w:lang w:val="en-IE"/>
        </w:rPr>
        <w:t xml:space="preserve"> an exemption is granted.</w:t>
      </w:r>
    </w:p>
    <w:p w14:paraId="56F7AAA5" w14:textId="2E42CCE7" w:rsidR="513524D6" w:rsidRPr="00780A89" w:rsidRDefault="513524D6" w:rsidP="0AFCBEB5">
      <w:pPr>
        <w:jc w:val="both"/>
        <w:rPr>
          <w:rFonts w:ascii="Times New Roman" w:eastAsia="Times New Roman" w:hAnsi="Times New Roman" w:cs="Times New Roman"/>
          <w:noProof/>
          <w:color w:val="000000" w:themeColor="text1"/>
          <w:sz w:val="24"/>
          <w:szCs w:val="24"/>
          <w:lang w:val="en-IE"/>
        </w:rPr>
      </w:pPr>
      <w:r w:rsidRPr="0AFCBEB5">
        <w:rPr>
          <w:rFonts w:ascii="Times New Roman" w:eastAsia="Times New Roman" w:hAnsi="Times New Roman" w:cs="Times New Roman"/>
          <w:noProof/>
          <w:color w:val="000000" w:themeColor="text1"/>
          <w:sz w:val="24"/>
          <w:szCs w:val="24"/>
          <w:lang w:val="en-IE"/>
        </w:rPr>
        <w:t xml:space="preserve">Respondents to the questionnaire circulated to the </w:t>
      </w:r>
      <w:r w:rsidR="001C152D">
        <w:rPr>
          <w:rFonts w:ascii="Times New Roman" w:eastAsia="Times New Roman" w:hAnsi="Times New Roman" w:cs="Times New Roman"/>
          <w:noProof/>
          <w:color w:val="000000" w:themeColor="text1"/>
          <w:sz w:val="24"/>
          <w:szCs w:val="24"/>
          <w:lang w:val="en-IE"/>
        </w:rPr>
        <w:t>GCG</w:t>
      </w:r>
      <w:r w:rsidRPr="0AFCBEB5">
        <w:rPr>
          <w:rFonts w:ascii="Times New Roman" w:eastAsia="Times New Roman" w:hAnsi="Times New Roman" w:cs="Times New Roman"/>
          <w:noProof/>
          <w:color w:val="000000" w:themeColor="text1"/>
          <w:sz w:val="24"/>
          <w:szCs w:val="24"/>
          <w:lang w:val="en-IE"/>
        </w:rPr>
        <w:t xml:space="preserve"> indicated that the </w:t>
      </w:r>
      <w:r w:rsidR="198C69C6" w:rsidRPr="0AFCBEB5">
        <w:rPr>
          <w:rFonts w:ascii="Times New Roman" w:eastAsia="Times New Roman" w:hAnsi="Times New Roman" w:cs="Times New Roman"/>
          <w:noProof/>
          <w:color w:val="000000" w:themeColor="text1"/>
          <w:sz w:val="24"/>
          <w:szCs w:val="24"/>
          <w:lang w:val="en-IE"/>
        </w:rPr>
        <w:t>infrastructure</w:t>
      </w:r>
      <w:r w:rsidRPr="0AFCBEB5">
        <w:rPr>
          <w:rFonts w:ascii="Times New Roman" w:eastAsia="Times New Roman" w:hAnsi="Times New Roman" w:cs="Times New Roman"/>
          <w:noProof/>
          <w:color w:val="000000" w:themeColor="text1"/>
          <w:sz w:val="24"/>
          <w:szCs w:val="24"/>
          <w:lang w:val="en-IE"/>
        </w:rPr>
        <w:t xml:space="preserve"> standard was a good incentive to have adequate infrastructure capacities</w:t>
      </w:r>
      <w:r w:rsidR="2EF4ED40" w:rsidRPr="0AFCBEB5">
        <w:rPr>
          <w:rFonts w:ascii="Times New Roman" w:eastAsia="Times New Roman" w:hAnsi="Times New Roman" w:cs="Times New Roman"/>
          <w:noProof/>
          <w:color w:val="000000" w:themeColor="text1"/>
          <w:sz w:val="24"/>
          <w:szCs w:val="24"/>
          <w:lang w:val="en-IE"/>
        </w:rPr>
        <w:t xml:space="preserve">, in particular to </w:t>
      </w:r>
      <w:r w:rsidR="2EF4ED40" w:rsidRPr="0AFCBEB5">
        <w:rPr>
          <w:rFonts w:ascii="Times New Roman" w:eastAsia="Times New Roman" w:hAnsi="Times New Roman" w:cs="Times New Roman"/>
          <w:b/>
          <w:bCs/>
          <w:noProof/>
          <w:color w:val="000000" w:themeColor="text1"/>
          <w:sz w:val="24"/>
          <w:szCs w:val="24"/>
          <w:lang w:val="en-IE"/>
        </w:rPr>
        <w:t>facilitate the reversed West to East flows</w:t>
      </w:r>
      <w:r w:rsidR="2EF4ED40" w:rsidRPr="0AFCBEB5">
        <w:rPr>
          <w:rFonts w:ascii="Times New Roman" w:eastAsia="Times New Roman" w:hAnsi="Times New Roman" w:cs="Times New Roman"/>
          <w:noProof/>
          <w:color w:val="000000" w:themeColor="text1"/>
          <w:sz w:val="24"/>
          <w:szCs w:val="24"/>
          <w:lang w:val="en-IE"/>
        </w:rPr>
        <w:t xml:space="preserve"> observed in 2022 after the Russian invasion of Ukraine</w:t>
      </w:r>
      <w:r w:rsidRPr="0AFCBEB5">
        <w:rPr>
          <w:rFonts w:ascii="Times New Roman" w:eastAsia="Times New Roman" w:hAnsi="Times New Roman" w:cs="Times New Roman"/>
          <w:noProof/>
          <w:color w:val="000000" w:themeColor="text1"/>
          <w:sz w:val="24"/>
          <w:szCs w:val="24"/>
          <w:lang w:val="en-IE"/>
        </w:rPr>
        <w:t>. Others stressed the need to complement this infrastructure-based approach with a larger focus on the supply side, e.g. by having complementary diversification standards.</w:t>
      </w:r>
      <w:r w:rsidR="3F2C84D8" w:rsidRPr="0AFCBEB5">
        <w:rPr>
          <w:rFonts w:ascii="Times New Roman" w:eastAsia="Times New Roman" w:hAnsi="Times New Roman" w:cs="Times New Roman"/>
          <w:noProof/>
          <w:color w:val="000000" w:themeColor="text1"/>
          <w:sz w:val="24"/>
          <w:szCs w:val="24"/>
          <w:lang w:val="en-IE"/>
        </w:rPr>
        <w:t xml:space="preserve"> </w:t>
      </w:r>
      <w:r w:rsidR="0181CAD1" w:rsidRPr="0AFCBEB5">
        <w:rPr>
          <w:rFonts w:ascii="Times New Roman" w:eastAsia="Times New Roman" w:hAnsi="Times New Roman" w:cs="Times New Roman"/>
          <w:noProof/>
          <w:color w:val="000000" w:themeColor="text1"/>
          <w:sz w:val="24"/>
          <w:szCs w:val="24"/>
          <w:lang w:val="en-IE"/>
        </w:rPr>
        <w:t>A</w:t>
      </w:r>
      <w:r w:rsidR="3F2C84D8" w:rsidRPr="0AFCBEB5">
        <w:rPr>
          <w:rFonts w:ascii="Times New Roman" w:eastAsia="Times New Roman" w:hAnsi="Times New Roman" w:cs="Times New Roman"/>
          <w:noProof/>
          <w:color w:val="000000" w:themeColor="text1"/>
          <w:sz w:val="24"/>
          <w:szCs w:val="24"/>
          <w:lang w:val="en-IE"/>
        </w:rPr>
        <w:t xml:space="preserve">dditional </w:t>
      </w:r>
      <w:r w:rsidR="7B1A4135" w:rsidRPr="0AFCBEB5">
        <w:rPr>
          <w:rFonts w:ascii="Times New Roman" w:eastAsia="Times New Roman" w:hAnsi="Times New Roman" w:cs="Times New Roman"/>
          <w:noProof/>
          <w:color w:val="000000" w:themeColor="text1"/>
          <w:sz w:val="24"/>
          <w:szCs w:val="24"/>
          <w:lang w:val="en-IE"/>
        </w:rPr>
        <w:t xml:space="preserve">provisions can be considered </w:t>
      </w:r>
      <w:r w:rsidR="3F2C84D8" w:rsidRPr="0AFCBEB5">
        <w:rPr>
          <w:rFonts w:ascii="Times New Roman" w:eastAsia="Times New Roman" w:hAnsi="Times New Roman" w:cs="Times New Roman"/>
          <w:noProof/>
          <w:color w:val="000000" w:themeColor="text1"/>
          <w:sz w:val="24"/>
          <w:szCs w:val="24"/>
          <w:lang w:val="en-IE"/>
        </w:rPr>
        <w:t xml:space="preserve">to prevent future </w:t>
      </w:r>
      <w:r w:rsidR="3FB0B6FA" w:rsidRPr="0AFCBEB5">
        <w:rPr>
          <w:rFonts w:ascii="Times New Roman" w:eastAsia="Times New Roman" w:hAnsi="Times New Roman" w:cs="Times New Roman"/>
          <w:noProof/>
          <w:color w:val="000000" w:themeColor="text1"/>
          <w:sz w:val="24"/>
          <w:szCs w:val="24"/>
          <w:lang w:val="en-IE"/>
        </w:rPr>
        <w:t>vu</w:t>
      </w:r>
      <w:r w:rsidR="3F2C84D8" w:rsidRPr="0AFCBEB5">
        <w:rPr>
          <w:rFonts w:ascii="Times New Roman" w:eastAsia="Times New Roman" w:hAnsi="Times New Roman" w:cs="Times New Roman"/>
          <w:noProof/>
          <w:color w:val="000000" w:themeColor="text1"/>
          <w:sz w:val="24"/>
          <w:szCs w:val="24"/>
          <w:lang w:val="en-IE"/>
        </w:rPr>
        <w:t>lnerabilit</w:t>
      </w:r>
      <w:r w:rsidR="416F40AE" w:rsidRPr="0AFCBEB5">
        <w:rPr>
          <w:rFonts w:ascii="Times New Roman" w:eastAsia="Times New Roman" w:hAnsi="Times New Roman" w:cs="Times New Roman"/>
          <w:noProof/>
          <w:color w:val="000000" w:themeColor="text1"/>
          <w:sz w:val="24"/>
          <w:szCs w:val="24"/>
          <w:lang w:val="en-IE"/>
        </w:rPr>
        <w:t>ies</w:t>
      </w:r>
      <w:r w:rsidR="3F2C84D8" w:rsidRPr="0AFCBEB5">
        <w:rPr>
          <w:rFonts w:ascii="Times New Roman" w:eastAsia="Times New Roman" w:hAnsi="Times New Roman" w:cs="Times New Roman"/>
          <w:noProof/>
          <w:color w:val="000000" w:themeColor="text1"/>
          <w:sz w:val="24"/>
          <w:szCs w:val="24"/>
          <w:lang w:val="en-IE"/>
        </w:rPr>
        <w:t xml:space="preserve"> to a </w:t>
      </w:r>
      <w:r w:rsidR="2B4C2439" w:rsidRPr="0AFCBEB5">
        <w:rPr>
          <w:rFonts w:ascii="Times New Roman" w:eastAsia="Times New Roman" w:hAnsi="Times New Roman" w:cs="Times New Roman"/>
          <w:noProof/>
          <w:color w:val="000000" w:themeColor="text1"/>
          <w:sz w:val="24"/>
          <w:szCs w:val="24"/>
          <w:lang w:val="en-IE"/>
        </w:rPr>
        <w:t xml:space="preserve">single </w:t>
      </w:r>
      <w:r w:rsidR="3F2C84D8" w:rsidRPr="0AFCBEB5">
        <w:rPr>
          <w:rFonts w:ascii="Times New Roman" w:eastAsia="Times New Roman" w:hAnsi="Times New Roman" w:cs="Times New Roman"/>
          <w:noProof/>
          <w:color w:val="000000" w:themeColor="text1"/>
          <w:sz w:val="24"/>
          <w:szCs w:val="24"/>
          <w:lang w:val="en-IE"/>
        </w:rPr>
        <w:t>supplier</w:t>
      </w:r>
      <w:r w:rsidR="5DA80EC4" w:rsidRPr="0AFCBEB5">
        <w:rPr>
          <w:rFonts w:ascii="Times New Roman" w:eastAsia="Times New Roman" w:hAnsi="Times New Roman" w:cs="Times New Roman"/>
          <w:noProof/>
          <w:color w:val="000000" w:themeColor="text1"/>
          <w:sz w:val="24"/>
          <w:szCs w:val="24"/>
          <w:lang w:val="en-IE"/>
        </w:rPr>
        <w:t>.</w:t>
      </w:r>
      <w:r w:rsidR="3F2C84D8" w:rsidRPr="0AFCBEB5">
        <w:rPr>
          <w:rFonts w:ascii="Times New Roman" w:eastAsia="Times New Roman" w:hAnsi="Times New Roman" w:cs="Times New Roman"/>
          <w:noProof/>
          <w:color w:val="000000" w:themeColor="text1"/>
          <w:sz w:val="24"/>
          <w:szCs w:val="24"/>
          <w:lang w:val="en-IE"/>
        </w:rPr>
        <w:t xml:space="preserve"> </w:t>
      </w:r>
      <w:r w:rsidR="08F7E395" w:rsidRPr="0AFCBEB5">
        <w:rPr>
          <w:rFonts w:ascii="Times New Roman" w:eastAsia="Times New Roman" w:hAnsi="Times New Roman" w:cs="Times New Roman"/>
          <w:noProof/>
          <w:color w:val="000000" w:themeColor="text1"/>
          <w:sz w:val="24"/>
          <w:szCs w:val="24"/>
          <w:lang w:val="en-IE"/>
        </w:rPr>
        <w:t xml:space="preserve">This </w:t>
      </w:r>
      <w:r w:rsidR="3B56B948" w:rsidRPr="0AFCBEB5">
        <w:rPr>
          <w:rFonts w:ascii="Times New Roman" w:eastAsia="Times New Roman" w:hAnsi="Times New Roman" w:cs="Times New Roman"/>
          <w:noProof/>
          <w:color w:val="000000" w:themeColor="text1"/>
          <w:sz w:val="24"/>
          <w:szCs w:val="24"/>
          <w:lang w:val="en-IE"/>
        </w:rPr>
        <w:t xml:space="preserve">could </w:t>
      </w:r>
      <w:r w:rsidR="08F7E395" w:rsidRPr="0AFCBEB5">
        <w:rPr>
          <w:rFonts w:ascii="Times New Roman" w:eastAsia="Times New Roman" w:hAnsi="Times New Roman" w:cs="Times New Roman"/>
          <w:noProof/>
          <w:color w:val="000000" w:themeColor="text1"/>
          <w:sz w:val="24"/>
          <w:szCs w:val="24"/>
          <w:lang w:val="en-IE"/>
        </w:rPr>
        <w:t>be done via</w:t>
      </w:r>
      <w:r w:rsidR="3F2C84D8" w:rsidRPr="0AFCBEB5">
        <w:rPr>
          <w:rFonts w:ascii="Times New Roman" w:eastAsia="Times New Roman" w:hAnsi="Times New Roman" w:cs="Times New Roman"/>
          <w:noProof/>
          <w:color w:val="000000" w:themeColor="text1"/>
          <w:sz w:val="24"/>
          <w:szCs w:val="24"/>
          <w:lang w:val="en-IE"/>
        </w:rPr>
        <w:t xml:space="preserve"> </w:t>
      </w:r>
      <w:r w:rsidR="7B1B346C" w:rsidRPr="0AFCBEB5">
        <w:rPr>
          <w:rFonts w:ascii="Times New Roman" w:eastAsia="Times New Roman" w:hAnsi="Times New Roman" w:cs="Times New Roman"/>
          <w:noProof/>
          <w:color w:val="000000" w:themeColor="text1"/>
          <w:sz w:val="24"/>
          <w:szCs w:val="24"/>
          <w:lang w:val="en-IE"/>
        </w:rPr>
        <w:t xml:space="preserve">further </w:t>
      </w:r>
      <w:r w:rsidR="7B1B346C" w:rsidRPr="001A724C">
        <w:rPr>
          <w:rFonts w:ascii="Times New Roman" w:eastAsia="Times New Roman" w:hAnsi="Times New Roman" w:cs="Times New Roman"/>
          <w:b/>
          <w:bCs/>
          <w:noProof/>
          <w:color w:val="000000" w:themeColor="text1"/>
          <w:sz w:val="24"/>
          <w:szCs w:val="24"/>
          <w:lang w:val="en-IE"/>
        </w:rPr>
        <w:t>information exchange</w:t>
      </w:r>
      <w:r w:rsidR="7B1B346C" w:rsidRPr="0AFCBEB5">
        <w:rPr>
          <w:rFonts w:ascii="Times New Roman" w:eastAsia="Times New Roman" w:hAnsi="Times New Roman" w:cs="Times New Roman"/>
          <w:noProof/>
          <w:color w:val="000000" w:themeColor="text1"/>
          <w:sz w:val="24"/>
          <w:szCs w:val="24"/>
          <w:lang w:val="en-IE"/>
        </w:rPr>
        <w:t xml:space="preserve"> under Article 14 or </w:t>
      </w:r>
      <w:r w:rsidR="3F2C84D8" w:rsidRPr="0AFCBEB5">
        <w:rPr>
          <w:rFonts w:ascii="Times New Roman" w:eastAsia="Times New Roman" w:hAnsi="Times New Roman" w:cs="Times New Roman"/>
          <w:noProof/>
          <w:color w:val="000000" w:themeColor="text1"/>
          <w:sz w:val="24"/>
          <w:szCs w:val="24"/>
          <w:lang w:val="en-IE"/>
        </w:rPr>
        <w:t xml:space="preserve">an additional </w:t>
      </w:r>
      <w:r w:rsidR="3F2C84D8" w:rsidRPr="0AFCBEB5">
        <w:rPr>
          <w:rFonts w:ascii="Times New Roman" w:eastAsia="Times New Roman" w:hAnsi="Times New Roman" w:cs="Times New Roman"/>
          <w:b/>
          <w:bCs/>
          <w:noProof/>
          <w:color w:val="000000" w:themeColor="text1"/>
          <w:sz w:val="24"/>
          <w:szCs w:val="24"/>
          <w:lang w:val="en-IE"/>
        </w:rPr>
        <w:t>S-1 standard</w:t>
      </w:r>
      <w:r w:rsidR="5987B95C" w:rsidRPr="0AFCBEB5">
        <w:rPr>
          <w:rFonts w:ascii="Times New Roman" w:eastAsia="Times New Roman" w:hAnsi="Times New Roman" w:cs="Times New Roman"/>
          <w:b/>
          <w:bCs/>
          <w:noProof/>
          <w:color w:val="000000" w:themeColor="text1"/>
          <w:sz w:val="24"/>
          <w:szCs w:val="24"/>
          <w:lang w:val="en-IE"/>
        </w:rPr>
        <w:t>,</w:t>
      </w:r>
      <w:r w:rsidR="16FD3FAE" w:rsidRPr="0AFCBEB5">
        <w:rPr>
          <w:rFonts w:ascii="Times New Roman" w:eastAsia="Times New Roman" w:hAnsi="Times New Roman" w:cs="Times New Roman"/>
          <w:noProof/>
          <w:color w:val="000000" w:themeColor="text1"/>
          <w:sz w:val="24"/>
          <w:szCs w:val="24"/>
          <w:lang w:val="en-IE"/>
        </w:rPr>
        <w:t xml:space="preserve"> while balancing security benefits with potential costs or inefficiencies</w:t>
      </w:r>
      <w:r w:rsidR="3F2C84D8" w:rsidRPr="0AFCBEB5">
        <w:rPr>
          <w:rFonts w:ascii="Times New Roman" w:eastAsia="Times New Roman" w:hAnsi="Times New Roman" w:cs="Times New Roman"/>
          <w:noProof/>
          <w:color w:val="000000" w:themeColor="text1"/>
          <w:sz w:val="24"/>
          <w:szCs w:val="24"/>
          <w:lang w:val="en-IE"/>
        </w:rPr>
        <w:t xml:space="preserve">. </w:t>
      </w:r>
    </w:p>
    <w:p w14:paraId="4E779E81" w14:textId="5357977B" w:rsidR="6A5F6AB2" w:rsidRPr="00780A89" w:rsidRDefault="6A5F6AB2" w:rsidP="1FE3319D">
      <w:pPr>
        <w:jc w:val="both"/>
        <w:rPr>
          <w:rFonts w:ascii="Times New Roman" w:eastAsia="Times New Roman" w:hAnsi="Times New Roman" w:cs="Times New Roman"/>
          <w:noProof/>
          <w:color w:val="000000" w:themeColor="text1"/>
          <w:sz w:val="24"/>
          <w:szCs w:val="24"/>
          <w:lang w:val="en-IE"/>
        </w:rPr>
      </w:pPr>
      <w:r w:rsidRPr="00780A89">
        <w:rPr>
          <w:rFonts w:ascii="Times New Roman" w:eastAsia="Times New Roman" w:hAnsi="Times New Roman" w:cs="Times New Roman"/>
          <w:noProof/>
          <w:color w:val="000000" w:themeColor="text1"/>
          <w:sz w:val="24"/>
          <w:szCs w:val="24"/>
          <w:lang w:val="en-IE"/>
        </w:rPr>
        <w:t>Respondents to the questionnaire indicated that w</w:t>
      </w:r>
      <w:r w:rsidR="52CEA94C" w:rsidRPr="00780A89">
        <w:rPr>
          <w:rFonts w:ascii="Times New Roman" w:eastAsia="Times New Roman" w:hAnsi="Times New Roman" w:cs="Times New Roman"/>
          <w:noProof/>
          <w:color w:val="000000" w:themeColor="text1"/>
          <w:sz w:val="24"/>
          <w:szCs w:val="24"/>
          <w:lang w:val="en-IE"/>
        </w:rPr>
        <w:t xml:space="preserve">hile stricter standards may help to improve security of supply, </w:t>
      </w:r>
      <w:r w:rsidR="003B539D" w:rsidRPr="00780A89">
        <w:rPr>
          <w:rFonts w:ascii="Times New Roman" w:eastAsia="Times New Roman" w:hAnsi="Times New Roman" w:cs="Times New Roman"/>
          <w:b/>
          <w:bCs/>
          <w:noProof/>
          <w:color w:val="000000" w:themeColor="text1"/>
          <w:sz w:val="24"/>
          <w:szCs w:val="24"/>
          <w:lang w:val="en-IE"/>
        </w:rPr>
        <w:t xml:space="preserve">avoiding </w:t>
      </w:r>
      <w:r w:rsidR="3E6A168B" w:rsidRPr="00780A89">
        <w:rPr>
          <w:rFonts w:ascii="Times New Roman" w:eastAsia="Times New Roman" w:hAnsi="Times New Roman" w:cs="Times New Roman"/>
          <w:b/>
          <w:bCs/>
          <w:noProof/>
          <w:color w:val="000000" w:themeColor="text1"/>
          <w:sz w:val="24"/>
          <w:szCs w:val="24"/>
          <w:lang w:val="en-IE"/>
        </w:rPr>
        <w:t>the risk of creating stranded assets</w:t>
      </w:r>
      <w:r w:rsidR="003B539D" w:rsidRPr="00780A89">
        <w:rPr>
          <w:rFonts w:ascii="Times New Roman" w:eastAsia="Times New Roman" w:hAnsi="Times New Roman" w:cs="Times New Roman"/>
          <w:noProof/>
          <w:color w:val="000000" w:themeColor="text1"/>
          <w:sz w:val="24"/>
          <w:szCs w:val="24"/>
          <w:lang w:val="en-IE"/>
        </w:rPr>
        <w:t xml:space="preserve"> should be of primary concern</w:t>
      </w:r>
      <w:r w:rsidR="3E6A168B" w:rsidRPr="00780A89">
        <w:rPr>
          <w:rFonts w:ascii="Times New Roman" w:eastAsia="Times New Roman" w:hAnsi="Times New Roman" w:cs="Times New Roman"/>
          <w:noProof/>
          <w:color w:val="000000" w:themeColor="text1"/>
          <w:sz w:val="24"/>
          <w:szCs w:val="24"/>
          <w:lang w:val="en-IE"/>
        </w:rPr>
        <w:t xml:space="preserve">. </w:t>
      </w:r>
    </w:p>
    <w:p w14:paraId="52B69960" w14:textId="02F17CA9" w:rsidR="39BF056D" w:rsidRPr="00780A89" w:rsidRDefault="00793CE4" w:rsidP="1FE3319D">
      <w:pPr>
        <w:pStyle w:val="Heading2"/>
        <w:spacing w:after="240"/>
        <w:rPr>
          <w:rFonts w:ascii="Times New Roman" w:eastAsia="Times New Roman" w:hAnsi="Times New Roman" w:cs="Times New Roman"/>
          <w:noProof/>
          <w:sz w:val="24"/>
          <w:szCs w:val="24"/>
          <w:lang w:val="en-IE"/>
        </w:rPr>
      </w:pPr>
      <w:r>
        <w:rPr>
          <w:rFonts w:ascii="Times New Roman" w:eastAsia="Times New Roman" w:hAnsi="Times New Roman" w:cs="Times New Roman"/>
          <w:b/>
          <w:bCs/>
          <w:i/>
          <w:iCs/>
          <w:noProof/>
          <w:color w:val="000000" w:themeColor="text1"/>
          <w:sz w:val="24"/>
          <w:szCs w:val="24"/>
          <w:lang w:val="en-IE"/>
        </w:rPr>
        <w:t>3</w:t>
      </w:r>
      <w:r w:rsidR="39BF056D" w:rsidRPr="00780A89">
        <w:rPr>
          <w:rFonts w:ascii="Times New Roman" w:eastAsia="Times New Roman" w:hAnsi="Times New Roman" w:cs="Times New Roman"/>
          <w:b/>
          <w:bCs/>
          <w:i/>
          <w:iCs/>
          <w:noProof/>
          <w:color w:val="000000" w:themeColor="text1"/>
          <w:sz w:val="24"/>
          <w:szCs w:val="24"/>
          <w:lang w:val="en-IE"/>
        </w:rPr>
        <w:t>.3. Supply standard and protected customers</w:t>
      </w:r>
    </w:p>
    <w:p w14:paraId="57470DAE" w14:textId="54EFE19D" w:rsidR="39BF056D" w:rsidRPr="00780A89" w:rsidRDefault="39BF056D" w:rsidP="1FE3319D">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color w:val="000000" w:themeColor="text1"/>
          <w:sz w:val="24"/>
          <w:szCs w:val="24"/>
          <w:lang w:val="en-IE"/>
        </w:rPr>
        <w:t xml:space="preserve">Article 6 of the Gas Security of Supply Regulation sets out the </w:t>
      </w:r>
      <w:r w:rsidRPr="00780A89">
        <w:rPr>
          <w:rFonts w:ascii="Times New Roman" w:eastAsia="Times New Roman" w:hAnsi="Times New Roman" w:cs="Times New Roman"/>
          <w:b/>
          <w:bCs/>
          <w:noProof/>
          <w:color w:val="000000" w:themeColor="text1"/>
          <w:sz w:val="24"/>
          <w:szCs w:val="24"/>
          <w:lang w:val="en-IE"/>
        </w:rPr>
        <w:t>supply standard,</w:t>
      </w:r>
      <w:r w:rsidRPr="00780A89">
        <w:rPr>
          <w:rFonts w:ascii="Times New Roman" w:eastAsia="Times New Roman" w:hAnsi="Times New Roman" w:cs="Times New Roman"/>
          <w:noProof/>
          <w:color w:val="000000" w:themeColor="text1"/>
          <w:sz w:val="24"/>
          <w:szCs w:val="24"/>
          <w:lang w:val="en-IE"/>
        </w:rPr>
        <w:t xml:space="preserve"> which </w:t>
      </w:r>
      <w:r w:rsidR="00D77E03" w:rsidRPr="00780A89">
        <w:rPr>
          <w:rFonts w:ascii="Times New Roman" w:eastAsia="Times New Roman" w:hAnsi="Times New Roman" w:cs="Times New Roman"/>
          <w:noProof/>
          <w:color w:val="000000" w:themeColor="text1"/>
          <w:sz w:val="24"/>
          <w:szCs w:val="24"/>
          <w:lang w:val="en-IE"/>
        </w:rPr>
        <w:t xml:space="preserve">provides </w:t>
      </w:r>
      <w:r w:rsidR="00B33320" w:rsidRPr="00780A89">
        <w:rPr>
          <w:rFonts w:ascii="Times New Roman" w:eastAsia="Times New Roman" w:hAnsi="Times New Roman" w:cs="Times New Roman"/>
          <w:noProof/>
          <w:color w:val="000000" w:themeColor="text1"/>
          <w:sz w:val="24"/>
          <w:szCs w:val="24"/>
          <w:lang w:val="en-IE"/>
        </w:rPr>
        <w:t xml:space="preserve">that </w:t>
      </w:r>
      <w:r w:rsidRPr="00780A89">
        <w:rPr>
          <w:rFonts w:ascii="Times New Roman" w:eastAsia="Times New Roman" w:hAnsi="Times New Roman" w:cs="Times New Roman"/>
          <w:noProof/>
          <w:color w:val="000000" w:themeColor="text1"/>
          <w:sz w:val="24"/>
          <w:szCs w:val="24"/>
          <w:lang w:val="en-IE"/>
        </w:rPr>
        <w:t xml:space="preserve">Member States require gas undertakings to take measures to ensure the gas supply to protected customers under a set of pre-defined circumstances. </w:t>
      </w:r>
    </w:p>
    <w:p w14:paraId="138AD764" w14:textId="764741A0" w:rsidR="39BF056D" w:rsidRPr="00780A89" w:rsidRDefault="39BF056D" w:rsidP="1FE3319D">
      <w:pPr>
        <w:jc w:val="both"/>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noProof/>
          <w:color w:val="000000" w:themeColor="text1"/>
          <w:sz w:val="24"/>
          <w:szCs w:val="24"/>
          <w:lang w:val="en-IE"/>
        </w:rPr>
        <w:t>Protected customers as defined under Article 2(5) include households</w:t>
      </w:r>
      <w:r w:rsidR="001C152D">
        <w:rPr>
          <w:rFonts w:ascii="Times New Roman" w:eastAsia="Times New Roman" w:hAnsi="Times New Roman" w:cs="Times New Roman"/>
          <w:noProof/>
          <w:color w:val="000000" w:themeColor="text1"/>
          <w:sz w:val="24"/>
          <w:szCs w:val="24"/>
          <w:lang w:val="en-IE"/>
        </w:rPr>
        <w:t xml:space="preserve">. Furthermore, </w:t>
      </w:r>
      <w:r w:rsidRPr="0AFCBEB5">
        <w:rPr>
          <w:rFonts w:ascii="Times New Roman" w:eastAsia="Times New Roman" w:hAnsi="Times New Roman" w:cs="Times New Roman"/>
          <w:noProof/>
          <w:color w:val="000000" w:themeColor="text1"/>
          <w:sz w:val="24"/>
          <w:szCs w:val="24"/>
          <w:lang w:val="en-IE"/>
        </w:rPr>
        <w:t xml:space="preserve">Member States may under certain conditions include (1) SMEs, (2) essential social services and (3) district heating. However, during the energy crisis of 2022, the role of voluntary demand reduction of all sectors became of increasing importance. Therefore, </w:t>
      </w:r>
      <w:r w:rsidR="001C152D">
        <w:rPr>
          <w:rFonts w:ascii="Times New Roman" w:eastAsia="Times New Roman" w:hAnsi="Times New Roman" w:cs="Times New Roman"/>
          <w:noProof/>
          <w:color w:val="000000" w:themeColor="text1"/>
          <w:sz w:val="24"/>
          <w:szCs w:val="24"/>
          <w:lang w:val="en-IE"/>
        </w:rPr>
        <w:t xml:space="preserve">the Solidarity </w:t>
      </w:r>
      <w:r w:rsidRPr="0AFCBEB5">
        <w:rPr>
          <w:rFonts w:ascii="Times New Roman" w:eastAsia="Times New Roman" w:hAnsi="Times New Roman" w:cs="Times New Roman"/>
          <w:noProof/>
          <w:color w:val="000000" w:themeColor="text1"/>
          <w:sz w:val="24"/>
          <w:szCs w:val="24"/>
          <w:lang w:val="en-IE"/>
        </w:rPr>
        <w:t>Regulation introduced the possibility for Member States to take measures that reduce the non-essential consumption of protected customers.</w:t>
      </w:r>
    </w:p>
    <w:p w14:paraId="088F8E57" w14:textId="66512A19" w:rsidR="33F1A805" w:rsidRPr="00780A89" w:rsidRDefault="33F1A805" w:rsidP="1FE3319D">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color w:val="000000" w:themeColor="text1"/>
          <w:sz w:val="24"/>
          <w:szCs w:val="24"/>
          <w:lang w:val="en-IE"/>
        </w:rPr>
        <w:t xml:space="preserve">Many Member States indicated that they are not experiencing </w:t>
      </w:r>
      <w:r w:rsidR="005F1BD7">
        <w:rPr>
          <w:rFonts w:ascii="Times New Roman" w:eastAsia="Times New Roman" w:hAnsi="Times New Roman" w:cs="Times New Roman"/>
          <w:noProof/>
          <w:color w:val="000000" w:themeColor="text1"/>
          <w:sz w:val="24"/>
          <w:szCs w:val="24"/>
          <w:lang w:val="en-IE"/>
        </w:rPr>
        <w:t xml:space="preserve">major </w:t>
      </w:r>
      <w:r w:rsidRPr="00780A89">
        <w:rPr>
          <w:rFonts w:ascii="Times New Roman" w:eastAsia="Times New Roman" w:hAnsi="Times New Roman" w:cs="Times New Roman"/>
          <w:noProof/>
          <w:color w:val="000000" w:themeColor="text1"/>
          <w:sz w:val="24"/>
          <w:szCs w:val="24"/>
          <w:lang w:val="en-IE"/>
        </w:rPr>
        <w:t xml:space="preserve">challenges implementing the supply standard. </w:t>
      </w:r>
      <w:r w:rsidR="4CCA6B3B" w:rsidRPr="00780A89">
        <w:rPr>
          <w:rFonts w:ascii="Times New Roman" w:eastAsia="Times New Roman" w:hAnsi="Times New Roman" w:cs="Times New Roman"/>
          <w:noProof/>
          <w:color w:val="000000" w:themeColor="text1"/>
          <w:sz w:val="24"/>
          <w:szCs w:val="24"/>
          <w:lang w:val="en-IE"/>
        </w:rPr>
        <w:t xml:space="preserve">Regarding protected customers, some Member States pointed towards difficulties </w:t>
      </w:r>
      <w:r w:rsidR="005F1BD7">
        <w:rPr>
          <w:rFonts w:ascii="Times New Roman" w:eastAsia="Times New Roman" w:hAnsi="Times New Roman" w:cs="Times New Roman"/>
          <w:noProof/>
          <w:color w:val="000000" w:themeColor="text1"/>
          <w:sz w:val="24"/>
          <w:szCs w:val="24"/>
          <w:lang w:val="en-IE"/>
        </w:rPr>
        <w:t>estimating</w:t>
      </w:r>
      <w:r w:rsidR="4CCA6B3B" w:rsidRPr="00780A89">
        <w:rPr>
          <w:rFonts w:ascii="Times New Roman" w:eastAsia="Times New Roman" w:hAnsi="Times New Roman" w:cs="Times New Roman"/>
          <w:noProof/>
          <w:color w:val="000000" w:themeColor="text1"/>
          <w:sz w:val="24"/>
          <w:szCs w:val="24"/>
          <w:lang w:val="en-IE"/>
        </w:rPr>
        <w:t xml:space="preserve"> the protected customers’ demand. Some respondents considered it useful to have a </w:t>
      </w:r>
      <w:r w:rsidR="4CCA6B3B" w:rsidRPr="00780A89">
        <w:rPr>
          <w:rFonts w:ascii="Times New Roman" w:eastAsia="Times New Roman" w:hAnsi="Times New Roman" w:cs="Times New Roman"/>
          <w:b/>
          <w:bCs/>
          <w:noProof/>
          <w:color w:val="000000" w:themeColor="text1"/>
          <w:sz w:val="24"/>
          <w:szCs w:val="24"/>
          <w:lang w:val="en-IE"/>
        </w:rPr>
        <w:t>further harmonisation of the protected customers’ definition</w:t>
      </w:r>
      <w:r w:rsidR="4CCA6B3B" w:rsidRPr="00780A89">
        <w:rPr>
          <w:rFonts w:ascii="Times New Roman" w:eastAsia="Times New Roman" w:hAnsi="Times New Roman" w:cs="Times New Roman"/>
          <w:noProof/>
          <w:color w:val="000000" w:themeColor="text1"/>
          <w:sz w:val="24"/>
          <w:szCs w:val="24"/>
          <w:lang w:val="en-IE"/>
        </w:rPr>
        <w:t xml:space="preserve"> on EU level</w:t>
      </w:r>
      <w:r w:rsidR="2C1CDDD4" w:rsidRPr="00780A89">
        <w:rPr>
          <w:rFonts w:ascii="Times New Roman" w:eastAsia="Times New Roman" w:hAnsi="Times New Roman" w:cs="Times New Roman"/>
          <w:noProof/>
          <w:color w:val="000000" w:themeColor="text1"/>
          <w:sz w:val="24"/>
          <w:szCs w:val="24"/>
          <w:lang w:val="en-IE"/>
        </w:rPr>
        <w:t xml:space="preserve">, although national specificities need to be </w:t>
      </w:r>
      <w:r w:rsidR="00276F52" w:rsidRPr="00780A89">
        <w:rPr>
          <w:rFonts w:ascii="Times New Roman" w:eastAsia="Times New Roman" w:hAnsi="Times New Roman" w:cs="Times New Roman"/>
          <w:noProof/>
          <w:color w:val="000000" w:themeColor="text1"/>
          <w:sz w:val="24"/>
          <w:szCs w:val="24"/>
          <w:lang w:val="en-IE"/>
        </w:rPr>
        <w:t>considered</w:t>
      </w:r>
      <w:r w:rsidR="4CCA6B3B" w:rsidRPr="00780A89">
        <w:rPr>
          <w:rFonts w:ascii="Times New Roman" w:eastAsia="Times New Roman" w:hAnsi="Times New Roman" w:cs="Times New Roman"/>
          <w:noProof/>
          <w:color w:val="000000" w:themeColor="text1"/>
          <w:sz w:val="24"/>
          <w:szCs w:val="24"/>
          <w:lang w:val="en-IE"/>
        </w:rPr>
        <w:t xml:space="preserve">. </w:t>
      </w:r>
    </w:p>
    <w:p w14:paraId="756B4E40" w14:textId="0628B37D" w:rsidR="00276F52" w:rsidRPr="00780A89" w:rsidRDefault="00276F52" w:rsidP="1FE3319D">
      <w:pPr>
        <w:spacing w:after="240"/>
        <w:jc w:val="both"/>
        <w:rPr>
          <w:rFonts w:ascii="Times New Roman" w:eastAsia="Times New Roman" w:hAnsi="Times New Roman" w:cs="Times New Roman"/>
          <w:noProof/>
          <w:color w:val="000000" w:themeColor="text1"/>
          <w:sz w:val="24"/>
          <w:szCs w:val="24"/>
          <w:lang w:val="en-IE"/>
        </w:rPr>
      </w:pPr>
      <w:r w:rsidRPr="0AFCBEB5">
        <w:rPr>
          <w:rFonts w:ascii="Times New Roman" w:eastAsia="Times New Roman" w:hAnsi="Times New Roman" w:cs="Times New Roman"/>
          <w:noProof/>
          <w:color w:val="000000" w:themeColor="text1"/>
          <w:sz w:val="24"/>
          <w:szCs w:val="24"/>
          <w:lang w:val="en-IE"/>
        </w:rPr>
        <w:t>S</w:t>
      </w:r>
      <w:r w:rsidR="4CCA6B3B" w:rsidRPr="0AFCBEB5">
        <w:rPr>
          <w:rFonts w:ascii="Times New Roman" w:eastAsia="Times New Roman" w:hAnsi="Times New Roman" w:cs="Times New Roman"/>
          <w:noProof/>
          <w:color w:val="000000" w:themeColor="text1"/>
          <w:sz w:val="24"/>
          <w:szCs w:val="24"/>
          <w:lang w:val="en-IE"/>
        </w:rPr>
        <w:t xml:space="preserve">everal respondents indicated that they consider </w:t>
      </w:r>
      <w:r w:rsidR="001C2FFF">
        <w:rPr>
          <w:rFonts w:ascii="Times New Roman" w:eastAsia="Times New Roman" w:hAnsi="Times New Roman" w:cs="Times New Roman"/>
          <w:noProof/>
          <w:color w:val="000000" w:themeColor="text1"/>
          <w:sz w:val="24"/>
          <w:szCs w:val="24"/>
          <w:lang w:val="en-IE"/>
        </w:rPr>
        <w:t>that the</w:t>
      </w:r>
      <w:r w:rsidRPr="0AFCBEB5">
        <w:rPr>
          <w:rFonts w:ascii="Times New Roman" w:eastAsia="Times New Roman" w:hAnsi="Times New Roman" w:cs="Times New Roman"/>
          <w:noProof/>
          <w:color w:val="000000" w:themeColor="text1"/>
          <w:sz w:val="24"/>
          <w:szCs w:val="24"/>
          <w:lang w:val="en-IE"/>
        </w:rPr>
        <w:t xml:space="preserve"> </w:t>
      </w:r>
      <w:r w:rsidRPr="0AFCBEB5">
        <w:rPr>
          <w:rFonts w:ascii="Times New Roman" w:eastAsia="Times New Roman" w:hAnsi="Times New Roman" w:cs="Times New Roman"/>
          <w:b/>
          <w:bCs/>
          <w:noProof/>
          <w:color w:val="000000" w:themeColor="text1"/>
          <w:sz w:val="24"/>
          <w:szCs w:val="24"/>
          <w:lang w:val="en-IE"/>
        </w:rPr>
        <w:t>limitation of non-essential consumption</w:t>
      </w:r>
      <w:r w:rsidRPr="0AFCBEB5">
        <w:rPr>
          <w:rFonts w:ascii="Times New Roman" w:eastAsia="Times New Roman" w:hAnsi="Times New Roman" w:cs="Times New Roman"/>
          <w:noProof/>
          <w:color w:val="000000" w:themeColor="text1"/>
          <w:sz w:val="24"/>
          <w:szCs w:val="24"/>
          <w:lang w:val="en-IE"/>
        </w:rPr>
        <w:t xml:space="preserve"> of protected customers</w:t>
      </w:r>
      <w:r w:rsidR="4CCA6B3B" w:rsidRPr="0AFCBEB5">
        <w:rPr>
          <w:rFonts w:ascii="Times New Roman" w:eastAsia="Times New Roman" w:hAnsi="Times New Roman" w:cs="Times New Roman"/>
          <w:noProof/>
          <w:color w:val="000000" w:themeColor="text1"/>
          <w:sz w:val="24"/>
          <w:szCs w:val="24"/>
          <w:lang w:val="en-IE"/>
        </w:rPr>
        <w:t xml:space="preserve"> </w:t>
      </w:r>
      <w:r w:rsidR="001C2FFF">
        <w:rPr>
          <w:rFonts w:ascii="Times New Roman" w:eastAsia="Times New Roman" w:hAnsi="Times New Roman" w:cs="Times New Roman"/>
          <w:noProof/>
          <w:color w:val="000000" w:themeColor="text1"/>
          <w:sz w:val="24"/>
          <w:szCs w:val="24"/>
          <w:lang w:val="en-IE"/>
        </w:rPr>
        <w:t xml:space="preserve">(currently foreseen in the Solidarity Regulation) should be made permanent, </w:t>
      </w:r>
      <w:r w:rsidR="4CCA6B3B" w:rsidRPr="0AFCBEB5">
        <w:rPr>
          <w:rFonts w:ascii="Times New Roman" w:eastAsia="Times New Roman" w:hAnsi="Times New Roman" w:cs="Times New Roman"/>
          <w:noProof/>
          <w:color w:val="000000" w:themeColor="text1"/>
          <w:sz w:val="24"/>
          <w:szCs w:val="24"/>
          <w:lang w:val="en-IE"/>
        </w:rPr>
        <w:t>as it provides additional flexibility</w:t>
      </w:r>
      <w:r w:rsidR="0057294D">
        <w:rPr>
          <w:rFonts w:ascii="Times New Roman" w:eastAsia="Times New Roman" w:hAnsi="Times New Roman" w:cs="Times New Roman"/>
          <w:noProof/>
          <w:color w:val="000000" w:themeColor="text1"/>
          <w:sz w:val="24"/>
          <w:szCs w:val="24"/>
          <w:lang w:val="en-IE"/>
        </w:rPr>
        <w:t xml:space="preserve"> in order to meet security of supply objectives</w:t>
      </w:r>
      <w:r w:rsidR="4CCA6B3B" w:rsidRPr="0AFCBEB5">
        <w:rPr>
          <w:rFonts w:ascii="Times New Roman" w:eastAsia="Times New Roman" w:hAnsi="Times New Roman" w:cs="Times New Roman"/>
          <w:noProof/>
          <w:color w:val="000000" w:themeColor="text1"/>
          <w:sz w:val="24"/>
          <w:szCs w:val="24"/>
          <w:lang w:val="en-IE"/>
        </w:rPr>
        <w:t xml:space="preserve">. </w:t>
      </w:r>
    </w:p>
    <w:p w14:paraId="425DF0ED" w14:textId="62FA8E95" w:rsidR="4CCA6B3B" w:rsidRPr="00780A89" w:rsidRDefault="70A42747" w:rsidP="73B12684">
      <w:pPr>
        <w:spacing w:after="240"/>
        <w:jc w:val="both"/>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noProof/>
          <w:color w:val="000000" w:themeColor="text1"/>
          <w:sz w:val="24"/>
          <w:szCs w:val="24"/>
          <w:lang w:val="en-IE"/>
        </w:rPr>
        <w:t>G</w:t>
      </w:r>
      <w:r w:rsidR="4CCA6B3B" w:rsidRPr="0AFCBEB5">
        <w:rPr>
          <w:rFonts w:ascii="Times New Roman" w:eastAsia="Times New Roman" w:hAnsi="Times New Roman" w:cs="Times New Roman"/>
          <w:noProof/>
          <w:color w:val="000000" w:themeColor="text1"/>
          <w:sz w:val="24"/>
          <w:szCs w:val="24"/>
          <w:lang w:val="en-IE"/>
        </w:rPr>
        <w:t xml:space="preserve">iven that household </w:t>
      </w:r>
      <w:r w:rsidR="007E1EB8" w:rsidRPr="0AFCBEB5">
        <w:rPr>
          <w:rFonts w:ascii="Times New Roman" w:eastAsia="Times New Roman" w:hAnsi="Times New Roman" w:cs="Times New Roman"/>
          <w:noProof/>
          <w:color w:val="000000" w:themeColor="text1"/>
          <w:sz w:val="24"/>
          <w:szCs w:val="24"/>
          <w:lang w:val="en-IE"/>
        </w:rPr>
        <w:t xml:space="preserve">gas </w:t>
      </w:r>
      <w:r w:rsidR="4CCA6B3B" w:rsidRPr="0AFCBEB5">
        <w:rPr>
          <w:rFonts w:ascii="Times New Roman" w:eastAsia="Times New Roman" w:hAnsi="Times New Roman" w:cs="Times New Roman"/>
          <w:noProof/>
          <w:color w:val="000000" w:themeColor="text1"/>
          <w:sz w:val="24"/>
          <w:szCs w:val="24"/>
          <w:lang w:val="en-IE"/>
        </w:rPr>
        <w:t xml:space="preserve">demand may in some Member States be phased out sooner than </w:t>
      </w:r>
      <w:r w:rsidR="001C152D">
        <w:rPr>
          <w:rFonts w:ascii="Times New Roman" w:eastAsia="Times New Roman" w:hAnsi="Times New Roman" w:cs="Times New Roman"/>
          <w:noProof/>
          <w:color w:val="000000" w:themeColor="text1"/>
          <w:sz w:val="24"/>
          <w:szCs w:val="24"/>
          <w:lang w:val="en-IE"/>
        </w:rPr>
        <w:t xml:space="preserve">in </w:t>
      </w:r>
      <w:r w:rsidR="4CCA6B3B" w:rsidRPr="0AFCBEB5">
        <w:rPr>
          <w:rFonts w:ascii="Times New Roman" w:eastAsia="Times New Roman" w:hAnsi="Times New Roman" w:cs="Times New Roman"/>
          <w:noProof/>
          <w:color w:val="000000" w:themeColor="text1"/>
          <w:sz w:val="24"/>
          <w:szCs w:val="24"/>
          <w:lang w:val="en-IE"/>
        </w:rPr>
        <w:t xml:space="preserve">other sectors, a reconsideration of the protected customers definition </w:t>
      </w:r>
      <w:r w:rsidR="008A099B" w:rsidRPr="0AFCBEB5">
        <w:rPr>
          <w:rFonts w:ascii="Times New Roman" w:eastAsia="Times New Roman" w:hAnsi="Times New Roman" w:cs="Times New Roman"/>
          <w:noProof/>
          <w:color w:val="000000" w:themeColor="text1"/>
          <w:sz w:val="24"/>
          <w:szCs w:val="24"/>
          <w:lang w:val="en-IE"/>
        </w:rPr>
        <w:t xml:space="preserve">may </w:t>
      </w:r>
      <w:r w:rsidR="00410C4D" w:rsidRPr="0AFCBEB5">
        <w:rPr>
          <w:rFonts w:ascii="Times New Roman" w:eastAsia="Times New Roman" w:hAnsi="Times New Roman" w:cs="Times New Roman"/>
          <w:noProof/>
          <w:color w:val="000000" w:themeColor="text1"/>
          <w:sz w:val="24"/>
          <w:szCs w:val="24"/>
          <w:lang w:val="en-IE"/>
        </w:rPr>
        <w:t xml:space="preserve">in the future </w:t>
      </w:r>
      <w:r w:rsidR="008A099B" w:rsidRPr="0AFCBEB5">
        <w:rPr>
          <w:rFonts w:ascii="Times New Roman" w:eastAsia="Times New Roman" w:hAnsi="Times New Roman" w:cs="Times New Roman"/>
          <w:noProof/>
          <w:color w:val="000000" w:themeColor="text1"/>
          <w:sz w:val="24"/>
          <w:szCs w:val="24"/>
          <w:lang w:val="en-IE"/>
        </w:rPr>
        <w:t>be required</w:t>
      </w:r>
      <w:r w:rsidR="4CCA6B3B" w:rsidRPr="0AFCBEB5">
        <w:rPr>
          <w:rFonts w:ascii="Times New Roman" w:eastAsia="Times New Roman" w:hAnsi="Times New Roman" w:cs="Times New Roman"/>
          <w:noProof/>
          <w:color w:val="000000" w:themeColor="text1"/>
          <w:sz w:val="24"/>
          <w:szCs w:val="24"/>
          <w:lang w:val="en-IE"/>
        </w:rPr>
        <w:t xml:space="preserve"> to adjust to a changing demand profile</w:t>
      </w:r>
      <w:r w:rsidR="50E19DAC" w:rsidRPr="0AFCBEB5">
        <w:rPr>
          <w:rFonts w:ascii="Times New Roman" w:eastAsia="Times New Roman" w:hAnsi="Times New Roman" w:cs="Times New Roman"/>
          <w:noProof/>
          <w:color w:val="000000" w:themeColor="text1"/>
          <w:sz w:val="24"/>
          <w:szCs w:val="24"/>
          <w:lang w:val="en-IE"/>
        </w:rPr>
        <w:t>, while ensuring that residential needs are met, in particular as regards the gas consumption of vulnerable consumers</w:t>
      </w:r>
      <w:r w:rsidR="4CCA6B3B" w:rsidRPr="0AFCBEB5">
        <w:rPr>
          <w:rFonts w:ascii="Times New Roman" w:eastAsia="Times New Roman" w:hAnsi="Times New Roman" w:cs="Times New Roman"/>
          <w:noProof/>
          <w:color w:val="000000" w:themeColor="text1"/>
          <w:sz w:val="24"/>
          <w:szCs w:val="24"/>
          <w:lang w:val="en-IE"/>
        </w:rPr>
        <w:t>.</w:t>
      </w:r>
    </w:p>
    <w:p w14:paraId="3012101E" w14:textId="05480FBA" w:rsidR="2AA7E849" w:rsidRPr="00780A89" w:rsidRDefault="00793CE4" w:rsidP="00493098">
      <w:pPr>
        <w:keepNext/>
        <w:keepLines/>
        <w:jc w:val="both"/>
        <w:rPr>
          <w:rFonts w:ascii="Times New Roman" w:eastAsia="Times New Roman" w:hAnsi="Times New Roman" w:cs="Times New Roman"/>
          <w:b/>
          <w:bCs/>
          <w:i/>
          <w:iCs/>
          <w:noProof/>
          <w:color w:val="000000" w:themeColor="text1"/>
          <w:sz w:val="24"/>
          <w:szCs w:val="24"/>
          <w:lang w:val="en-IE"/>
        </w:rPr>
      </w:pPr>
      <w:r>
        <w:rPr>
          <w:rFonts w:ascii="Times New Roman" w:eastAsia="Times New Roman" w:hAnsi="Times New Roman" w:cs="Times New Roman"/>
          <w:b/>
          <w:bCs/>
          <w:i/>
          <w:iCs/>
          <w:noProof/>
          <w:color w:val="000000" w:themeColor="text1"/>
          <w:sz w:val="24"/>
          <w:szCs w:val="24"/>
          <w:lang w:val="en-IE"/>
        </w:rPr>
        <w:t>3</w:t>
      </w:r>
      <w:r w:rsidR="2AA7E849" w:rsidRPr="00780A89">
        <w:rPr>
          <w:rFonts w:ascii="Times New Roman" w:eastAsia="Times New Roman" w:hAnsi="Times New Roman" w:cs="Times New Roman"/>
          <w:b/>
          <w:bCs/>
          <w:i/>
          <w:iCs/>
          <w:noProof/>
          <w:color w:val="000000" w:themeColor="text1"/>
          <w:sz w:val="24"/>
          <w:szCs w:val="24"/>
          <w:lang w:val="en-IE"/>
        </w:rPr>
        <w:t>.4. Risk assessments and regional risk groups</w:t>
      </w:r>
    </w:p>
    <w:p w14:paraId="459B44F6" w14:textId="151E712D" w:rsidR="00F963B8" w:rsidRPr="00780A89" w:rsidRDefault="001D217A" w:rsidP="00493098">
      <w:pPr>
        <w:keepNext/>
        <w:keepLines/>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To</w:t>
      </w:r>
      <w:r w:rsidR="00F963B8" w:rsidRPr="00780A89">
        <w:rPr>
          <w:rFonts w:ascii="Times New Roman" w:eastAsia="Times New Roman" w:hAnsi="Times New Roman" w:cs="Times New Roman"/>
          <w:noProof/>
          <w:sz w:val="24"/>
          <w:szCs w:val="24"/>
          <w:lang w:val="en-IE"/>
        </w:rPr>
        <w:t xml:space="preserve"> be prepared for possible security of supply risks, the Gas Security of Supply Regulation establishes an architecture of risk assessments and regional risk groups, laid out in Article 7 and Annexes I, IV and V</w:t>
      </w:r>
      <w:r w:rsidR="0057294D">
        <w:rPr>
          <w:rFonts w:ascii="Times New Roman" w:eastAsia="Times New Roman" w:hAnsi="Times New Roman" w:cs="Times New Roman"/>
          <w:noProof/>
          <w:sz w:val="24"/>
          <w:szCs w:val="24"/>
          <w:lang w:val="en-IE"/>
        </w:rPr>
        <w:t xml:space="preserve"> of the Regulation.</w:t>
      </w:r>
    </w:p>
    <w:p w14:paraId="77322A0E" w14:textId="40C67A52" w:rsidR="009C5FD4" w:rsidRPr="00780A89" w:rsidRDefault="00F963B8" w:rsidP="00F963B8">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This architecture starts with an EU-wide simulation of gas supply and infrastructure disruption</w:t>
      </w:r>
      <w:r w:rsidR="001D217A" w:rsidRPr="00780A89">
        <w:rPr>
          <w:rFonts w:ascii="Times New Roman" w:eastAsia="Times New Roman" w:hAnsi="Times New Roman" w:cs="Times New Roman"/>
          <w:noProof/>
          <w:sz w:val="24"/>
          <w:szCs w:val="24"/>
          <w:lang w:val="en-IE"/>
        </w:rPr>
        <w:t>s</w:t>
      </w:r>
      <w:r w:rsidRPr="00780A89">
        <w:rPr>
          <w:rFonts w:ascii="Times New Roman" w:eastAsia="Times New Roman" w:hAnsi="Times New Roman" w:cs="Times New Roman"/>
          <w:noProof/>
          <w:sz w:val="24"/>
          <w:szCs w:val="24"/>
          <w:lang w:val="en-IE"/>
        </w:rPr>
        <w:t xml:space="preserve"> conducted by ENTSOG, after which Member States make a </w:t>
      </w:r>
      <w:r w:rsidR="001D217A" w:rsidRPr="00780A89">
        <w:rPr>
          <w:rFonts w:ascii="Times New Roman" w:eastAsia="Times New Roman" w:hAnsi="Times New Roman" w:cs="Times New Roman"/>
          <w:noProof/>
          <w:sz w:val="24"/>
          <w:szCs w:val="24"/>
          <w:lang w:val="en-IE"/>
        </w:rPr>
        <w:t xml:space="preserve">national risk assessment and </w:t>
      </w:r>
      <w:r w:rsidRPr="00780A89">
        <w:rPr>
          <w:rFonts w:ascii="Times New Roman" w:eastAsia="Times New Roman" w:hAnsi="Times New Roman" w:cs="Times New Roman"/>
          <w:noProof/>
          <w:sz w:val="24"/>
          <w:szCs w:val="24"/>
          <w:lang w:val="en-IE"/>
        </w:rPr>
        <w:t xml:space="preserve">common risk assessment in dedicated regional risk groups, </w:t>
      </w:r>
      <w:r w:rsidR="00AD7142" w:rsidRPr="00780A89">
        <w:rPr>
          <w:rFonts w:ascii="Times New Roman" w:eastAsia="Times New Roman" w:hAnsi="Times New Roman" w:cs="Times New Roman"/>
          <w:noProof/>
          <w:sz w:val="24"/>
          <w:szCs w:val="24"/>
          <w:lang w:val="en-IE"/>
        </w:rPr>
        <w:t xml:space="preserve">corresponding to </w:t>
      </w:r>
      <w:r w:rsidR="00A300B0" w:rsidRPr="00780A89">
        <w:rPr>
          <w:rFonts w:ascii="Times New Roman" w:eastAsia="Times New Roman" w:hAnsi="Times New Roman" w:cs="Times New Roman"/>
          <w:noProof/>
          <w:sz w:val="24"/>
          <w:szCs w:val="24"/>
          <w:lang w:val="en-IE"/>
        </w:rPr>
        <w:t>the main</w:t>
      </w:r>
      <w:r w:rsidRPr="00780A89">
        <w:rPr>
          <w:rFonts w:ascii="Times New Roman" w:eastAsia="Times New Roman" w:hAnsi="Times New Roman" w:cs="Times New Roman"/>
          <w:noProof/>
          <w:sz w:val="24"/>
          <w:szCs w:val="24"/>
          <w:lang w:val="en-IE"/>
        </w:rPr>
        <w:t xml:space="preserve"> </w:t>
      </w:r>
      <w:r w:rsidR="00A300B0" w:rsidRPr="00780A89">
        <w:rPr>
          <w:rFonts w:ascii="Times New Roman" w:eastAsia="Times New Roman" w:hAnsi="Times New Roman" w:cs="Times New Roman"/>
          <w:noProof/>
          <w:sz w:val="24"/>
          <w:szCs w:val="24"/>
          <w:lang w:val="en-IE"/>
        </w:rPr>
        <w:t>supply corridors</w:t>
      </w:r>
      <w:r w:rsidRPr="00780A89">
        <w:rPr>
          <w:rFonts w:ascii="Times New Roman" w:eastAsia="Times New Roman" w:hAnsi="Times New Roman" w:cs="Times New Roman"/>
          <w:noProof/>
          <w:sz w:val="24"/>
          <w:szCs w:val="24"/>
          <w:lang w:val="en-IE"/>
        </w:rPr>
        <w:t xml:space="preserve">. </w:t>
      </w:r>
    </w:p>
    <w:p w14:paraId="106D386B" w14:textId="18C81F44" w:rsidR="00467FB0" w:rsidRPr="00780A89" w:rsidRDefault="00467FB0" w:rsidP="00F963B8">
      <w:pPr>
        <w:jc w:val="both"/>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noProof/>
          <w:sz w:val="24"/>
          <w:szCs w:val="24"/>
          <w:lang w:val="en-IE"/>
        </w:rPr>
        <w:t xml:space="preserve">The first common and national risk assessments have been conducted in 2018 </w:t>
      </w:r>
      <w:r w:rsidR="005126A8" w:rsidRPr="0AFCBEB5">
        <w:rPr>
          <w:rFonts w:ascii="Times New Roman" w:eastAsia="Times New Roman" w:hAnsi="Times New Roman" w:cs="Times New Roman"/>
          <w:noProof/>
          <w:sz w:val="24"/>
          <w:szCs w:val="24"/>
          <w:lang w:val="en-IE"/>
        </w:rPr>
        <w:t xml:space="preserve">and should </w:t>
      </w:r>
      <w:r w:rsidRPr="0AFCBEB5">
        <w:rPr>
          <w:rFonts w:ascii="Times New Roman" w:eastAsia="Times New Roman" w:hAnsi="Times New Roman" w:cs="Times New Roman"/>
          <w:noProof/>
          <w:sz w:val="24"/>
          <w:szCs w:val="24"/>
          <w:lang w:val="en-IE"/>
        </w:rPr>
        <w:t xml:space="preserve">be updated every four years. Due to the challenges faced during the energy crisis in 2022, several Member States indicated </w:t>
      </w:r>
      <w:r w:rsidR="007F5C9A">
        <w:rPr>
          <w:rFonts w:ascii="Times New Roman" w:eastAsia="Times New Roman" w:hAnsi="Times New Roman" w:cs="Times New Roman"/>
          <w:noProof/>
          <w:sz w:val="24"/>
          <w:szCs w:val="24"/>
          <w:lang w:val="en-IE"/>
        </w:rPr>
        <w:t xml:space="preserve">that </w:t>
      </w:r>
      <w:r w:rsidRPr="0AFCBEB5">
        <w:rPr>
          <w:rFonts w:ascii="Times New Roman" w:eastAsia="Times New Roman" w:hAnsi="Times New Roman" w:cs="Times New Roman"/>
          <w:noProof/>
          <w:sz w:val="24"/>
          <w:szCs w:val="24"/>
          <w:lang w:val="en-IE"/>
        </w:rPr>
        <w:t xml:space="preserve">they </w:t>
      </w:r>
      <w:r w:rsidRPr="0AFCBEB5">
        <w:rPr>
          <w:rFonts w:ascii="Times New Roman" w:eastAsia="Times New Roman" w:hAnsi="Times New Roman" w:cs="Times New Roman"/>
          <w:b/>
          <w:bCs/>
          <w:noProof/>
          <w:sz w:val="24"/>
          <w:szCs w:val="24"/>
          <w:lang w:val="en-IE"/>
        </w:rPr>
        <w:t>lacked administrative capacity</w:t>
      </w:r>
      <w:r w:rsidRPr="0AFCBEB5">
        <w:rPr>
          <w:rFonts w:ascii="Times New Roman" w:eastAsia="Times New Roman" w:hAnsi="Times New Roman" w:cs="Times New Roman"/>
          <w:noProof/>
          <w:sz w:val="24"/>
          <w:szCs w:val="24"/>
          <w:lang w:val="en-IE"/>
        </w:rPr>
        <w:t xml:space="preserve"> to </w:t>
      </w:r>
      <w:r w:rsidR="007F4C08" w:rsidRPr="0AFCBEB5">
        <w:rPr>
          <w:rFonts w:ascii="Times New Roman" w:eastAsia="Times New Roman" w:hAnsi="Times New Roman" w:cs="Times New Roman"/>
          <w:noProof/>
          <w:sz w:val="24"/>
          <w:szCs w:val="24"/>
          <w:lang w:val="en-IE"/>
        </w:rPr>
        <w:t xml:space="preserve">lead the risk groups or </w:t>
      </w:r>
      <w:r w:rsidRPr="0AFCBEB5">
        <w:rPr>
          <w:rFonts w:ascii="Times New Roman" w:eastAsia="Times New Roman" w:hAnsi="Times New Roman" w:cs="Times New Roman"/>
          <w:noProof/>
          <w:sz w:val="24"/>
          <w:szCs w:val="24"/>
          <w:lang w:val="en-IE"/>
        </w:rPr>
        <w:t>conduct the risk assessments on time.</w:t>
      </w:r>
    </w:p>
    <w:p w14:paraId="247B382A" w14:textId="713DE365" w:rsidR="00C65F1A" w:rsidRPr="00780A89" w:rsidRDefault="007F4C08" w:rsidP="00F963B8">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Yet, these</w:t>
      </w:r>
      <w:r w:rsidR="00C65F1A" w:rsidRPr="00780A89">
        <w:rPr>
          <w:rFonts w:ascii="Times New Roman" w:eastAsia="Times New Roman" w:hAnsi="Times New Roman" w:cs="Times New Roman"/>
          <w:noProof/>
          <w:sz w:val="24"/>
          <w:szCs w:val="24"/>
          <w:lang w:val="en-IE"/>
        </w:rPr>
        <w:t xml:space="preserve"> risk assessments and the related </w:t>
      </w:r>
      <w:r w:rsidR="001C152D">
        <w:rPr>
          <w:rFonts w:ascii="Times New Roman" w:eastAsia="Times New Roman" w:hAnsi="Times New Roman" w:cs="Times New Roman"/>
          <w:noProof/>
          <w:sz w:val="24"/>
          <w:szCs w:val="24"/>
          <w:lang w:val="en-IE"/>
        </w:rPr>
        <w:t>PAPs and EPs</w:t>
      </w:r>
      <w:r w:rsidR="00C65F1A" w:rsidRPr="00780A89">
        <w:rPr>
          <w:rFonts w:ascii="Times New Roman" w:eastAsia="Times New Roman" w:hAnsi="Times New Roman" w:cs="Times New Roman"/>
          <w:noProof/>
          <w:sz w:val="24"/>
          <w:szCs w:val="24"/>
          <w:lang w:val="en-IE"/>
        </w:rPr>
        <w:t xml:space="preserve"> are of utmost importance for the EU’s risk preparedness for </w:t>
      </w:r>
      <w:r w:rsidR="007F5C9A">
        <w:rPr>
          <w:rFonts w:ascii="Times New Roman" w:eastAsia="Times New Roman" w:hAnsi="Times New Roman" w:cs="Times New Roman"/>
          <w:noProof/>
          <w:sz w:val="24"/>
          <w:szCs w:val="24"/>
          <w:lang w:val="en-IE"/>
        </w:rPr>
        <w:t xml:space="preserve">the </w:t>
      </w:r>
      <w:r w:rsidR="00C65F1A" w:rsidRPr="00780A89">
        <w:rPr>
          <w:rFonts w:ascii="Times New Roman" w:eastAsia="Times New Roman" w:hAnsi="Times New Roman" w:cs="Times New Roman"/>
          <w:noProof/>
          <w:sz w:val="24"/>
          <w:szCs w:val="24"/>
          <w:lang w:val="en-IE"/>
        </w:rPr>
        <w:t>next winter and subsequent years.</w:t>
      </w:r>
    </w:p>
    <w:p w14:paraId="2344D710" w14:textId="5D4B6978" w:rsidR="00CF6026" w:rsidRPr="00780A89" w:rsidRDefault="00CF6026" w:rsidP="00F963B8">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The Commission had initially not pursued infringement procedures due to the exceptional </w:t>
      </w:r>
      <w:r w:rsidR="001801C2" w:rsidRPr="00780A89">
        <w:rPr>
          <w:rFonts w:ascii="Times New Roman" w:eastAsia="Times New Roman" w:hAnsi="Times New Roman" w:cs="Times New Roman"/>
          <w:noProof/>
          <w:sz w:val="24"/>
          <w:szCs w:val="24"/>
          <w:lang w:val="en-IE"/>
        </w:rPr>
        <w:t>crisis</w:t>
      </w:r>
      <w:r w:rsidRPr="00780A89">
        <w:rPr>
          <w:rFonts w:ascii="Times New Roman" w:eastAsia="Times New Roman" w:hAnsi="Times New Roman" w:cs="Times New Roman"/>
          <w:noProof/>
          <w:sz w:val="24"/>
          <w:szCs w:val="24"/>
          <w:lang w:val="en-IE"/>
        </w:rPr>
        <w:t xml:space="preserve"> of </w:t>
      </w:r>
      <w:r w:rsidR="00C4791D" w:rsidRPr="00780A89">
        <w:rPr>
          <w:rFonts w:ascii="Times New Roman" w:eastAsia="Times New Roman" w:hAnsi="Times New Roman" w:cs="Times New Roman"/>
          <w:noProof/>
          <w:sz w:val="24"/>
          <w:szCs w:val="24"/>
          <w:lang w:val="en-IE"/>
        </w:rPr>
        <w:t>2022</w:t>
      </w:r>
      <w:r w:rsidRPr="00780A89">
        <w:rPr>
          <w:rFonts w:ascii="Times New Roman" w:eastAsia="Times New Roman" w:hAnsi="Times New Roman" w:cs="Times New Roman"/>
          <w:noProof/>
          <w:sz w:val="24"/>
          <w:szCs w:val="24"/>
          <w:lang w:val="en-IE"/>
        </w:rPr>
        <w:t>. However, due to a lack of progress and the importance of being prepared for the winter</w:t>
      </w:r>
      <w:r w:rsidR="001003BC" w:rsidRPr="00780A89">
        <w:rPr>
          <w:rFonts w:ascii="Times New Roman" w:eastAsia="Times New Roman" w:hAnsi="Times New Roman" w:cs="Times New Roman"/>
          <w:noProof/>
          <w:sz w:val="24"/>
          <w:szCs w:val="24"/>
          <w:lang w:val="en-IE"/>
        </w:rPr>
        <w:t xml:space="preserve"> 2023-24</w:t>
      </w:r>
      <w:r w:rsidRPr="00780A89">
        <w:rPr>
          <w:rFonts w:ascii="Times New Roman" w:eastAsia="Times New Roman" w:hAnsi="Times New Roman" w:cs="Times New Roman"/>
          <w:noProof/>
          <w:sz w:val="24"/>
          <w:szCs w:val="24"/>
          <w:lang w:val="en-IE"/>
        </w:rPr>
        <w:t xml:space="preserve">, </w:t>
      </w:r>
      <w:r w:rsidR="00322FC4">
        <w:rPr>
          <w:rFonts w:ascii="Times New Roman" w:eastAsia="Times New Roman" w:hAnsi="Times New Roman" w:cs="Times New Roman"/>
          <w:noProof/>
          <w:sz w:val="24"/>
          <w:szCs w:val="24"/>
          <w:lang w:val="en-IE"/>
        </w:rPr>
        <w:t>t</w:t>
      </w:r>
      <w:r w:rsidR="001003BC" w:rsidRPr="00780A89">
        <w:rPr>
          <w:rFonts w:ascii="Times New Roman" w:eastAsia="Times New Roman" w:hAnsi="Times New Roman" w:cs="Times New Roman"/>
          <w:noProof/>
          <w:sz w:val="24"/>
          <w:szCs w:val="24"/>
          <w:lang w:val="en-IE"/>
        </w:rPr>
        <w:t xml:space="preserve">he </w:t>
      </w:r>
      <w:r w:rsidRPr="00780A89">
        <w:rPr>
          <w:rFonts w:ascii="Times New Roman" w:eastAsia="Times New Roman" w:hAnsi="Times New Roman" w:cs="Times New Roman"/>
          <w:noProof/>
          <w:sz w:val="24"/>
          <w:szCs w:val="24"/>
          <w:lang w:val="en-IE"/>
        </w:rPr>
        <w:t>Commission decided to launch 26 EU Pilots in mid-June</w:t>
      </w:r>
      <w:r w:rsidR="007F4C08" w:rsidRPr="00780A89">
        <w:rPr>
          <w:rFonts w:ascii="Times New Roman" w:eastAsia="Times New Roman" w:hAnsi="Times New Roman" w:cs="Times New Roman"/>
          <w:noProof/>
          <w:sz w:val="24"/>
          <w:szCs w:val="24"/>
          <w:lang w:val="en-IE"/>
        </w:rPr>
        <w:t xml:space="preserve"> 2023</w:t>
      </w:r>
      <w:r w:rsidRPr="00780A89">
        <w:rPr>
          <w:rFonts w:ascii="Times New Roman" w:eastAsia="Times New Roman" w:hAnsi="Times New Roman" w:cs="Times New Roman"/>
          <w:noProof/>
          <w:sz w:val="24"/>
          <w:szCs w:val="24"/>
          <w:lang w:val="en-IE"/>
        </w:rPr>
        <w:t xml:space="preserve">, to ensure that Member States prepare and notify the risk assessments and the </w:t>
      </w:r>
      <w:r w:rsidR="00322FC4">
        <w:rPr>
          <w:rFonts w:ascii="Times New Roman" w:eastAsia="Times New Roman" w:hAnsi="Times New Roman" w:cs="Times New Roman"/>
          <w:noProof/>
          <w:sz w:val="24"/>
          <w:szCs w:val="24"/>
          <w:lang w:val="en-IE"/>
        </w:rPr>
        <w:t>PAPs and EPs</w:t>
      </w:r>
      <w:r w:rsidRPr="00780A89">
        <w:rPr>
          <w:rFonts w:ascii="Times New Roman" w:eastAsia="Times New Roman" w:hAnsi="Times New Roman" w:cs="Times New Roman"/>
          <w:noProof/>
          <w:sz w:val="24"/>
          <w:szCs w:val="24"/>
          <w:lang w:val="en-IE"/>
        </w:rPr>
        <w:t>.</w:t>
      </w:r>
    </w:p>
    <w:p w14:paraId="04FA4E3B" w14:textId="5F26CD29" w:rsidR="002C7925" w:rsidRPr="00780A89" w:rsidRDefault="002C7925" w:rsidP="002C792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From the experience of updating the risk assessments and the functioning of the risk groups, as well as via feedback received from GCG members, a number of questions ar</w:t>
      </w:r>
      <w:r w:rsidR="00B54024" w:rsidRPr="00780A89">
        <w:rPr>
          <w:rFonts w:ascii="Times New Roman" w:eastAsia="Times New Roman" w:hAnsi="Times New Roman" w:cs="Times New Roman"/>
          <w:noProof/>
          <w:sz w:val="24"/>
          <w:szCs w:val="24"/>
          <w:lang w:val="en-IE"/>
        </w:rPr>
        <w:t>o</w:t>
      </w:r>
      <w:r w:rsidRPr="00780A89">
        <w:rPr>
          <w:rFonts w:ascii="Times New Roman" w:eastAsia="Times New Roman" w:hAnsi="Times New Roman" w:cs="Times New Roman"/>
          <w:noProof/>
          <w:sz w:val="24"/>
          <w:szCs w:val="24"/>
          <w:lang w:val="en-IE"/>
        </w:rPr>
        <w:t>s</w:t>
      </w:r>
      <w:r w:rsidR="00B54024" w:rsidRPr="00780A89">
        <w:rPr>
          <w:rFonts w:ascii="Times New Roman" w:eastAsia="Times New Roman" w:hAnsi="Times New Roman" w:cs="Times New Roman"/>
          <w:noProof/>
          <w:sz w:val="24"/>
          <w:szCs w:val="24"/>
          <w:lang w:val="en-IE"/>
        </w:rPr>
        <w:t>e</w:t>
      </w:r>
      <w:r w:rsidR="003449DA" w:rsidRPr="00780A89">
        <w:rPr>
          <w:rFonts w:ascii="Times New Roman" w:eastAsia="Times New Roman" w:hAnsi="Times New Roman" w:cs="Times New Roman"/>
          <w:noProof/>
          <w:sz w:val="24"/>
          <w:szCs w:val="24"/>
          <w:lang w:val="en-IE"/>
        </w:rPr>
        <w:t xml:space="preserve"> beyond the lack of administrative capacity in Member States</w:t>
      </w:r>
      <w:r w:rsidRPr="00780A89">
        <w:rPr>
          <w:rFonts w:ascii="Times New Roman" w:eastAsia="Times New Roman" w:hAnsi="Times New Roman" w:cs="Times New Roman"/>
          <w:noProof/>
          <w:sz w:val="24"/>
          <w:szCs w:val="24"/>
          <w:lang w:val="en-IE"/>
        </w:rPr>
        <w:t>:</w:t>
      </w:r>
    </w:p>
    <w:p w14:paraId="547E3C16" w14:textId="02267296" w:rsidR="003449DA" w:rsidRPr="00780A89" w:rsidRDefault="002C7925" w:rsidP="002C7925">
      <w:pPr>
        <w:pStyle w:val="ListParagraph"/>
        <w:numPr>
          <w:ilvl w:val="0"/>
          <w:numId w:val="5"/>
        </w:num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The </w:t>
      </w:r>
      <w:r w:rsidR="00B22C8B" w:rsidRPr="00780A89">
        <w:rPr>
          <w:rFonts w:ascii="Times New Roman" w:eastAsia="Times New Roman" w:hAnsi="Times New Roman" w:cs="Times New Roman"/>
          <w:noProof/>
          <w:sz w:val="24"/>
          <w:szCs w:val="24"/>
          <w:lang w:val="en-IE"/>
        </w:rPr>
        <w:t xml:space="preserve">current </w:t>
      </w:r>
      <w:r w:rsidRPr="00780A89">
        <w:rPr>
          <w:rFonts w:ascii="Times New Roman" w:eastAsia="Times New Roman" w:hAnsi="Times New Roman" w:cs="Times New Roman"/>
          <w:noProof/>
          <w:sz w:val="24"/>
          <w:szCs w:val="24"/>
          <w:lang w:val="en-IE"/>
        </w:rPr>
        <w:t xml:space="preserve">regional approach to the </w:t>
      </w:r>
      <w:r w:rsidRPr="00780A89">
        <w:rPr>
          <w:rFonts w:ascii="Times New Roman" w:eastAsia="Times New Roman" w:hAnsi="Times New Roman" w:cs="Times New Roman"/>
          <w:b/>
          <w:bCs/>
          <w:noProof/>
          <w:sz w:val="24"/>
          <w:szCs w:val="24"/>
          <w:lang w:val="en-IE"/>
        </w:rPr>
        <w:t xml:space="preserve">risk groups </w:t>
      </w:r>
      <w:r w:rsidR="00973DC9" w:rsidRPr="00780A89">
        <w:rPr>
          <w:rFonts w:ascii="Times New Roman" w:eastAsia="Times New Roman" w:hAnsi="Times New Roman" w:cs="Times New Roman"/>
          <w:b/>
          <w:bCs/>
          <w:noProof/>
          <w:sz w:val="24"/>
          <w:szCs w:val="24"/>
          <w:lang w:val="en-IE"/>
        </w:rPr>
        <w:t xml:space="preserve">seems </w:t>
      </w:r>
      <w:r w:rsidRPr="00780A89">
        <w:rPr>
          <w:rFonts w:ascii="Times New Roman" w:eastAsia="Times New Roman" w:hAnsi="Times New Roman" w:cs="Times New Roman"/>
          <w:b/>
          <w:bCs/>
          <w:noProof/>
          <w:sz w:val="24"/>
          <w:szCs w:val="24"/>
          <w:lang w:val="en-IE"/>
        </w:rPr>
        <w:t xml:space="preserve">no longer </w:t>
      </w:r>
      <w:r w:rsidR="0050108C" w:rsidRPr="00780A89">
        <w:rPr>
          <w:rFonts w:ascii="Times New Roman" w:eastAsia="Times New Roman" w:hAnsi="Times New Roman" w:cs="Times New Roman"/>
          <w:b/>
          <w:bCs/>
          <w:noProof/>
          <w:sz w:val="24"/>
          <w:szCs w:val="24"/>
          <w:lang w:val="en-IE"/>
        </w:rPr>
        <w:t>be</w:t>
      </w:r>
      <w:r w:rsidR="00851F91" w:rsidRPr="00780A89">
        <w:rPr>
          <w:rFonts w:ascii="Times New Roman" w:eastAsia="Times New Roman" w:hAnsi="Times New Roman" w:cs="Times New Roman"/>
          <w:b/>
          <w:bCs/>
          <w:noProof/>
          <w:sz w:val="24"/>
          <w:szCs w:val="24"/>
          <w:lang w:val="en-IE"/>
        </w:rPr>
        <w:t xml:space="preserve"> </w:t>
      </w:r>
      <w:r w:rsidRPr="00780A89">
        <w:rPr>
          <w:rFonts w:ascii="Times New Roman" w:eastAsia="Times New Roman" w:hAnsi="Times New Roman" w:cs="Times New Roman"/>
          <w:b/>
          <w:bCs/>
          <w:noProof/>
          <w:sz w:val="24"/>
          <w:szCs w:val="24"/>
          <w:lang w:val="en-IE"/>
        </w:rPr>
        <w:t>fit for purpose</w:t>
      </w:r>
      <w:r w:rsidRPr="00780A89">
        <w:rPr>
          <w:rFonts w:ascii="Times New Roman" w:eastAsia="Times New Roman" w:hAnsi="Times New Roman" w:cs="Times New Roman"/>
          <w:noProof/>
          <w:sz w:val="24"/>
          <w:szCs w:val="24"/>
          <w:lang w:val="en-IE"/>
        </w:rPr>
        <w:t xml:space="preserve">, given the changed geopolitical landscape, the risen prominence of LNG and the reduced role of some of the pipeline supply corridors. </w:t>
      </w:r>
    </w:p>
    <w:p w14:paraId="086E7569" w14:textId="23392A84" w:rsidR="002C7925" w:rsidRPr="00780A89" w:rsidRDefault="003449DA" w:rsidP="002C7925">
      <w:pPr>
        <w:pStyle w:val="ListParagraph"/>
        <w:numPr>
          <w:ilvl w:val="0"/>
          <w:numId w:val="5"/>
        </w:numPr>
        <w:jc w:val="both"/>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noProof/>
          <w:sz w:val="24"/>
          <w:szCs w:val="24"/>
          <w:lang w:val="en-IE"/>
        </w:rPr>
        <w:t>An</w:t>
      </w:r>
      <w:r w:rsidR="002C7925" w:rsidRPr="0AFCBEB5">
        <w:rPr>
          <w:rFonts w:ascii="Times New Roman" w:eastAsia="Times New Roman" w:hAnsi="Times New Roman" w:cs="Times New Roman"/>
          <w:noProof/>
          <w:sz w:val="24"/>
          <w:szCs w:val="24"/>
          <w:lang w:val="en-IE"/>
        </w:rPr>
        <w:t xml:space="preserve"> </w:t>
      </w:r>
      <w:r w:rsidR="002C7925" w:rsidRPr="0AFCBEB5">
        <w:rPr>
          <w:rFonts w:ascii="Times New Roman" w:eastAsia="Times New Roman" w:hAnsi="Times New Roman" w:cs="Times New Roman"/>
          <w:b/>
          <w:bCs/>
          <w:noProof/>
          <w:sz w:val="24"/>
          <w:szCs w:val="24"/>
          <w:lang w:val="en-IE"/>
        </w:rPr>
        <w:t>EU-wide approach</w:t>
      </w:r>
      <w:r w:rsidRPr="0AFCBEB5">
        <w:rPr>
          <w:rFonts w:ascii="Times New Roman" w:eastAsia="Times New Roman" w:hAnsi="Times New Roman" w:cs="Times New Roman"/>
          <w:b/>
          <w:bCs/>
          <w:noProof/>
          <w:sz w:val="24"/>
          <w:szCs w:val="24"/>
          <w:lang w:val="en-IE"/>
        </w:rPr>
        <w:t xml:space="preserve"> </w:t>
      </w:r>
      <w:r w:rsidR="00B22C8B" w:rsidRPr="0AFCBEB5">
        <w:rPr>
          <w:rFonts w:ascii="Times New Roman" w:eastAsia="Times New Roman" w:hAnsi="Times New Roman" w:cs="Times New Roman"/>
          <w:b/>
          <w:bCs/>
          <w:noProof/>
          <w:sz w:val="24"/>
          <w:szCs w:val="24"/>
          <w:lang w:val="en-IE"/>
        </w:rPr>
        <w:t>is suggested</w:t>
      </w:r>
      <w:r w:rsidR="316B61D2" w:rsidRPr="0AFCBEB5">
        <w:rPr>
          <w:rFonts w:ascii="Times New Roman" w:eastAsia="Times New Roman" w:hAnsi="Times New Roman" w:cs="Times New Roman"/>
          <w:b/>
          <w:bCs/>
          <w:noProof/>
          <w:sz w:val="24"/>
          <w:szCs w:val="24"/>
          <w:lang w:val="en-IE"/>
        </w:rPr>
        <w:t xml:space="preserve"> </w:t>
      </w:r>
      <w:r w:rsidR="316B61D2" w:rsidRPr="0AFCBEB5">
        <w:rPr>
          <w:rFonts w:ascii="Times New Roman" w:eastAsia="Times New Roman" w:hAnsi="Times New Roman" w:cs="Times New Roman"/>
          <w:noProof/>
          <w:sz w:val="24"/>
          <w:szCs w:val="24"/>
          <w:lang w:val="en-IE"/>
        </w:rPr>
        <w:t>by a number of respondents</w:t>
      </w:r>
      <w:r w:rsidR="002C7925" w:rsidRPr="0AFCBEB5">
        <w:rPr>
          <w:rFonts w:ascii="Times New Roman" w:eastAsia="Times New Roman" w:hAnsi="Times New Roman" w:cs="Times New Roman"/>
          <w:noProof/>
          <w:sz w:val="24"/>
          <w:szCs w:val="24"/>
          <w:lang w:val="en-IE"/>
        </w:rPr>
        <w:t xml:space="preserve">, possibly with regional sensitivity analyses, with a reinforced role of the Commission’s Joint Research Centre. </w:t>
      </w:r>
    </w:p>
    <w:p w14:paraId="74C17F59" w14:textId="77777777" w:rsidR="00A050FF" w:rsidRDefault="00A050FF" w:rsidP="002C7925">
      <w:pPr>
        <w:jc w:val="both"/>
        <w:rPr>
          <w:rFonts w:ascii="Times New Roman" w:eastAsia="Times New Roman" w:hAnsi="Times New Roman" w:cs="Times New Roman"/>
          <w:b/>
          <w:bCs/>
          <w:i/>
          <w:iCs/>
          <w:noProof/>
          <w:sz w:val="24"/>
          <w:szCs w:val="24"/>
          <w:lang w:val="en-IE"/>
        </w:rPr>
      </w:pPr>
    </w:p>
    <w:p w14:paraId="79C42092" w14:textId="76389BE4" w:rsidR="002C7925" w:rsidRPr="00780A89" w:rsidRDefault="00793CE4" w:rsidP="002C7925">
      <w:pPr>
        <w:jc w:val="both"/>
        <w:rPr>
          <w:rFonts w:ascii="Times New Roman" w:eastAsia="Times New Roman" w:hAnsi="Times New Roman" w:cs="Times New Roman"/>
          <w:b/>
          <w:bCs/>
          <w:i/>
          <w:iCs/>
          <w:noProof/>
          <w:sz w:val="24"/>
          <w:szCs w:val="24"/>
          <w:lang w:val="en-IE"/>
        </w:rPr>
      </w:pPr>
      <w:r>
        <w:rPr>
          <w:rFonts w:ascii="Times New Roman" w:eastAsia="Times New Roman" w:hAnsi="Times New Roman" w:cs="Times New Roman"/>
          <w:b/>
          <w:bCs/>
          <w:i/>
          <w:iCs/>
          <w:noProof/>
          <w:sz w:val="24"/>
          <w:szCs w:val="24"/>
          <w:lang w:val="en-IE"/>
        </w:rPr>
        <w:t>3</w:t>
      </w:r>
      <w:r w:rsidR="001876EE" w:rsidRPr="00780A89">
        <w:rPr>
          <w:rFonts w:ascii="Times New Roman" w:eastAsia="Times New Roman" w:hAnsi="Times New Roman" w:cs="Times New Roman"/>
          <w:b/>
          <w:bCs/>
          <w:i/>
          <w:iCs/>
          <w:noProof/>
          <w:sz w:val="24"/>
          <w:szCs w:val="24"/>
          <w:lang w:val="en-IE"/>
        </w:rPr>
        <w:t>.5. Preventive Action Plans and Emergency Plans</w:t>
      </w:r>
    </w:p>
    <w:p w14:paraId="65AEBD7C" w14:textId="551ABF9E" w:rsidR="003624E6" w:rsidRPr="00780A89" w:rsidRDefault="003624E6" w:rsidP="002C792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The PAPs aim to prevent crises from materialising and are based on the national and common risk assessments, while EPs indicate the procedures, </w:t>
      </w:r>
      <w:r w:rsidRPr="00780A89" w:rsidDel="00D6389A">
        <w:rPr>
          <w:rFonts w:ascii="Times New Roman" w:eastAsia="Times New Roman" w:hAnsi="Times New Roman" w:cs="Times New Roman"/>
          <w:noProof/>
          <w:sz w:val="24"/>
          <w:szCs w:val="24"/>
          <w:lang w:val="en-IE"/>
        </w:rPr>
        <w:t>responsibilities</w:t>
      </w:r>
      <w:r w:rsidR="00D6389A" w:rsidRPr="00780A89">
        <w:rPr>
          <w:rFonts w:ascii="Times New Roman" w:eastAsia="Times New Roman" w:hAnsi="Times New Roman" w:cs="Times New Roman"/>
          <w:noProof/>
          <w:sz w:val="24"/>
          <w:szCs w:val="24"/>
          <w:lang w:val="en-IE"/>
        </w:rPr>
        <w:t>,</w:t>
      </w:r>
      <w:r w:rsidRPr="00780A89">
        <w:rPr>
          <w:rFonts w:ascii="Times New Roman" w:eastAsia="Times New Roman" w:hAnsi="Times New Roman" w:cs="Times New Roman"/>
          <w:noProof/>
          <w:sz w:val="24"/>
          <w:szCs w:val="24"/>
          <w:lang w:val="en-IE"/>
        </w:rPr>
        <w:t xml:space="preserve"> and measures to be taken during a crisis.</w:t>
      </w:r>
    </w:p>
    <w:p w14:paraId="4116B7CF" w14:textId="6E52BB96" w:rsidR="00C85EDA" w:rsidRPr="00780A89" w:rsidRDefault="004B2A73">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Beyond the elements outlined in section 2, the Commission considers that </w:t>
      </w:r>
      <w:r w:rsidR="004D02B5" w:rsidRPr="00780A89">
        <w:rPr>
          <w:rFonts w:ascii="Times New Roman" w:eastAsia="Times New Roman" w:hAnsi="Times New Roman" w:cs="Times New Roman"/>
          <w:noProof/>
          <w:sz w:val="24"/>
          <w:szCs w:val="24"/>
          <w:lang w:val="en-IE"/>
        </w:rPr>
        <w:t xml:space="preserve">further reflection </w:t>
      </w:r>
      <w:r w:rsidR="00747E90" w:rsidRPr="00780A89">
        <w:rPr>
          <w:rFonts w:ascii="Times New Roman" w:eastAsia="Times New Roman" w:hAnsi="Times New Roman" w:cs="Times New Roman"/>
          <w:noProof/>
          <w:sz w:val="24"/>
          <w:szCs w:val="24"/>
          <w:lang w:val="en-IE"/>
        </w:rPr>
        <w:t xml:space="preserve">is needed </w:t>
      </w:r>
      <w:r w:rsidR="004D02B5" w:rsidRPr="00780A89">
        <w:rPr>
          <w:rFonts w:ascii="Times New Roman" w:eastAsia="Times New Roman" w:hAnsi="Times New Roman" w:cs="Times New Roman"/>
          <w:noProof/>
          <w:sz w:val="24"/>
          <w:szCs w:val="24"/>
          <w:lang w:val="en-IE"/>
        </w:rPr>
        <w:t xml:space="preserve">for </w:t>
      </w:r>
      <w:r w:rsidR="00E642CD" w:rsidRPr="00780A89">
        <w:rPr>
          <w:rFonts w:ascii="Times New Roman" w:eastAsia="Times New Roman" w:hAnsi="Times New Roman" w:cs="Times New Roman"/>
          <w:noProof/>
          <w:sz w:val="24"/>
          <w:szCs w:val="24"/>
          <w:lang w:val="en-IE"/>
        </w:rPr>
        <w:t xml:space="preserve">the following </w:t>
      </w:r>
      <w:r w:rsidR="004D02B5" w:rsidRPr="00780A89">
        <w:rPr>
          <w:rFonts w:ascii="Times New Roman" w:eastAsia="Times New Roman" w:hAnsi="Times New Roman" w:cs="Times New Roman"/>
          <w:noProof/>
          <w:sz w:val="24"/>
          <w:szCs w:val="24"/>
          <w:lang w:val="en-IE"/>
        </w:rPr>
        <w:t>points that are not currently required by the Gas Security of Supply Regulation:</w:t>
      </w:r>
    </w:p>
    <w:p w14:paraId="65E03F02" w14:textId="4BE88F62" w:rsidR="006F72A2" w:rsidRDefault="00830CA3" w:rsidP="006F72A2">
      <w:pPr>
        <w:pStyle w:val="ListParagraph"/>
        <w:numPr>
          <w:ilvl w:val="0"/>
          <w:numId w:val="8"/>
        </w:numPr>
        <w:jc w:val="both"/>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noProof/>
          <w:sz w:val="24"/>
          <w:szCs w:val="24"/>
          <w:lang w:val="en-IE"/>
        </w:rPr>
        <w:t xml:space="preserve">The progress made in the </w:t>
      </w:r>
      <w:r w:rsidRPr="0AFCBEB5">
        <w:rPr>
          <w:rFonts w:ascii="Times New Roman" w:eastAsia="Times New Roman" w:hAnsi="Times New Roman" w:cs="Times New Roman"/>
          <w:b/>
          <w:bCs/>
          <w:noProof/>
          <w:sz w:val="24"/>
          <w:szCs w:val="24"/>
          <w:lang w:val="en-IE"/>
        </w:rPr>
        <w:t>phase out of Russian gas</w:t>
      </w:r>
      <w:r w:rsidRPr="0AFCBEB5">
        <w:rPr>
          <w:rFonts w:ascii="Times New Roman" w:eastAsia="Times New Roman" w:hAnsi="Times New Roman" w:cs="Times New Roman"/>
          <w:noProof/>
          <w:sz w:val="24"/>
          <w:szCs w:val="24"/>
          <w:lang w:val="en-IE"/>
        </w:rPr>
        <w:t xml:space="preserve"> and a description and projection of </w:t>
      </w:r>
      <w:r w:rsidRPr="0AFCBEB5">
        <w:rPr>
          <w:rFonts w:ascii="Times New Roman" w:eastAsia="Times New Roman" w:hAnsi="Times New Roman" w:cs="Times New Roman"/>
          <w:b/>
          <w:bCs/>
          <w:noProof/>
          <w:sz w:val="24"/>
          <w:szCs w:val="24"/>
          <w:lang w:val="en-IE"/>
        </w:rPr>
        <w:t>diversification</w:t>
      </w:r>
      <w:r w:rsidRPr="0AFCBEB5">
        <w:rPr>
          <w:rFonts w:ascii="Times New Roman" w:eastAsia="Times New Roman" w:hAnsi="Times New Roman" w:cs="Times New Roman"/>
          <w:noProof/>
          <w:sz w:val="24"/>
          <w:szCs w:val="24"/>
          <w:lang w:val="en-IE"/>
        </w:rPr>
        <w:t xml:space="preserve"> efforts as part of the description of the national gas system.</w:t>
      </w:r>
      <w:r w:rsidR="410D1E6C" w:rsidRPr="0AFCBEB5">
        <w:rPr>
          <w:rFonts w:ascii="Times New Roman" w:eastAsia="Times New Roman" w:hAnsi="Times New Roman" w:cs="Times New Roman"/>
          <w:noProof/>
          <w:sz w:val="24"/>
          <w:szCs w:val="24"/>
          <w:lang w:val="en-IE"/>
        </w:rPr>
        <w:t xml:space="preserve"> Alternatively, this could be facilitate</w:t>
      </w:r>
      <w:r w:rsidR="549E3077" w:rsidRPr="0AFCBEB5">
        <w:rPr>
          <w:rFonts w:ascii="Times New Roman" w:eastAsia="Times New Roman" w:hAnsi="Times New Roman" w:cs="Times New Roman"/>
          <w:noProof/>
          <w:sz w:val="24"/>
          <w:szCs w:val="24"/>
          <w:lang w:val="en-IE"/>
        </w:rPr>
        <w:t>d</w:t>
      </w:r>
      <w:r w:rsidR="410D1E6C" w:rsidRPr="0AFCBEB5">
        <w:rPr>
          <w:rFonts w:ascii="Times New Roman" w:eastAsia="Times New Roman" w:hAnsi="Times New Roman" w:cs="Times New Roman"/>
          <w:noProof/>
          <w:sz w:val="24"/>
          <w:szCs w:val="24"/>
          <w:lang w:val="en-IE"/>
        </w:rPr>
        <w:t xml:space="preserve"> via a reinforced information exchange based on Article 14.</w:t>
      </w:r>
    </w:p>
    <w:p w14:paraId="33D179BF" w14:textId="77777777" w:rsidR="0057294D" w:rsidRPr="00780A89" w:rsidRDefault="0057294D" w:rsidP="0057294D">
      <w:pPr>
        <w:pStyle w:val="ListParagraph"/>
        <w:jc w:val="both"/>
        <w:rPr>
          <w:rFonts w:ascii="Times New Roman" w:eastAsia="Times New Roman" w:hAnsi="Times New Roman" w:cs="Times New Roman"/>
          <w:noProof/>
          <w:sz w:val="24"/>
          <w:szCs w:val="24"/>
          <w:lang w:val="en-IE"/>
        </w:rPr>
      </w:pPr>
    </w:p>
    <w:p w14:paraId="4C0F7DB4" w14:textId="11355819" w:rsidR="00553ACB" w:rsidRPr="00780A89" w:rsidRDefault="00553ACB" w:rsidP="006F72A2">
      <w:pPr>
        <w:pStyle w:val="ListParagraph"/>
        <w:numPr>
          <w:ilvl w:val="0"/>
          <w:numId w:val="8"/>
        </w:num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An estimate of the </w:t>
      </w:r>
      <w:r w:rsidRPr="00780A89">
        <w:rPr>
          <w:rFonts w:ascii="Times New Roman" w:eastAsia="Times New Roman" w:hAnsi="Times New Roman" w:cs="Times New Roman"/>
          <w:b/>
          <w:bCs/>
          <w:noProof/>
          <w:sz w:val="24"/>
          <w:szCs w:val="24"/>
          <w:lang w:val="en-IE"/>
        </w:rPr>
        <w:t xml:space="preserve">changing </w:t>
      </w:r>
      <w:r w:rsidR="005F1BD7">
        <w:rPr>
          <w:rFonts w:ascii="Times New Roman" w:eastAsia="Times New Roman" w:hAnsi="Times New Roman" w:cs="Times New Roman"/>
          <w:b/>
          <w:bCs/>
          <w:noProof/>
          <w:sz w:val="24"/>
          <w:szCs w:val="24"/>
          <w:lang w:val="en-IE"/>
        </w:rPr>
        <w:t>breakdown</w:t>
      </w:r>
      <w:r w:rsidRPr="00780A89">
        <w:rPr>
          <w:rFonts w:ascii="Times New Roman" w:eastAsia="Times New Roman" w:hAnsi="Times New Roman" w:cs="Times New Roman"/>
          <w:b/>
          <w:bCs/>
          <w:noProof/>
          <w:sz w:val="24"/>
          <w:szCs w:val="24"/>
          <w:lang w:val="en-IE"/>
        </w:rPr>
        <w:t xml:space="preserve"> of gas consumption</w:t>
      </w:r>
      <w:r w:rsidR="00E642CD" w:rsidRPr="00780A89">
        <w:rPr>
          <w:rFonts w:ascii="Times New Roman" w:eastAsia="Times New Roman" w:hAnsi="Times New Roman" w:cs="Times New Roman"/>
          <w:noProof/>
          <w:sz w:val="24"/>
          <w:szCs w:val="24"/>
          <w:lang w:val="en-IE"/>
        </w:rPr>
        <w:t>.</w:t>
      </w:r>
    </w:p>
    <w:p w14:paraId="26AF5150" w14:textId="10198CFC" w:rsidR="00B06835" w:rsidRPr="00780A89" w:rsidRDefault="00B06835" w:rsidP="005D21E4">
      <w:pPr>
        <w:pStyle w:val="ListParagraph"/>
        <w:numPr>
          <w:ilvl w:val="0"/>
          <w:numId w:val="8"/>
        </w:numPr>
        <w:jc w:val="both"/>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noProof/>
          <w:sz w:val="24"/>
          <w:szCs w:val="24"/>
          <w:lang w:val="en-IE"/>
        </w:rPr>
        <w:t xml:space="preserve">Apart from the role </w:t>
      </w:r>
      <w:r w:rsidR="005D21E4" w:rsidRPr="0AFCBEB5">
        <w:rPr>
          <w:rFonts w:ascii="Times New Roman" w:eastAsia="Times New Roman" w:hAnsi="Times New Roman" w:cs="Times New Roman"/>
          <w:noProof/>
          <w:sz w:val="24"/>
          <w:szCs w:val="24"/>
          <w:lang w:val="en-IE"/>
        </w:rPr>
        <w:t>of</w:t>
      </w:r>
      <w:r w:rsidRPr="0AFCBEB5">
        <w:rPr>
          <w:rFonts w:ascii="Times New Roman" w:eastAsia="Times New Roman" w:hAnsi="Times New Roman" w:cs="Times New Roman"/>
          <w:noProof/>
          <w:sz w:val="24"/>
          <w:szCs w:val="24"/>
          <w:lang w:val="en-IE"/>
        </w:rPr>
        <w:t xml:space="preserve"> domestic production </w:t>
      </w:r>
      <w:r w:rsidR="005D21E4" w:rsidRPr="0AFCBEB5">
        <w:rPr>
          <w:rFonts w:ascii="Times New Roman" w:eastAsia="Times New Roman" w:hAnsi="Times New Roman" w:cs="Times New Roman"/>
          <w:noProof/>
          <w:sz w:val="24"/>
          <w:szCs w:val="24"/>
          <w:lang w:val="en-IE"/>
        </w:rPr>
        <w:t>(</w:t>
      </w:r>
      <w:r w:rsidRPr="0AFCBEB5">
        <w:rPr>
          <w:rFonts w:ascii="Times New Roman" w:eastAsia="Times New Roman" w:hAnsi="Times New Roman" w:cs="Times New Roman"/>
          <w:noProof/>
          <w:sz w:val="24"/>
          <w:szCs w:val="24"/>
          <w:lang w:val="en-IE"/>
        </w:rPr>
        <w:t>including biomethane</w:t>
      </w:r>
      <w:r w:rsidR="005D21E4" w:rsidRPr="0AFCBEB5">
        <w:rPr>
          <w:rFonts w:ascii="Times New Roman" w:eastAsia="Times New Roman" w:hAnsi="Times New Roman" w:cs="Times New Roman"/>
          <w:noProof/>
          <w:sz w:val="24"/>
          <w:szCs w:val="24"/>
          <w:lang w:val="en-IE"/>
        </w:rPr>
        <w:t>)</w:t>
      </w:r>
      <w:r w:rsidRPr="0AFCBEB5">
        <w:rPr>
          <w:rFonts w:ascii="Times New Roman" w:eastAsia="Times New Roman" w:hAnsi="Times New Roman" w:cs="Times New Roman"/>
          <w:noProof/>
          <w:sz w:val="24"/>
          <w:szCs w:val="24"/>
          <w:lang w:val="en-IE"/>
        </w:rPr>
        <w:t xml:space="preserve">, further reflection should be given on whether national </w:t>
      </w:r>
      <w:r w:rsidRPr="0AFCBEB5">
        <w:rPr>
          <w:rFonts w:ascii="Times New Roman" w:eastAsia="Times New Roman" w:hAnsi="Times New Roman" w:cs="Times New Roman"/>
          <w:b/>
          <w:bCs/>
          <w:noProof/>
          <w:sz w:val="24"/>
          <w:szCs w:val="24"/>
          <w:lang w:val="en-IE"/>
        </w:rPr>
        <w:t>hydrogen</w:t>
      </w:r>
      <w:r w:rsidRPr="0AFCBEB5">
        <w:rPr>
          <w:rFonts w:ascii="Times New Roman" w:eastAsia="Times New Roman" w:hAnsi="Times New Roman" w:cs="Times New Roman"/>
          <w:noProof/>
          <w:sz w:val="24"/>
          <w:szCs w:val="24"/>
          <w:lang w:val="en-IE"/>
        </w:rPr>
        <w:t xml:space="preserve"> </w:t>
      </w:r>
      <w:r w:rsidRPr="0AFCBEB5">
        <w:rPr>
          <w:rFonts w:ascii="Times New Roman" w:eastAsia="Times New Roman" w:hAnsi="Times New Roman" w:cs="Times New Roman"/>
          <w:b/>
          <w:bCs/>
          <w:noProof/>
          <w:sz w:val="24"/>
          <w:szCs w:val="24"/>
          <w:lang w:val="en-IE"/>
        </w:rPr>
        <w:t>strateg</w:t>
      </w:r>
      <w:r w:rsidR="02183AD2" w:rsidRPr="0AFCBEB5">
        <w:rPr>
          <w:rFonts w:ascii="Times New Roman" w:eastAsia="Times New Roman" w:hAnsi="Times New Roman" w:cs="Times New Roman"/>
          <w:b/>
          <w:bCs/>
          <w:noProof/>
          <w:sz w:val="24"/>
          <w:szCs w:val="24"/>
          <w:lang w:val="en-IE"/>
        </w:rPr>
        <w:t>ies</w:t>
      </w:r>
      <w:r w:rsidRPr="0AFCBEB5">
        <w:rPr>
          <w:rFonts w:ascii="Times New Roman" w:eastAsia="Times New Roman" w:hAnsi="Times New Roman" w:cs="Times New Roman"/>
          <w:noProof/>
          <w:sz w:val="24"/>
          <w:szCs w:val="24"/>
          <w:lang w:val="en-IE"/>
        </w:rPr>
        <w:t xml:space="preserve"> should be included</w:t>
      </w:r>
      <w:r w:rsidR="162336E9" w:rsidRPr="0AFCBEB5">
        <w:rPr>
          <w:rFonts w:ascii="Times New Roman" w:eastAsia="Times New Roman" w:hAnsi="Times New Roman" w:cs="Times New Roman"/>
          <w:noProof/>
          <w:sz w:val="24"/>
          <w:szCs w:val="24"/>
          <w:lang w:val="en-IE"/>
        </w:rPr>
        <w:t>.</w:t>
      </w:r>
      <w:r w:rsidRPr="0AFCBEB5">
        <w:rPr>
          <w:rFonts w:ascii="Times New Roman" w:eastAsia="Times New Roman" w:hAnsi="Times New Roman" w:cs="Times New Roman"/>
          <w:noProof/>
          <w:sz w:val="24"/>
          <w:szCs w:val="24"/>
          <w:lang w:val="en-IE"/>
        </w:rPr>
        <w:t xml:space="preserve"> </w:t>
      </w:r>
      <w:r w:rsidR="542A5CAD" w:rsidRPr="0AFCBEB5">
        <w:rPr>
          <w:rFonts w:ascii="Times New Roman" w:eastAsia="Times New Roman" w:hAnsi="Times New Roman" w:cs="Times New Roman"/>
          <w:noProof/>
          <w:sz w:val="24"/>
          <w:szCs w:val="24"/>
          <w:lang w:val="en-IE"/>
        </w:rPr>
        <w:t>This is of</w:t>
      </w:r>
      <w:r w:rsidRPr="0AFCBEB5">
        <w:rPr>
          <w:rFonts w:ascii="Times New Roman" w:eastAsia="Times New Roman" w:hAnsi="Times New Roman" w:cs="Times New Roman"/>
          <w:noProof/>
          <w:sz w:val="24"/>
          <w:szCs w:val="24"/>
          <w:lang w:val="en-IE"/>
        </w:rPr>
        <w:t xml:space="preserve"> particular </w:t>
      </w:r>
      <w:r w:rsidR="48099D3C" w:rsidRPr="0AFCBEB5">
        <w:rPr>
          <w:rFonts w:ascii="Times New Roman" w:eastAsia="Times New Roman" w:hAnsi="Times New Roman" w:cs="Times New Roman"/>
          <w:noProof/>
          <w:sz w:val="24"/>
          <w:szCs w:val="24"/>
          <w:lang w:val="en-IE"/>
        </w:rPr>
        <w:t xml:space="preserve">importance, </w:t>
      </w:r>
      <w:r w:rsidRPr="0AFCBEB5">
        <w:rPr>
          <w:rFonts w:ascii="Times New Roman" w:eastAsia="Times New Roman" w:hAnsi="Times New Roman" w:cs="Times New Roman"/>
          <w:noProof/>
          <w:sz w:val="24"/>
          <w:szCs w:val="24"/>
          <w:lang w:val="en-IE"/>
        </w:rPr>
        <w:t>if it impact</w:t>
      </w:r>
      <w:r w:rsidR="0017199D" w:rsidRPr="0AFCBEB5">
        <w:rPr>
          <w:rFonts w:ascii="Times New Roman" w:eastAsia="Times New Roman" w:hAnsi="Times New Roman" w:cs="Times New Roman"/>
          <w:noProof/>
          <w:sz w:val="24"/>
          <w:szCs w:val="24"/>
          <w:lang w:val="en-IE"/>
        </w:rPr>
        <w:t>s</w:t>
      </w:r>
      <w:r w:rsidRPr="0AFCBEB5">
        <w:rPr>
          <w:rFonts w:ascii="Times New Roman" w:eastAsia="Times New Roman" w:hAnsi="Times New Roman" w:cs="Times New Roman"/>
          <w:noProof/>
          <w:sz w:val="24"/>
          <w:szCs w:val="24"/>
          <w:lang w:val="en-IE"/>
        </w:rPr>
        <w:t xml:space="preserve"> security of </w:t>
      </w:r>
      <w:r w:rsidR="0017199D" w:rsidRPr="0AFCBEB5">
        <w:rPr>
          <w:rFonts w:ascii="Times New Roman" w:eastAsia="Times New Roman" w:hAnsi="Times New Roman" w:cs="Times New Roman"/>
          <w:noProof/>
          <w:sz w:val="24"/>
          <w:szCs w:val="24"/>
          <w:lang w:val="en-IE"/>
        </w:rPr>
        <w:t xml:space="preserve">gas </w:t>
      </w:r>
      <w:r w:rsidRPr="0AFCBEB5">
        <w:rPr>
          <w:rFonts w:ascii="Times New Roman" w:eastAsia="Times New Roman" w:hAnsi="Times New Roman" w:cs="Times New Roman"/>
          <w:noProof/>
          <w:sz w:val="24"/>
          <w:szCs w:val="24"/>
          <w:lang w:val="en-IE"/>
        </w:rPr>
        <w:t>supply or the replacement of gas demand</w:t>
      </w:r>
      <w:r w:rsidR="0E079ECE" w:rsidRPr="0AFCBEB5">
        <w:rPr>
          <w:rFonts w:ascii="Times New Roman" w:eastAsia="Times New Roman" w:hAnsi="Times New Roman" w:cs="Times New Roman"/>
          <w:noProof/>
          <w:sz w:val="24"/>
          <w:szCs w:val="24"/>
          <w:lang w:val="en-IE"/>
        </w:rPr>
        <w:t xml:space="preserve"> in the context of developing a </w:t>
      </w:r>
      <w:r w:rsidR="07E8E5C1" w:rsidRPr="0AFCBEB5">
        <w:rPr>
          <w:rFonts w:ascii="Times New Roman" w:eastAsia="Times New Roman" w:hAnsi="Times New Roman" w:cs="Times New Roman"/>
          <w:noProof/>
          <w:sz w:val="24"/>
          <w:szCs w:val="24"/>
          <w:lang w:val="en-IE"/>
        </w:rPr>
        <w:t xml:space="preserve">secure </w:t>
      </w:r>
      <w:r w:rsidR="0E079ECE" w:rsidRPr="0AFCBEB5">
        <w:rPr>
          <w:rFonts w:ascii="Times New Roman" w:eastAsia="Times New Roman" w:hAnsi="Times New Roman" w:cs="Times New Roman"/>
          <w:noProof/>
          <w:sz w:val="24"/>
          <w:szCs w:val="24"/>
          <w:lang w:val="en-IE"/>
        </w:rPr>
        <w:t>European hydrogen market</w:t>
      </w:r>
      <w:r w:rsidRPr="0AFCBEB5">
        <w:rPr>
          <w:rFonts w:ascii="Times New Roman" w:eastAsia="Times New Roman" w:hAnsi="Times New Roman" w:cs="Times New Roman"/>
          <w:noProof/>
          <w:sz w:val="24"/>
          <w:szCs w:val="24"/>
          <w:lang w:val="en-IE"/>
        </w:rPr>
        <w:t>.</w:t>
      </w:r>
    </w:p>
    <w:p w14:paraId="16C4769D" w14:textId="53BB82E6" w:rsidR="00372550" w:rsidRPr="00780A89" w:rsidRDefault="00334DB2" w:rsidP="00372550">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While </w:t>
      </w:r>
      <w:r w:rsidR="003F0DF2">
        <w:rPr>
          <w:rFonts w:ascii="Times New Roman" w:eastAsia="Times New Roman" w:hAnsi="Times New Roman" w:cs="Times New Roman"/>
          <w:noProof/>
          <w:sz w:val="24"/>
          <w:szCs w:val="24"/>
          <w:lang w:val="en-IE"/>
        </w:rPr>
        <w:t>the EPs</w:t>
      </w:r>
      <w:r w:rsidRPr="00780A89">
        <w:rPr>
          <w:rFonts w:ascii="Times New Roman" w:eastAsia="Times New Roman" w:hAnsi="Times New Roman" w:cs="Times New Roman"/>
          <w:noProof/>
          <w:sz w:val="24"/>
          <w:szCs w:val="24"/>
          <w:lang w:val="en-IE"/>
        </w:rPr>
        <w:t xml:space="preserve"> </w:t>
      </w:r>
      <w:r w:rsidR="000B0EC2">
        <w:rPr>
          <w:rFonts w:ascii="Times New Roman" w:eastAsia="Times New Roman" w:hAnsi="Times New Roman" w:cs="Times New Roman"/>
          <w:noProof/>
          <w:sz w:val="24"/>
          <w:szCs w:val="24"/>
          <w:lang w:val="en-IE"/>
        </w:rPr>
        <w:t xml:space="preserve">received </w:t>
      </w:r>
      <w:r w:rsidR="0057294D">
        <w:rPr>
          <w:rFonts w:ascii="Times New Roman" w:eastAsia="Times New Roman" w:hAnsi="Times New Roman" w:cs="Times New Roman"/>
          <w:noProof/>
          <w:sz w:val="24"/>
          <w:szCs w:val="24"/>
          <w:lang w:val="en-IE"/>
        </w:rPr>
        <w:t xml:space="preserve">since the entry into force of the Regulation </w:t>
      </w:r>
      <w:r w:rsidRPr="00780A89">
        <w:rPr>
          <w:rFonts w:ascii="Times New Roman" w:eastAsia="Times New Roman" w:hAnsi="Times New Roman" w:cs="Times New Roman"/>
          <w:noProof/>
          <w:sz w:val="24"/>
          <w:szCs w:val="24"/>
          <w:lang w:val="en-IE"/>
        </w:rPr>
        <w:t xml:space="preserve">can generally be improved, </w:t>
      </w:r>
      <w:r w:rsidR="0057294D">
        <w:rPr>
          <w:rFonts w:ascii="Times New Roman" w:eastAsia="Times New Roman" w:hAnsi="Times New Roman" w:cs="Times New Roman"/>
          <w:noProof/>
          <w:sz w:val="24"/>
          <w:szCs w:val="24"/>
          <w:lang w:val="en-IE"/>
        </w:rPr>
        <w:t>in lin</w:t>
      </w:r>
      <w:r w:rsidR="007F5C9A">
        <w:rPr>
          <w:rFonts w:ascii="Times New Roman" w:eastAsia="Times New Roman" w:hAnsi="Times New Roman" w:cs="Times New Roman"/>
          <w:noProof/>
          <w:sz w:val="24"/>
          <w:szCs w:val="24"/>
          <w:lang w:val="en-IE"/>
        </w:rPr>
        <w:t>e</w:t>
      </w:r>
      <w:r w:rsidR="0057294D">
        <w:rPr>
          <w:rFonts w:ascii="Times New Roman" w:eastAsia="Times New Roman" w:hAnsi="Times New Roman" w:cs="Times New Roman"/>
          <w:noProof/>
          <w:sz w:val="24"/>
          <w:szCs w:val="24"/>
          <w:lang w:val="en-IE"/>
        </w:rPr>
        <w:t xml:space="preserve"> </w:t>
      </w:r>
      <w:r w:rsidR="007F5C9A">
        <w:rPr>
          <w:rFonts w:ascii="Times New Roman" w:eastAsia="Times New Roman" w:hAnsi="Times New Roman" w:cs="Times New Roman"/>
          <w:noProof/>
          <w:sz w:val="24"/>
          <w:szCs w:val="24"/>
          <w:lang w:val="en-IE"/>
        </w:rPr>
        <w:t xml:space="preserve">with </w:t>
      </w:r>
      <w:r w:rsidR="0057294D">
        <w:rPr>
          <w:rFonts w:ascii="Times New Roman" w:eastAsia="Times New Roman" w:hAnsi="Times New Roman" w:cs="Times New Roman"/>
          <w:noProof/>
          <w:sz w:val="24"/>
          <w:szCs w:val="24"/>
          <w:lang w:val="en-IE"/>
        </w:rPr>
        <w:t xml:space="preserve">the recommendations in the Commission’s opinions, </w:t>
      </w:r>
      <w:r w:rsidRPr="00780A89">
        <w:rPr>
          <w:rFonts w:ascii="Times New Roman" w:eastAsia="Times New Roman" w:hAnsi="Times New Roman" w:cs="Times New Roman"/>
          <w:noProof/>
          <w:sz w:val="24"/>
          <w:szCs w:val="24"/>
          <w:lang w:val="en-IE"/>
        </w:rPr>
        <w:t>the solidarity test (‘</w:t>
      </w:r>
      <w:r w:rsidRPr="00780A89">
        <w:rPr>
          <w:rFonts w:ascii="Times New Roman" w:eastAsia="Times New Roman" w:hAnsi="Times New Roman" w:cs="Times New Roman"/>
          <w:i/>
          <w:noProof/>
          <w:sz w:val="24"/>
          <w:szCs w:val="24"/>
          <w:lang w:val="en-IE"/>
        </w:rPr>
        <w:t>dry run’</w:t>
      </w:r>
      <w:r w:rsidRPr="00780A89">
        <w:rPr>
          <w:rFonts w:ascii="Times New Roman" w:eastAsia="Times New Roman" w:hAnsi="Times New Roman" w:cs="Times New Roman"/>
          <w:noProof/>
          <w:sz w:val="24"/>
          <w:szCs w:val="24"/>
          <w:lang w:val="en-IE"/>
        </w:rPr>
        <w:t xml:space="preserve"> exercise)</w:t>
      </w:r>
      <w:r w:rsidR="002A2293" w:rsidRPr="00780A89">
        <w:rPr>
          <w:rFonts w:ascii="Times New Roman" w:eastAsia="Times New Roman" w:hAnsi="Times New Roman" w:cs="Times New Roman"/>
          <w:noProof/>
          <w:sz w:val="24"/>
          <w:szCs w:val="24"/>
          <w:lang w:val="en-IE"/>
        </w:rPr>
        <w:t xml:space="preserve"> </w:t>
      </w:r>
      <w:r w:rsidRPr="00780A89">
        <w:rPr>
          <w:rFonts w:ascii="Times New Roman" w:eastAsia="Times New Roman" w:hAnsi="Times New Roman" w:cs="Times New Roman"/>
          <w:noProof/>
          <w:sz w:val="24"/>
          <w:szCs w:val="24"/>
          <w:lang w:val="en-IE"/>
        </w:rPr>
        <w:t>performed jointly by the Commission, Member States and ENTSOG in December 2022 confirmed the important role of the EPs to ensure a quick and efficient response to an emergency situation. Member States confirmed that it was imperative for the Commission to check the EPs for measures that could have cross-border impacts, such as those restricting cross-border flows or capacities.</w:t>
      </w:r>
    </w:p>
    <w:p w14:paraId="354F6D1B" w14:textId="7A5A10C9" w:rsidR="00B67C1F" w:rsidRPr="00780A89" w:rsidRDefault="00B67C1F" w:rsidP="00B67C1F">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As is further detailed in the accompanying Staff Working Document </w:t>
      </w:r>
      <w:r w:rsidRPr="007B6A59">
        <w:rPr>
          <w:rFonts w:ascii="Times New Roman" w:eastAsia="Times New Roman" w:hAnsi="Times New Roman" w:cs="Times New Roman"/>
          <w:noProof/>
          <w:sz w:val="24"/>
          <w:szCs w:val="24"/>
          <w:lang w:val="en-IE"/>
        </w:rPr>
        <w:t>SWD(</w:t>
      </w:r>
      <w:r w:rsidR="007B6A59" w:rsidRPr="007B6A59">
        <w:rPr>
          <w:rFonts w:ascii="Times New Roman" w:eastAsia="Times New Roman" w:hAnsi="Times New Roman" w:cs="Times New Roman"/>
          <w:noProof/>
          <w:sz w:val="24"/>
          <w:szCs w:val="24"/>
          <w:lang w:val="en-IE"/>
        </w:rPr>
        <w:t>2023</w:t>
      </w:r>
      <w:r w:rsidRPr="007B6A59">
        <w:rPr>
          <w:rFonts w:ascii="Times New Roman" w:eastAsia="Times New Roman" w:hAnsi="Times New Roman" w:cs="Times New Roman"/>
          <w:noProof/>
          <w:sz w:val="24"/>
          <w:szCs w:val="24"/>
          <w:lang w:val="en-IE"/>
        </w:rPr>
        <w:t>)</w:t>
      </w:r>
      <w:r w:rsidR="007B6A59" w:rsidRPr="007B6A59">
        <w:rPr>
          <w:rFonts w:ascii="Times New Roman" w:eastAsia="Times New Roman" w:hAnsi="Times New Roman" w:cs="Times New Roman"/>
          <w:noProof/>
          <w:sz w:val="24"/>
          <w:szCs w:val="24"/>
          <w:lang w:val="en-IE"/>
        </w:rPr>
        <w:t>323</w:t>
      </w:r>
      <w:r w:rsidRPr="00780A89">
        <w:rPr>
          <w:rFonts w:ascii="Times New Roman" w:eastAsia="Times New Roman" w:hAnsi="Times New Roman" w:cs="Times New Roman"/>
          <w:noProof/>
          <w:sz w:val="24"/>
          <w:szCs w:val="24"/>
          <w:lang w:val="en-IE"/>
        </w:rPr>
        <w:t>, the most important points</w:t>
      </w:r>
      <w:r w:rsidR="003F0DF2">
        <w:rPr>
          <w:rFonts w:ascii="Times New Roman" w:eastAsia="Times New Roman" w:hAnsi="Times New Roman" w:cs="Times New Roman"/>
          <w:noProof/>
          <w:sz w:val="24"/>
          <w:szCs w:val="24"/>
          <w:lang w:val="en-IE"/>
        </w:rPr>
        <w:t xml:space="preserve"> missing in </w:t>
      </w:r>
      <w:r w:rsidRPr="00780A89">
        <w:rPr>
          <w:rFonts w:ascii="Times New Roman" w:eastAsia="Times New Roman" w:hAnsi="Times New Roman" w:cs="Times New Roman"/>
          <w:noProof/>
          <w:sz w:val="24"/>
          <w:szCs w:val="24"/>
          <w:lang w:val="en-IE"/>
        </w:rPr>
        <w:t xml:space="preserve">the PAPs were: </w:t>
      </w:r>
    </w:p>
    <w:p w14:paraId="431971D6" w14:textId="685EB973" w:rsidR="00B67C1F" w:rsidRPr="00780A89" w:rsidRDefault="00B67C1F" w:rsidP="00B67C1F">
      <w:pPr>
        <w:pStyle w:val="ListParagraph"/>
        <w:numPr>
          <w:ilvl w:val="0"/>
          <w:numId w:val="6"/>
        </w:num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details on the stakeholder consultation. </w:t>
      </w:r>
    </w:p>
    <w:p w14:paraId="4230EE17" w14:textId="14FD58C8" w:rsidR="00B67C1F" w:rsidRPr="00780A89" w:rsidRDefault="00B67C1F" w:rsidP="00B67C1F">
      <w:pPr>
        <w:pStyle w:val="ListParagraph"/>
        <w:numPr>
          <w:ilvl w:val="0"/>
          <w:numId w:val="6"/>
        </w:numPr>
        <w:jc w:val="both"/>
        <w:rPr>
          <w:rFonts w:ascii="Times New Roman" w:eastAsia="Times New Roman" w:hAnsi="Times New Roman" w:cs="Times New Roman"/>
          <w:noProof/>
          <w:sz w:val="24"/>
          <w:szCs w:val="24"/>
          <w:lang w:val="en-IE"/>
        </w:rPr>
      </w:pPr>
      <w:r w:rsidRPr="55C3B599">
        <w:rPr>
          <w:rFonts w:ascii="Times New Roman" w:eastAsia="Times New Roman" w:hAnsi="Times New Roman" w:cs="Times New Roman"/>
          <w:noProof/>
          <w:sz w:val="24"/>
          <w:szCs w:val="24"/>
          <w:lang w:val="en-IE"/>
        </w:rPr>
        <w:t>information on the (enforcement of) the supply standard and lack of info</w:t>
      </w:r>
      <w:r w:rsidR="5ABC17E5" w:rsidRPr="55C3B599">
        <w:rPr>
          <w:rFonts w:ascii="Times New Roman" w:eastAsia="Times New Roman" w:hAnsi="Times New Roman" w:cs="Times New Roman"/>
          <w:noProof/>
          <w:sz w:val="24"/>
          <w:szCs w:val="24"/>
          <w:lang w:val="en-IE"/>
        </w:rPr>
        <w:t>rmation</w:t>
      </w:r>
      <w:r w:rsidRPr="55C3B599">
        <w:rPr>
          <w:rFonts w:ascii="Times New Roman" w:eastAsia="Times New Roman" w:hAnsi="Times New Roman" w:cs="Times New Roman"/>
          <w:noProof/>
          <w:sz w:val="24"/>
          <w:szCs w:val="24"/>
          <w:lang w:val="en-IE"/>
        </w:rPr>
        <w:t xml:space="preserve"> on the infrastructure standard.</w:t>
      </w:r>
    </w:p>
    <w:p w14:paraId="6A2ACFE7" w14:textId="5B99883F" w:rsidR="00B67C1F" w:rsidRPr="00780A89" w:rsidRDefault="00B67C1F" w:rsidP="00B67C1F">
      <w:pPr>
        <w:pStyle w:val="ListParagraph"/>
        <w:numPr>
          <w:ilvl w:val="0"/>
          <w:numId w:val="6"/>
        </w:num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inaccurate information on (solidarity) protected customers.</w:t>
      </w:r>
    </w:p>
    <w:p w14:paraId="0776D22C" w14:textId="7CA8F643" w:rsidR="00B67C1F" w:rsidRPr="00780A89" w:rsidRDefault="00B67C1F" w:rsidP="00B67C1F">
      <w:pPr>
        <w:pStyle w:val="ListParagraph"/>
        <w:numPr>
          <w:ilvl w:val="0"/>
          <w:numId w:val="6"/>
        </w:num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details on the regional and national gas systems.</w:t>
      </w:r>
    </w:p>
    <w:p w14:paraId="7469A21F" w14:textId="2C0CB8CC" w:rsidR="00B67C1F" w:rsidRPr="00780A89" w:rsidRDefault="007F5C9A" w:rsidP="00B67C1F">
      <w:pPr>
        <w:pStyle w:val="ListParagraph"/>
        <w:numPr>
          <w:ilvl w:val="0"/>
          <w:numId w:val="6"/>
        </w:num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i</w:t>
      </w:r>
      <w:r w:rsidR="00B67C1F" w:rsidRPr="00780A89">
        <w:rPr>
          <w:rFonts w:ascii="Times New Roman" w:eastAsia="Times New Roman" w:hAnsi="Times New Roman" w:cs="Times New Roman"/>
          <w:noProof/>
          <w:sz w:val="24"/>
          <w:szCs w:val="24"/>
          <w:lang w:val="en-IE"/>
        </w:rPr>
        <w:t xml:space="preserve">nsufficient assessments of the impact of preventive measures on the economy, the internal market, consumers and the environment. </w:t>
      </w:r>
    </w:p>
    <w:p w14:paraId="137D6BB0" w14:textId="44C6B3E1" w:rsidR="00B67C1F" w:rsidRPr="00780A89" w:rsidRDefault="00B67C1F" w:rsidP="00B67C1F">
      <w:pPr>
        <w:jc w:val="both"/>
        <w:rPr>
          <w:rFonts w:ascii="Times New Roman" w:eastAsia="Times New Roman" w:hAnsi="Times New Roman" w:cs="Times New Roman"/>
          <w:noProof/>
          <w:sz w:val="24"/>
          <w:szCs w:val="24"/>
          <w:lang w:val="en-IE"/>
        </w:rPr>
      </w:pPr>
      <w:r w:rsidRPr="73B12684">
        <w:rPr>
          <w:rFonts w:ascii="Times New Roman" w:eastAsia="Times New Roman" w:hAnsi="Times New Roman" w:cs="Times New Roman"/>
          <w:noProof/>
          <w:sz w:val="24"/>
          <w:szCs w:val="24"/>
          <w:lang w:val="en-IE"/>
        </w:rPr>
        <w:t>For the E</w:t>
      </w:r>
      <w:r w:rsidR="007F5C9A" w:rsidRPr="73B12684">
        <w:rPr>
          <w:rFonts w:ascii="Times New Roman" w:eastAsia="Times New Roman" w:hAnsi="Times New Roman" w:cs="Times New Roman"/>
          <w:noProof/>
          <w:sz w:val="24"/>
          <w:szCs w:val="24"/>
          <w:lang w:val="en-IE"/>
        </w:rPr>
        <w:t>p</w:t>
      </w:r>
      <w:r w:rsidRPr="73B12684">
        <w:rPr>
          <w:rFonts w:ascii="Times New Roman" w:eastAsia="Times New Roman" w:hAnsi="Times New Roman" w:cs="Times New Roman"/>
          <w:noProof/>
          <w:sz w:val="24"/>
          <w:szCs w:val="24"/>
          <w:lang w:val="en-IE"/>
        </w:rPr>
        <w:t xml:space="preserve">s on the other hand, the main issue was an </w:t>
      </w:r>
      <w:r w:rsidR="00291B9C">
        <w:rPr>
          <w:rFonts w:ascii="Times New Roman" w:eastAsia="Times New Roman" w:hAnsi="Times New Roman" w:cs="Times New Roman"/>
          <w:noProof/>
          <w:sz w:val="24"/>
          <w:szCs w:val="24"/>
          <w:lang w:val="en-IE"/>
        </w:rPr>
        <w:t>incomplete</w:t>
      </w:r>
      <w:r w:rsidR="00291B9C" w:rsidRPr="73B12684">
        <w:rPr>
          <w:rFonts w:ascii="Times New Roman" w:eastAsia="Times New Roman" w:hAnsi="Times New Roman" w:cs="Times New Roman"/>
          <w:noProof/>
          <w:sz w:val="24"/>
          <w:szCs w:val="24"/>
          <w:lang w:val="en-IE"/>
        </w:rPr>
        <w:t xml:space="preserve"> </w:t>
      </w:r>
      <w:r w:rsidRPr="73B12684">
        <w:rPr>
          <w:rFonts w:ascii="Times New Roman" w:eastAsia="Times New Roman" w:hAnsi="Times New Roman" w:cs="Times New Roman"/>
          <w:noProof/>
          <w:sz w:val="24"/>
          <w:szCs w:val="24"/>
          <w:lang w:val="en-IE"/>
        </w:rPr>
        <w:t>regional chapter including the lack of solidarity arrangements, and a lack of quantification of measures’ impact. The Commission considers that Member States should improve the points listed, as already stressed in the opinions issued in 2019.</w:t>
      </w:r>
    </w:p>
    <w:p w14:paraId="788350EA" w14:textId="092DB88E" w:rsidR="005F76DC" w:rsidRPr="00780A89" w:rsidRDefault="00793CE4" w:rsidP="005F76DC">
      <w:pPr>
        <w:pStyle w:val="Heading2"/>
        <w:spacing w:before="240" w:after="240"/>
        <w:rPr>
          <w:rFonts w:ascii="Times New Roman" w:hAnsi="Times New Roman" w:cs="Times New Roman"/>
          <w:b/>
          <w:bCs/>
          <w:i/>
          <w:iCs/>
          <w:noProof/>
          <w:color w:val="auto"/>
          <w:sz w:val="24"/>
          <w:szCs w:val="24"/>
          <w:lang w:val="en-IE"/>
        </w:rPr>
      </w:pPr>
      <w:r>
        <w:rPr>
          <w:rFonts w:ascii="Times New Roman" w:hAnsi="Times New Roman" w:cs="Times New Roman"/>
          <w:b/>
          <w:bCs/>
          <w:i/>
          <w:iCs/>
          <w:noProof/>
          <w:color w:val="auto"/>
          <w:sz w:val="24"/>
          <w:szCs w:val="24"/>
          <w:lang w:val="en-IE"/>
        </w:rPr>
        <w:t>3</w:t>
      </w:r>
      <w:r w:rsidR="005F76DC" w:rsidRPr="00780A89">
        <w:rPr>
          <w:rFonts w:ascii="Times New Roman" w:hAnsi="Times New Roman" w:cs="Times New Roman"/>
          <w:b/>
          <w:bCs/>
          <w:i/>
          <w:iCs/>
          <w:noProof/>
          <w:color w:val="auto"/>
          <w:sz w:val="24"/>
          <w:szCs w:val="24"/>
          <w:lang w:val="en-IE"/>
        </w:rPr>
        <w:t>.6. Responsibilities in different crisis levels</w:t>
      </w:r>
    </w:p>
    <w:p w14:paraId="27398C36" w14:textId="77777777" w:rsidR="000111E2" w:rsidRPr="00780A89" w:rsidRDefault="007446E2" w:rsidP="007446E2">
      <w:pPr>
        <w:jc w:val="both"/>
        <w:rPr>
          <w:rFonts w:ascii="Times New Roman" w:hAnsi="Times New Roman" w:cs="Times New Roman"/>
          <w:noProof/>
          <w:sz w:val="24"/>
          <w:szCs w:val="24"/>
          <w:lang w:val="en-IE"/>
        </w:rPr>
      </w:pPr>
      <w:r w:rsidRPr="00780A89">
        <w:rPr>
          <w:rFonts w:ascii="Times New Roman" w:hAnsi="Times New Roman" w:cs="Times New Roman"/>
          <w:noProof/>
          <w:sz w:val="24"/>
          <w:szCs w:val="24"/>
          <w:lang w:val="en-IE"/>
        </w:rPr>
        <w:t>One of the core provisions of the Gas Security of Supply Regulation is the establishment of different national and EU-wide crisis levels</w:t>
      </w:r>
      <w:r w:rsidR="00927D86" w:rsidRPr="00780A89">
        <w:rPr>
          <w:rFonts w:ascii="Times New Roman" w:hAnsi="Times New Roman" w:cs="Times New Roman"/>
          <w:noProof/>
          <w:sz w:val="24"/>
          <w:szCs w:val="24"/>
          <w:lang w:val="en-IE"/>
        </w:rPr>
        <w:t xml:space="preserve"> in</w:t>
      </w:r>
      <w:r w:rsidR="00943668" w:rsidRPr="00780A89">
        <w:rPr>
          <w:noProof/>
          <w:lang w:val="en-IE"/>
        </w:rPr>
        <w:t xml:space="preserve"> </w:t>
      </w:r>
      <w:r w:rsidR="00943668" w:rsidRPr="00780A89">
        <w:rPr>
          <w:rFonts w:ascii="Times New Roman" w:hAnsi="Times New Roman" w:cs="Times New Roman"/>
          <w:noProof/>
          <w:sz w:val="24"/>
          <w:szCs w:val="24"/>
          <w:lang w:val="en-IE"/>
        </w:rPr>
        <w:t>Article 11</w:t>
      </w:r>
      <w:r w:rsidR="00927D86" w:rsidRPr="00780A89">
        <w:rPr>
          <w:rFonts w:ascii="Times New Roman" w:hAnsi="Times New Roman" w:cs="Times New Roman"/>
          <w:noProof/>
          <w:sz w:val="24"/>
          <w:szCs w:val="24"/>
          <w:lang w:val="en-IE"/>
        </w:rPr>
        <w:t>, which</w:t>
      </w:r>
      <w:r w:rsidR="00943668" w:rsidRPr="00780A89">
        <w:rPr>
          <w:rFonts w:ascii="Times New Roman" w:hAnsi="Times New Roman" w:cs="Times New Roman"/>
          <w:noProof/>
          <w:sz w:val="24"/>
          <w:szCs w:val="24"/>
          <w:lang w:val="en-IE"/>
        </w:rPr>
        <w:t xml:space="preserve"> defines the following three national crisis levels: (1) early warning, (2) alert and (3) emergency.</w:t>
      </w:r>
      <w:r w:rsidR="000111E2" w:rsidRPr="00780A89">
        <w:rPr>
          <w:rFonts w:ascii="Times New Roman" w:hAnsi="Times New Roman" w:cs="Times New Roman"/>
          <w:noProof/>
          <w:sz w:val="24"/>
          <w:szCs w:val="24"/>
          <w:lang w:val="en-IE"/>
        </w:rPr>
        <w:t xml:space="preserve"> </w:t>
      </w:r>
    </w:p>
    <w:p w14:paraId="18B81165" w14:textId="0FD80802" w:rsidR="00943668" w:rsidRPr="00780A89" w:rsidRDefault="001F06EC" w:rsidP="007446E2">
      <w:pPr>
        <w:jc w:val="both"/>
        <w:rPr>
          <w:rFonts w:ascii="Times New Roman" w:hAnsi="Times New Roman" w:cs="Times New Roman"/>
          <w:noProof/>
          <w:sz w:val="24"/>
          <w:szCs w:val="24"/>
          <w:lang w:val="en-IE"/>
        </w:rPr>
      </w:pPr>
      <w:r w:rsidRPr="0AFCBEB5">
        <w:rPr>
          <w:rFonts w:ascii="Times New Roman" w:hAnsi="Times New Roman" w:cs="Times New Roman"/>
          <w:noProof/>
          <w:sz w:val="24"/>
          <w:szCs w:val="24"/>
          <w:lang w:val="en-IE"/>
        </w:rPr>
        <w:t xml:space="preserve">In addition, the </w:t>
      </w:r>
      <w:r w:rsidR="3DCF85DA" w:rsidRPr="0AFCBEB5">
        <w:rPr>
          <w:rFonts w:ascii="Times New Roman" w:hAnsi="Times New Roman" w:cs="Times New Roman"/>
          <w:noProof/>
          <w:sz w:val="24"/>
          <w:szCs w:val="24"/>
          <w:lang w:val="en-IE"/>
        </w:rPr>
        <w:t>C</w:t>
      </w:r>
      <w:r w:rsidRPr="0AFCBEB5">
        <w:rPr>
          <w:rFonts w:ascii="Times New Roman" w:hAnsi="Times New Roman" w:cs="Times New Roman"/>
          <w:noProof/>
          <w:sz w:val="24"/>
          <w:szCs w:val="24"/>
          <w:lang w:val="en-IE"/>
        </w:rPr>
        <w:t xml:space="preserve">ommission can declare a regional or EU-wide emergency, </w:t>
      </w:r>
      <w:r w:rsidR="00441FAA" w:rsidRPr="0AFCBEB5">
        <w:rPr>
          <w:rFonts w:ascii="Times New Roman" w:hAnsi="Times New Roman" w:cs="Times New Roman"/>
          <w:noProof/>
          <w:sz w:val="24"/>
          <w:szCs w:val="24"/>
          <w:lang w:val="en-IE"/>
        </w:rPr>
        <w:t>during which the Commission has a coordinating responsibility.</w:t>
      </w:r>
      <w:r w:rsidR="006C5B30" w:rsidRPr="0AFCBEB5">
        <w:rPr>
          <w:noProof/>
          <w:lang w:val="en-IE"/>
        </w:rPr>
        <w:t xml:space="preserve"> </w:t>
      </w:r>
      <w:r w:rsidR="006C5B30" w:rsidRPr="0AFCBEB5">
        <w:rPr>
          <w:rFonts w:ascii="Times New Roman" w:hAnsi="Times New Roman" w:cs="Times New Roman"/>
          <w:noProof/>
          <w:sz w:val="24"/>
          <w:szCs w:val="24"/>
          <w:lang w:val="en-IE"/>
        </w:rPr>
        <w:t>The Demand Reduction Regulation (EU) 2022/1369</w:t>
      </w:r>
      <w:r w:rsidR="000111E2" w:rsidRPr="0AFCBEB5">
        <w:rPr>
          <w:rFonts w:ascii="Times New Roman" w:hAnsi="Times New Roman" w:cs="Times New Roman"/>
          <w:noProof/>
          <w:sz w:val="24"/>
          <w:szCs w:val="24"/>
          <w:lang w:val="en-IE"/>
        </w:rPr>
        <w:t xml:space="preserve"> also</w:t>
      </w:r>
      <w:r w:rsidR="006C5B30" w:rsidRPr="0AFCBEB5">
        <w:rPr>
          <w:rFonts w:ascii="Times New Roman" w:hAnsi="Times New Roman" w:cs="Times New Roman"/>
          <w:noProof/>
          <w:sz w:val="24"/>
          <w:szCs w:val="24"/>
          <w:lang w:val="en-IE"/>
        </w:rPr>
        <w:t xml:space="preserve"> </w:t>
      </w:r>
      <w:r w:rsidR="59E4FE2A" w:rsidRPr="0AFCBEB5">
        <w:rPr>
          <w:rFonts w:ascii="Times New Roman" w:hAnsi="Times New Roman" w:cs="Times New Roman"/>
          <w:noProof/>
          <w:sz w:val="24"/>
          <w:szCs w:val="24"/>
          <w:lang w:val="en-IE"/>
        </w:rPr>
        <w:t xml:space="preserve">temporarily </w:t>
      </w:r>
      <w:r w:rsidR="006C5B30" w:rsidRPr="0AFCBEB5">
        <w:rPr>
          <w:rFonts w:ascii="Times New Roman" w:hAnsi="Times New Roman" w:cs="Times New Roman"/>
          <w:noProof/>
          <w:sz w:val="24"/>
          <w:szCs w:val="24"/>
          <w:lang w:val="en-IE"/>
        </w:rPr>
        <w:t>established an EU alert level</w:t>
      </w:r>
      <w:r w:rsidR="007F5C9A">
        <w:rPr>
          <w:rFonts w:ascii="Times New Roman" w:hAnsi="Times New Roman" w:cs="Times New Roman"/>
          <w:noProof/>
          <w:sz w:val="24"/>
          <w:szCs w:val="24"/>
          <w:lang w:val="en-IE"/>
        </w:rPr>
        <w:t>.</w:t>
      </w:r>
      <w:r w:rsidR="006C5B30" w:rsidRPr="0AFCBEB5">
        <w:rPr>
          <w:rFonts w:ascii="Times New Roman" w:hAnsi="Times New Roman" w:cs="Times New Roman"/>
          <w:noProof/>
          <w:sz w:val="24"/>
          <w:szCs w:val="24"/>
          <w:lang w:val="en-IE"/>
        </w:rPr>
        <w:t xml:space="preserve"> </w:t>
      </w:r>
    </w:p>
    <w:p w14:paraId="6DC974E1" w14:textId="595F1492" w:rsidR="003C12A8" w:rsidRPr="00780A89" w:rsidRDefault="003C12A8" w:rsidP="007446E2">
      <w:pPr>
        <w:jc w:val="both"/>
        <w:rPr>
          <w:rFonts w:ascii="Times New Roman" w:hAnsi="Times New Roman" w:cs="Times New Roman"/>
          <w:noProof/>
          <w:sz w:val="24"/>
          <w:szCs w:val="24"/>
          <w:lang w:val="en-IE"/>
        </w:rPr>
      </w:pPr>
      <w:r w:rsidRPr="0AFCBEB5">
        <w:rPr>
          <w:rFonts w:ascii="Times New Roman" w:hAnsi="Times New Roman" w:cs="Times New Roman"/>
          <w:noProof/>
          <w:sz w:val="24"/>
          <w:szCs w:val="24"/>
          <w:lang w:val="en-IE"/>
        </w:rPr>
        <w:t xml:space="preserve">During the energy crisis of 2022, and in particular during the </w:t>
      </w:r>
      <w:r w:rsidR="00557EF3" w:rsidRPr="0AFCBEB5">
        <w:rPr>
          <w:rFonts w:ascii="Times New Roman" w:hAnsi="Times New Roman" w:cs="Times New Roman"/>
          <w:noProof/>
          <w:sz w:val="24"/>
          <w:szCs w:val="24"/>
          <w:lang w:val="en-IE"/>
        </w:rPr>
        <w:t xml:space="preserve">solidarity </w:t>
      </w:r>
      <w:r w:rsidRPr="0AFCBEB5">
        <w:rPr>
          <w:rFonts w:ascii="Times New Roman" w:hAnsi="Times New Roman" w:cs="Times New Roman"/>
          <w:noProof/>
          <w:sz w:val="24"/>
          <w:szCs w:val="24"/>
          <w:lang w:val="en-IE"/>
        </w:rPr>
        <w:t xml:space="preserve">‘dry run’ exercise performed in December 2022, it </w:t>
      </w:r>
      <w:r w:rsidR="0DC9E47F" w:rsidRPr="0AFCBEB5">
        <w:rPr>
          <w:rFonts w:ascii="Times New Roman" w:hAnsi="Times New Roman" w:cs="Times New Roman"/>
          <w:noProof/>
          <w:sz w:val="24"/>
          <w:szCs w:val="24"/>
          <w:lang w:val="en-IE"/>
        </w:rPr>
        <w:t>was considered</w:t>
      </w:r>
      <w:r w:rsidRPr="0AFCBEB5">
        <w:rPr>
          <w:rFonts w:ascii="Times New Roman" w:hAnsi="Times New Roman" w:cs="Times New Roman"/>
          <w:noProof/>
          <w:sz w:val="24"/>
          <w:szCs w:val="24"/>
          <w:lang w:val="en-IE"/>
        </w:rPr>
        <w:t xml:space="preserve"> that the EU emergency level should be further defined and the criteria for when a regional or when an EU</w:t>
      </w:r>
      <w:r w:rsidR="00C26B9F" w:rsidRPr="0AFCBEB5">
        <w:rPr>
          <w:rFonts w:ascii="Times New Roman" w:hAnsi="Times New Roman" w:cs="Times New Roman"/>
          <w:noProof/>
          <w:sz w:val="24"/>
          <w:szCs w:val="24"/>
          <w:lang w:val="en-IE"/>
        </w:rPr>
        <w:t>-wide</w:t>
      </w:r>
      <w:r w:rsidRPr="0AFCBEB5">
        <w:rPr>
          <w:rFonts w:ascii="Times New Roman" w:hAnsi="Times New Roman" w:cs="Times New Roman"/>
          <w:noProof/>
          <w:sz w:val="24"/>
          <w:szCs w:val="24"/>
          <w:lang w:val="en-IE"/>
        </w:rPr>
        <w:t xml:space="preserve"> emergency should be declared are unclear.</w:t>
      </w:r>
      <w:r w:rsidR="001364A8" w:rsidRPr="0AFCBEB5">
        <w:rPr>
          <w:noProof/>
          <w:lang w:val="en-IE"/>
        </w:rPr>
        <w:t xml:space="preserve"> </w:t>
      </w:r>
      <w:r w:rsidR="001413EB" w:rsidRPr="0AFCBEB5">
        <w:rPr>
          <w:rFonts w:ascii="Times New Roman" w:hAnsi="Times New Roman" w:cs="Times New Roman"/>
          <w:noProof/>
          <w:sz w:val="24"/>
          <w:szCs w:val="24"/>
          <w:lang w:val="en-IE"/>
        </w:rPr>
        <w:t>S</w:t>
      </w:r>
      <w:r w:rsidR="001364A8" w:rsidRPr="0AFCBEB5">
        <w:rPr>
          <w:rFonts w:ascii="Times New Roman" w:hAnsi="Times New Roman" w:cs="Times New Roman"/>
          <w:noProof/>
          <w:sz w:val="24"/>
          <w:szCs w:val="24"/>
          <w:lang w:val="en-IE"/>
        </w:rPr>
        <w:t>ome Member States provided feedback via the questionnaire submitted to the GCG that the establishment of an EU emergency plan may be useful, in particular to clarify the roles and responsibilities of different EU bodies and national authorities in an emergency.</w:t>
      </w:r>
    </w:p>
    <w:p w14:paraId="5921AEB2" w14:textId="7F1A30C3" w:rsidR="00AC0C65" w:rsidRPr="00780A89" w:rsidRDefault="009B0D94" w:rsidP="00AC0C65">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Furthermore, t</w:t>
      </w:r>
      <w:r w:rsidR="00AC0C65" w:rsidRPr="00780A89">
        <w:rPr>
          <w:rFonts w:ascii="Times New Roman" w:eastAsia="Times New Roman" w:hAnsi="Times New Roman" w:cs="Times New Roman"/>
          <w:noProof/>
          <w:sz w:val="24"/>
          <w:szCs w:val="24"/>
          <w:lang w:val="en-IE"/>
        </w:rPr>
        <w:t>he Demand Reduction Regulation (EU</w:t>
      </w:r>
      <w:r w:rsidR="00CD2F70" w:rsidRPr="00780A89">
        <w:rPr>
          <w:rFonts w:ascii="Times New Roman" w:eastAsia="Times New Roman" w:hAnsi="Times New Roman" w:cs="Times New Roman"/>
          <w:noProof/>
          <w:sz w:val="24"/>
          <w:szCs w:val="24"/>
          <w:lang w:val="en-IE"/>
        </w:rPr>
        <w:t>)</w:t>
      </w:r>
      <w:r w:rsidR="00AC0C65" w:rsidRPr="00780A89">
        <w:rPr>
          <w:rFonts w:ascii="Times New Roman" w:eastAsia="Times New Roman" w:hAnsi="Times New Roman" w:cs="Times New Roman"/>
          <w:noProof/>
          <w:sz w:val="24"/>
          <w:szCs w:val="24"/>
          <w:lang w:val="en-IE"/>
        </w:rPr>
        <w:t xml:space="preserve"> 202</w:t>
      </w:r>
      <w:r w:rsidR="00F500C2" w:rsidRPr="00780A89">
        <w:rPr>
          <w:rFonts w:ascii="Times New Roman" w:eastAsia="Times New Roman" w:hAnsi="Times New Roman" w:cs="Times New Roman"/>
          <w:noProof/>
          <w:sz w:val="24"/>
          <w:szCs w:val="24"/>
          <w:lang w:val="en-IE"/>
        </w:rPr>
        <w:t>2</w:t>
      </w:r>
      <w:r w:rsidR="00AC0C65" w:rsidRPr="00780A89">
        <w:rPr>
          <w:rFonts w:ascii="Times New Roman" w:eastAsia="Times New Roman" w:hAnsi="Times New Roman" w:cs="Times New Roman"/>
          <w:noProof/>
          <w:sz w:val="24"/>
          <w:szCs w:val="24"/>
          <w:lang w:val="en-IE"/>
        </w:rPr>
        <w:t>/</w:t>
      </w:r>
      <w:r w:rsidR="00F500C2" w:rsidRPr="00780A89">
        <w:rPr>
          <w:rFonts w:ascii="Times New Roman" w:eastAsia="Times New Roman" w:hAnsi="Times New Roman" w:cs="Times New Roman"/>
          <w:noProof/>
          <w:sz w:val="24"/>
          <w:szCs w:val="24"/>
          <w:lang w:val="en-IE"/>
        </w:rPr>
        <w:t>1369</w:t>
      </w:r>
      <w:r w:rsidR="00AC0C65" w:rsidRPr="00780A89">
        <w:rPr>
          <w:rFonts w:ascii="Times New Roman" w:eastAsia="Times New Roman" w:hAnsi="Times New Roman" w:cs="Times New Roman"/>
          <w:noProof/>
          <w:sz w:val="24"/>
          <w:szCs w:val="24"/>
          <w:lang w:val="en-IE"/>
        </w:rPr>
        <w:t xml:space="preserve"> establishe</w:t>
      </w:r>
      <w:r w:rsidR="00F500C2" w:rsidRPr="00780A89">
        <w:rPr>
          <w:rFonts w:ascii="Times New Roman" w:eastAsia="Times New Roman" w:hAnsi="Times New Roman" w:cs="Times New Roman"/>
          <w:noProof/>
          <w:sz w:val="24"/>
          <w:szCs w:val="24"/>
          <w:lang w:val="en-IE"/>
        </w:rPr>
        <w:t>d</w:t>
      </w:r>
      <w:r w:rsidR="00AC0C65" w:rsidRPr="00780A89">
        <w:rPr>
          <w:rFonts w:ascii="Times New Roman" w:eastAsia="Times New Roman" w:hAnsi="Times New Roman" w:cs="Times New Roman"/>
          <w:noProof/>
          <w:sz w:val="24"/>
          <w:szCs w:val="24"/>
          <w:lang w:val="en-IE"/>
        </w:rPr>
        <w:t xml:space="preserve"> the EU alert level</w:t>
      </w:r>
      <w:r w:rsidRPr="009B0D94">
        <w:rPr>
          <w:rFonts w:ascii="Times New Roman" w:hAnsi="Times New Roman" w:cs="Times New Roman"/>
          <w:noProof/>
          <w:sz w:val="24"/>
          <w:szCs w:val="24"/>
          <w:lang w:val="en-IE"/>
        </w:rPr>
        <w:t xml:space="preserve"> </w:t>
      </w:r>
      <w:r w:rsidRPr="0AFCBEB5">
        <w:rPr>
          <w:rFonts w:ascii="Times New Roman" w:hAnsi="Times New Roman" w:cs="Times New Roman"/>
          <w:noProof/>
          <w:sz w:val="24"/>
          <w:szCs w:val="24"/>
          <w:lang w:val="en-IE"/>
        </w:rPr>
        <w:t>as a response to the Russian invasion of Ukraine</w:t>
      </w:r>
      <w:r w:rsidR="00727C53">
        <w:rPr>
          <w:rFonts w:ascii="Times New Roman" w:hAnsi="Times New Roman" w:cs="Times New Roman"/>
          <w:noProof/>
          <w:sz w:val="24"/>
          <w:szCs w:val="24"/>
          <w:lang w:val="en-IE"/>
        </w:rPr>
        <w:t>,</w:t>
      </w:r>
      <w:r w:rsidRPr="0AFCBEB5">
        <w:rPr>
          <w:rFonts w:ascii="Times New Roman" w:hAnsi="Times New Roman" w:cs="Times New Roman"/>
          <w:noProof/>
          <w:sz w:val="24"/>
          <w:szCs w:val="24"/>
          <w:lang w:val="en-IE"/>
        </w:rPr>
        <w:t xml:space="preserve"> which would commit Member States to a </w:t>
      </w:r>
      <w:r>
        <w:rPr>
          <w:rFonts w:ascii="Times New Roman" w:hAnsi="Times New Roman" w:cs="Times New Roman"/>
          <w:noProof/>
          <w:sz w:val="24"/>
          <w:szCs w:val="24"/>
          <w:lang w:val="en-IE"/>
        </w:rPr>
        <w:t xml:space="preserve">mandatory </w:t>
      </w:r>
      <w:r w:rsidRPr="0AFCBEB5">
        <w:rPr>
          <w:rFonts w:ascii="Times New Roman" w:hAnsi="Times New Roman" w:cs="Times New Roman"/>
          <w:noProof/>
          <w:sz w:val="24"/>
          <w:szCs w:val="24"/>
          <w:lang w:val="en-IE"/>
        </w:rPr>
        <w:t>15% gas demand reduction</w:t>
      </w:r>
      <w:r>
        <w:rPr>
          <w:rFonts w:ascii="Times New Roman" w:eastAsia="Times New Roman" w:hAnsi="Times New Roman" w:cs="Times New Roman"/>
          <w:noProof/>
          <w:sz w:val="24"/>
          <w:szCs w:val="24"/>
          <w:lang w:val="en-IE"/>
        </w:rPr>
        <w:t xml:space="preserve">. As this Regulation </w:t>
      </w:r>
      <w:r w:rsidR="00AC0C65" w:rsidRPr="00780A89">
        <w:rPr>
          <w:rFonts w:ascii="Times New Roman" w:eastAsia="Times New Roman" w:hAnsi="Times New Roman" w:cs="Times New Roman"/>
          <w:noProof/>
          <w:sz w:val="24"/>
          <w:szCs w:val="24"/>
          <w:lang w:val="en-IE"/>
        </w:rPr>
        <w:t xml:space="preserve">will expire at the end of March 2024, </w:t>
      </w:r>
      <w:r w:rsidR="00F510D4" w:rsidRPr="00780A89">
        <w:rPr>
          <w:rFonts w:ascii="Times New Roman" w:eastAsia="Times New Roman" w:hAnsi="Times New Roman" w:cs="Times New Roman"/>
          <w:noProof/>
          <w:sz w:val="24"/>
          <w:szCs w:val="24"/>
          <w:lang w:val="en-IE"/>
        </w:rPr>
        <w:t>it should be reflected on w</w:t>
      </w:r>
      <w:r w:rsidR="00AC0C65" w:rsidRPr="00780A89">
        <w:rPr>
          <w:rFonts w:ascii="Times New Roman" w:eastAsia="Times New Roman" w:hAnsi="Times New Roman" w:cs="Times New Roman"/>
          <w:noProof/>
          <w:sz w:val="24"/>
          <w:szCs w:val="24"/>
          <w:lang w:val="en-IE"/>
        </w:rPr>
        <w:t>hether th</w:t>
      </w:r>
      <w:r w:rsidR="00F510D4" w:rsidRPr="00780A89">
        <w:rPr>
          <w:rFonts w:ascii="Times New Roman" w:eastAsia="Times New Roman" w:hAnsi="Times New Roman" w:cs="Times New Roman"/>
          <w:noProof/>
          <w:sz w:val="24"/>
          <w:szCs w:val="24"/>
          <w:lang w:val="en-IE"/>
        </w:rPr>
        <w:t>e</w:t>
      </w:r>
      <w:r w:rsidR="00AC0C65" w:rsidRPr="00780A89">
        <w:rPr>
          <w:rFonts w:ascii="Times New Roman" w:eastAsia="Times New Roman" w:hAnsi="Times New Roman" w:cs="Times New Roman"/>
          <w:noProof/>
          <w:sz w:val="24"/>
          <w:szCs w:val="24"/>
          <w:lang w:val="en-IE"/>
        </w:rPr>
        <w:t xml:space="preserve"> </w:t>
      </w:r>
      <w:r w:rsidR="00AC0C65" w:rsidRPr="00780A89">
        <w:rPr>
          <w:rFonts w:ascii="Times New Roman" w:eastAsia="Times New Roman" w:hAnsi="Times New Roman" w:cs="Times New Roman"/>
          <w:b/>
          <w:bCs/>
          <w:noProof/>
          <w:sz w:val="24"/>
          <w:szCs w:val="24"/>
          <w:lang w:val="en-IE"/>
        </w:rPr>
        <w:t>EU alert is useful for the long-term</w:t>
      </w:r>
      <w:r w:rsidR="00AC0C65" w:rsidRPr="00780A89">
        <w:rPr>
          <w:rFonts w:ascii="Times New Roman" w:eastAsia="Times New Roman" w:hAnsi="Times New Roman" w:cs="Times New Roman"/>
          <w:noProof/>
          <w:sz w:val="24"/>
          <w:szCs w:val="24"/>
          <w:lang w:val="en-IE"/>
        </w:rPr>
        <w:t xml:space="preserve">. The </w:t>
      </w:r>
      <w:r w:rsidR="00F510D4" w:rsidRPr="00780A89">
        <w:rPr>
          <w:rFonts w:ascii="Times New Roman" w:eastAsia="Times New Roman" w:hAnsi="Times New Roman" w:cs="Times New Roman"/>
          <w:noProof/>
          <w:sz w:val="24"/>
          <w:szCs w:val="24"/>
          <w:lang w:val="en-IE"/>
        </w:rPr>
        <w:t>GCG</w:t>
      </w:r>
      <w:r w:rsidR="00AC0C65" w:rsidRPr="00780A89">
        <w:rPr>
          <w:rFonts w:ascii="Times New Roman" w:eastAsia="Times New Roman" w:hAnsi="Times New Roman" w:cs="Times New Roman"/>
          <w:noProof/>
          <w:sz w:val="24"/>
          <w:szCs w:val="24"/>
          <w:lang w:val="en-IE"/>
        </w:rPr>
        <w:t xml:space="preserve"> provided feedback via a questionnaire, indicating openness to keeping this mechanism, albeit dependent on the measures that </w:t>
      </w:r>
      <w:r>
        <w:rPr>
          <w:rFonts w:ascii="Times New Roman" w:eastAsia="Times New Roman" w:hAnsi="Times New Roman" w:cs="Times New Roman"/>
          <w:noProof/>
          <w:sz w:val="24"/>
          <w:szCs w:val="24"/>
          <w:lang w:val="en-IE"/>
        </w:rPr>
        <w:t xml:space="preserve">it </w:t>
      </w:r>
      <w:r w:rsidR="00AC0C65" w:rsidRPr="00780A89">
        <w:rPr>
          <w:rFonts w:ascii="Times New Roman" w:eastAsia="Times New Roman" w:hAnsi="Times New Roman" w:cs="Times New Roman"/>
          <w:noProof/>
          <w:sz w:val="24"/>
          <w:szCs w:val="24"/>
          <w:lang w:val="en-IE"/>
        </w:rPr>
        <w:t xml:space="preserve">would </w:t>
      </w:r>
      <w:r>
        <w:rPr>
          <w:rFonts w:ascii="Times New Roman" w:eastAsia="Times New Roman" w:hAnsi="Times New Roman" w:cs="Times New Roman"/>
          <w:noProof/>
          <w:sz w:val="24"/>
          <w:szCs w:val="24"/>
          <w:lang w:val="en-IE"/>
        </w:rPr>
        <w:t>trigger</w:t>
      </w:r>
      <w:r w:rsidR="00AC0C65" w:rsidRPr="00780A89">
        <w:rPr>
          <w:rFonts w:ascii="Times New Roman" w:eastAsia="Times New Roman" w:hAnsi="Times New Roman" w:cs="Times New Roman"/>
          <w:noProof/>
          <w:sz w:val="24"/>
          <w:szCs w:val="24"/>
          <w:lang w:val="en-IE"/>
        </w:rPr>
        <w:t xml:space="preserve">. Some respondents indicated that both the triggering, as well as the subsequent measures, could be related to storage filling. Others mentioned that the measures tied to the </w:t>
      </w:r>
      <w:r>
        <w:rPr>
          <w:rFonts w:ascii="Times New Roman" w:eastAsia="Times New Roman" w:hAnsi="Times New Roman" w:cs="Times New Roman"/>
          <w:noProof/>
          <w:sz w:val="24"/>
          <w:szCs w:val="24"/>
          <w:lang w:val="en-IE"/>
        </w:rPr>
        <w:t xml:space="preserve">EU </w:t>
      </w:r>
      <w:r w:rsidR="00AC0C65" w:rsidRPr="00780A89">
        <w:rPr>
          <w:rFonts w:ascii="Times New Roman" w:eastAsia="Times New Roman" w:hAnsi="Times New Roman" w:cs="Times New Roman"/>
          <w:noProof/>
          <w:sz w:val="24"/>
          <w:szCs w:val="24"/>
          <w:lang w:val="en-IE"/>
        </w:rPr>
        <w:t xml:space="preserve">alert should, like it was in 2022, be a percentile of demand reduction, with the percentage to be tailored to the crisis at hand. </w:t>
      </w:r>
    </w:p>
    <w:p w14:paraId="005C85BD" w14:textId="1982743A" w:rsidR="005F76DC" w:rsidRPr="00780A89" w:rsidRDefault="00AC0C65" w:rsidP="00AC0C6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In addition, while </w:t>
      </w:r>
      <w:r w:rsidR="009B0D94">
        <w:rPr>
          <w:rFonts w:ascii="Times New Roman" w:eastAsia="Times New Roman" w:hAnsi="Times New Roman" w:cs="Times New Roman"/>
          <w:noProof/>
          <w:sz w:val="24"/>
          <w:szCs w:val="24"/>
          <w:lang w:val="en-IE"/>
        </w:rPr>
        <w:t xml:space="preserve">Article 12(5)a of </w:t>
      </w:r>
      <w:r w:rsidRPr="00780A89">
        <w:rPr>
          <w:rFonts w:ascii="Times New Roman" w:eastAsia="Times New Roman" w:hAnsi="Times New Roman" w:cs="Times New Roman"/>
          <w:noProof/>
          <w:sz w:val="24"/>
          <w:szCs w:val="24"/>
          <w:lang w:val="en-IE"/>
        </w:rPr>
        <w:t>the Gas Security of Supply Regulation</w:t>
      </w:r>
      <w:r w:rsidR="009B0D94">
        <w:rPr>
          <w:rFonts w:ascii="Times New Roman" w:eastAsia="Times New Roman" w:hAnsi="Times New Roman" w:cs="Times New Roman"/>
          <w:noProof/>
          <w:sz w:val="24"/>
          <w:szCs w:val="24"/>
          <w:lang w:val="en-IE"/>
        </w:rPr>
        <w:t xml:space="preserve"> </w:t>
      </w:r>
      <w:r w:rsidRPr="00780A89">
        <w:rPr>
          <w:rFonts w:ascii="Times New Roman" w:eastAsia="Times New Roman" w:hAnsi="Times New Roman" w:cs="Times New Roman"/>
          <w:noProof/>
          <w:sz w:val="24"/>
          <w:szCs w:val="24"/>
          <w:lang w:val="en-IE"/>
        </w:rPr>
        <w:t xml:space="preserve">stipulates that Member States </w:t>
      </w:r>
      <w:r w:rsidR="00AA3574" w:rsidRPr="00780A89">
        <w:rPr>
          <w:rFonts w:ascii="Times New Roman" w:eastAsia="Times New Roman" w:hAnsi="Times New Roman" w:cs="Times New Roman"/>
          <w:noProof/>
          <w:sz w:val="24"/>
          <w:szCs w:val="24"/>
          <w:lang w:val="en-IE"/>
        </w:rPr>
        <w:t>can</w:t>
      </w:r>
      <w:r w:rsidRPr="00780A89">
        <w:rPr>
          <w:rFonts w:ascii="Times New Roman" w:eastAsia="Times New Roman" w:hAnsi="Times New Roman" w:cs="Times New Roman"/>
          <w:noProof/>
          <w:sz w:val="24"/>
          <w:szCs w:val="24"/>
          <w:lang w:val="en-IE"/>
        </w:rPr>
        <w:t>not unduly restrict cross-border flows of gas, the procedure that</w:t>
      </w:r>
      <w:r w:rsidR="00583E28" w:rsidRPr="00780A89">
        <w:rPr>
          <w:rFonts w:ascii="Times New Roman" w:eastAsia="Times New Roman" w:hAnsi="Times New Roman" w:cs="Times New Roman"/>
          <w:noProof/>
          <w:sz w:val="24"/>
          <w:szCs w:val="24"/>
          <w:lang w:val="en-IE"/>
        </w:rPr>
        <w:t xml:space="preserve"> would</w:t>
      </w:r>
      <w:r w:rsidRPr="00780A89">
        <w:rPr>
          <w:rFonts w:ascii="Times New Roman" w:eastAsia="Times New Roman" w:hAnsi="Times New Roman" w:cs="Times New Roman"/>
          <w:noProof/>
          <w:sz w:val="24"/>
          <w:szCs w:val="24"/>
          <w:lang w:val="en-IE"/>
        </w:rPr>
        <w:t xml:space="preserve"> follow</w:t>
      </w:r>
      <w:r w:rsidR="00583E28" w:rsidRPr="00780A89">
        <w:rPr>
          <w:rFonts w:ascii="Times New Roman" w:eastAsia="Times New Roman" w:hAnsi="Times New Roman" w:cs="Times New Roman"/>
          <w:noProof/>
          <w:sz w:val="24"/>
          <w:szCs w:val="24"/>
          <w:lang w:val="en-IE"/>
        </w:rPr>
        <w:t xml:space="preserve"> in the midst of a crisis</w:t>
      </w:r>
      <w:r w:rsidRPr="00780A89">
        <w:rPr>
          <w:rFonts w:ascii="Times New Roman" w:eastAsia="Times New Roman" w:hAnsi="Times New Roman" w:cs="Times New Roman"/>
          <w:noProof/>
          <w:sz w:val="24"/>
          <w:szCs w:val="24"/>
          <w:lang w:val="en-IE"/>
        </w:rPr>
        <w:t xml:space="preserve"> may take up to a week to be concluded. Therefore, </w:t>
      </w:r>
      <w:r w:rsidR="0057294D">
        <w:rPr>
          <w:rFonts w:ascii="Times New Roman" w:eastAsia="Times New Roman" w:hAnsi="Times New Roman" w:cs="Times New Roman"/>
          <w:noProof/>
          <w:sz w:val="24"/>
          <w:szCs w:val="24"/>
          <w:lang w:val="en-IE"/>
        </w:rPr>
        <w:t xml:space="preserve">Article 25 of the </w:t>
      </w:r>
      <w:r w:rsidR="009F0DA3">
        <w:rPr>
          <w:rFonts w:ascii="Times New Roman" w:eastAsia="Times New Roman" w:hAnsi="Times New Roman" w:cs="Times New Roman"/>
          <w:noProof/>
          <w:sz w:val="24"/>
          <w:szCs w:val="24"/>
          <w:lang w:val="en-IE"/>
        </w:rPr>
        <w:t xml:space="preserve">Solidarity </w:t>
      </w:r>
      <w:r w:rsidRPr="00780A89">
        <w:rPr>
          <w:rFonts w:ascii="Times New Roman" w:eastAsia="Times New Roman" w:hAnsi="Times New Roman" w:cs="Times New Roman"/>
          <w:noProof/>
          <w:sz w:val="24"/>
          <w:szCs w:val="24"/>
          <w:lang w:val="en-IE"/>
        </w:rPr>
        <w:t>Regulation</w:t>
      </w:r>
      <w:r w:rsidR="0057294D">
        <w:rPr>
          <w:rFonts w:ascii="Times New Roman" w:eastAsia="Times New Roman" w:hAnsi="Times New Roman" w:cs="Times New Roman"/>
          <w:noProof/>
          <w:sz w:val="24"/>
          <w:szCs w:val="24"/>
          <w:lang w:val="en-IE"/>
        </w:rPr>
        <w:t xml:space="preserve"> i</w:t>
      </w:r>
      <w:r w:rsidRPr="00780A89">
        <w:rPr>
          <w:rFonts w:ascii="Times New Roman" w:eastAsia="Times New Roman" w:hAnsi="Times New Roman" w:cs="Times New Roman"/>
          <w:noProof/>
          <w:sz w:val="24"/>
          <w:szCs w:val="24"/>
          <w:lang w:val="en-IE"/>
        </w:rPr>
        <w:t xml:space="preserve">ntroduced additional </w:t>
      </w:r>
      <w:r w:rsidRPr="00780A89">
        <w:rPr>
          <w:rFonts w:ascii="Times New Roman" w:eastAsia="Times New Roman" w:hAnsi="Times New Roman" w:cs="Times New Roman"/>
          <w:b/>
          <w:bCs/>
          <w:noProof/>
          <w:sz w:val="24"/>
          <w:szCs w:val="24"/>
          <w:lang w:val="en-IE"/>
        </w:rPr>
        <w:t>safeguards to ensure cross-border flows</w:t>
      </w:r>
      <w:r w:rsidRPr="00780A89">
        <w:rPr>
          <w:rFonts w:ascii="Times New Roman" w:eastAsia="Times New Roman" w:hAnsi="Times New Roman" w:cs="Times New Roman"/>
          <w:noProof/>
          <w:sz w:val="24"/>
          <w:szCs w:val="24"/>
          <w:lang w:val="en-IE"/>
        </w:rPr>
        <w:t xml:space="preserve">, allowing the Commission to oblige the Member State in question to modify its actions with immediate effect. </w:t>
      </w:r>
      <w:r w:rsidR="00493098">
        <w:rPr>
          <w:rFonts w:ascii="Times New Roman" w:eastAsia="Times New Roman" w:hAnsi="Times New Roman" w:cs="Times New Roman"/>
          <w:noProof/>
          <w:sz w:val="24"/>
          <w:szCs w:val="24"/>
          <w:lang w:val="en-IE"/>
        </w:rPr>
        <w:t>M</w:t>
      </w:r>
      <w:r w:rsidRPr="00780A89">
        <w:rPr>
          <w:rFonts w:ascii="Times New Roman" w:eastAsia="Times New Roman" w:hAnsi="Times New Roman" w:cs="Times New Roman"/>
          <w:noProof/>
          <w:sz w:val="24"/>
          <w:szCs w:val="24"/>
          <w:lang w:val="en-IE"/>
        </w:rPr>
        <w:t xml:space="preserve">ost respondents </w:t>
      </w:r>
      <w:r w:rsidR="00493098">
        <w:rPr>
          <w:rFonts w:ascii="Times New Roman" w:eastAsia="Times New Roman" w:hAnsi="Times New Roman" w:cs="Times New Roman"/>
          <w:noProof/>
          <w:sz w:val="24"/>
          <w:szCs w:val="24"/>
          <w:lang w:val="en-IE"/>
        </w:rPr>
        <w:t xml:space="preserve">to the GCG questionnaire </w:t>
      </w:r>
      <w:r w:rsidRPr="00780A89">
        <w:rPr>
          <w:rFonts w:ascii="Times New Roman" w:eastAsia="Times New Roman" w:hAnsi="Times New Roman" w:cs="Times New Roman"/>
          <w:noProof/>
          <w:sz w:val="24"/>
          <w:szCs w:val="24"/>
          <w:lang w:val="en-IE"/>
        </w:rPr>
        <w:t xml:space="preserve">consider safeguards for cross-border flows useful beyond the expiration of the temporary Regulation (EU) 2022/2576, due to either appreciation </w:t>
      </w:r>
      <w:r w:rsidR="009F5627" w:rsidRPr="00780A89">
        <w:rPr>
          <w:rFonts w:ascii="Times New Roman" w:eastAsia="Times New Roman" w:hAnsi="Times New Roman" w:cs="Times New Roman"/>
          <w:noProof/>
          <w:sz w:val="24"/>
          <w:szCs w:val="24"/>
          <w:lang w:val="en-IE"/>
        </w:rPr>
        <w:t xml:space="preserve">of </w:t>
      </w:r>
      <w:r w:rsidRPr="00780A89">
        <w:rPr>
          <w:rFonts w:ascii="Times New Roman" w:eastAsia="Times New Roman" w:hAnsi="Times New Roman" w:cs="Times New Roman"/>
          <w:noProof/>
          <w:sz w:val="24"/>
          <w:szCs w:val="24"/>
          <w:lang w:val="en-IE"/>
        </w:rPr>
        <w:t>the new provisions of Article 25 or by considering those of Article 12(5) should already be respected at all times.</w:t>
      </w:r>
    </w:p>
    <w:p w14:paraId="5C5B9F03" w14:textId="3A0DC5BA" w:rsidR="00824CF2" w:rsidRPr="00780A89" w:rsidRDefault="00793CE4" w:rsidP="739545FD">
      <w:pPr>
        <w:pStyle w:val="Heading2"/>
        <w:spacing w:after="240"/>
        <w:rPr>
          <w:rFonts w:ascii="Times New Roman" w:eastAsia="Times New Roman" w:hAnsi="Times New Roman" w:cs="Times New Roman"/>
          <w:b/>
          <w:bCs/>
          <w:i/>
          <w:iCs/>
          <w:noProof/>
          <w:color w:val="auto"/>
          <w:sz w:val="24"/>
          <w:szCs w:val="24"/>
          <w:lang w:val="en-IE"/>
        </w:rPr>
      </w:pPr>
      <w:r>
        <w:rPr>
          <w:rFonts w:ascii="Times New Roman" w:hAnsi="Times New Roman" w:cs="Times New Roman"/>
          <w:b/>
          <w:bCs/>
          <w:i/>
          <w:iCs/>
          <w:noProof/>
          <w:color w:val="auto"/>
          <w:sz w:val="24"/>
          <w:szCs w:val="24"/>
          <w:lang w:val="en-IE"/>
        </w:rPr>
        <w:t>3</w:t>
      </w:r>
      <w:r w:rsidR="00824CF2" w:rsidRPr="00780A89">
        <w:rPr>
          <w:rFonts w:ascii="Times New Roman" w:hAnsi="Times New Roman" w:cs="Times New Roman"/>
          <w:b/>
          <w:bCs/>
          <w:i/>
          <w:iCs/>
          <w:noProof/>
          <w:color w:val="auto"/>
          <w:sz w:val="24"/>
          <w:szCs w:val="24"/>
          <w:lang w:val="en-IE"/>
        </w:rPr>
        <w:t>.7. Solidarity</w:t>
      </w:r>
    </w:p>
    <w:p w14:paraId="397C442B" w14:textId="7D03CF1D" w:rsidR="00417F8A" w:rsidRPr="00780A89" w:rsidRDefault="00066619" w:rsidP="00AC0C6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Article 13 of the Gas Security of Supply Regulation lays down the requirements of the solidarity mechanism, which is a last resort mechanism in a severe gas emergency where the demand of ‘solidarity protected customers’ is endangered</w:t>
      </w:r>
      <w:r w:rsidR="00565E1E" w:rsidRPr="00780A89">
        <w:rPr>
          <w:rFonts w:ascii="Times New Roman" w:eastAsia="Times New Roman" w:hAnsi="Times New Roman" w:cs="Times New Roman"/>
          <w:noProof/>
          <w:sz w:val="24"/>
          <w:szCs w:val="24"/>
          <w:lang w:val="en-IE"/>
        </w:rPr>
        <w:t xml:space="preserve"> and where the market can no longer supply the necessary volumes.</w:t>
      </w:r>
    </w:p>
    <w:p w14:paraId="1258C795" w14:textId="734BAD1F" w:rsidR="005365E2" w:rsidRPr="00780A89" w:rsidRDefault="005365E2" w:rsidP="00AC0C6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As required by Article 13(10), Member States must bilaterally agree on solidarity agreements by 1 December 2018, which include the technical, legal and financial arrangements to ensure the functioning of solidarity in practice. These solidarity agreements operationalise solidarity in practice, but their absence does not change the legal obligation.</w:t>
      </w:r>
      <w:r w:rsidR="00FD2AD4" w:rsidRPr="00780A89">
        <w:rPr>
          <w:noProof/>
          <w:lang w:val="en-IE"/>
        </w:rPr>
        <w:t xml:space="preserve"> </w:t>
      </w:r>
      <w:r w:rsidR="00FD2AD4" w:rsidRPr="00780A89">
        <w:rPr>
          <w:rFonts w:ascii="Times New Roman" w:eastAsia="Times New Roman" w:hAnsi="Times New Roman" w:cs="Times New Roman"/>
          <w:noProof/>
          <w:sz w:val="24"/>
          <w:szCs w:val="24"/>
          <w:lang w:val="en-IE"/>
        </w:rPr>
        <w:t xml:space="preserve">To facilitate </w:t>
      </w:r>
      <w:r w:rsidR="0017341C" w:rsidRPr="00780A89">
        <w:rPr>
          <w:rFonts w:ascii="Times New Roman" w:eastAsia="Times New Roman" w:hAnsi="Times New Roman" w:cs="Times New Roman"/>
          <w:noProof/>
          <w:sz w:val="24"/>
          <w:szCs w:val="24"/>
          <w:lang w:val="en-IE"/>
        </w:rPr>
        <w:t xml:space="preserve">the </w:t>
      </w:r>
      <w:r w:rsidR="00FD2AD4" w:rsidRPr="00780A89">
        <w:rPr>
          <w:rFonts w:ascii="Times New Roman" w:eastAsia="Times New Roman" w:hAnsi="Times New Roman" w:cs="Times New Roman"/>
          <w:noProof/>
          <w:sz w:val="24"/>
          <w:szCs w:val="24"/>
          <w:lang w:val="en-IE"/>
        </w:rPr>
        <w:t>bilateral solidarity agreements, the Commission issued Recommendation (EU) 2018/177 in which it outlined a recommendation on the technical, legal and financial elements to be included in the bilateral solidarity agreements.</w:t>
      </w:r>
    </w:p>
    <w:p w14:paraId="02654D05" w14:textId="3C2CCC14" w:rsidR="00B80359" w:rsidRDefault="0057294D" w:rsidP="00AC0C65">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At the time of writing</w:t>
      </w:r>
      <w:r w:rsidR="008C568D" w:rsidRPr="00780A89">
        <w:rPr>
          <w:rFonts w:ascii="Times New Roman" w:eastAsia="Times New Roman" w:hAnsi="Times New Roman" w:cs="Times New Roman"/>
          <w:noProof/>
          <w:sz w:val="24"/>
          <w:szCs w:val="24"/>
          <w:lang w:val="en-IE"/>
        </w:rPr>
        <w:t>,</w:t>
      </w:r>
      <w:r w:rsidR="003376E5" w:rsidRPr="00780A89">
        <w:rPr>
          <w:rFonts w:ascii="Times New Roman" w:eastAsia="Times New Roman" w:hAnsi="Times New Roman" w:cs="Times New Roman"/>
          <w:noProof/>
          <w:sz w:val="24"/>
          <w:szCs w:val="24"/>
          <w:lang w:val="en-IE"/>
        </w:rPr>
        <w:t xml:space="preserve"> only</w:t>
      </w:r>
      <w:r w:rsidR="008C568D" w:rsidRPr="00780A89">
        <w:rPr>
          <w:rFonts w:ascii="Times New Roman" w:eastAsia="Times New Roman" w:hAnsi="Times New Roman" w:cs="Times New Roman"/>
          <w:noProof/>
          <w:sz w:val="24"/>
          <w:szCs w:val="24"/>
          <w:lang w:val="en-IE"/>
        </w:rPr>
        <w:t xml:space="preserve"> </w:t>
      </w:r>
      <w:r w:rsidR="007000DD">
        <w:rPr>
          <w:rFonts w:ascii="Times New Roman" w:eastAsia="Times New Roman" w:hAnsi="Times New Roman" w:cs="Times New Roman"/>
          <w:noProof/>
          <w:sz w:val="24"/>
          <w:szCs w:val="24"/>
          <w:lang w:val="en-IE"/>
        </w:rPr>
        <w:t>8</w:t>
      </w:r>
      <w:r w:rsidR="007000DD" w:rsidRPr="00780A89">
        <w:rPr>
          <w:rFonts w:ascii="Times New Roman" w:eastAsia="Times New Roman" w:hAnsi="Times New Roman" w:cs="Times New Roman"/>
          <w:noProof/>
          <w:sz w:val="24"/>
          <w:szCs w:val="24"/>
          <w:lang w:val="en-IE"/>
        </w:rPr>
        <w:t xml:space="preserve"> </w:t>
      </w:r>
      <w:r w:rsidR="008C568D" w:rsidRPr="00780A89">
        <w:rPr>
          <w:rFonts w:ascii="Times New Roman" w:eastAsia="Times New Roman" w:hAnsi="Times New Roman" w:cs="Times New Roman"/>
          <w:noProof/>
          <w:sz w:val="24"/>
          <w:szCs w:val="24"/>
          <w:lang w:val="en-IE"/>
        </w:rPr>
        <w:t>out of 40 solidarity agreements have been signed, namely between Austria and Germany, Denmark and Germany, Estonia and Latvia, Latvia and Lithuania, Italy and Slovenia, Estonia and Finland, Denmark and Sweden</w:t>
      </w:r>
      <w:r w:rsidR="00A035F1">
        <w:rPr>
          <w:rFonts w:ascii="Times New Roman" w:eastAsia="Times New Roman" w:hAnsi="Times New Roman" w:cs="Times New Roman"/>
          <w:noProof/>
          <w:sz w:val="24"/>
          <w:szCs w:val="24"/>
          <w:lang w:val="en-IE"/>
        </w:rPr>
        <w:t>, and Slovenia and Croatia</w:t>
      </w:r>
      <w:r w:rsidR="008C568D" w:rsidRPr="00780A89">
        <w:rPr>
          <w:rFonts w:ascii="Times New Roman" w:eastAsia="Times New Roman" w:hAnsi="Times New Roman" w:cs="Times New Roman"/>
          <w:noProof/>
          <w:sz w:val="24"/>
          <w:szCs w:val="24"/>
          <w:lang w:val="en-IE"/>
        </w:rPr>
        <w:t>.</w:t>
      </w:r>
      <w:r w:rsidR="00E45834" w:rsidRPr="00780A89">
        <w:rPr>
          <w:rFonts w:ascii="Times New Roman" w:eastAsia="Times New Roman" w:hAnsi="Times New Roman" w:cs="Times New Roman"/>
          <w:noProof/>
          <w:sz w:val="24"/>
          <w:szCs w:val="24"/>
          <w:lang w:val="en-IE"/>
        </w:rPr>
        <w:t xml:space="preserve"> </w:t>
      </w:r>
    </w:p>
    <w:p w14:paraId="4C0BE994" w14:textId="308169CF" w:rsidR="009F45BF" w:rsidRDefault="009F45BF" w:rsidP="009F45BF">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As indicated by several Member States, the reasons for the lack of progress are the technical complexity, the lack of expertise allocated by national administrations and political difficulties in reaching an agreement, in particular regarding financial compensation.</w:t>
      </w:r>
    </w:p>
    <w:p w14:paraId="4BBDDAB7" w14:textId="6FC4F32D" w:rsidR="00E45834" w:rsidRPr="00780A89" w:rsidRDefault="009F45BF" w:rsidP="739545FD">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 xml:space="preserve">Given the </w:t>
      </w:r>
      <w:r w:rsidRPr="00780A89">
        <w:rPr>
          <w:rFonts w:ascii="Times New Roman" w:eastAsia="Times New Roman" w:hAnsi="Times New Roman" w:cs="Times New Roman"/>
          <w:noProof/>
          <w:sz w:val="24"/>
          <w:szCs w:val="24"/>
          <w:lang w:val="en-IE"/>
        </w:rPr>
        <w:t>insufficient</w:t>
      </w:r>
      <w:r>
        <w:rPr>
          <w:rFonts w:ascii="Times New Roman" w:eastAsia="Times New Roman" w:hAnsi="Times New Roman" w:cs="Times New Roman"/>
          <w:noProof/>
          <w:sz w:val="24"/>
          <w:szCs w:val="24"/>
          <w:lang w:val="en-IE"/>
        </w:rPr>
        <w:t xml:space="preserve"> progress, i</w:t>
      </w:r>
      <w:r w:rsidR="00E45834" w:rsidRPr="0AFCBEB5">
        <w:rPr>
          <w:rFonts w:ascii="Times New Roman" w:eastAsia="Times New Roman" w:hAnsi="Times New Roman" w:cs="Times New Roman"/>
          <w:noProof/>
          <w:sz w:val="24"/>
          <w:szCs w:val="24"/>
          <w:lang w:val="en-IE"/>
        </w:rPr>
        <w:t xml:space="preserve">n May 2020, the Commission sent a Letter of Formal Notice to 25 Member States for the failure to comply with the solidarity provisions. </w:t>
      </w:r>
      <w:r w:rsidR="007616DA" w:rsidRPr="0AFCBEB5">
        <w:rPr>
          <w:rFonts w:ascii="Times New Roman" w:eastAsia="Times New Roman" w:hAnsi="Times New Roman" w:cs="Times New Roman"/>
          <w:noProof/>
          <w:sz w:val="24"/>
          <w:szCs w:val="24"/>
          <w:lang w:val="en-IE"/>
        </w:rPr>
        <w:t>T</w:t>
      </w:r>
      <w:r w:rsidR="00E45834" w:rsidRPr="0AFCBEB5">
        <w:rPr>
          <w:rFonts w:ascii="Times New Roman" w:eastAsia="Times New Roman" w:hAnsi="Times New Roman" w:cs="Times New Roman"/>
          <w:noProof/>
          <w:sz w:val="24"/>
          <w:szCs w:val="24"/>
          <w:lang w:val="en-IE"/>
        </w:rPr>
        <w:t xml:space="preserve">he Commission is carrying out infringement </w:t>
      </w:r>
      <w:r w:rsidR="00D22549">
        <w:rPr>
          <w:rFonts w:ascii="Times New Roman" w:eastAsia="Times New Roman" w:hAnsi="Times New Roman" w:cs="Times New Roman"/>
          <w:noProof/>
          <w:sz w:val="24"/>
          <w:szCs w:val="24"/>
          <w:lang w:val="en-IE"/>
        </w:rPr>
        <w:t xml:space="preserve">package </w:t>
      </w:r>
      <w:r w:rsidR="00E45834" w:rsidRPr="0AFCBEB5">
        <w:rPr>
          <w:rFonts w:ascii="Times New Roman" w:eastAsia="Times New Roman" w:hAnsi="Times New Roman" w:cs="Times New Roman"/>
          <w:noProof/>
          <w:sz w:val="24"/>
          <w:szCs w:val="24"/>
          <w:lang w:val="en-IE"/>
        </w:rPr>
        <w:t>meetings with Member States, where the solidarity infringements are discussed</w:t>
      </w:r>
      <w:r>
        <w:rPr>
          <w:rFonts w:ascii="Times New Roman" w:eastAsia="Times New Roman" w:hAnsi="Times New Roman" w:cs="Times New Roman"/>
          <w:noProof/>
          <w:sz w:val="24"/>
          <w:szCs w:val="24"/>
          <w:lang w:val="en-IE"/>
        </w:rPr>
        <w:t xml:space="preserve">. In addition, the Commission has offered </w:t>
      </w:r>
      <w:r w:rsidR="13946EDF" w:rsidRPr="0AFCBEB5">
        <w:rPr>
          <w:rFonts w:ascii="Times New Roman" w:eastAsia="Calibri" w:hAnsi="Times New Roman" w:cs="Times New Roman"/>
          <w:noProof/>
          <w:sz w:val="24"/>
          <w:szCs w:val="24"/>
          <w:lang w:val="en-IE"/>
        </w:rPr>
        <w:t xml:space="preserve">support to </w:t>
      </w:r>
      <w:r>
        <w:rPr>
          <w:rFonts w:ascii="Times New Roman" w:eastAsia="Calibri" w:hAnsi="Times New Roman" w:cs="Times New Roman"/>
          <w:noProof/>
          <w:sz w:val="24"/>
          <w:szCs w:val="24"/>
          <w:lang w:val="en-IE"/>
        </w:rPr>
        <w:t xml:space="preserve">facilitate discussions </w:t>
      </w:r>
      <w:r w:rsidR="13946EDF" w:rsidRPr="0AFCBEB5">
        <w:rPr>
          <w:rFonts w:ascii="Times New Roman" w:eastAsia="Calibri" w:hAnsi="Times New Roman" w:cs="Times New Roman"/>
          <w:noProof/>
          <w:sz w:val="24"/>
          <w:szCs w:val="24"/>
          <w:lang w:val="en-IE"/>
        </w:rPr>
        <w:t>between interested Member States to overc</w:t>
      </w:r>
      <w:r w:rsidR="009054EE" w:rsidRPr="0AFCBEB5">
        <w:rPr>
          <w:rFonts w:ascii="Times New Roman" w:eastAsia="Calibri" w:hAnsi="Times New Roman" w:cs="Times New Roman"/>
          <w:noProof/>
          <w:sz w:val="24"/>
          <w:szCs w:val="24"/>
          <w:lang w:val="en-IE"/>
        </w:rPr>
        <w:t>o</w:t>
      </w:r>
      <w:r w:rsidR="13946EDF" w:rsidRPr="0AFCBEB5">
        <w:rPr>
          <w:rFonts w:ascii="Times New Roman" w:eastAsia="Calibri" w:hAnsi="Times New Roman" w:cs="Times New Roman"/>
          <w:noProof/>
          <w:sz w:val="24"/>
          <w:szCs w:val="24"/>
          <w:lang w:val="en-IE"/>
        </w:rPr>
        <w:t xml:space="preserve">me </w:t>
      </w:r>
      <w:r>
        <w:rPr>
          <w:rFonts w:ascii="Times New Roman" w:eastAsia="Calibri" w:hAnsi="Times New Roman" w:cs="Times New Roman"/>
          <w:noProof/>
          <w:sz w:val="24"/>
          <w:szCs w:val="24"/>
          <w:lang w:val="en-IE"/>
        </w:rPr>
        <w:t xml:space="preserve">existing </w:t>
      </w:r>
      <w:r w:rsidR="13946EDF" w:rsidRPr="0AFCBEB5">
        <w:rPr>
          <w:rFonts w:ascii="Times New Roman" w:eastAsia="Calibri" w:hAnsi="Times New Roman" w:cs="Times New Roman"/>
          <w:noProof/>
          <w:sz w:val="24"/>
          <w:szCs w:val="24"/>
          <w:lang w:val="en-IE"/>
        </w:rPr>
        <w:t>difficulties</w:t>
      </w:r>
      <w:r w:rsidR="00E45834" w:rsidRPr="0AFCBEB5">
        <w:rPr>
          <w:rFonts w:ascii="Times New Roman" w:eastAsia="Times New Roman" w:hAnsi="Times New Roman" w:cs="Times New Roman"/>
          <w:noProof/>
          <w:sz w:val="24"/>
          <w:szCs w:val="24"/>
          <w:lang w:val="en-IE"/>
        </w:rPr>
        <w:t>.</w:t>
      </w:r>
    </w:p>
    <w:p w14:paraId="170077B1" w14:textId="355577E2" w:rsidR="00576494" w:rsidRPr="00780A89" w:rsidRDefault="00576494" w:rsidP="00AC0C65">
      <w:pPr>
        <w:jc w:val="both"/>
        <w:rPr>
          <w:rFonts w:ascii="Times New Roman" w:eastAsia="Times New Roman" w:hAnsi="Times New Roman" w:cs="Times New Roman"/>
          <w:i/>
          <w:iCs/>
          <w:noProof/>
          <w:sz w:val="24"/>
          <w:szCs w:val="24"/>
          <w:u w:val="single"/>
          <w:lang w:val="en-IE"/>
        </w:rPr>
      </w:pPr>
      <w:r w:rsidRPr="00780A89">
        <w:rPr>
          <w:rFonts w:ascii="Times New Roman" w:eastAsia="Times New Roman" w:hAnsi="Times New Roman" w:cs="Times New Roman"/>
          <w:i/>
          <w:iCs/>
          <w:noProof/>
          <w:sz w:val="24"/>
          <w:szCs w:val="24"/>
          <w:u w:val="single"/>
          <w:lang w:val="en-IE"/>
        </w:rPr>
        <w:t>Legislative developments</w:t>
      </w:r>
    </w:p>
    <w:p w14:paraId="1ECBBAD1" w14:textId="4BDAE994" w:rsidR="00C438F1" w:rsidRPr="00780A89" w:rsidRDefault="00FC039F" w:rsidP="00AC0C6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To ensure that the solidarity arrangements are effective and operational and to cover for the lack of bilateral agreements, the Commission proposed in December 2021 to amend the </w:t>
      </w:r>
      <w:r w:rsidR="00D27E9B" w:rsidRPr="00780A89">
        <w:rPr>
          <w:rFonts w:ascii="Times New Roman" w:hAnsi="Times New Roman" w:cs="Times New Roman"/>
          <w:noProof/>
          <w:sz w:val="24"/>
          <w:szCs w:val="24"/>
          <w:lang w:val="en-IE"/>
        </w:rPr>
        <w:t>Gas Security of Supply Regulation</w:t>
      </w:r>
      <w:r w:rsidR="00D27E9B" w:rsidRPr="00780A89">
        <w:rPr>
          <w:rFonts w:ascii="Times New Roman" w:eastAsia="Times New Roman" w:hAnsi="Times New Roman" w:cs="Times New Roman"/>
          <w:noProof/>
          <w:sz w:val="24"/>
          <w:szCs w:val="24"/>
          <w:lang w:val="en-IE"/>
        </w:rPr>
        <w:t xml:space="preserve"> </w:t>
      </w:r>
      <w:r w:rsidRPr="00780A89">
        <w:rPr>
          <w:rFonts w:ascii="Times New Roman" w:eastAsia="Times New Roman" w:hAnsi="Times New Roman" w:cs="Times New Roman"/>
          <w:noProof/>
          <w:sz w:val="24"/>
          <w:szCs w:val="24"/>
          <w:lang w:val="en-IE"/>
        </w:rPr>
        <w:t xml:space="preserve">via the </w:t>
      </w:r>
      <w:r w:rsidR="00D27E9B" w:rsidRPr="00FD2CCF">
        <w:rPr>
          <w:rFonts w:ascii="Times New Roman" w:eastAsia="Times New Roman" w:hAnsi="Times New Roman" w:cs="Times New Roman"/>
          <w:b/>
          <w:bCs/>
          <w:noProof/>
          <w:color w:val="000000" w:themeColor="text1"/>
          <w:sz w:val="24"/>
          <w:szCs w:val="24"/>
          <w:lang w:val="en-IE"/>
        </w:rPr>
        <w:t>Hydrogen and decarbonised gas market package</w:t>
      </w:r>
      <w:r w:rsidR="00D27E9B" w:rsidRPr="00780A89">
        <w:rPr>
          <w:rFonts w:ascii="Times New Roman" w:eastAsia="Times New Roman" w:hAnsi="Times New Roman" w:cs="Times New Roman"/>
          <w:noProof/>
          <w:sz w:val="24"/>
          <w:szCs w:val="24"/>
          <w:lang w:val="en-IE"/>
        </w:rPr>
        <w:t xml:space="preserve"> </w:t>
      </w:r>
      <w:r w:rsidRPr="00780A89">
        <w:rPr>
          <w:rFonts w:ascii="Times New Roman" w:eastAsia="Times New Roman" w:hAnsi="Times New Roman" w:cs="Times New Roman"/>
          <w:noProof/>
          <w:sz w:val="24"/>
          <w:szCs w:val="24"/>
          <w:lang w:val="en-IE"/>
        </w:rPr>
        <w:t xml:space="preserve">to introduce common solidarity rules applicable in absence of bilateral agreements. </w:t>
      </w:r>
    </w:p>
    <w:p w14:paraId="13372180" w14:textId="0D0F8BD3" w:rsidR="00133B15" w:rsidRPr="00780A89" w:rsidRDefault="00D00B2E" w:rsidP="00AC0C6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Since the interinstitutional negotiation on t</w:t>
      </w:r>
      <w:r w:rsidR="00D27E9B">
        <w:rPr>
          <w:rFonts w:ascii="Times New Roman" w:eastAsia="Times New Roman" w:hAnsi="Times New Roman" w:cs="Times New Roman"/>
          <w:noProof/>
          <w:sz w:val="24"/>
          <w:szCs w:val="24"/>
          <w:lang w:val="en-IE"/>
        </w:rPr>
        <w:t>his package</w:t>
      </w:r>
      <w:r w:rsidRPr="00780A89">
        <w:rPr>
          <w:rFonts w:ascii="Times New Roman" w:eastAsia="Times New Roman" w:hAnsi="Times New Roman" w:cs="Times New Roman"/>
          <w:noProof/>
          <w:sz w:val="24"/>
          <w:szCs w:val="24"/>
          <w:lang w:val="en-IE"/>
        </w:rPr>
        <w:t xml:space="preserve"> w</w:t>
      </w:r>
      <w:r w:rsidR="00727C53">
        <w:rPr>
          <w:rFonts w:ascii="Times New Roman" w:eastAsia="Times New Roman" w:hAnsi="Times New Roman" w:cs="Times New Roman"/>
          <w:noProof/>
          <w:sz w:val="24"/>
          <w:szCs w:val="24"/>
          <w:lang w:val="en-IE"/>
        </w:rPr>
        <w:t>as</w:t>
      </w:r>
      <w:r w:rsidRPr="00780A89">
        <w:rPr>
          <w:rFonts w:ascii="Times New Roman" w:eastAsia="Times New Roman" w:hAnsi="Times New Roman" w:cs="Times New Roman"/>
          <w:noProof/>
          <w:sz w:val="24"/>
          <w:szCs w:val="24"/>
          <w:lang w:val="en-IE"/>
        </w:rPr>
        <w:t xml:space="preserve"> not </w:t>
      </w:r>
      <w:r w:rsidR="00AE1EA3" w:rsidRPr="00780A89">
        <w:rPr>
          <w:rFonts w:ascii="Times New Roman" w:eastAsia="Times New Roman" w:hAnsi="Times New Roman" w:cs="Times New Roman"/>
          <w:noProof/>
          <w:sz w:val="24"/>
          <w:szCs w:val="24"/>
          <w:lang w:val="en-IE"/>
        </w:rPr>
        <w:t>near its conclusion</w:t>
      </w:r>
      <w:r w:rsidRPr="00780A89">
        <w:rPr>
          <w:rFonts w:ascii="Times New Roman" w:eastAsia="Times New Roman" w:hAnsi="Times New Roman" w:cs="Times New Roman"/>
          <w:noProof/>
          <w:sz w:val="24"/>
          <w:szCs w:val="24"/>
          <w:lang w:val="en-IE"/>
        </w:rPr>
        <w:t xml:space="preserve"> during the 2022 crisis, on 19 December 2022, EU Ministers adopted </w:t>
      </w:r>
      <w:r w:rsidR="00A85744" w:rsidRPr="00780A89">
        <w:rPr>
          <w:rFonts w:ascii="Times New Roman" w:eastAsia="Times New Roman" w:hAnsi="Times New Roman" w:cs="Times New Roman"/>
          <w:noProof/>
          <w:sz w:val="24"/>
          <w:szCs w:val="24"/>
          <w:lang w:val="en-IE"/>
        </w:rPr>
        <w:t xml:space="preserve">the </w:t>
      </w:r>
      <w:r w:rsidR="00C438F1" w:rsidRPr="00780A89">
        <w:rPr>
          <w:rFonts w:ascii="Times New Roman" w:eastAsia="Times New Roman" w:hAnsi="Times New Roman" w:cs="Times New Roman"/>
          <w:noProof/>
          <w:sz w:val="24"/>
          <w:szCs w:val="24"/>
          <w:lang w:val="en-IE"/>
        </w:rPr>
        <w:t xml:space="preserve">emergency </w:t>
      </w:r>
      <w:r w:rsidR="00A85744" w:rsidRPr="00780A89">
        <w:rPr>
          <w:rFonts w:ascii="Times New Roman" w:eastAsia="Times New Roman" w:hAnsi="Times New Roman" w:cs="Times New Roman"/>
          <w:b/>
          <w:noProof/>
          <w:sz w:val="24"/>
          <w:szCs w:val="24"/>
          <w:lang w:val="en-IE"/>
        </w:rPr>
        <w:t>Solidarity Regulation</w:t>
      </w:r>
      <w:r w:rsidR="00A85744" w:rsidRPr="00780A89">
        <w:rPr>
          <w:rFonts w:ascii="Times New Roman" w:eastAsia="Times New Roman" w:hAnsi="Times New Roman" w:cs="Times New Roman"/>
          <w:noProof/>
          <w:sz w:val="24"/>
          <w:szCs w:val="24"/>
          <w:lang w:val="en-IE"/>
        </w:rPr>
        <w:t xml:space="preserve"> setting default solidarity rules applicable in absence of bilateral agreements with a limitation of the maximum compensation to be paid for solidarity</w:t>
      </w:r>
      <w:r w:rsidRPr="00780A89">
        <w:rPr>
          <w:rFonts w:ascii="Times New Roman" w:eastAsia="Times New Roman" w:hAnsi="Times New Roman" w:cs="Times New Roman"/>
          <w:noProof/>
          <w:sz w:val="24"/>
          <w:szCs w:val="24"/>
          <w:lang w:val="en-IE"/>
        </w:rPr>
        <w:t>.</w:t>
      </w:r>
      <w:r w:rsidR="00DB2AD9" w:rsidRPr="00780A89">
        <w:rPr>
          <w:rFonts w:ascii="Times New Roman" w:eastAsia="Times New Roman" w:hAnsi="Times New Roman" w:cs="Times New Roman"/>
          <w:noProof/>
          <w:sz w:val="24"/>
          <w:szCs w:val="24"/>
          <w:lang w:val="en-IE"/>
        </w:rPr>
        <w:t xml:space="preserve"> </w:t>
      </w:r>
      <w:r w:rsidR="00511E13" w:rsidRPr="00780A89">
        <w:rPr>
          <w:rFonts w:ascii="Times New Roman" w:eastAsia="Times New Roman" w:hAnsi="Times New Roman" w:cs="Times New Roman"/>
          <w:noProof/>
          <w:sz w:val="24"/>
          <w:szCs w:val="24"/>
          <w:lang w:val="en-IE"/>
        </w:rPr>
        <w:t>The Solidarity Regulation also temporarily extended the solidarity protection to critical gas volumes for electricity security of supply and temporarily extended the solidarity obligation to Member States with LNG facilities.</w:t>
      </w:r>
    </w:p>
    <w:p w14:paraId="2B37C6A2" w14:textId="64DEB2E2" w:rsidR="00D27E9B" w:rsidRDefault="00DB2AD9" w:rsidP="00AC0C65">
      <w:pPr>
        <w:jc w:val="both"/>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noProof/>
          <w:sz w:val="24"/>
          <w:szCs w:val="24"/>
          <w:lang w:val="en-IE"/>
        </w:rPr>
        <w:t>The Solidarity Regulation was adopted under Article 122 of the Treaty on the Functioning of the European Union (TFEU)</w:t>
      </w:r>
      <w:r w:rsidR="00686A96" w:rsidRPr="0AFCBEB5">
        <w:rPr>
          <w:rFonts w:ascii="Times New Roman" w:eastAsia="Times New Roman" w:hAnsi="Times New Roman" w:cs="Times New Roman"/>
          <w:noProof/>
          <w:sz w:val="24"/>
          <w:szCs w:val="24"/>
          <w:lang w:val="en-IE"/>
        </w:rPr>
        <w:t>,</w:t>
      </w:r>
      <w:r w:rsidRPr="0AFCBEB5">
        <w:rPr>
          <w:rFonts w:ascii="Times New Roman" w:eastAsia="Times New Roman" w:hAnsi="Times New Roman" w:cs="Times New Roman"/>
          <w:noProof/>
          <w:sz w:val="24"/>
          <w:szCs w:val="24"/>
          <w:lang w:val="en-IE"/>
        </w:rPr>
        <w:t xml:space="preserve"> </w:t>
      </w:r>
      <w:r w:rsidR="00686A96" w:rsidRPr="0AFCBEB5">
        <w:rPr>
          <w:rFonts w:ascii="Times New Roman" w:eastAsia="Times New Roman" w:hAnsi="Times New Roman" w:cs="Times New Roman"/>
          <w:noProof/>
          <w:sz w:val="24"/>
          <w:szCs w:val="24"/>
          <w:lang w:val="en-IE"/>
        </w:rPr>
        <w:t>making it</w:t>
      </w:r>
      <w:r w:rsidRPr="0AFCBEB5">
        <w:rPr>
          <w:rFonts w:ascii="Times New Roman" w:eastAsia="Times New Roman" w:hAnsi="Times New Roman" w:cs="Times New Roman"/>
          <w:noProof/>
          <w:sz w:val="24"/>
          <w:szCs w:val="24"/>
          <w:lang w:val="en-IE"/>
        </w:rPr>
        <w:t xml:space="preserve"> a temporary emergency measure that expire</w:t>
      </w:r>
      <w:r w:rsidR="00686A96" w:rsidRPr="0AFCBEB5">
        <w:rPr>
          <w:rFonts w:ascii="Times New Roman" w:eastAsia="Times New Roman" w:hAnsi="Times New Roman" w:cs="Times New Roman"/>
          <w:noProof/>
          <w:sz w:val="24"/>
          <w:szCs w:val="24"/>
          <w:lang w:val="en-IE"/>
        </w:rPr>
        <w:t>s</w:t>
      </w:r>
      <w:r w:rsidRPr="0AFCBEB5">
        <w:rPr>
          <w:rFonts w:ascii="Times New Roman" w:eastAsia="Times New Roman" w:hAnsi="Times New Roman" w:cs="Times New Roman"/>
          <w:noProof/>
          <w:sz w:val="24"/>
          <w:szCs w:val="24"/>
          <w:lang w:val="en-IE"/>
        </w:rPr>
        <w:t xml:space="preserve"> at the end of 202</w:t>
      </w:r>
      <w:r w:rsidR="00686A96" w:rsidRPr="0AFCBEB5">
        <w:rPr>
          <w:rFonts w:ascii="Times New Roman" w:eastAsia="Times New Roman" w:hAnsi="Times New Roman" w:cs="Times New Roman"/>
          <w:noProof/>
          <w:sz w:val="24"/>
          <w:szCs w:val="24"/>
          <w:lang w:val="en-IE"/>
        </w:rPr>
        <w:t>3</w:t>
      </w:r>
      <w:r w:rsidRPr="0AFCBEB5">
        <w:rPr>
          <w:rFonts w:ascii="Times New Roman" w:eastAsia="Times New Roman" w:hAnsi="Times New Roman" w:cs="Times New Roman"/>
          <w:noProof/>
          <w:sz w:val="24"/>
          <w:szCs w:val="24"/>
          <w:lang w:val="en-IE"/>
        </w:rPr>
        <w:t xml:space="preserve">. </w:t>
      </w:r>
      <w:r w:rsidR="00D27E9B">
        <w:rPr>
          <w:rFonts w:ascii="Times New Roman" w:eastAsia="Times New Roman" w:hAnsi="Times New Roman" w:cs="Times New Roman"/>
          <w:noProof/>
          <w:sz w:val="24"/>
          <w:szCs w:val="24"/>
          <w:lang w:val="en-IE"/>
        </w:rPr>
        <w:t xml:space="preserve">Should the </w:t>
      </w:r>
      <w:r w:rsidR="00D27E9B" w:rsidRPr="00D27E9B">
        <w:rPr>
          <w:rFonts w:ascii="Times New Roman" w:eastAsia="Times New Roman" w:hAnsi="Times New Roman" w:cs="Times New Roman"/>
          <w:noProof/>
          <w:sz w:val="24"/>
          <w:szCs w:val="24"/>
          <w:lang w:val="en-IE"/>
        </w:rPr>
        <w:t xml:space="preserve">Hydrogen and decarbonised gas market package not be adopted before that date, the situation </w:t>
      </w:r>
      <w:r w:rsidR="00D27E9B">
        <w:rPr>
          <w:rFonts w:ascii="Times New Roman" w:eastAsia="Times New Roman" w:hAnsi="Times New Roman" w:cs="Times New Roman"/>
          <w:noProof/>
          <w:sz w:val="24"/>
          <w:szCs w:val="24"/>
          <w:lang w:val="en-IE"/>
        </w:rPr>
        <w:t xml:space="preserve">in this respect </w:t>
      </w:r>
      <w:r w:rsidR="00D27E9B" w:rsidRPr="00D27E9B">
        <w:rPr>
          <w:rFonts w:ascii="Times New Roman" w:eastAsia="Times New Roman" w:hAnsi="Times New Roman" w:cs="Times New Roman"/>
          <w:noProof/>
          <w:sz w:val="24"/>
          <w:szCs w:val="24"/>
          <w:lang w:val="en-IE"/>
        </w:rPr>
        <w:t xml:space="preserve">will revert to </w:t>
      </w:r>
      <w:r w:rsidR="00D27E9B">
        <w:rPr>
          <w:rFonts w:ascii="Times New Roman" w:eastAsia="Times New Roman" w:hAnsi="Times New Roman" w:cs="Times New Roman"/>
          <w:noProof/>
          <w:sz w:val="24"/>
          <w:szCs w:val="24"/>
          <w:lang w:val="en-IE"/>
        </w:rPr>
        <w:t xml:space="preserve">the one before the crisis, as described above. </w:t>
      </w:r>
    </w:p>
    <w:p w14:paraId="4F4AC002" w14:textId="62EB1B9B" w:rsidR="00576494" w:rsidRPr="00780A89" w:rsidRDefault="0049014F" w:rsidP="00AC0C65">
      <w:pPr>
        <w:jc w:val="both"/>
        <w:rPr>
          <w:rFonts w:ascii="Times New Roman" w:eastAsia="Times New Roman" w:hAnsi="Times New Roman" w:cs="Times New Roman"/>
          <w:i/>
          <w:iCs/>
          <w:noProof/>
          <w:sz w:val="24"/>
          <w:szCs w:val="24"/>
          <w:u w:val="single"/>
          <w:lang w:val="en-IE"/>
        </w:rPr>
      </w:pPr>
      <w:r w:rsidRPr="00780A89">
        <w:rPr>
          <w:rFonts w:ascii="Times New Roman" w:eastAsia="Times New Roman" w:hAnsi="Times New Roman" w:cs="Times New Roman"/>
          <w:i/>
          <w:iCs/>
          <w:noProof/>
          <w:sz w:val="24"/>
          <w:szCs w:val="24"/>
          <w:u w:val="single"/>
          <w:lang w:val="en-IE"/>
        </w:rPr>
        <w:t>Solidarity test (d</w:t>
      </w:r>
      <w:r w:rsidR="00576494" w:rsidRPr="00780A89">
        <w:rPr>
          <w:rFonts w:ascii="Times New Roman" w:eastAsia="Times New Roman" w:hAnsi="Times New Roman" w:cs="Times New Roman"/>
          <w:i/>
          <w:iCs/>
          <w:noProof/>
          <w:sz w:val="24"/>
          <w:szCs w:val="24"/>
          <w:u w:val="single"/>
          <w:lang w:val="en-IE"/>
        </w:rPr>
        <w:t>ry run</w:t>
      </w:r>
      <w:r w:rsidRPr="00780A89">
        <w:rPr>
          <w:rFonts w:ascii="Times New Roman" w:eastAsia="Times New Roman" w:hAnsi="Times New Roman" w:cs="Times New Roman"/>
          <w:i/>
          <w:iCs/>
          <w:noProof/>
          <w:sz w:val="24"/>
          <w:szCs w:val="24"/>
          <w:u w:val="single"/>
          <w:lang w:val="en-IE"/>
        </w:rPr>
        <w:t xml:space="preserve"> exercise)</w:t>
      </w:r>
    </w:p>
    <w:p w14:paraId="6DBB8772" w14:textId="7E3E2EAC" w:rsidR="0049014F" w:rsidRPr="00780A89" w:rsidRDefault="0049014F" w:rsidP="00AC0C6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To test the solidarity provisions of the Gas Security of Supply Regulation and the Solidarity Regulation, the Commission conducted a joint ‘dry run’ exercise with Member States and ENTSOG in December 2022.</w:t>
      </w:r>
    </w:p>
    <w:p w14:paraId="7A0D9BC7" w14:textId="2C8B4117" w:rsidR="00527841" w:rsidRPr="00780A89" w:rsidRDefault="003D598E" w:rsidP="00527841">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A</w:t>
      </w:r>
      <w:r w:rsidR="00527841" w:rsidRPr="00780A89">
        <w:rPr>
          <w:rFonts w:ascii="Times New Roman" w:eastAsia="Times New Roman" w:hAnsi="Times New Roman" w:cs="Times New Roman"/>
          <w:noProof/>
          <w:sz w:val="24"/>
          <w:szCs w:val="24"/>
          <w:lang w:val="en-IE"/>
        </w:rPr>
        <w:t xml:space="preserve"> number of points where follow-up is required </w:t>
      </w:r>
      <w:r w:rsidR="00686A96" w:rsidRPr="00780A89">
        <w:rPr>
          <w:rFonts w:ascii="Times New Roman" w:eastAsia="Times New Roman" w:hAnsi="Times New Roman" w:cs="Times New Roman"/>
          <w:noProof/>
          <w:sz w:val="24"/>
          <w:szCs w:val="24"/>
          <w:lang w:val="en-IE"/>
        </w:rPr>
        <w:t>were</w:t>
      </w:r>
      <w:r w:rsidR="00527841" w:rsidRPr="00780A89">
        <w:rPr>
          <w:rFonts w:ascii="Times New Roman" w:eastAsia="Times New Roman" w:hAnsi="Times New Roman" w:cs="Times New Roman"/>
          <w:noProof/>
          <w:sz w:val="24"/>
          <w:szCs w:val="24"/>
          <w:lang w:val="en-IE"/>
        </w:rPr>
        <w:t xml:space="preserve"> identified</w:t>
      </w:r>
      <w:r w:rsidR="00DD5378" w:rsidRPr="00780A89">
        <w:rPr>
          <w:rFonts w:ascii="Times New Roman" w:eastAsia="Times New Roman" w:hAnsi="Times New Roman" w:cs="Times New Roman"/>
          <w:noProof/>
          <w:sz w:val="24"/>
          <w:szCs w:val="24"/>
          <w:lang w:val="en-IE"/>
        </w:rPr>
        <w:t>:</w:t>
      </w:r>
      <w:r w:rsidR="00527841" w:rsidRPr="00780A89">
        <w:rPr>
          <w:rFonts w:ascii="Times New Roman" w:eastAsia="Times New Roman" w:hAnsi="Times New Roman" w:cs="Times New Roman"/>
          <w:noProof/>
          <w:sz w:val="24"/>
          <w:szCs w:val="24"/>
          <w:lang w:val="en-IE"/>
        </w:rPr>
        <w:t xml:space="preserve"> </w:t>
      </w:r>
    </w:p>
    <w:p w14:paraId="764A1EF4" w14:textId="78990DAE" w:rsidR="00C97FFA" w:rsidRPr="00780A89" w:rsidRDefault="00C97FFA" w:rsidP="00327C38">
      <w:pPr>
        <w:pStyle w:val="ListParagraph"/>
        <w:numPr>
          <w:ilvl w:val="0"/>
          <w:numId w:val="14"/>
        </w:numPr>
        <w:jc w:val="both"/>
        <w:rPr>
          <w:noProof/>
          <w:lang w:val="en-IE"/>
        </w:rPr>
      </w:pPr>
      <w:r w:rsidRPr="00780A89">
        <w:rPr>
          <w:rFonts w:ascii="Times New Roman" w:eastAsia="Times New Roman" w:hAnsi="Times New Roman" w:cs="Times New Roman"/>
          <w:noProof/>
          <w:sz w:val="24"/>
          <w:szCs w:val="24"/>
          <w:lang w:val="en-IE"/>
        </w:rPr>
        <w:t>Most participants agreed that LNG can provide additional flexibility in a crisis situation. However, LNG solidarity would require market mechanisms and intervention of the Competent Authority, provided that all market-based measures have been exhausted</w:t>
      </w:r>
      <w:r w:rsidR="00BD144B" w:rsidRPr="00780A89">
        <w:rPr>
          <w:rFonts w:ascii="Times New Roman" w:eastAsia="Times New Roman" w:hAnsi="Times New Roman" w:cs="Times New Roman"/>
          <w:noProof/>
          <w:sz w:val="24"/>
          <w:szCs w:val="24"/>
          <w:lang w:val="en-IE"/>
        </w:rPr>
        <w:t xml:space="preserve">, which should be </w:t>
      </w:r>
      <w:r w:rsidR="00B30B16" w:rsidRPr="00780A89">
        <w:rPr>
          <w:rFonts w:ascii="Times New Roman" w:eastAsia="Times New Roman" w:hAnsi="Times New Roman" w:cs="Times New Roman"/>
          <w:noProof/>
          <w:sz w:val="24"/>
          <w:szCs w:val="24"/>
          <w:lang w:val="en-IE"/>
        </w:rPr>
        <w:t xml:space="preserve">further </w:t>
      </w:r>
      <w:r w:rsidR="00BD144B" w:rsidRPr="00780A89">
        <w:rPr>
          <w:rFonts w:ascii="Times New Roman" w:eastAsia="Times New Roman" w:hAnsi="Times New Roman" w:cs="Times New Roman"/>
          <w:noProof/>
          <w:sz w:val="24"/>
          <w:szCs w:val="24"/>
          <w:lang w:val="en-IE"/>
        </w:rPr>
        <w:t>clarified</w:t>
      </w:r>
      <w:r w:rsidRPr="00780A89">
        <w:rPr>
          <w:rFonts w:ascii="Times New Roman" w:eastAsia="Times New Roman" w:hAnsi="Times New Roman" w:cs="Times New Roman"/>
          <w:noProof/>
          <w:sz w:val="24"/>
          <w:szCs w:val="24"/>
          <w:lang w:val="en-IE"/>
        </w:rPr>
        <w:t xml:space="preserve">. </w:t>
      </w:r>
    </w:p>
    <w:p w14:paraId="57293737" w14:textId="0B6B5D30" w:rsidR="00527841" w:rsidRPr="00780A89" w:rsidRDefault="00527841" w:rsidP="00327C38">
      <w:pPr>
        <w:pStyle w:val="ListParagraph"/>
        <w:numPr>
          <w:ilvl w:val="0"/>
          <w:numId w:val="14"/>
        </w:num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It was identified that there is no legal basis for requesting solidarity via pipeline to a neighbouring Member State not directly connected. </w:t>
      </w:r>
    </w:p>
    <w:p w14:paraId="633813DE" w14:textId="22370B55" w:rsidR="00527841" w:rsidRPr="00780A89" w:rsidRDefault="00527841" w:rsidP="00327C38">
      <w:pPr>
        <w:pStyle w:val="ListParagraph"/>
        <w:numPr>
          <w:ilvl w:val="0"/>
          <w:numId w:val="14"/>
        </w:num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In case a Member State receives two solidarity requests, the procedure was considered unclear. </w:t>
      </w:r>
    </w:p>
    <w:p w14:paraId="795F1226" w14:textId="6CF11C3B" w:rsidR="00527841" w:rsidRPr="00780A89" w:rsidRDefault="00527841" w:rsidP="00327C38">
      <w:pPr>
        <w:pStyle w:val="ListParagraph"/>
        <w:numPr>
          <w:ilvl w:val="0"/>
          <w:numId w:val="14"/>
        </w:num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Participants expressed the wish that a 24-hour period would be applicable for solidarity provided through pipelines, while 72 hours could still be relevant for solidarity via LNG.</w:t>
      </w:r>
    </w:p>
    <w:p w14:paraId="365F1763" w14:textId="27944FAD" w:rsidR="00EF6888" w:rsidRPr="00780A89" w:rsidRDefault="00EF6888" w:rsidP="009176E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Further details on the solidarity test can be found </w:t>
      </w:r>
      <w:r w:rsidRPr="007B6A59">
        <w:rPr>
          <w:rFonts w:ascii="Times New Roman" w:eastAsia="Times New Roman" w:hAnsi="Times New Roman" w:cs="Times New Roman"/>
          <w:noProof/>
          <w:sz w:val="24"/>
          <w:szCs w:val="24"/>
          <w:lang w:val="en-IE"/>
        </w:rPr>
        <w:t>in SWD(</w:t>
      </w:r>
      <w:r w:rsidR="007B6A59" w:rsidRPr="007B6A59">
        <w:rPr>
          <w:rFonts w:ascii="Times New Roman" w:eastAsia="Times New Roman" w:hAnsi="Times New Roman" w:cs="Times New Roman"/>
          <w:noProof/>
          <w:sz w:val="24"/>
          <w:szCs w:val="24"/>
          <w:lang w:val="en-IE"/>
        </w:rPr>
        <w:t>2023</w:t>
      </w:r>
      <w:r w:rsidRPr="007B6A59">
        <w:rPr>
          <w:rFonts w:ascii="Times New Roman" w:eastAsia="Times New Roman" w:hAnsi="Times New Roman" w:cs="Times New Roman"/>
          <w:noProof/>
          <w:sz w:val="24"/>
          <w:szCs w:val="24"/>
          <w:lang w:val="en-IE"/>
        </w:rPr>
        <w:t>)</w:t>
      </w:r>
      <w:r w:rsidR="007B6A59" w:rsidRPr="007B6A59">
        <w:rPr>
          <w:rFonts w:ascii="Times New Roman" w:eastAsia="Times New Roman" w:hAnsi="Times New Roman" w:cs="Times New Roman"/>
          <w:noProof/>
          <w:sz w:val="24"/>
          <w:szCs w:val="24"/>
          <w:lang w:val="en-IE"/>
        </w:rPr>
        <w:t>323</w:t>
      </w:r>
      <w:r w:rsidR="0045160B" w:rsidRPr="007B6A59">
        <w:rPr>
          <w:rFonts w:ascii="Times New Roman" w:eastAsia="Times New Roman" w:hAnsi="Times New Roman" w:cs="Times New Roman"/>
          <w:noProof/>
          <w:sz w:val="24"/>
          <w:szCs w:val="24"/>
          <w:lang w:val="en-IE"/>
        </w:rPr>
        <w:t>.</w:t>
      </w:r>
    </w:p>
    <w:p w14:paraId="63712671" w14:textId="77777777" w:rsidR="00884E2D" w:rsidRPr="00780A89" w:rsidRDefault="00884E2D">
      <w:pPr>
        <w:rPr>
          <w:rFonts w:ascii="Times New Roman" w:eastAsiaTheme="majorEastAsia" w:hAnsi="Times New Roman" w:cs="Times New Roman"/>
          <w:b/>
          <w:bCs/>
          <w:i/>
          <w:iCs/>
          <w:noProof/>
          <w:sz w:val="24"/>
          <w:szCs w:val="24"/>
          <w:lang w:val="en-IE"/>
        </w:rPr>
      </w:pPr>
      <w:r w:rsidRPr="00780A89">
        <w:rPr>
          <w:rFonts w:ascii="Times New Roman" w:hAnsi="Times New Roman" w:cs="Times New Roman"/>
          <w:b/>
          <w:bCs/>
          <w:i/>
          <w:iCs/>
          <w:noProof/>
          <w:sz w:val="24"/>
          <w:szCs w:val="24"/>
          <w:lang w:val="en-IE"/>
        </w:rPr>
        <w:br w:type="page"/>
      </w:r>
    </w:p>
    <w:p w14:paraId="44800E24" w14:textId="10ABF779" w:rsidR="006E12B0" w:rsidRPr="00780A89" w:rsidRDefault="006E12B0" w:rsidP="00301BEB">
      <w:pPr>
        <w:pStyle w:val="Heading1"/>
        <w:numPr>
          <w:ilvl w:val="0"/>
          <w:numId w:val="3"/>
        </w:numPr>
        <w:spacing w:after="240"/>
        <w:rPr>
          <w:rFonts w:ascii="Times New Roman" w:hAnsi="Times New Roman" w:cs="Times New Roman"/>
          <w:b/>
          <w:bCs/>
          <w:noProof/>
          <w:color w:val="auto"/>
          <w:sz w:val="24"/>
          <w:szCs w:val="24"/>
          <w:u w:val="single"/>
          <w:lang w:val="en-IE"/>
        </w:rPr>
      </w:pPr>
      <w:r w:rsidRPr="0AFCBEB5">
        <w:rPr>
          <w:rFonts w:ascii="Times New Roman" w:hAnsi="Times New Roman" w:cs="Times New Roman"/>
          <w:b/>
          <w:bCs/>
          <w:noProof/>
          <w:color w:val="auto"/>
          <w:sz w:val="24"/>
          <w:szCs w:val="24"/>
          <w:u w:val="single"/>
          <w:lang w:val="en-IE"/>
        </w:rPr>
        <w:t>Conclusion</w:t>
      </w:r>
    </w:p>
    <w:p w14:paraId="3795797C" w14:textId="690BFDA4" w:rsidR="00B61214" w:rsidRPr="00B61214" w:rsidRDefault="0040434D" w:rsidP="00B61214">
      <w:pPr>
        <w:jc w:val="both"/>
        <w:rPr>
          <w:rFonts w:ascii="Times New Roman" w:hAnsi="Times New Roman" w:cs="Times New Roman"/>
          <w:bCs/>
          <w:noProof/>
          <w:sz w:val="24"/>
          <w:szCs w:val="24"/>
        </w:rPr>
      </w:pPr>
      <w:r w:rsidRPr="00B61214">
        <w:rPr>
          <w:rFonts w:ascii="Times New Roman" w:hAnsi="Times New Roman" w:cs="Times New Roman"/>
          <w:b/>
          <w:noProof/>
          <w:sz w:val="24"/>
          <w:szCs w:val="24"/>
        </w:rPr>
        <w:t xml:space="preserve">Security of </w:t>
      </w:r>
      <w:r w:rsidR="00CF583F" w:rsidRPr="00B61214">
        <w:rPr>
          <w:rFonts w:ascii="Times New Roman" w:hAnsi="Times New Roman" w:cs="Times New Roman"/>
          <w:b/>
          <w:noProof/>
          <w:sz w:val="24"/>
          <w:szCs w:val="24"/>
        </w:rPr>
        <w:t xml:space="preserve">gas </w:t>
      </w:r>
      <w:r w:rsidRPr="00B61214">
        <w:rPr>
          <w:rFonts w:ascii="Times New Roman" w:hAnsi="Times New Roman" w:cs="Times New Roman"/>
          <w:b/>
          <w:noProof/>
          <w:sz w:val="24"/>
          <w:szCs w:val="24"/>
        </w:rPr>
        <w:t>supply in Europe has improved since last year</w:t>
      </w:r>
      <w:r w:rsidRPr="00B61214">
        <w:rPr>
          <w:rFonts w:ascii="Times New Roman" w:hAnsi="Times New Roman" w:cs="Times New Roman"/>
          <w:bCs/>
          <w:noProof/>
          <w:sz w:val="24"/>
          <w:szCs w:val="24"/>
        </w:rPr>
        <w:t xml:space="preserve"> thanks to the successful implementation of </w:t>
      </w:r>
      <w:r w:rsidR="00037B8F" w:rsidRPr="00B61214">
        <w:rPr>
          <w:rFonts w:ascii="Times New Roman" w:hAnsi="Times New Roman" w:cs="Times New Roman"/>
          <w:bCs/>
          <w:noProof/>
          <w:sz w:val="24"/>
          <w:szCs w:val="24"/>
        </w:rPr>
        <w:t>additional</w:t>
      </w:r>
      <w:r w:rsidR="00524B95" w:rsidRPr="00B61214">
        <w:rPr>
          <w:rFonts w:ascii="Times New Roman" w:hAnsi="Times New Roman" w:cs="Times New Roman"/>
          <w:bCs/>
          <w:noProof/>
          <w:sz w:val="24"/>
          <w:szCs w:val="24"/>
        </w:rPr>
        <w:t xml:space="preserve"> </w:t>
      </w:r>
      <w:r w:rsidRPr="00B61214">
        <w:rPr>
          <w:rFonts w:ascii="Times New Roman" w:hAnsi="Times New Roman" w:cs="Times New Roman"/>
          <w:bCs/>
          <w:noProof/>
          <w:sz w:val="24"/>
          <w:szCs w:val="24"/>
        </w:rPr>
        <w:t xml:space="preserve">measures by the EU and </w:t>
      </w:r>
      <w:r w:rsidR="00651745" w:rsidRPr="00B61214">
        <w:rPr>
          <w:rFonts w:ascii="Times New Roman" w:hAnsi="Times New Roman" w:cs="Times New Roman"/>
          <w:bCs/>
          <w:noProof/>
          <w:sz w:val="24"/>
          <w:szCs w:val="24"/>
        </w:rPr>
        <w:t xml:space="preserve">its </w:t>
      </w:r>
      <w:r w:rsidRPr="00B61214">
        <w:rPr>
          <w:rFonts w:ascii="Times New Roman" w:hAnsi="Times New Roman" w:cs="Times New Roman"/>
          <w:bCs/>
          <w:noProof/>
          <w:sz w:val="24"/>
          <w:szCs w:val="24"/>
        </w:rPr>
        <w:t xml:space="preserve">Member States in all key areas of energy policy. </w:t>
      </w:r>
      <w:r w:rsidR="00B61214" w:rsidRPr="00477412">
        <w:rPr>
          <w:rFonts w:ascii="Times New Roman" w:hAnsi="Times New Roman" w:cs="Times New Roman"/>
          <w:bCs/>
          <w:noProof/>
          <w:sz w:val="24"/>
          <w:szCs w:val="24"/>
        </w:rPr>
        <w:t xml:space="preserve">In light of Russia’s use of energy as a political and economic weapon, </w:t>
      </w:r>
      <w:r w:rsidR="00B61214" w:rsidRPr="00B61214">
        <w:rPr>
          <w:rFonts w:ascii="Times New Roman" w:hAnsi="Times New Roman" w:cs="Times New Roman"/>
          <w:b/>
          <w:noProof/>
          <w:sz w:val="24"/>
          <w:szCs w:val="24"/>
        </w:rPr>
        <w:t xml:space="preserve">the EU </w:t>
      </w:r>
      <w:r w:rsidR="00B61214">
        <w:rPr>
          <w:rFonts w:ascii="Times New Roman" w:hAnsi="Times New Roman" w:cs="Times New Roman"/>
          <w:b/>
          <w:noProof/>
          <w:sz w:val="24"/>
          <w:szCs w:val="24"/>
        </w:rPr>
        <w:t xml:space="preserve">has </w:t>
      </w:r>
      <w:r w:rsidR="00B61214" w:rsidRPr="00B61214">
        <w:rPr>
          <w:rFonts w:ascii="Times New Roman" w:hAnsi="Times New Roman" w:cs="Times New Roman"/>
          <w:b/>
          <w:noProof/>
          <w:sz w:val="24"/>
          <w:szCs w:val="24"/>
        </w:rPr>
        <w:t>acted together</w:t>
      </w:r>
      <w:r w:rsidR="00B61214">
        <w:rPr>
          <w:rFonts w:ascii="Times New Roman" w:hAnsi="Times New Roman" w:cs="Times New Roman"/>
          <w:b/>
          <w:noProof/>
          <w:sz w:val="24"/>
          <w:szCs w:val="24"/>
        </w:rPr>
        <w:t xml:space="preserve">, in a spirit of solidarity, </w:t>
      </w:r>
      <w:r w:rsidR="00B61214" w:rsidRPr="00477412">
        <w:rPr>
          <w:rFonts w:ascii="Times New Roman" w:hAnsi="Times New Roman" w:cs="Times New Roman"/>
          <w:bCs/>
          <w:noProof/>
          <w:sz w:val="24"/>
          <w:szCs w:val="24"/>
        </w:rPr>
        <w:t xml:space="preserve">to </w:t>
      </w:r>
      <w:r w:rsidR="00B61214" w:rsidRPr="00493098">
        <w:rPr>
          <w:rFonts w:ascii="Times New Roman" w:hAnsi="Times New Roman" w:cs="Times New Roman"/>
          <w:b/>
          <w:noProof/>
          <w:sz w:val="24"/>
          <w:szCs w:val="24"/>
        </w:rPr>
        <w:t>r</w:t>
      </w:r>
      <w:r w:rsidR="00B61214" w:rsidRPr="00B61214">
        <w:rPr>
          <w:rFonts w:ascii="Times New Roman" w:hAnsi="Times New Roman" w:cs="Times New Roman"/>
          <w:b/>
          <w:noProof/>
          <w:sz w:val="24"/>
          <w:szCs w:val="24"/>
        </w:rPr>
        <w:t>educe the EU’s dependence on Russian fossil fuels</w:t>
      </w:r>
      <w:r w:rsidR="00B61214" w:rsidRPr="00477412">
        <w:rPr>
          <w:rFonts w:ascii="Times New Roman" w:hAnsi="Times New Roman" w:cs="Times New Roman"/>
          <w:bCs/>
          <w:noProof/>
          <w:sz w:val="24"/>
          <w:szCs w:val="24"/>
        </w:rPr>
        <w:t xml:space="preserve"> while continuing to </w:t>
      </w:r>
      <w:r w:rsidR="00B61214" w:rsidRPr="00B61214">
        <w:rPr>
          <w:rFonts w:ascii="Times New Roman" w:hAnsi="Times New Roman" w:cs="Times New Roman"/>
          <w:b/>
          <w:noProof/>
          <w:sz w:val="24"/>
          <w:szCs w:val="24"/>
        </w:rPr>
        <w:t>address the climate crisis</w:t>
      </w:r>
      <w:r w:rsidR="00B61214">
        <w:rPr>
          <w:rFonts w:ascii="Times New Roman" w:hAnsi="Times New Roman" w:cs="Times New Roman"/>
          <w:bCs/>
          <w:noProof/>
          <w:sz w:val="24"/>
          <w:szCs w:val="24"/>
        </w:rPr>
        <w:t>, accelerating its efforts to i</w:t>
      </w:r>
      <w:r w:rsidR="00B61214" w:rsidRPr="00B61214">
        <w:rPr>
          <w:rFonts w:ascii="Times New Roman" w:hAnsi="Times New Roman" w:cs="Times New Roman"/>
          <w:b/>
          <w:noProof/>
          <w:sz w:val="24"/>
          <w:szCs w:val="24"/>
        </w:rPr>
        <w:t>ncrease the resilience of the EU’s critical infrastructure</w:t>
      </w:r>
      <w:r w:rsidR="00B61214" w:rsidRPr="00542933">
        <w:rPr>
          <w:rFonts w:ascii="Times New Roman" w:hAnsi="Times New Roman" w:cs="Times New Roman"/>
          <w:bCs/>
          <w:noProof/>
          <w:sz w:val="24"/>
          <w:szCs w:val="24"/>
        </w:rPr>
        <w:t xml:space="preserve"> and critical entities</w:t>
      </w:r>
      <w:r w:rsidR="00B61214">
        <w:rPr>
          <w:rFonts w:ascii="Times New Roman" w:hAnsi="Times New Roman" w:cs="Times New Roman"/>
          <w:bCs/>
          <w:noProof/>
          <w:sz w:val="24"/>
          <w:szCs w:val="24"/>
        </w:rPr>
        <w:t>.</w:t>
      </w:r>
      <w:r w:rsidR="00B61214" w:rsidRPr="00B61214">
        <w:rPr>
          <w:rFonts w:ascii="Times New Roman" w:hAnsi="Times New Roman" w:cs="Times New Roman"/>
          <w:bCs/>
          <w:noProof/>
          <w:sz w:val="24"/>
          <w:szCs w:val="24"/>
        </w:rPr>
        <w:t xml:space="preserve"> The </w:t>
      </w:r>
      <w:r w:rsidR="00B61214" w:rsidRPr="00B61214">
        <w:rPr>
          <w:rFonts w:ascii="Times New Roman" w:hAnsi="Times New Roman" w:cs="Times New Roman"/>
          <w:b/>
          <w:noProof/>
          <w:sz w:val="24"/>
          <w:szCs w:val="24"/>
        </w:rPr>
        <w:t xml:space="preserve">scaling-up and rolling-out of renewable energy made in Europe </w:t>
      </w:r>
      <w:r w:rsidR="00B61214" w:rsidRPr="00B61214">
        <w:rPr>
          <w:rFonts w:ascii="Times New Roman" w:hAnsi="Times New Roman" w:cs="Times New Roman"/>
          <w:bCs/>
          <w:noProof/>
          <w:sz w:val="24"/>
          <w:szCs w:val="24"/>
        </w:rPr>
        <w:t xml:space="preserve">has been greatly accelerated. The EU has reinforced ties with international partners to </w:t>
      </w:r>
      <w:r w:rsidR="00B61214" w:rsidRPr="00B61214">
        <w:rPr>
          <w:rFonts w:ascii="Times New Roman" w:hAnsi="Times New Roman" w:cs="Times New Roman"/>
          <w:b/>
          <w:noProof/>
          <w:sz w:val="24"/>
          <w:szCs w:val="24"/>
        </w:rPr>
        <w:t>diversify energy supplies</w:t>
      </w:r>
      <w:r w:rsidR="00B61214" w:rsidRPr="00B61214">
        <w:rPr>
          <w:rFonts w:ascii="Times New Roman" w:hAnsi="Times New Roman" w:cs="Times New Roman"/>
          <w:bCs/>
          <w:noProof/>
          <w:sz w:val="24"/>
          <w:szCs w:val="24"/>
        </w:rPr>
        <w:t xml:space="preserve">, and taken coordinated action to increase preparedness, inter alia with </w:t>
      </w:r>
      <w:r w:rsidR="00B61214">
        <w:rPr>
          <w:rFonts w:ascii="Times New Roman" w:hAnsi="Times New Roman" w:cs="Times New Roman"/>
          <w:bCs/>
          <w:noProof/>
          <w:sz w:val="24"/>
          <w:szCs w:val="24"/>
        </w:rPr>
        <w:t>action regarding</w:t>
      </w:r>
      <w:r w:rsidR="00B61214" w:rsidRPr="00B61214">
        <w:rPr>
          <w:rFonts w:ascii="Times New Roman" w:hAnsi="Times New Roman" w:cs="Times New Roman"/>
          <w:bCs/>
          <w:noProof/>
          <w:sz w:val="24"/>
          <w:szCs w:val="24"/>
        </w:rPr>
        <w:t xml:space="preserve"> to gas storage or demand reduction. </w:t>
      </w:r>
    </w:p>
    <w:p w14:paraId="5B5DE2B9" w14:textId="3B211C64" w:rsidR="0040434D" w:rsidRPr="00780A89" w:rsidRDefault="00A3655B" w:rsidP="009176E5">
      <w:pPr>
        <w:jc w:val="both"/>
        <w:rPr>
          <w:rFonts w:ascii="Times New Roman" w:eastAsia="Times New Roman" w:hAnsi="Times New Roman" w:cs="Times New Roman"/>
          <w:noProof/>
          <w:sz w:val="24"/>
          <w:szCs w:val="24"/>
          <w:lang w:val="en-IE"/>
        </w:rPr>
      </w:pPr>
      <w:r w:rsidRPr="00780A89">
        <w:rPr>
          <w:rFonts w:ascii="Times New Roman" w:eastAsia="Times New Roman" w:hAnsi="Times New Roman" w:cs="Times New Roman"/>
          <w:noProof/>
          <w:sz w:val="24"/>
          <w:szCs w:val="24"/>
          <w:lang w:val="en-IE"/>
        </w:rPr>
        <w:t xml:space="preserve">Nonetheless, </w:t>
      </w:r>
      <w:r w:rsidRPr="00B61214">
        <w:rPr>
          <w:rFonts w:ascii="Times New Roman" w:eastAsia="Times New Roman" w:hAnsi="Times New Roman" w:cs="Times New Roman"/>
          <w:b/>
          <w:bCs/>
          <w:noProof/>
          <w:sz w:val="24"/>
          <w:szCs w:val="24"/>
          <w:lang w:val="en-IE"/>
        </w:rPr>
        <w:t xml:space="preserve">there are still risks </w:t>
      </w:r>
      <w:r w:rsidRPr="00780A89">
        <w:rPr>
          <w:rFonts w:ascii="Times New Roman" w:eastAsia="Times New Roman" w:hAnsi="Times New Roman" w:cs="Times New Roman"/>
          <w:noProof/>
          <w:sz w:val="24"/>
          <w:szCs w:val="24"/>
          <w:lang w:val="en-IE"/>
        </w:rPr>
        <w:t xml:space="preserve">for security of gas supply to the Union, such as, for example a complete stop of Russian imports, infrastructure incidents, unfavourable weather conditions, increasing gas demand in Europe or tightness for LNG cargoes supply. </w:t>
      </w:r>
    </w:p>
    <w:p w14:paraId="2B5375F0" w14:textId="24B4C578" w:rsidR="00FB2440" w:rsidRPr="00780A89" w:rsidRDefault="00FB2440" w:rsidP="00FB2440">
      <w:pPr>
        <w:jc w:val="both"/>
        <w:rPr>
          <w:rFonts w:ascii="Times New Roman" w:hAnsi="Times New Roman" w:cs="Times New Roman"/>
          <w:noProof/>
          <w:sz w:val="24"/>
          <w:szCs w:val="24"/>
          <w:lang w:val="en-IE"/>
        </w:rPr>
      </w:pPr>
      <w:r w:rsidRPr="00780A89">
        <w:rPr>
          <w:rFonts w:ascii="Times New Roman" w:hAnsi="Times New Roman" w:cs="Times New Roman"/>
          <w:noProof/>
          <w:sz w:val="24"/>
          <w:szCs w:val="24"/>
          <w:lang w:val="en-IE"/>
        </w:rPr>
        <w:t xml:space="preserve">In addition, the energy system is undergoing a </w:t>
      </w:r>
      <w:r w:rsidRPr="00B61214">
        <w:rPr>
          <w:rFonts w:ascii="Times New Roman" w:hAnsi="Times New Roman" w:cs="Times New Roman"/>
          <w:b/>
          <w:bCs/>
          <w:noProof/>
          <w:sz w:val="24"/>
          <w:szCs w:val="24"/>
          <w:lang w:val="en-IE"/>
        </w:rPr>
        <w:t xml:space="preserve">transition towards decarbonisation </w:t>
      </w:r>
      <w:r w:rsidRPr="00780A89">
        <w:rPr>
          <w:rFonts w:ascii="Times New Roman" w:hAnsi="Times New Roman" w:cs="Times New Roman"/>
          <w:noProof/>
          <w:sz w:val="24"/>
          <w:szCs w:val="24"/>
          <w:lang w:val="en-IE"/>
        </w:rPr>
        <w:t>through an increasing integration of renewable and low carbon gases as well as an increasing electrification. This transformation of the energy system improves the security of gas supply by decreasing the reliance of the EU on fossil fuels and</w:t>
      </w:r>
      <w:r w:rsidR="005F1BD7">
        <w:rPr>
          <w:rFonts w:ascii="Times New Roman" w:hAnsi="Times New Roman" w:cs="Times New Roman"/>
          <w:noProof/>
          <w:sz w:val="24"/>
          <w:szCs w:val="24"/>
          <w:lang w:val="en-IE"/>
        </w:rPr>
        <w:t xml:space="preserve"> particularly on</w:t>
      </w:r>
      <w:r w:rsidRPr="00780A89">
        <w:rPr>
          <w:rFonts w:ascii="Times New Roman" w:hAnsi="Times New Roman" w:cs="Times New Roman"/>
          <w:noProof/>
          <w:sz w:val="24"/>
          <w:szCs w:val="24"/>
          <w:lang w:val="en-IE"/>
        </w:rPr>
        <w:t xml:space="preserve"> natural gas. </w:t>
      </w:r>
      <w:r w:rsidRPr="00B61214">
        <w:rPr>
          <w:rFonts w:ascii="Times New Roman" w:hAnsi="Times New Roman" w:cs="Times New Roman"/>
          <w:b/>
          <w:bCs/>
          <w:noProof/>
          <w:sz w:val="24"/>
          <w:szCs w:val="24"/>
          <w:lang w:val="en-IE"/>
        </w:rPr>
        <w:t xml:space="preserve">The security of gas supply architecture of the future will need to be adapted to integrate renewable and low carbon gases, including biomethane and hydrogen, </w:t>
      </w:r>
      <w:r w:rsidR="007921DC" w:rsidRPr="00B61214">
        <w:rPr>
          <w:rFonts w:ascii="Times New Roman" w:hAnsi="Times New Roman" w:cs="Times New Roman"/>
          <w:b/>
          <w:bCs/>
          <w:noProof/>
          <w:sz w:val="24"/>
          <w:szCs w:val="24"/>
          <w:lang w:val="en-IE"/>
        </w:rPr>
        <w:t>as well as</w:t>
      </w:r>
      <w:r w:rsidRPr="00B61214">
        <w:rPr>
          <w:rFonts w:ascii="Times New Roman" w:hAnsi="Times New Roman" w:cs="Times New Roman"/>
          <w:b/>
          <w:bCs/>
          <w:noProof/>
          <w:sz w:val="24"/>
          <w:szCs w:val="24"/>
          <w:lang w:val="en-IE"/>
        </w:rPr>
        <w:t xml:space="preserve"> further electrification and sectoral integration of the energy system.</w:t>
      </w:r>
      <w:r w:rsidRPr="00780A89">
        <w:rPr>
          <w:rFonts w:ascii="Times New Roman" w:hAnsi="Times New Roman" w:cs="Times New Roman"/>
          <w:noProof/>
          <w:sz w:val="24"/>
          <w:szCs w:val="24"/>
          <w:lang w:val="en-IE"/>
        </w:rPr>
        <w:t xml:space="preserve">  </w:t>
      </w:r>
    </w:p>
    <w:p w14:paraId="33D25237" w14:textId="6C5C7AB6" w:rsidR="00E14209" w:rsidRPr="00780A89" w:rsidRDefault="003768F5" w:rsidP="009176E5">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 xml:space="preserve">The new framework </w:t>
      </w:r>
      <w:r w:rsidR="004D0E80">
        <w:rPr>
          <w:rFonts w:ascii="Times New Roman" w:eastAsia="Times New Roman" w:hAnsi="Times New Roman" w:cs="Times New Roman"/>
          <w:noProof/>
          <w:sz w:val="24"/>
          <w:szCs w:val="24"/>
          <w:lang w:val="en-IE"/>
        </w:rPr>
        <w:t>should</w:t>
      </w:r>
      <w:r w:rsidR="00191255" w:rsidRPr="00780A89">
        <w:rPr>
          <w:rFonts w:ascii="Times New Roman" w:eastAsia="Times New Roman" w:hAnsi="Times New Roman" w:cs="Times New Roman"/>
          <w:noProof/>
          <w:sz w:val="24"/>
          <w:szCs w:val="24"/>
          <w:lang w:val="en-IE"/>
        </w:rPr>
        <w:t xml:space="preserve"> build on</w:t>
      </w:r>
      <w:r w:rsidR="004D0E80">
        <w:rPr>
          <w:rFonts w:ascii="Times New Roman" w:eastAsia="Times New Roman" w:hAnsi="Times New Roman" w:cs="Times New Roman"/>
          <w:noProof/>
          <w:sz w:val="24"/>
          <w:szCs w:val="24"/>
          <w:lang w:val="en-IE"/>
        </w:rPr>
        <w:t xml:space="preserve">, and support, </w:t>
      </w:r>
      <w:r w:rsidR="00191255" w:rsidRPr="00780A89">
        <w:rPr>
          <w:rFonts w:ascii="Times New Roman" w:eastAsia="Times New Roman" w:hAnsi="Times New Roman" w:cs="Times New Roman"/>
          <w:noProof/>
          <w:sz w:val="24"/>
          <w:szCs w:val="24"/>
          <w:lang w:val="en-IE"/>
        </w:rPr>
        <w:t xml:space="preserve">the </w:t>
      </w:r>
      <w:r w:rsidR="004D0E80" w:rsidRPr="00FD2CCF">
        <w:rPr>
          <w:rFonts w:ascii="Times New Roman" w:eastAsia="Times New Roman" w:hAnsi="Times New Roman" w:cs="Times New Roman"/>
          <w:b/>
          <w:bCs/>
          <w:noProof/>
          <w:color w:val="000000" w:themeColor="text1"/>
          <w:sz w:val="24"/>
          <w:szCs w:val="24"/>
          <w:lang w:val="en-IE"/>
        </w:rPr>
        <w:t>Hydrogen and decarbonised gas market packag</w:t>
      </w:r>
      <w:r w:rsidR="004D0E80">
        <w:rPr>
          <w:rFonts w:ascii="Times New Roman" w:eastAsia="Times New Roman" w:hAnsi="Times New Roman" w:cs="Times New Roman"/>
          <w:b/>
          <w:bCs/>
          <w:noProof/>
          <w:color w:val="000000" w:themeColor="text1"/>
          <w:sz w:val="24"/>
          <w:szCs w:val="24"/>
          <w:lang w:val="en-IE"/>
        </w:rPr>
        <w:t xml:space="preserve">e </w:t>
      </w:r>
      <w:r w:rsidR="00191255" w:rsidRPr="00780A89">
        <w:rPr>
          <w:rFonts w:ascii="Times New Roman" w:eastAsia="Times New Roman" w:hAnsi="Times New Roman" w:cs="Times New Roman"/>
          <w:noProof/>
          <w:sz w:val="24"/>
          <w:szCs w:val="24"/>
          <w:lang w:val="en-IE"/>
        </w:rPr>
        <w:t>once adopted.</w:t>
      </w:r>
      <w:r w:rsidR="00E14209" w:rsidRPr="00780A89">
        <w:rPr>
          <w:rFonts w:ascii="Times New Roman" w:eastAsia="Times New Roman" w:hAnsi="Times New Roman" w:cs="Times New Roman"/>
          <w:noProof/>
          <w:sz w:val="24"/>
          <w:szCs w:val="24"/>
          <w:lang w:val="en-IE"/>
        </w:rPr>
        <w:t xml:space="preserve"> </w:t>
      </w:r>
      <w:r w:rsidR="004D0E80">
        <w:rPr>
          <w:rFonts w:ascii="Times New Roman" w:eastAsia="Times New Roman" w:hAnsi="Times New Roman" w:cs="Times New Roman"/>
          <w:noProof/>
          <w:sz w:val="24"/>
          <w:szCs w:val="24"/>
          <w:lang w:val="en-IE"/>
        </w:rPr>
        <w:t>T</w:t>
      </w:r>
      <w:r w:rsidR="00C549EE" w:rsidRPr="00780A89">
        <w:rPr>
          <w:rFonts w:ascii="Times New Roman" w:eastAsia="Times New Roman" w:hAnsi="Times New Roman" w:cs="Times New Roman"/>
          <w:noProof/>
          <w:sz w:val="24"/>
          <w:szCs w:val="24"/>
          <w:lang w:val="en-IE"/>
        </w:rPr>
        <w:t>he</w:t>
      </w:r>
      <w:r w:rsidR="00007350" w:rsidRPr="00780A89">
        <w:rPr>
          <w:rFonts w:ascii="Times New Roman" w:eastAsia="Times New Roman" w:hAnsi="Times New Roman" w:cs="Times New Roman"/>
          <w:noProof/>
          <w:sz w:val="24"/>
          <w:szCs w:val="24"/>
          <w:lang w:val="en-IE"/>
        </w:rPr>
        <w:t xml:space="preserve"> increasing </w:t>
      </w:r>
      <w:r w:rsidR="00C549EE" w:rsidRPr="00780A89">
        <w:rPr>
          <w:rFonts w:ascii="Times New Roman" w:eastAsia="Times New Roman" w:hAnsi="Times New Roman" w:cs="Times New Roman"/>
          <w:noProof/>
          <w:sz w:val="24"/>
          <w:szCs w:val="24"/>
          <w:lang w:val="en-IE"/>
        </w:rPr>
        <w:t>development</w:t>
      </w:r>
      <w:r w:rsidR="00007350" w:rsidRPr="00780A89">
        <w:rPr>
          <w:rFonts w:ascii="Times New Roman" w:eastAsia="Times New Roman" w:hAnsi="Times New Roman" w:cs="Times New Roman"/>
          <w:noProof/>
          <w:sz w:val="24"/>
          <w:szCs w:val="24"/>
          <w:lang w:val="en-IE"/>
        </w:rPr>
        <w:t xml:space="preserve"> of </w:t>
      </w:r>
      <w:r w:rsidR="0010313A" w:rsidRPr="00780A89">
        <w:rPr>
          <w:rFonts w:ascii="Times New Roman" w:eastAsia="Times New Roman" w:hAnsi="Times New Roman" w:cs="Times New Roman"/>
          <w:noProof/>
          <w:sz w:val="24"/>
          <w:szCs w:val="24"/>
          <w:lang w:val="en-IE"/>
        </w:rPr>
        <w:t>renewable and low carbon gas, including biomethane and hydrogen, as well</w:t>
      </w:r>
      <w:r w:rsidR="00C549EE" w:rsidRPr="00780A89">
        <w:rPr>
          <w:rFonts w:ascii="Times New Roman" w:eastAsia="Times New Roman" w:hAnsi="Times New Roman" w:cs="Times New Roman"/>
          <w:noProof/>
          <w:sz w:val="24"/>
          <w:szCs w:val="24"/>
          <w:lang w:val="en-IE"/>
        </w:rPr>
        <w:t xml:space="preserve"> as the increasing electrification of the energy system</w:t>
      </w:r>
      <w:r w:rsidR="000169C8" w:rsidRPr="000169C8">
        <w:rPr>
          <w:rFonts w:ascii="Times New Roman" w:eastAsia="Times New Roman" w:hAnsi="Times New Roman" w:cs="Times New Roman"/>
          <w:noProof/>
          <w:sz w:val="24"/>
          <w:szCs w:val="24"/>
          <w:lang w:val="en-IE"/>
        </w:rPr>
        <w:t xml:space="preserve"> </w:t>
      </w:r>
      <w:r w:rsidR="000169C8">
        <w:rPr>
          <w:rFonts w:ascii="Times New Roman" w:eastAsia="Times New Roman" w:hAnsi="Times New Roman" w:cs="Times New Roman"/>
          <w:noProof/>
          <w:sz w:val="24"/>
          <w:szCs w:val="24"/>
          <w:lang w:val="en-IE"/>
        </w:rPr>
        <w:t>are essential elements that will need to be taken into account in</w:t>
      </w:r>
      <w:r w:rsidR="0010313A" w:rsidRPr="00780A89">
        <w:rPr>
          <w:rFonts w:ascii="Times New Roman" w:eastAsia="Times New Roman" w:hAnsi="Times New Roman" w:cs="Times New Roman"/>
          <w:noProof/>
          <w:sz w:val="24"/>
          <w:szCs w:val="24"/>
          <w:lang w:val="en-IE"/>
        </w:rPr>
        <w:t xml:space="preserve"> </w:t>
      </w:r>
      <w:r>
        <w:rPr>
          <w:rFonts w:ascii="Times New Roman" w:eastAsia="Times New Roman" w:hAnsi="Times New Roman" w:cs="Times New Roman"/>
          <w:noProof/>
          <w:sz w:val="24"/>
          <w:szCs w:val="24"/>
          <w:lang w:val="en-IE"/>
        </w:rPr>
        <w:t>any future development of the security of supply legal framework</w:t>
      </w:r>
      <w:r w:rsidR="00657490" w:rsidRPr="00780A89">
        <w:rPr>
          <w:rFonts w:ascii="Times New Roman" w:eastAsia="Times New Roman" w:hAnsi="Times New Roman" w:cs="Times New Roman"/>
          <w:noProof/>
          <w:sz w:val="24"/>
          <w:szCs w:val="24"/>
          <w:lang w:val="en-IE"/>
        </w:rPr>
        <w:t xml:space="preserve"> to ensure </w:t>
      </w:r>
      <w:r w:rsidR="002C1527" w:rsidRPr="00780A89">
        <w:rPr>
          <w:rFonts w:ascii="Times New Roman" w:eastAsia="Times New Roman" w:hAnsi="Times New Roman" w:cs="Times New Roman"/>
          <w:noProof/>
          <w:sz w:val="24"/>
          <w:szCs w:val="24"/>
          <w:lang w:val="en-IE"/>
        </w:rPr>
        <w:t xml:space="preserve">the security of </w:t>
      </w:r>
      <w:r w:rsidR="00007350" w:rsidRPr="00780A89">
        <w:rPr>
          <w:rFonts w:ascii="Times New Roman" w:eastAsia="Times New Roman" w:hAnsi="Times New Roman" w:cs="Times New Roman"/>
          <w:noProof/>
          <w:sz w:val="24"/>
          <w:szCs w:val="24"/>
          <w:lang w:val="en-IE"/>
        </w:rPr>
        <w:t xml:space="preserve">gas </w:t>
      </w:r>
      <w:r w:rsidR="002C1527" w:rsidRPr="00780A89">
        <w:rPr>
          <w:rFonts w:ascii="Times New Roman" w:eastAsia="Times New Roman" w:hAnsi="Times New Roman" w:cs="Times New Roman"/>
          <w:noProof/>
          <w:sz w:val="24"/>
          <w:szCs w:val="24"/>
          <w:lang w:val="en-IE"/>
        </w:rPr>
        <w:t xml:space="preserve">supply </w:t>
      </w:r>
      <w:r w:rsidR="000169C8">
        <w:rPr>
          <w:rFonts w:ascii="Times New Roman" w:eastAsia="Times New Roman" w:hAnsi="Times New Roman" w:cs="Times New Roman"/>
          <w:noProof/>
          <w:sz w:val="24"/>
          <w:szCs w:val="24"/>
          <w:lang w:val="en-IE"/>
        </w:rPr>
        <w:t>and to</w:t>
      </w:r>
      <w:r w:rsidR="002C1527" w:rsidRPr="00780A89">
        <w:rPr>
          <w:rFonts w:ascii="Times New Roman" w:eastAsia="Times New Roman" w:hAnsi="Times New Roman" w:cs="Times New Roman"/>
          <w:noProof/>
          <w:sz w:val="24"/>
          <w:szCs w:val="24"/>
          <w:lang w:val="en-IE"/>
        </w:rPr>
        <w:t xml:space="preserve"> support the decarbonisation objectives of the EU</w:t>
      </w:r>
      <w:r w:rsidR="00007350" w:rsidRPr="00780A89">
        <w:rPr>
          <w:rFonts w:ascii="Times New Roman" w:eastAsia="Times New Roman" w:hAnsi="Times New Roman" w:cs="Times New Roman"/>
          <w:noProof/>
          <w:sz w:val="24"/>
          <w:szCs w:val="24"/>
          <w:lang w:val="en-IE"/>
        </w:rPr>
        <w:t>.</w:t>
      </w:r>
    </w:p>
    <w:p w14:paraId="4DF7F4D5" w14:textId="71B20266" w:rsidR="009D0B48" w:rsidRPr="00780A89" w:rsidRDefault="00F8229A" w:rsidP="00884E2D">
      <w:pPr>
        <w:jc w:val="both"/>
        <w:rPr>
          <w:rFonts w:ascii="Times New Roman" w:eastAsia="Times New Roman" w:hAnsi="Times New Roman" w:cs="Times New Roman"/>
          <w:noProof/>
          <w:sz w:val="24"/>
          <w:szCs w:val="24"/>
          <w:lang w:val="en-IE"/>
        </w:rPr>
      </w:pPr>
      <w:r w:rsidRPr="0AFCBEB5">
        <w:rPr>
          <w:rFonts w:ascii="Times New Roman" w:eastAsia="Times New Roman" w:hAnsi="Times New Roman" w:cs="Times New Roman"/>
          <w:noProof/>
          <w:sz w:val="24"/>
          <w:szCs w:val="24"/>
          <w:lang w:val="en-IE"/>
        </w:rPr>
        <w:t xml:space="preserve">This report </w:t>
      </w:r>
      <w:r w:rsidR="004D0E80">
        <w:rPr>
          <w:rFonts w:ascii="Times New Roman" w:eastAsia="Times New Roman" w:hAnsi="Times New Roman" w:cs="Times New Roman"/>
          <w:noProof/>
          <w:sz w:val="24"/>
          <w:szCs w:val="24"/>
          <w:lang w:val="en-IE"/>
        </w:rPr>
        <w:t>points to a number of potential improvements</w:t>
      </w:r>
      <w:r w:rsidRPr="0AFCBEB5">
        <w:rPr>
          <w:rFonts w:ascii="Times New Roman" w:eastAsia="Times New Roman" w:hAnsi="Times New Roman" w:cs="Times New Roman"/>
          <w:noProof/>
          <w:sz w:val="24"/>
          <w:szCs w:val="24"/>
          <w:lang w:val="en-IE"/>
        </w:rPr>
        <w:t xml:space="preserve"> </w:t>
      </w:r>
      <w:r w:rsidR="00C96670">
        <w:rPr>
          <w:rFonts w:ascii="Times New Roman" w:eastAsia="Times New Roman" w:hAnsi="Times New Roman" w:cs="Times New Roman"/>
          <w:noProof/>
          <w:sz w:val="24"/>
          <w:szCs w:val="24"/>
          <w:lang w:val="en-IE"/>
        </w:rPr>
        <w:t xml:space="preserve">to </w:t>
      </w:r>
      <w:r w:rsidRPr="0AFCBEB5">
        <w:rPr>
          <w:rFonts w:ascii="Times New Roman" w:eastAsia="Times New Roman" w:hAnsi="Times New Roman" w:cs="Times New Roman"/>
          <w:noProof/>
          <w:sz w:val="24"/>
          <w:szCs w:val="24"/>
          <w:lang w:val="en-IE"/>
        </w:rPr>
        <w:t>the EU’s security of gas supply architecture</w:t>
      </w:r>
      <w:r w:rsidR="00591269" w:rsidRPr="0AFCBEB5">
        <w:rPr>
          <w:rFonts w:ascii="Times New Roman" w:eastAsia="Times New Roman" w:hAnsi="Times New Roman" w:cs="Times New Roman"/>
          <w:noProof/>
          <w:sz w:val="24"/>
          <w:szCs w:val="24"/>
          <w:lang w:val="en-IE"/>
        </w:rPr>
        <w:t>.</w:t>
      </w:r>
      <w:r w:rsidR="00DC14CF" w:rsidRPr="0AFCBEB5">
        <w:rPr>
          <w:rFonts w:ascii="Times New Roman" w:eastAsia="Times New Roman" w:hAnsi="Times New Roman" w:cs="Times New Roman"/>
          <w:noProof/>
          <w:sz w:val="24"/>
          <w:szCs w:val="24"/>
          <w:lang w:val="en-IE"/>
        </w:rPr>
        <w:t xml:space="preserve"> </w:t>
      </w:r>
      <w:r w:rsidR="00591269" w:rsidRPr="0AFCBEB5">
        <w:rPr>
          <w:rFonts w:ascii="Times New Roman" w:eastAsia="Times New Roman" w:hAnsi="Times New Roman" w:cs="Times New Roman"/>
          <w:noProof/>
          <w:sz w:val="24"/>
          <w:szCs w:val="24"/>
          <w:lang w:val="en-IE"/>
        </w:rPr>
        <w:t>I</w:t>
      </w:r>
      <w:r w:rsidR="009532D0" w:rsidRPr="0AFCBEB5">
        <w:rPr>
          <w:rFonts w:ascii="Times New Roman" w:eastAsia="Times New Roman" w:hAnsi="Times New Roman" w:cs="Times New Roman"/>
          <w:noProof/>
          <w:sz w:val="24"/>
          <w:szCs w:val="24"/>
          <w:lang w:val="en-IE"/>
        </w:rPr>
        <w:t xml:space="preserve">n particular, as stipulated by Article 17 of the Gas Security of Supply Regulation, </w:t>
      </w:r>
      <w:r w:rsidR="00591269" w:rsidRPr="0AFCBEB5">
        <w:rPr>
          <w:rFonts w:ascii="Times New Roman" w:eastAsia="Times New Roman" w:hAnsi="Times New Roman" w:cs="Times New Roman"/>
          <w:noProof/>
          <w:sz w:val="24"/>
          <w:szCs w:val="24"/>
          <w:lang w:val="en-IE"/>
        </w:rPr>
        <w:t xml:space="preserve">the report forms the basis for further </w:t>
      </w:r>
      <w:r w:rsidR="00277D1C" w:rsidRPr="0AFCBEB5">
        <w:rPr>
          <w:rFonts w:ascii="Times New Roman" w:eastAsia="Times New Roman" w:hAnsi="Times New Roman" w:cs="Times New Roman"/>
          <w:noProof/>
          <w:sz w:val="24"/>
          <w:szCs w:val="24"/>
        </w:rPr>
        <w:t>reflections</w:t>
      </w:r>
      <w:r w:rsidR="00277D1C" w:rsidRPr="0AFCBEB5">
        <w:rPr>
          <w:rFonts w:ascii="Times New Roman" w:eastAsia="Times New Roman" w:hAnsi="Times New Roman" w:cs="Times New Roman"/>
          <w:noProof/>
          <w:sz w:val="24"/>
          <w:szCs w:val="24"/>
          <w:lang w:val="en-IE"/>
        </w:rPr>
        <w:t xml:space="preserve"> </w:t>
      </w:r>
      <w:r w:rsidR="00431150" w:rsidRPr="0AFCBEB5">
        <w:rPr>
          <w:rFonts w:ascii="Times New Roman" w:eastAsia="Times New Roman" w:hAnsi="Times New Roman" w:cs="Times New Roman"/>
          <w:noProof/>
          <w:sz w:val="24"/>
          <w:szCs w:val="24"/>
          <w:lang w:val="en-IE"/>
        </w:rPr>
        <w:t>in view of a po</w:t>
      </w:r>
      <w:r w:rsidR="004D0E80">
        <w:rPr>
          <w:rFonts w:ascii="Times New Roman" w:eastAsia="Times New Roman" w:hAnsi="Times New Roman" w:cs="Times New Roman"/>
          <w:noProof/>
          <w:sz w:val="24"/>
          <w:szCs w:val="24"/>
          <w:lang w:val="en-IE"/>
        </w:rPr>
        <w:t>tential</w:t>
      </w:r>
      <w:r w:rsidR="00431150" w:rsidRPr="0AFCBEB5">
        <w:rPr>
          <w:rFonts w:ascii="Times New Roman" w:eastAsia="Times New Roman" w:hAnsi="Times New Roman" w:cs="Times New Roman"/>
          <w:noProof/>
          <w:sz w:val="24"/>
          <w:szCs w:val="24"/>
          <w:lang w:val="en-IE"/>
        </w:rPr>
        <w:t xml:space="preserve"> future proposal by the Commission to amend </w:t>
      </w:r>
      <w:r w:rsidR="00884E2D" w:rsidRPr="0AFCBEB5">
        <w:rPr>
          <w:rFonts w:ascii="Times New Roman" w:eastAsia="Times New Roman" w:hAnsi="Times New Roman" w:cs="Times New Roman"/>
          <w:noProof/>
          <w:sz w:val="24"/>
          <w:szCs w:val="24"/>
          <w:lang w:val="en-IE"/>
        </w:rPr>
        <w:t>this Regulation.</w:t>
      </w:r>
    </w:p>
    <w:sectPr w:rsidR="009D0B48" w:rsidRPr="00780A89" w:rsidSect="003C469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F0438" w14:textId="77777777" w:rsidR="00126970" w:rsidRDefault="00126970" w:rsidP="00E005C5">
      <w:pPr>
        <w:spacing w:after="0" w:line="240" w:lineRule="auto"/>
      </w:pPr>
      <w:r>
        <w:separator/>
      </w:r>
    </w:p>
  </w:endnote>
  <w:endnote w:type="continuationSeparator" w:id="0">
    <w:p w14:paraId="01A5CB17" w14:textId="77777777" w:rsidR="00126970" w:rsidRDefault="00126970" w:rsidP="00E005C5">
      <w:pPr>
        <w:spacing w:after="0" w:line="240" w:lineRule="auto"/>
      </w:pPr>
      <w:r>
        <w:continuationSeparator/>
      </w:r>
    </w:p>
  </w:endnote>
  <w:endnote w:type="continuationNotice" w:id="1">
    <w:p w14:paraId="7D93658A" w14:textId="77777777" w:rsidR="00126970" w:rsidRDefault="00126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A7AD" w14:textId="36A37711" w:rsidR="003C4699" w:rsidRPr="00A73D7D" w:rsidRDefault="003C4699" w:rsidP="00A73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938F" w14:textId="21962520" w:rsidR="003C4699" w:rsidRPr="00A73D7D" w:rsidRDefault="00A73D7D" w:rsidP="00A73D7D">
    <w:pPr>
      <w:pStyle w:val="FooterCoverPage"/>
      <w:rPr>
        <w:rFonts w:ascii="Arial" w:hAnsi="Arial" w:cs="Arial"/>
        <w:b/>
        <w:sz w:val="48"/>
      </w:rPr>
    </w:pPr>
    <w:r w:rsidRPr="00A73D7D">
      <w:rPr>
        <w:rFonts w:ascii="Arial" w:hAnsi="Arial" w:cs="Arial"/>
        <w:b/>
        <w:sz w:val="48"/>
      </w:rPr>
      <w:t>EN</w:t>
    </w:r>
    <w:r w:rsidRPr="00A73D7D">
      <w:rPr>
        <w:rFonts w:ascii="Arial" w:hAnsi="Arial" w:cs="Arial"/>
        <w:b/>
        <w:sz w:val="48"/>
      </w:rPr>
      <w:tab/>
    </w:r>
    <w:r w:rsidRPr="00A73D7D">
      <w:rPr>
        <w:rFonts w:ascii="Arial" w:hAnsi="Arial" w:cs="Arial"/>
        <w:b/>
        <w:sz w:val="48"/>
      </w:rPr>
      <w:tab/>
    </w:r>
    <w:r w:rsidRPr="00A73D7D">
      <w:tab/>
    </w:r>
    <w:r w:rsidRPr="00A73D7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7A8E" w14:textId="77777777" w:rsidR="00A73D7D" w:rsidRPr="00A73D7D" w:rsidRDefault="00A73D7D" w:rsidP="00A73D7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BCC3" w14:textId="77777777" w:rsidR="003C4699" w:rsidRDefault="003C46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839928"/>
      <w:docPartObj>
        <w:docPartGallery w:val="Page Numbers (Bottom of Page)"/>
        <w:docPartUnique/>
      </w:docPartObj>
    </w:sdtPr>
    <w:sdtEndPr>
      <w:rPr>
        <w:rFonts w:ascii="Times New Roman" w:hAnsi="Times New Roman" w:cs="Times New Roman"/>
        <w:noProof/>
      </w:rPr>
    </w:sdtEndPr>
    <w:sdtContent>
      <w:p w14:paraId="29BF4436" w14:textId="2D4C5994" w:rsidR="00AA0311" w:rsidRPr="00493098" w:rsidRDefault="00AA0311">
        <w:pPr>
          <w:pStyle w:val="Footer"/>
          <w:jc w:val="center"/>
          <w:rPr>
            <w:rFonts w:ascii="Times New Roman" w:hAnsi="Times New Roman" w:cs="Times New Roman"/>
          </w:rPr>
        </w:pPr>
        <w:r w:rsidRPr="00493098">
          <w:rPr>
            <w:rFonts w:ascii="Times New Roman" w:hAnsi="Times New Roman" w:cs="Times New Roman"/>
          </w:rPr>
          <w:fldChar w:fldCharType="begin"/>
        </w:r>
        <w:r w:rsidRPr="00493098">
          <w:rPr>
            <w:rFonts w:ascii="Times New Roman" w:hAnsi="Times New Roman" w:cs="Times New Roman"/>
          </w:rPr>
          <w:instrText xml:space="preserve"> PAGE   \* MERGEFORMAT </w:instrText>
        </w:r>
        <w:r w:rsidRPr="00493098">
          <w:rPr>
            <w:rFonts w:ascii="Times New Roman" w:hAnsi="Times New Roman" w:cs="Times New Roman"/>
          </w:rPr>
          <w:fldChar w:fldCharType="separate"/>
        </w:r>
        <w:r w:rsidR="00A73D7D">
          <w:rPr>
            <w:rFonts w:ascii="Times New Roman" w:hAnsi="Times New Roman" w:cs="Times New Roman"/>
            <w:noProof/>
          </w:rPr>
          <w:t>1</w:t>
        </w:r>
        <w:r w:rsidRPr="00493098">
          <w:rPr>
            <w:rFonts w:ascii="Times New Roman" w:hAnsi="Times New Roman" w:cs="Times New Roman"/>
            <w:noProof/>
          </w:rPr>
          <w:fldChar w:fldCharType="end"/>
        </w:r>
      </w:p>
    </w:sdtContent>
  </w:sdt>
  <w:p w14:paraId="6C7283BE" w14:textId="77777777" w:rsidR="003C4699" w:rsidRDefault="003C46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2552" w14:textId="77777777" w:rsidR="003C4699" w:rsidRDefault="003C4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B4964" w14:textId="77777777" w:rsidR="00126970" w:rsidRDefault="00126970" w:rsidP="00E005C5">
      <w:pPr>
        <w:spacing w:after="0" w:line="240" w:lineRule="auto"/>
      </w:pPr>
      <w:r>
        <w:separator/>
      </w:r>
    </w:p>
  </w:footnote>
  <w:footnote w:type="continuationSeparator" w:id="0">
    <w:p w14:paraId="1C1A343C" w14:textId="77777777" w:rsidR="00126970" w:rsidRDefault="00126970" w:rsidP="00E005C5">
      <w:pPr>
        <w:spacing w:after="0" w:line="240" w:lineRule="auto"/>
      </w:pPr>
      <w:r>
        <w:continuationSeparator/>
      </w:r>
    </w:p>
  </w:footnote>
  <w:footnote w:type="continuationNotice" w:id="1">
    <w:p w14:paraId="62A7E866" w14:textId="77777777" w:rsidR="00126970" w:rsidRDefault="00126970">
      <w:pPr>
        <w:spacing w:after="0" w:line="240" w:lineRule="auto"/>
      </w:pPr>
    </w:p>
  </w:footnote>
  <w:footnote w:id="2">
    <w:p w14:paraId="5B85A97A" w14:textId="0C6B4D5C" w:rsidR="0AFCBEB5" w:rsidRPr="00840667" w:rsidRDefault="0AFCBEB5" w:rsidP="008216C3">
      <w:pPr>
        <w:pStyle w:val="FootnoteText"/>
        <w:rPr>
          <w:rFonts w:ascii="Times New Roman" w:hAnsi="Times New Roman" w:cs="Times New Roman"/>
        </w:rPr>
      </w:pPr>
      <w:r w:rsidRPr="00840667">
        <w:rPr>
          <w:rStyle w:val="FootnoteReference"/>
          <w:rFonts w:ascii="Times New Roman" w:hAnsi="Times New Roman" w:cs="Times New Roman"/>
        </w:rPr>
        <w:footnoteRef/>
      </w:r>
      <w:r w:rsidRPr="00840667">
        <w:rPr>
          <w:rFonts w:ascii="Times New Roman" w:hAnsi="Times New Roman" w:cs="Times New Roman"/>
        </w:rPr>
        <w:t xml:space="preserve"> </w:t>
      </w:r>
      <w:hyperlink r:id="rId1" w:history="1">
        <w:r w:rsidR="008216C3" w:rsidRPr="00840667">
          <w:rPr>
            <w:rStyle w:val="Hyperlink"/>
            <w:rFonts w:ascii="Times New Roman" w:hAnsi="Times New Roman" w:cs="Times New Roman"/>
          </w:rPr>
          <w:t>https://eur-lex.europa.eu/legal-content/EN/TXT/?uri=COM%3A2022%3A230%3AFIN&amp;qid=1653033742483</w:t>
        </w:r>
      </w:hyperlink>
      <w:r w:rsidR="008216C3" w:rsidRPr="00840667">
        <w:rPr>
          <w:rFonts w:ascii="Times New Roman" w:hAnsi="Times New Roman" w:cs="Times New Roman"/>
        </w:rPr>
        <w:t xml:space="preserve"> </w:t>
      </w:r>
    </w:p>
    <w:p w14:paraId="0B83680A" w14:textId="77777777" w:rsidR="00746A6C" w:rsidRPr="00840667" w:rsidRDefault="00746A6C" w:rsidP="008216C3">
      <w:pPr>
        <w:pStyle w:val="FootnoteText"/>
        <w:rPr>
          <w:rFonts w:ascii="Times New Roman" w:hAnsi="Times New Roman" w:cs="Times New Roman"/>
        </w:rPr>
      </w:pPr>
    </w:p>
  </w:footnote>
  <w:footnote w:id="3">
    <w:p w14:paraId="6FCEDBA6" w14:textId="26D9EF43" w:rsidR="007513C5" w:rsidRPr="007513C5" w:rsidRDefault="007513C5" w:rsidP="00493098">
      <w:pPr>
        <w:pStyle w:val="FootnoteText"/>
        <w:jc w:val="both"/>
        <w:rPr>
          <w:rFonts w:ascii="Times New Roman" w:hAnsi="Times New Roman" w:cs="Times New Roman"/>
        </w:rPr>
      </w:pPr>
      <w:r w:rsidRPr="007513C5">
        <w:rPr>
          <w:rStyle w:val="FootnoteReference"/>
          <w:rFonts w:ascii="Times New Roman" w:hAnsi="Times New Roman" w:cs="Times New Roman"/>
        </w:rPr>
        <w:footnoteRef/>
      </w:r>
      <w:r w:rsidRPr="007513C5">
        <w:rPr>
          <w:rFonts w:ascii="Times New Roman" w:hAnsi="Times New Roman" w:cs="Times New Roman"/>
        </w:rPr>
        <w:t xml:space="preserve"> </w:t>
      </w:r>
      <w:r w:rsidRPr="007513C5">
        <w:rPr>
          <w:rFonts w:ascii="Times New Roman" w:eastAsia="Calibri" w:hAnsi="Times New Roman" w:cs="Times New Roman"/>
          <w:lang w:val="en-IE"/>
        </w:rPr>
        <w:t>Chapter IV of the Solidarity Regulation concerns temporary measures applicable in case of a gas emergency. It complements the Gas Security of Supply Regulation.</w:t>
      </w:r>
    </w:p>
  </w:footnote>
  <w:footnote w:id="4">
    <w:p w14:paraId="2B178188" w14:textId="77777777" w:rsidR="007513C5" w:rsidRPr="007513C5" w:rsidRDefault="007513C5" w:rsidP="00493098">
      <w:pPr>
        <w:pStyle w:val="FootnoteText"/>
        <w:jc w:val="both"/>
        <w:rPr>
          <w:rFonts w:ascii="Times New Roman" w:hAnsi="Times New Roman" w:cs="Times New Roman"/>
        </w:rPr>
      </w:pPr>
    </w:p>
    <w:p w14:paraId="5D420D33" w14:textId="18577A52" w:rsidR="007513C5" w:rsidRDefault="007513C5" w:rsidP="00493098">
      <w:pPr>
        <w:pStyle w:val="FootnoteText"/>
        <w:jc w:val="both"/>
        <w:rPr>
          <w:rFonts w:ascii="Times New Roman" w:hAnsi="Times New Roman" w:cs="Times New Roman"/>
          <w:lang w:val="en-IE"/>
        </w:rPr>
      </w:pPr>
      <w:r w:rsidRPr="00D27E9B">
        <w:rPr>
          <w:rStyle w:val="FootnoteReference"/>
          <w:rFonts w:ascii="Times New Roman" w:hAnsi="Times New Roman" w:cs="Times New Roman"/>
        </w:rPr>
        <w:footnoteRef/>
      </w:r>
      <w:hyperlink r:id="rId2" w:history="1">
        <w:r w:rsidR="00493098" w:rsidRPr="000A306D">
          <w:rPr>
            <w:rStyle w:val="Hyperlink"/>
            <w:rFonts w:ascii="Times New Roman" w:hAnsi="Times New Roman" w:cs="Times New Roman"/>
            <w:lang w:val="en-IE"/>
          </w:rPr>
          <w:t>https://energy.ec.europa.eu/topics/markets-and-consumers/market-legislation/hydrogen-and-decarbonised-gas-market-package_en</w:t>
        </w:r>
      </w:hyperlink>
      <w:r w:rsidR="00D27E9B" w:rsidRPr="00D27E9B">
        <w:rPr>
          <w:rFonts w:ascii="Times New Roman" w:hAnsi="Times New Roman" w:cs="Times New Roman"/>
          <w:lang w:val="en-IE"/>
        </w:rPr>
        <w:t>. For more details, see section 3.7</w:t>
      </w:r>
    </w:p>
    <w:p w14:paraId="0AE2D2FA" w14:textId="77777777" w:rsidR="00D27E9B" w:rsidRPr="00D27E9B" w:rsidRDefault="00D27E9B" w:rsidP="00493098">
      <w:pPr>
        <w:pStyle w:val="FootnoteText"/>
        <w:jc w:val="both"/>
        <w:rPr>
          <w:rFonts w:ascii="Times New Roman" w:hAnsi="Times New Roman" w:cs="Times New Roman"/>
          <w:lang w:val="en-IE"/>
        </w:rPr>
      </w:pPr>
    </w:p>
  </w:footnote>
  <w:footnote w:id="5">
    <w:p w14:paraId="30C21928" w14:textId="42004059" w:rsidR="0AFCBEB5" w:rsidRPr="00D27E9B" w:rsidRDefault="0AFCBEB5" w:rsidP="006D721B">
      <w:pPr>
        <w:pStyle w:val="FootnoteText"/>
        <w:jc w:val="both"/>
        <w:rPr>
          <w:rStyle w:val="Hyperlink"/>
          <w:rFonts w:ascii="Times New Roman" w:hAnsi="Times New Roman" w:cs="Times New Roman"/>
        </w:rPr>
      </w:pPr>
      <w:r w:rsidRPr="00D27E9B">
        <w:rPr>
          <w:rStyle w:val="FootnoteReference"/>
          <w:rFonts w:ascii="Times New Roman" w:hAnsi="Times New Roman" w:cs="Times New Roman"/>
        </w:rPr>
        <w:footnoteRef/>
      </w:r>
      <w:r w:rsidRPr="00D27E9B">
        <w:rPr>
          <w:rFonts w:ascii="Times New Roman" w:hAnsi="Times New Roman" w:cs="Times New Roman"/>
          <w:sz w:val="10"/>
          <w:szCs w:val="10"/>
        </w:rPr>
        <w:t xml:space="preserve"> </w:t>
      </w:r>
      <w:hyperlink r:id="rId3" w:history="1">
        <w:r w:rsidR="001A724C" w:rsidRPr="00D27E9B">
          <w:rPr>
            <w:rStyle w:val="Hyperlink"/>
            <w:rFonts w:ascii="Times New Roman" w:hAnsi="Times New Roman" w:cs="Times New Roman"/>
          </w:rPr>
          <w:t>https://energy.ec.europa.eu/topics/energy-security/commissions-opinions-preventive-action-plans-and-emergency-plans_en</w:t>
        </w:r>
      </w:hyperlink>
      <w:r w:rsidR="00D27E9B" w:rsidRPr="00D27E9B">
        <w:rPr>
          <w:rStyle w:val="Hyperlink"/>
          <w:rFonts w:ascii="Times New Roman" w:hAnsi="Times New Roman" w:cs="Times New Roman"/>
        </w:rPr>
        <w:t xml:space="preserve"> </w:t>
      </w:r>
    </w:p>
    <w:p w14:paraId="322C5A3A" w14:textId="77777777" w:rsidR="001C2FFF" w:rsidRPr="001A724C" w:rsidRDefault="001C2FFF" w:rsidP="001A724C">
      <w:pPr>
        <w:pStyle w:val="FootnoteText"/>
        <w:jc w:val="both"/>
        <w:rPr>
          <w:rFonts w:ascii="Times New Roman" w:hAnsi="Times New Roman" w:cs="Times New Roman"/>
        </w:rPr>
      </w:pPr>
    </w:p>
  </w:footnote>
  <w:footnote w:id="6">
    <w:p w14:paraId="1C702FFD" w14:textId="5001D1E2" w:rsidR="0AFCBEB5" w:rsidRDefault="0AFCBEB5" w:rsidP="001A724C">
      <w:pPr>
        <w:pStyle w:val="FootnoteText"/>
        <w:jc w:val="both"/>
        <w:rPr>
          <w:rFonts w:ascii="Times New Roman" w:hAnsi="Times New Roman" w:cs="Times New Roman"/>
        </w:rPr>
      </w:pPr>
      <w:r w:rsidRPr="001C2FFF">
        <w:rPr>
          <w:rFonts w:ascii="Times New Roman" w:hAnsi="Times New Roman" w:cs="Times New Roman"/>
          <w:vertAlign w:val="superscript"/>
        </w:rPr>
        <w:footnoteRef/>
      </w:r>
      <w:r w:rsidRPr="001C2FFF">
        <w:rPr>
          <w:rFonts w:ascii="Times New Roman" w:hAnsi="Times New Roman" w:cs="Times New Roman"/>
          <w:vertAlign w:val="superscript"/>
        </w:rPr>
        <w:t xml:space="preserve"> </w:t>
      </w:r>
      <w:r w:rsidR="001C2FFF" w:rsidRPr="001A724C">
        <w:rPr>
          <w:rFonts w:ascii="Times New Roman" w:hAnsi="Times New Roman" w:cs="Times New Roman"/>
        </w:rPr>
        <w:t>EU Pilots were sent in early June 2023</w:t>
      </w:r>
      <w:r w:rsidR="001C2FFF">
        <w:rPr>
          <w:rFonts w:ascii="Times New Roman" w:hAnsi="Times New Roman" w:cs="Times New Roman"/>
        </w:rPr>
        <w:t xml:space="preserve"> </w:t>
      </w:r>
      <w:r w:rsidRPr="001A724C">
        <w:rPr>
          <w:rFonts w:ascii="Times New Roman" w:hAnsi="Times New Roman" w:cs="Times New Roman"/>
        </w:rPr>
        <w:t xml:space="preserve">to Member States whose Preventive Action Plans, Emergency Plans and Risk Assessments are missing. For further details, see sections 3.4.1 and 3.5 of the accompanying </w:t>
      </w:r>
      <w:r w:rsidR="001C2FFF">
        <w:rPr>
          <w:rFonts w:ascii="Times New Roman" w:hAnsi="Times New Roman" w:cs="Times New Roman"/>
        </w:rPr>
        <w:t>Staff Working Document</w:t>
      </w:r>
      <w:r w:rsidRPr="001A724C">
        <w:rPr>
          <w:rFonts w:ascii="Times New Roman" w:hAnsi="Times New Roman" w:cs="Times New Roman"/>
        </w:rPr>
        <w:t>.</w:t>
      </w:r>
    </w:p>
    <w:p w14:paraId="6928FD56" w14:textId="77777777" w:rsidR="001C2FFF" w:rsidRPr="001A724C" w:rsidRDefault="001C2FFF" w:rsidP="001A724C">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19979" w14:textId="77777777" w:rsidR="00A73D7D" w:rsidRPr="00A73D7D" w:rsidRDefault="00A73D7D" w:rsidP="00A73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F1F9" w14:textId="77777777" w:rsidR="00A73D7D" w:rsidRPr="00A73D7D" w:rsidRDefault="00A73D7D" w:rsidP="00A73D7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CD26D" w14:textId="77777777" w:rsidR="00A73D7D" w:rsidRPr="00A73D7D" w:rsidRDefault="00A73D7D" w:rsidP="00A73D7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B459" w14:textId="77777777" w:rsidR="003C4699" w:rsidRDefault="003C46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A1C6" w14:textId="77777777" w:rsidR="003C4699" w:rsidRDefault="003C46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FA4D" w14:textId="77777777" w:rsidR="003C4699" w:rsidRDefault="003C4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0D54"/>
    <w:multiLevelType w:val="hybridMultilevel"/>
    <w:tmpl w:val="4EF0B404"/>
    <w:lvl w:ilvl="0" w:tplc="82B6237C">
      <w:start w:val="1"/>
      <w:numFmt w:val="bullet"/>
      <w:lvlText w:val=""/>
      <w:lvlJc w:val="left"/>
      <w:pPr>
        <w:ind w:left="720" w:hanging="360"/>
      </w:pPr>
      <w:rPr>
        <w:rFonts w:ascii="Symbol" w:hAnsi="Symbol" w:hint="default"/>
      </w:rPr>
    </w:lvl>
    <w:lvl w:ilvl="1" w:tplc="D8165C9A">
      <w:start w:val="1"/>
      <w:numFmt w:val="bullet"/>
      <w:lvlText w:val="o"/>
      <w:lvlJc w:val="left"/>
      <w:pPr>
        <w:ind w:left="1440" w:hanging="360"/>
      </w:pPr>
      <w:rPr>
        <w:rFonts w:ascii="Courier New" w:hAnsi="Courier New" w:hint="default"/>
      </w:rPr>
    </w:lvl>
    <w:lvl w:ilvl="2" w:tplc="FECC5CFE">
      <w:start w:val="1"/>
      <w:numFmt w:val="bullet"/>
      <w:lvlText w:val=""/>
      <w:lvlJc w:val="left"/>
      <w:pPr>
        <w:ind w:left="2160" w:hanging="360"/>
      </w:pPr>
      <w:rPr>
        <w:rFonts w:ascii="Wingdings" w:hAnsi="Wingdings" w:hint="default"/>
      </w:rPr>
    </w:lvl>
    <w:lvl w:ilvl="3" w:tplc="CEECE922">
      <w:start w:val="1"/>
      <w:numFmt w:val="bullet"/>
      <w:lvlText w:val=""/>
      <w:lvlJc w:val="left"/>
      <w:pPr>
        <w:ind w:left="2880" w:hanging="360"/>
      </w:pPr>
      <w:rPr>
        <w:rFonts w:ascii="Symbol" w:hAnsi="Symbol" w:hint="default"/>
      </w:rPr>
    </w:lvl>
    <w:lvl w:ilvl="4" w:tplc="63A2B4E6">
      <w:start w:val="1"/>
      <w:numFmt w:val="bullet"/>
      <w:lvlText w:val="o"/>
      <w:lvlJc w:val="left"/>
      <w:pPr>
        <w:ind w:left="3600" w:hanging="360"/>
      </w:pPr>
      <w:rPr>
        <w:rFonts w:ascii="Courier New" w:hAnsi="Courier New" w:hint="default"/>
      </w:rPr>
    </w:lvl>
    <w:lvl w:ilvl="5" w:tplc="51BE5386">
      <w:start w:val="1"/>
      <w:numFmt w:val="bullet"/>
      <w:lvlText w:val=""/>
      <w:lvlJc w:val="left"/>
      <w:pPr>
        <w:ind w:left="4320" w:hanging="360"/>
      </w:pPr>
      <w:rPr>
        <w:rFonts w:ascii="Wingdings" w:hAnsi="Wingdings" w:hint="default"/>
      </w:rPr>
    </w:lvl>
    <w:lvl w:ilvl="6" w:tplc="909E9DDA">
      <w:start w:val="1"/>
      <w:numFmt w:val="bullet"/>
      <w:lvlText w:val=""/>
      <w:lvlJc w:val="left"/>
      <w:pPr>
        <w:ind w:left="5040" w:hanging="360"/>
      </w:pPr>
      <w:rPr>
        <w:rFonts w:ascii="Symbol" w:hAnsi="Symbol" w:hint="default"/>
      </w:rPr>
    </w:lvl>
    <w:lvl w:ilvl="7" w:tplc="2AE277A0">
      <w:start w:val="1"/>
      <w:numFmt w:val="bullet"/>
      <w:lvlText w:val="o"/>
      <w:lvlJc w:val="left"/>
      <w:pPr>
        <w:ind w:left="5760" w:hanging="360"/>
      </w:pPr>
      <w:rPr>
        <w:rFonts w:ascii="Courier New" w:hAnsi="Courier New" w:hint="default"/>
      </w:rPr>
    </w:lvl>
    <w:lvl w:ilvl="8" w:tplc="B2C6E7BA">
      <w:start w:val="1"/>
      <w:numFmt w:val="bullet"/>
      <w:lvlText w:val=""/>
      <w:lvlJc w:val="left"/>
      <w:pPr>
        <w:ind w:left="6480" w:hanging="360"/>
      </w:pPr>
      <w:rPr>
        <w:rFonts w:ascii="Wingdings" w:hAnsi="Wingdings" w:hint="default"/>
      </w:rPr>
    </w:lvl>
  </w:abstractNum>
  <w:abstractNum w:abstractNumId="1" w15:restartNumberingAfterBreak="0">
    <w:nsid w:val="0AE620BB"/>
    <w:multiLevelType w:val="hybridMultilevel"/>
    <w:tmpl w:val="97BED900"/>
    <w:lvl w:ilvl="0" w:tplc="55EA50DC">
      <w:start w:val="1"/>
      <w:numFmt w:val="bullet"/>
      <w:lvlText w:val=""/>
      <w:lvlJc w:val="left"/>
      <w:pPr>
        <w:ind w:left="720" w:hanging="360"/>
      </w:pPr>
      <w:rPr>
        <w:rFonts w:ascii="Symbol" w:hAnsi="Symbol" w:hint="default"/>
      </w:rPr>
    </w:lvl>
    <w:lvl w:ilvl="1" w:tplc="5FC6B680">
      <w:start w:val="1"/>
      <w:numFmt w:val="bullet"/>
      <w:lvlText w:val="o"/>
      <w:lvlJc w:val="left"/>
      <w:pPr>
        <w:ind w:left="1440" w:hanging="360"/>
      </w:pPr>
      <w:rPr>
        <w:rFonts w:ascii="Courier New" w:hAnsi="Courier New" w:hint="default"/>
      </w:rPr>
    </w:lvl>
    <w:lvl w:ilvl="2" w:tplc="D764D5B0">
      <w:start w:val="1"/>
      <w:numFmt w:val="bullet"/>
      <w:lvlText w:val=""/>
      <w:lvlJc w:val="left"/>
      <w:pPr>
        <w:ind w:left="2160" w:hanging="360"/>
      </w:pPr>
      <w:rPr>
        <w:rFonts w:ascii="Wingdings" w:hAnsi="Wingdings" w:hint="default"/>
      </w:rPr>
    </w:lvl>
    <w:lvl w:ilvl="3" w:tplc="791A6528">
      <w:start w:val="1"/>
      <w:numFmt w:val="bullet"/>
      <w:lvlText w:val=""/>
      <w:lvlJc w:val="left"/>
      <w:pPr>
        <w:ind w:left="2880" w:hanging="360"/>
      </w:pPr>
      <w:rPr>
        <w:rFonts w:ascii="Symbol" w:hAnsi="Symbol" w:hint="default"/>
      </w:rPr>
    </w:lvl>
    <w:lvl w:ilvl="4" w:tplc="4C68C96E">
      <w:start w:val="1"/>
      <w:numFmt w:val="bullet"/>
      <w:lvlText w:val="o"/>
      <w:lvlJc w:val="left"/>
      <w:pPr>
        <w:ind w:left="3600" w:hanging="360"/>
      </w:pPr>
      <w:rPr>
        <w:rFonts w:ascii="Courier New" w:hAnsi="Courier New" w:hint="default"/>
      </w:rPr>
    </w:lvl>
    <w:lvl w:ilvl="5" w:tplc="098A3AE0">
      <w:start w:val="1"/>
      <w:numFmt w:val="bullet"/>
      <w:lvlText w:val=""/>
      <w:lvlJc w:val="left"/>
      <w:pPr>
        <w:ind w:left="4320" w:hanging="360"/>
      </w:pPr>
      <w:rPr>
        <w:rFonts w:ascii="Wingdings" w:hAnsi="Wingdings" w:hint="default"/>
      </w:rPr>
    </w:lvl>
    <w:lvl w:ilvl="6" w:tplc="13A8975A">
      <w:start w:val="1"/>
      <w:numFmt w:val="bullet"/>
      <w:lvlText w:val=""/>
      <w:lvlJc w:val="left"/>
      <w:pPr>
        <w:ind w:left="5040" w:hanging="360"/>
      </w:pPr>
      <w:rPr>
        <w:rFonts w:ascii="Symbol" w:hAnsi="Symbol" w:hint="default"/>
      </w:rPr>
    </w:lvl>
    <w:lvl w:ilvl="7" w:tplc="DB8E4FE2">
      <w:start w:val="1"/>
      <w:numFmt w:val="bullet"/>
      <w:lvlText w:val="o"/>
      <w:lvlJc w:val="left"/>
      <w:pPr>
        <w:ind w:left="5760" w:hanging="360"/>
      </w:pPr>
      <w:rPr>
        <w:rFonts w:ascii="Courier New" w:hAnsi="Courier New" w:hint="default"/>
      </w:rPr>
    </w:lvl>
    <w:lvl w:ilvl="8" w:tplc="F8AA4B68">
      <w:start w:val="1"/>
      <w:numFmt w:val="bullet"/>
      <w:lvlText w:val=""/>
      <w:lvlJc w:val="left"/>
      <w:pPr>
        <w:ind w:left="6480" w:hanging="360"/>
      </w:pPr>
      <w:rPr>
        <w:rFonts w:ascii="Wingdings" w:hAnsi="Wingdings" w:hint="default"/>
      </w:rPr>
    </w:lvl>
  </w:abstractNum>
  <w:abstractNum w:abstractNumId="2" w15:restartNumberingAfterBreak="0">
    <w:nsid w:val="0B2003C7"/>
    <w:multiLevelType w:val="hybridMultilevel"/>
    <w:tmpl w:val="1480F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BF7706"/>
    <w:multiLevelType w:val="hybridMultilevel"/>
    <w:tmpl w:val="208299F8"/>
    <w:lvl w:ilvl="0" w:tplc="E7E6E72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FBC232"/>
    <w:multiLevelType w:val="hybridMultilevel"/>
    <w:tmpl w:val="FFFFFFFF"/>
    <w:lvl w:ilvl="0" w:tplc="FFB45134">
      <w:start w:val="1"/>
      <w:numFmt w:val="bullet"/>
      <w:lvlText w:val=""/>
      <w:lvlJc w:val="left"/>
      <w:pPr>
        <w:ind w:left="360" w:hanging="360"/>
      </w:pPr>
      <w:rPr>
        <w:rFonts w:ascii="Symbol" w:hAnsi="Symbol" w:hint="default"/>
      </w:rPr>
    </w:lvl>
    <w:lvl w:ilvl="1" w:tplc="AE28CAA6">
      <w:start w:val="1"/>
      <w:numFmt w:val="bullet"/>
      <w:lvlText w:val="o"/>
      <w:lvlJc w:val="left"/>
      <w:pPr>
        <w:ind w:left="1080" w:hanging="360"/>
      </w:pPr>
      <w:rPr>
        <w:rFonts w:ascii="Courier New" w:hAnsi="Courier New" w:hint="default"/>
      </w:rPr>
    </w:lvl>
    <w:lvl w:ilvl="2" w:tplc="E03A8DBC">
      <w:start w:val="1"/>
      <w:numFmt w:val="bullet"/>
      <w:lvlText w:val=""/>
      <w:lvlJc w:val="left"/>
      <w:pPr>
        <w:ind w:left="1800" w:hanging="360"/>
      </w:pPr>
      <w:rPr>
        <w:rFonts w:ascii="Wingdings" w:hAnsi="Wingdings" w:hint="default"/>
      </w:rPr>
    </w:lvl>
    <w:lvl w:ilvl="3" w:tplc="104A5046">
      <w:start w:val="1"/>
      <w:numFmt w:val="bullet"/>
      <w:lvlText w:val=""/>
      <w:lvlJc w:val="left"/>
      <w:pPr>
        <w:ind w:left="2520" w:hanging="360"/>
      </w:pPr>
      <w:rPr>
        <w:rFonts w:ascii="Symbol" w:hAnsi="Symbol" w:hint="default"/>
      </w:rPr>
    </w:lvl>
    <w:lvl w:ilvl="4" w:tplc="193C5474">
      <w:start w:val="1"/>
      <w:numFmt w:val="bullet"/>
      <w:lvlText w:val="o"/>
      <w:lvlJc w:val="left"/>
      <w:pPr>
        <w:ind w:left="3240" w:hanging="360"/>
      </w:pPr>
      <w:rPr>
        <w:rFonts w:ascii="Courier New" w:hAnsi="Courier New" w:hint="default"/>
      </w:rPr>
    </w:lvl>
    <w:lvl w:ilvl="5" w:tplc="63EA6E52">
      <w:start w:val="1"/>
      <w:numFmt w:val="bullet"/>
      <w:lvlText w:val=""/>
      <w:lvlJc w:val="left"/>
      <w:pPr>
        <w:ind w:left="3960" w:hanging="360"/>
      </w:pPr>
      <w:rPr>
        <w:rFonts w:ascii="Wingdings" w:hAnsi="Wingdings" w:hint="default"/>
      </w:rPr>
    </w:lvl>
    <w:lvl w:ilvl="6" w:tplc="AF3646D8">
      <w:start w:val="1"/>
      <w:numFmt w:val="bullet"/>
      <w:lvlText w:val=""/>
      <w:lvlJc w:val="left"/>
      <w:pPr>
        <w:ind w:left="4680" w:hanging="360"/>
      </w:pPr>
      <w:rPr>
        <w:rFonts w:ascii="Symbol" w:hAnsi="Symbol" w:hint="default"/>
      </w:rPr>
    </w:lvl>
    <w:lvl w:ilvl="7" w:tplc="4A841294">
      <w:start w:val="1"/>
      <w:numFmt w:val="bullet"/>
      <w:lvlText w:val="o"/>
      <w:lvlJc w:val="left"/>
      <w:pPr>
        <w:ind w:left="5400" w:hanging="360"/>
      </w:pPr>
      <w:rPr>
        <w:rFonts w:ascii="Courier New" w:hAnsi="Courier New" w:hint="default"/>
      </w:rPr>
    </w:lvl>
    <w:lvl w:ilvl="8" w:tplc="2A1E39CC">
      <w:start w:val="1"/>
      <w:numFmt w:val="bullet"/>
      <w:lvlText w:val=""/>
      <w:lvlJc w:val="left"/>
      <w:pPr>
        <w:ind w:left="6120" w:hanging="360"/>
      </w:pPr>
      <w:rPr>
        <w:rFonts w:ascii="Wingdings" w:hAnsi="Wingdings" w:hint="default"/>
      </w:rPr>
    </w:lvl>
  </w:abstractNum>
  <w:abstractNum w:abstractNumId="5" w15:restartNumberingAfterBreak="0">
    <w:nsid w:val="1E8B02DF"/>
    <w:multiLevelType w:val="hybridMultilevel"/>
    <w:tmpl w:val="A9DCEF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927C00"/>
    <w:multiLevelType w:val="multilevel"/>
    <w:tmpl w:val="7632EDA2"/>
    <w:lvl w:ilvl="0">
      <w:start w:val="1"/>
      <w:numFmt w:val="decimal"/>
      <w:lvlText w:val="%1."/>
      <w:lvlJc w:val="left"/>
      <w:pPr>
        <w:ind w:left="360" w:hanging="360"/>
      </w:pPr>
      <w:rPr>
        <w:b/>
      </w:rPr>
    </w:lvl>
    <w:lvl w:ilvl="1">
      <w:start w:val="1"/>
      <w:numFmt w:val="decimal"/>
      <w:isLgl/>
      <w:lvlText w:val="%1.%2."/>
      <w:lvlJc w:val="left"/>
      <w:pPr>
        <w:ind w:left="64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96E776"/>
    <w:multiLevelType w:val="hybridMultilevel"/>
    <w:tmpl w:val="AC6EA3CA"/>
    <w:lvl w:ilvl="0" w:tplc="F69C5908">
      <w:start w:val="1"/>
      <w:numFmt w:val="bullet"/>
      <w:lvlText w:val="-"/>
      <w:lvlJc w:val="left"/>
      <w:pPr>
        <w:ind w:left="720" w:hanging="360"/>
      </w:pPr>
      <w:rPr>
        <w:rFonts w:ascii="Calibri" w:hAnsi="Calibri" w:hint="default"/>
      </w:rPr>
    </w:lvl>
    <w:lvl w:ilvl="1" w:tplc="E87429EA">
      <w:start w:val="1"/>
      <w:numFmt w:val="bullet"/>
      <w:lvlText w:val="o"/>
      <w:lvlJc w:val="left"/>
      <w:pPr>
        <w:ind w:left="1440" w:hanging="360"/>
      </w:pPr>
      <w:rPr>
        <w:rFonts w:ascii="Courier New" w:hAnsi="Courier New" w:hint="default"/>
      </w:rPr>
    </w:lvl>
    <w:lvl w:ilvl="2" w:tplc="82428710">
      <w:start w:val="1"/>
      <w:numFmt w:val="bullet"/>
      <w:lvlText w:val=""/>
      <w:lvlJc w:val="left"/>
      <w:pPr>
        <w:ind w:left="2160" w:hanging="360"/>
      </w:pPr>
      <w:rPr>
        <w:rFonts w:ascii="Wingdings" w:hAnsi="Wingdings" w:hint="default"/>
      </w:rPr>
    </w:lvl>
    <w:lvl w:ilvl="3" w:tplc="ED243F3C">
      <w:start w:val="1"/>
      <w:numFmt w:val="bullet"/>
      <w:lvlText w:val=""/>
      <w:lvlJc w:val="left"/>
      <w:pPr>
        <w:ind w:left="2880" w:hanging="360"/>
      </w:pPr>
      <w:rPr>
        <w:rFonts w:ascii="Symbol" w:hAnsi="Symbol" w:hint="default"/>
      </w:rPr>
    </w:lvl>
    <w:lvl w:ilvl="4" w:tplc="2B10649C">
      <w:start w:val="1"/>
      <w:numFmt w:val="bullet"/>
      <w:lvlText w:val="o"/>
      <w:lvlJc w:val="left"/>
      <w:pPr>
        <w:ind w:left="3600" w:hanging="360"/>
      </w:pPr>
      <w:rPr>
        <w:rFonts w:ascii="Courier New" w:hAnsi="Courier New" w:hint="default"/>
      </w:rPr>
    </w:lvl>
    <w:lvl w:ilvl="5" w:tplc="54B63746">
      <w:start w:val="1"/>
      <w:numFmt w:val="bullet"/>
      <w:lvlText w:val=""/>
      <w:lvlJc w:val="left"/>
      <w:pPr>
        <w:ind w:left="4320" w:hanging="360"/>
      </w:pPr>
      <w:rPr>
        <w:rFonts w:ascii="Wingdings" w:hAnsi="Wingdings" w:hint="default"/>
      </w:rPr>
    </w:lvl>
    <w:lvl w:ilvl="6" w:tplc="050E42E6">
      <w:start w:val="1"/>
      <w:numFmt w:val="bullet"/>
      <w:lvlText w:val=""/>
      <w:lvlJc w:val="left"/>
      <w:pPr>
        <w:ind w:left="5040" w:hanging="360"/>
      </w:pPr>
      <w:rPr>
        <w:rFonts w:ascii="Symbol" w:hAnsi="Symbol" w:hint="default"/>
      </w:rPr>
    </w:lvl>
    <w:lvl w:ilvl="7" w:tplc="C8F019B8">
      <w:start w:val="1"/>
      <w:numFmt w:val="bullet"/>
      <w:lvlText w:val="o"/>
      <w:lvlJc w:val="left"/>
      <w:pPr>
        <w:ind w:left="5760" w:hanging="360"/>
      </w:pPr>
      <w:rPr>
        <w:rFonts w:ascii="Courier New" w:hAnsi="Courier New" w:hint="default"/>
      </w:rPr>
    </w:lvl>
    <w:lvl w:ilvl="8" w:tplc="EB3CF83A">
      <w:start w:val="1"/>
      <w:numFmt w:val="bullet"/>
      <w:lvlText w:val=""/>
      <w:lvlJc w:val="left"/>
      <w:pPr>
        <w:ind w:left="6480" w:hanging="360"/>
      </w:pPr>
      <w:rPr>
        <w:rFonts w:ascii="Wingdings" w:hAnsi="Wingdings" w:hint="default"/>
      </w:rPr>
    </w:lvl>
  </w:abstractNum>
  <w:abstractNum w:abstractNumId="8" w15:restartNumberingAfterBreak="0">
    <w:nsid w:val="4402488B"/>
    <w:multiLevelType w:val="hybridMultilevel"/>
    <w:tmpl w:val="9D788EB0"/>
    <w:lvl w:ilvl="0" w:tplc="1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4873D45"/>
    <w:multiLevelType w:val="hybridMultilevel"/>
    <w:tmpl w:val="A7723400"/>
    <w:lvl w:ilvl="0" w:tplc="E7E6E726">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5050B17"/>
    <w:multiLevelType w:val="hybridMultilevel"/>
    <w:tmpl w:val="5CFCC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26AA3E"/>
    <w:multiLevelType w:val="hybridMultilevel"/>
    <w:tmpl w:val="FFFFFFFF"/>
    <w:lvl w:ilvl="0" w:tplc="107E3332">
      <w:start w:val="1"/>
      <w:numFmt w:val="bullet"/>
      <w:lvlText w:val=""/>
      <w:lvlJc w:val="left"/>
      <w:pPr>
        <w:ind w:left="720" w:hanging="360"/>
      </w:pPr>
      <w:rPr>
        <w:rFonts w:ascii="Symbol" w:hAnsi="Symbol" w:hint="default"/>
      </w:rPr>
    </w:lvl>
    <w:lvl w:ilvl="1" w:tplc="6FA0A8BE">
      <w:start w:val="1"/>
      <w:numFmt w:val="bullet"/>
      <w:lvlText w:val="o"/>
      <w:lvlJc w:val="left"/>
      <w:pPr>
        <w:ind w:left="1440" w:hanging="360"/>
      </w:pPr>
      <w:rPr>
        <w:rFonts w:ascii="Courier New" w:hAnsi="Courier New" w:hint="default"/>
      </w:rPr>
    </w:lvl>
    <w:lvl w:ilvl="2" w:tplc="35928B10">
      <w:start w:val="1"/>
      <w:numFmt w:val="bullet"/>
      <w:lvlText w:val=""/>
      <w:lvlJc w:val="left"/>
      <w:pPr>
        <w:ind w:left="2160" w:hanging="360"/>
      </w:pPr>
      <w:rPr>
        <w:rFonts w:ascii="Wingdings" w:hAnsi="Wingdings" w:hint="default"/>
      </w:rPr>
    </w:lvl>
    <w:lvl w:ilvl="3" w:tplc="8CB0B662">
      <w:start w:val="1"/>
      <w:numFmt w:val="bullet"/>
      <w:lvlText w:val=""/>
      <w:lvlJc w:val="left"/>
      <w:pPr>
        <w:ind w:left="2880" w:hanging="360"/>
      </w:pPr>
      <w:rPr>
        <w:rFonts w:ascii="Symbol" w:hAnsi="Symbol" w:hint="default"/>
      </w:rPr>
    </w:lvl>
    <w:lvl w:ilvl="4" w:tplc="6F882846">
      <w:start w:val="1"/>
      <w:numFmt w:val="bullet"/>
      <w:lvlText w:val="o"/>
      <w:lvlJc w:val="left"/>
      <w:pPr>
        <w:ind w:left="3600" w:hanging="360"/>
      </w:pPr>
      <w:rPr>
        <w:rFonts w:ascii="Courier New" w:hAnsi="Courier New" w:hint="default"/>
      </w:rPr>
    </w:lvl>
    <w:lvl w:ilvl="5" w:tplc="77D47C1C">
      <w:start w:val="1"/>
      <w:numFmt w:val="bullet"/>
      <w:lvlText w:val=""/>
      <w:lvlJc w:val="left"/>
      <w:pPr>
        <w:ind w:left="4320" w:hanging="360"/>
      </w:pPr>
      <w:rPr>
        <w:rFonts w:ascii="Wingdings" w:hAnsi="Wingdings" w:hint="default"/>
      </w:rPr>
    </w:lvl>
    <w:lvl w:ilvl="6" w:tplc="D87EF2EE">
      <w:start w:val="1"/>
      <w:numFmt w:val="bullet"/>
      <w:lvlText w:val=""/>
      <w:lvlJc w:val="left"/>
      <w:pPr>
        <w:ind w:left="5040" w:hanging="360"/>
      </w:pPr>
      <w:rPr>
        <w:rFonts w:ascii="Symbol" w:hAnsi="Symbol" w:hint="default"/>
      </w:rPr>
    </w:lvl>
    <w:lvl w:ilvl="7" w:tplc="42BEED60">
      <w:start w:val="1"/>
      <w:numFmt w:val="bullet"/>
      <w:lvlText w:val="o"/>
      <w:lvlJc w:val="left"/>
      <w:pPr>
        <w:ind w:left="5760" w:hanging="360"/>
      </w:pPr>
      <w:rPr>
        <w:rFonts w:ascii="Courier New" w:hAnsi="Courier New" w:hint="default"/>
      </w:rPr>
    </w:lvl>
    <w:lvl w:ilvl="8" w:tplc="05BC7B04">
      <w:start w:val="1"/>
      <w:numFmt w:val="bullet"/>
      <w:lvlText w:val=""/>
      <w:lvlJc w:val="left"/>
      <w:pPr>
        <w:ind w:left="6480" w:hanging="360"/>
      </w:pPr>
      <w:rPr>
        <w:rFonts w:ascii="Wingdings" w:hAnsi="Wingdings" w:hint="default"/>
      </w:rPr>
    </w:lvl>
  </w:abstractNum>
  <w:abstractNum w:abstractNumId="12" w15:restartNumberingAfterBreak="0">
    <w:nsid w:val="45FA3775"/>
    <w:multiLevelType w:val="multilevel"/>
    <w:tmpl w:val="E71474DE"/>
    <w:lvl w:ilvl="0">
      <w:start w:val="1"/>
      <w:numFmt w:val="decimal"/>
      <w:lvlText w:val="%1."/>
      <w:lvlJc w:val="left"/>
      <w:pPr>
        <w:ind w:left="720" w:hanging="360"/>
      </w:pPr>
      <w:rPr>
        <w:rFonts w:hint="default"/>
        <w:color w:val="auto"/>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13" w15:restartNumberingAfterBreak="0">
    <w:nsid w:val="4F8E4A40"/>
    <w:multiLevelType w:val="hybridMultilevel"/>
    <w:tmpl w:val="3FE6C56E"/>
    <w:lvl w:ilvl="0" w:tplc="A1DCE0C4">
      <w:start w:val="1"/>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0C7398"/>
    <w:multiLevelType w:val="hybridMultilevel"/>
    <w:tmpl w:val="74EE4A90"/>
    <w:lvl w:ilvl="0" w:tplc="8698DC1A">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490451"/>
    <w:multiLevelType w:val="hybridMultilevel"/>
    <w:tmpl w:val="884895E2"/>
    <w:lvl w:ilvl="0" w:tplc="A1DCE0C4">
      <w:start w:val="1"/>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55701D2"/>
    <w:multiLevelType w:val="multilevel"/>
    <w:tmpl w:val="050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E6DBF"/>
    <w:multiLevelType w:val="hybridMultilevel"/>
    <w:tmpl w:val="1F6028C6"/>
    <w:lvl w:ilvl="0" w:tplc="A1DCE0C4">
      <w:start w:val="1"/>
      <w:numFmt w:val="bullet"/>
      <w:lvlText w:val="•"/>
      <w:lvlJc w:val="left"/>
      <w:pPr>
        <w:ind w:left="1440" w:hanging="72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6101683"/>
    <w:multiLevelType w:val="hybridMultilevel"/>
    <w:tmpl w:val="B34C2244"/>
    <w:lvl w:ilvl="0" w:tplc="A1DCE0C4">
      <w:start w:val="1"/>
      <w:numFmt w:val="bullet"/>
      <w:lvlText w:val="•"/>
      <w:lvlJc w:val="left"/>
      <w:pPr>
        <w:ind w:left="720" w:hanging="72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C214A8E"/>
    <w:multiLevelType w:val="hybridMultilevel"/>
    <w:tmpl w:val="9816E8FA"/>
    <w:lvl w:ilvl="0" w:tplc="CEA4213E">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09568E"/>
    <w:multiLevelType w:val="multilevel"/>
    <w:tmpl w:val="4C4A41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7"/>
  </w:num>
  <w:num w:numId="3">
    <w:abstractNumId w:val="12"/>
  </w:num>
  <w:num w:numId="4">
    <w:abstractNumId w:val="20"/>
  </w:num>
  <w:num w:numId="5">
    <w:abstractNumId w:val="10"/>
  </w:num>
  <w:num w:numId="6">
    <w:abstractNumId w:val="9"/>
  </w:num>
  <w:num w:numId="7">
    <w:abstractNumId w:val="3"/>
  </w:num>
  <w:num w:numId="8">
    <w:abstractNumId w:val="5"/>
  </w:num>
  <w:num w:numId="9">
    <w:abstractNumId w:val="2"/>
  </w:num>
  <w:num w:numId="10">
    <w:abstractNumId w:val="13"/>
  </w:num>
  <w:num w:numId="11">
    <w:abstractNumId w:val="18"/>
  </w:num>
  <w:num w:numId="12">
    <w:abstractNumId w:val="15"/>
  </w:num>
  <w:num w:numId="13">
    <w:abstractNumId w:val="17"/>
  </w:num>
  <w:num w:numId="14">
    <w:abstractNumId w:val="8"/>
  </w:num>
  <w:num w:numId="15">
    <w:abstractNumId w:val="6"/>
  </w:num>
  <w:num w:numId="16">
    <w:abstractNumId w:val="14"/>
  </w:num>
  <w:num w:numId="17">
    <w:abstractNumId w:val="1"/>
  </w:num>
  <w:num w:numId="18">
    <w:abstractNumId w:val="4"/>
  </w:num>
  <w:num w:numId="19">
    <w:abstractNumId w:val="11"/>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1C73DD7-DCA1-49D5-AB41-4A1687DB9379"/>
    <w:docVar w:name="LW_COVERPAGE_TYPE" w:val="1"/>
    <w:docVar w:name="LW_CROSSREFERENCE" w:val="{SWD(2023) 323 final}"/>
    <w:docVar w:name="LW_DocType" w:val="NORMAL"/>
    <w:docVar w:name="LW_EMISSION" w:val="5.10.2023"/>
    <w:docVar w:name="LW_EMISSION_ISODATE" w:val="2023-10-05"/>
    <w:docVar w:name="LW_EMISSION_LOCATION" w:val="BRX"/>
    <w:docVar w:name="LW_EMISSION_PREFIX" w:val="Brussels, "/>
    <w:docVar w:name="LW_EMISSION_SUFFIX" w:val=" "/>
    <w:docVar w:name="LW_ID_DOCTYPE_NONLW" w:val="CP-005"/>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57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viewing the application of Regulation (EU) 2017/1938"/>
    <w:docVar w:name="LW_TYPE.DOC.CP" w:val="REPORT FROM THE COMMISSION TO THE COUNCIL AND THE EUROPEAN PARLIAMENT"/>
    <w:docVar w:name="LwApiVersions" w:val="LW4CoDe 1.23.2.0; LW 8.0, Build 20211117"/>
  </w:docVars>
  <w:rsids>
    <w:rsidRoot w:val="26AC91A2"/>
    <w:rsid w:val="00002773"/>
    <w:rsid w:val="00003144"/>
    <w:rsid w:val="000056DA"/>
    <w:rsid w:val="00007350"/>
    <w:rsid w:val="0000789B"/>
    <w:rsid w:val="00007C24"/>
    <w:rsid w:val="000111E2"/>
    <w:rsid w:val="00011707"/>
    <w:rsid w:val="000132AC"/>
    <w:rsid w:val="00014F7E"/>
    <w:rsid w:val="0001538C"/>
    <w:rsid w:val="000169C8"/>
    <w:rsid w:val="000215D5"/>
    <w:rsid w:val="00021785"/>
    <w:rsid w:val="000236A8"/>
    <w:rsid w:val="000252D1"/>
    <w:rsid w:val="00026789"/>
    <w:rsid w:val="000271C5"/>
    <w:rsid w:val="0003006B"/>
    <w:rsid w:val="0003058A"/>
    <w:rsid w:val="000311A3"/>
    <w:rsid w:val="00032862"/>
    <w:rsid w:val="00032BE1"/>
    <w:rsid w:val="00035036"/>
    <w:rsid w:val="000352F0"/>
    <w:rsid w:val="000362F1"/>
    <w:rsid w:val="00037B8F"/>
    <w:rsid w:val="00037FF0"/>
    <w:rsid w:val="0004023F"/>
    <w:rsid w:val="0004222F"/>
    <w:rsid w:val="00044F12"/>
    <w:rsid w:val="000450ED"/>
    <w:rsid w:val="000549B9"/>
    <w:rsid w:val="00054B89"/>
    <w:rsid w:val="000557C3"/>
    <w:rsid w:val="000563CC"/>
    <w:rsid w:val="00057FE9"/>
    <w:rsid w:val="0006265D"/>
    <w:rsid w:val="00066619"/>
    <w:rsid w:val="00071603"/>
    <w:rsid w:val="00072F12"/>
    <w:rsid w:val="0007442A"/>
    <w:rsid w:val="0007574E"/>
    <w:rsid w:val="00075B8E"/>
    <w:rsid w:val="00077480"/>
    <w:rsid w:val="00080B2D"/>
    <w:rsid w:val="00083AED"/>
    <w:rsid w:val="00085BB6"/>
    <w:rsid w:val="00086FE5"/>
    <w:rsid w:val="00087B40"/>
    <w:rsid w:val="00094539"/>
    <w:rsid w:val="000956B2"/>
    <w:rsid w:val="0009638C"/>
    <w:rsid w:val="000A15EA"/>
    <w:rsid w:val="000A2277"/>
    <w:rsid w:val="000A3E64"/>
    <w:rsid w:val="000A695E"/>
    <w:rsid w:val="000A6C23"/>
    <w:rsid w:val="000B030D"/>
    <w:rsid w:val="000B0EC2"/>
    <w:rsid w:val="000B373F"/>
    <w:rsid w:val="000B5274"/>
    <w:rsid w:val="000B7207"/>
    <w:rsid w:val="000B764C"/>
    <w:rsid w:val="000C0C35"/>
    <w:rsid w:val="000C35BD"/>
    <w:rsid w:val="000C6EE2"/>
    <w:rsid w:val="000C7611"/>
    <w:rsid w:val="000D1FF2"/>
    <w:rsid w:val="000D4C59"/>
    <w:rsid w:val="000D5E4A"/>
    <w:rsid w:val="000E006F"/>
    <w:rsid w:val="000E065C"/>
    <w:rsid w:val="000E3AB2"/>
    <w:rsid w:val="000E51DC"/>
    <w:rsid w:val="000E679B"/>
    <w:rsid w:val="000E79AD"/>
    <w:rsid w:val="000F0CB8"/>
    <w:rsid w:val="000F25AA"/>
    <w:rsid w:val="000F318D"/>
    <w:rsid w:val="000F351D"/>
    <w:rsid w:val="000F74D5"/>
    <w:rsid w:val="000F7E3A"/>
    <w:rsid w:val="001003BC"/>
    <w:rsid w:val="001011D2"/>
    <w:rsid w:val="0010313A"/>
    <w:rsid w:val="00104726"/>
    <w:rsid w:val="0010498D"/>
    <w:rsid w:val="00105FBE"/>
    <w:rsid w:val="00106625"/>
    <w:rsid w:val="00107FF2"/>
    <w:rsid w:val="001113BD"/>
    <w:rsid w:val="00111CF7"/>
    <w:rsid w:val="00113789"/>
    <w:rsid w:val="00114DD0"/>
    <w:rsid w:val="0011583F"/>
    <w:rsid w:val="0011627B"/>
    <w:rsid w:val="001170C3"/>
    <w:rsid w:val="0012030A"/>
    <w:rsid w:val="0012052A"/>
    <w:rsid w:val="00120C5D"/>
    <w:rsid w:val="001228D9"/>
    <w:rsid w:val="00122EF5"/>
    <w:rsid w:val="0012407A"/>
    <w:rsid w:val="00124A9C"/>
    <w:rsid w:val="00125CE2"/>
    <w:rsid w:val="00126970"/>
    <w:rsid w:val="00127943"/>
    <w:rsid w:val="00127C9B"/>
    <w:rsid w:val="00127EFD"/>
    <w:rsid w:val="00130CF0"/>
    <w:rsid w:val="00133B15"/>
    <w:rsid w:val="0013575F"/>
    <w:rsid w:val="0013581F"/>
    <w:rsid w:val="001364A8"/>
    <w:rsid w:val="0013658B"/>
    <w:rsid w:val="001365C7"/>
    <w:rsid w:val="00137725"/>
    <w:rsid w:val="001413EB"/>
    <w:rsid w:val="00141735"/>
    <w:rsid w:val="00146092"/>
    <w:rsid w:val="00146C13"/>
    <w:rsid w:val="0014745D"/>
    <w:rsid w:val="00147646"/>
    <w:rsid w:val="001477C8"/>
    <w:rsid w:val="001522C0"/>
    <w:rsid w:val="00152C19"/>
    <w:rsid w:val="00153BC9"/>
    <w:rsid w:val="001558C6"/>
    <w:rsid w:val="00157A17"/>
    <w:rsid w:val="0016178D"/>
    <w:rsid w:val="0016185F"/>
    <w:rsid w:val="00161EB3"/>
    <w:rsid w:val="00166540"/>
    <w:rsid w:val="00166B22"/>
    <w:rsid w:val="00167DE0"/>
    <w:rsid w:val="0017199D"/>
    <w:rsid w:val="00172196"/>
    <w:rsid w:val="0017220D"/>
    <w:rsid w:val="0017341C"/>
    <w:rsid w:val="001801C2"/>
    <w:rsid w:val="00180DA0"/>
    <w:rsid w:val="00181217"/>
    <w:rsid w:val="00182DB1"/>
    <w:rsid w:val="001843C2"/>
    <w:rsid w:val="00184722"/>
    <w:rsid w:val="00187412"/>
    <w:rsid w:val="001876EE"/>
    <w:rsid w:val="00187ED1"/>
    <w:rsid w:val="00187EEA"/>
    <w:rsid w:val="0019029C"/>
    <w:rsid w:val="0019036E"/>
    <w:rsid w:val="00190AEE"/>
    <w:rsid w:val="00191255"/>
    <w:rsid w:val="00191F2A"/>
    <w:rsid w:val="0019225F"/>
    <w:rsid w:val="00192D16"/>
    <w:rsid w:val="00194540"/>
    <w:rsid w:val="00195714"/>
    <w:rsid w:val="00195A28"/>
    <w:rsid w:val="00195C59"/>
    <w:rsid w:val="0019660C"/>
    <w:rsid w:val="00197AD2"/>
    <w:rsid w:val="001A00A2"/>
    <w:rsid w:val="001A018A"/>
    <w:rsid w:val="001A0833"/>
    <w:rsid w:val="001A1154"/>
    <w:rsid w:val="001A24B9"/>
    <w:rsid w:val="001A3445"/>
    <w:rsid w:val="001A540F"/>
    <w:rsid w:val="001A5EC7"/>
    <w:rsid w:val="001A7038"/>
    <w:rsid w:val="001A724C"/>
    <w:rsid w:val="001A755A"/>
    <w:rsid w:val="001A76FB"/>
    <w:rsid w:val="001B16E3"/>
    <w:rsid w:val="001B1DFB"/>
    <w:rsid w:val="001B3BEC"/>
    <w:rsid w:val="001B426C"/>
    <w:rsid w:val="001B483A"/>
    <w:rsid w:val="001B5B29"/>
    <w:rsid w:val="001B6F3A"/>
    <w:rsid w:val="001C152D"/>
    <w:rsid w:val="001C2FFF"/>
    <w:rsid w:val="001C5CB4"/>
    <w:rsid w:val="001C70FA"/>
    <w:rsid w:val="001C775B"/>
    <w:rsid w:val="001D0DCF"/>
    <w:rsid w:val="001D13BE"/>
    <w:rsid w:val="001D217A"/>
    <w:rsid w:val="001D4FF3"/>
    <w:rsid w:val="001D52AC"/>
    <w:rsid w:val="001D60DA"/>
    <w:rsid w:val="001D7338"/>
    <w:rsid w:val="001D7A98"/>
    <w:rsid w:val="001E0413"/>
    <w:rsid w:val="001E0CEE"/>
    <w:rsid w:val="001E119F"/>
    <w:rsid w:val="001E1660"/>
    <w:rsid w:val="001E3220"/>
    <w:rsid w:val="001E3878"/>
    <w:rsid w:val="001E3A65"/>
    <w:rsid w:val="001E4E24"/>
    <w:rsid w:val="001E766C"/>
    <w:rsid w:val="001F06EC"/>
    <w:rsid w:val="001F168E"/>
    <w:rsid w:val="001F18A4"/>
    <w:rsid w:val="001F1F84"/>
    <w:rsid w:val="001F47DC"/>
    <w:rsid w:val="001F79CF"/>
    <w:rsid w:val="002007D1"/>
    <w:rsid w:val="00201B18"/>
    <w:rsid w:val="0020328A"/>
    <w:rsid w:val="00203CA4"/>
    <w:rsid w:val="00211FA8"/>
    <w:rsid w:val="00215938"/>
    <w:rsid w:val="002159DF"/>
    <w:rsid w:val="00217141"/>
    <w:rsid w:val="00226F58"/>
    <w:rsid w:val="00230497"/>
    <w:rsid w:val="002321BC"/>
    <w:rsid w:val="00233781"/>
    <w:rsid w:val="00233BD6"/>
    <w:rsid w:val="00235D0A"/>
    <w:rsid w:val="002364B3"/>
    <w:rsid w:val="00236F04"/>
    <w:rsid w:val="0023741B"/>
    <w:rsid w:val="0023757C"/>
    <w:rsid w:val="00240FBB"/>
    <w:rsid w:val="00241922"/>
    <w:rsid w:val="0024223E"/>
    <w:rsid w:val="00242600"/>
    <w:rsid w:val="002434CE"/>
    <w:rsid w:val="00243D59"/>
    <w:rsid w:val="0024424A"/>
    <w:rsid w:val="00245AA9"/>
    <w:rsid w:val="00245C00"/>
    <w:rsid w:val="00252C52"/>
    <w:rsid w:val="00253175"/>
    <w:rsid w:val="002541D8"/>
    <w:rsid w:val="002553E8"/>
    <w:rsid w:val="0025653D"/>
    <w:rsid w:val="002604C6"/>
    <w:rsid w:val="002616D8"/>
    <w:rsid w:val="00261C3D"/>
    <w:rsid w:val="00261FF7"/>
    <w:rsid w:val="002636E8"/>
    <w:rsid w:val="00263974"/>
    <w:rsid w:val="00265840"/>
    <w:rsid w:val="00265FA8"/>
    <w:rsid w:val="0027102C"/>
    <w:rsid w:val="0027121D"/>
    <w:rsid w:val="00272154"/>
    <w:rsid w:val="00272EC6"/>
    <w:rsid w:val="00276265"/>
    <w:rsid w:val="0027648B"/>
    <w:rsid w:val="00276F52"/>
    <w:rsid w:val="00277D1C"/>
    <w:rsid w:val="00280EA1"/>
    <w:rsid w:val="0028138B"/>
    <w:rsid w:val="002837EB"/>
    <w:rsid w:val="00285AA9"/>
    <w:rsid w:val="0028685A"/>
    <w:rsid w:val="00286DA8"/>
    <w:rsid w:val="00287D9E"/>
    <w:rsid w:val="00287E63"/>
    <w:rsid w:val="00290A40"/>
    <w:rsid w:val="00291B9C"/>
    <w:rsid w:val="00291D38"/>
    <w:rsid w:val="00294FAA"/>
    <w:rsid w:val="002971E0"/>
    <w:rsid w:val="002A2293"/>
    <w:rsid w:val="002A76E6"/>
    <w:rsid w:val="002B1D25"/>
    <w:rsid w:val="002B1F01"/>
    <w:rsid w:val="002B36F6"/>
    <w:rsid w:val="002B56E5"/>
    <w:rsid w:val="002B5EFE"/>
    <w:rsid w:val="002C1527"/>
    <w:rsid w:val="002C2AD1"/>
    <w:rsid w:val="002C2B75"/>
    <w:rsid w:val="002C34CD"/>
    <w:rsid w:val="002C395C"/>
    <w:rsid w:val="002C51EC"/>
    <w:rsid w:val="002C5213"/>
    <w:rsid w:val="002C7314"/>
    <w:rsid w:val="002C7925"/>
    <w:rsid w:val="002D17C3"/>
    <w:rsid w:val="002D35DB"/>
    <w:rsid w:val="002D43E2"/>
    <w:rsid w:val="002D5A1E"/>
    <w:rsid w:val="002D75CB"/>
    <w:rsid w:val="002E0E44"/>
    <w:rsid w:val="002E14ED"/>
    <w:rsid w:val="002E1A4E"/>
    <w:rsid w:val="002E1C3E"/>
    <w:rsid w:val="002E37C3"/>
    <w:rsid w:val="002E57EB"/>
    <w:rsid w:val="002E6DBA"/>
    <w:rsid w:val="002F0847"/>
    <w:rsid w:val="002F229F"/>
    <w:rsid w:val="002F2DDE"/>
    <w:rsid w:val="002F602D"/>
    <w:rsid w:val="002F73CF"/>
    <w:rsid w:val="0030094C"/>
    <w:rsid w:val="003017BE"/>
    <w:rsid w:val="00301BEB"/>
    <w:rsid w:val="00302C2B"/>
    <w:rsid w:val="003060FE"/>
    <w:rsid w:val="00306D6B"/>
    <w:rsid w:val="003100EA"/>
    <w:rsid w:val="003153DE"/>
    <w:rsid w:val="0031542A"/>
    <w:rsid w:val="00315521"/>
    <w:rsid w:val="00317A11"/>
    <w:rsid w:val="0032017B"/>
    <w:rsid w:val="0032258D"/>
    <w:rsid w:val="00322FC4"/>
    <w:rsid w:val="00323062"/>
    <w:rsid w:val="0032452E"/>
    <w:rsid w:val="00327C38"/>
    <w:rsid w:val="00327C79"/>
    <w:rsid w:val="0033023F"/>
    <w:rsid w:val="00330CC3"/>
    <w:rsid w:val="00334DB2"/>
    <w:rsid w:val="003376E5"/>
    <w:rsid w:val="0034111C"/>
    <w:rsid w:val="00343095"/>
    <w:rsid w:val="003449DA"/>
    <w:rsid w:val="00344A90"/>
    <w:rsid w:val="00350757"/>
    <w:rsid w:val="003516A9"/>
    <w:rsid w:val="003530B1"/>
    <w:rsid w:val="00354064"/>
    <w:rsid w:val="00357016"/>
    <w:rsid w:val="0035710F"/>
    <w:rsid w:val="003614BE"/>
    <w:rsid w:val="00361F4E"/>
    <w:rsid w:val="003624E6"/>
    <w:rsid w:val="00362D29"/>
    <w:rsid w:val="00364C41"/>
    <w:rsid w:val="00370FBE"/>
    <w:rsid w:val="003711D4"/>
    <w:rsid w:val="00372252"/>
    <w:rsid w:val="00372550"/>
    <w:rsid w:val="0037260B"/>
    <w:rsid w:val="00374BC8"/>
    <w:rsid w:val="003768F5"/>
    <w:rsid w:val="00376D57"/>
    <w:rsid w:val="00380C12"/>
    <w:rsid w:val="003814D4"/>
    <w:rsid w:val="00381B7E"/>
    <w:rsid w:val="003828E5"/>
    <w:rsid w:val="00383952"/>
    <w:rsid w:val="0038471A"/>
    <w:rsid w:val="003848C7"/>
    <w:rsid w:val="00386EE5"/>
    <w:rsid w:val="003907EC"/>
    <w:rsid w:val="00392628"/>
    <w:rsid w:val="003968D2"/>
    <w:rsid w:val="00396B14"/>
    <w:rsid w:val="003A289A"/>
    <w:rsid w:val="003B0781"/>
    <w:rsid w:val="003B0E3D"/>
    <w:rsid w:val="003B539D"/>
    <w:rsid w:val="003B55EA"/>
    <w:rsid w:val="003B70CD"/>
    <w:rsid w:val="003C12A8"/>
    <w:rsid w:val="003C13E7"/>
    <w:rsid w:val="003C4699"/>
    <w:rsid w:val="003C4896"/>
    <w:rsid w:val="003C6057"/>
    <w:rsid w:val="003D09BD"/>
    <w:rsid w:val="003D1BF1"/>
    <w:rsid w:val="003D2BDD"/>
    <w:rsid w:val="003D5002"/>
    <w:rsid w:val="003D598E"/>
    <w:rsid w:val="003E0216"/>
    <w:rsid w:val="003E2C6A"/>
    <w:rsid w:val="003E6558"/>
    <w:rsid w:val="003E711F"/>
    <w:rsid w:val="003E7B21"/>
    <w:rsid w:val="003F0DF2"/>
    <w:rsid w:val="004018D5"/>
    <w:rsid w:val="0040434D"/>
    <w:rsid w:val="0040533E"/>
    <w:rsid w:val="00405453"/>
    <w:rsid w:val="00405CA7"/>
    <w:rsid w:val="00410606"/>
    <w:rsid w:val="00410C4D"/>
    <w:rsid w:val="004137DE"/>
    <w:rsid w:val="00414B09"/>
    <w:rsid w:val="00415018"/>
    <w:rsid w:val="00415EDD"/>
    <w:rsid w:val="00417F8A"/>
    <w:rsid w:val="00421E5F"/>
    <w:rsid w:val="0042200C"/>
    <w:rsid w:val="0042361C"/>
    <w:rsid w:val="00423B2B"/>
    <w:rsid w:val="0042465F"/>
    <w:rsid w:val="004246FA"/>
    <w:rsid w:val="00426359"/>
    <w:rsid w:val="00431150"/>
    <w:rsid w:val="00431713"/>
    <w:rsid w:val="004329CE"/>
    <w:rsid w:val="00433135"/>
    <w:rsid w:val="00433532"/>
    <w:rsid w:val="00435231"/>
    <w:rsid w:val="0043675C"/>
    <w:rsid w:val="00441C77"/>
    <w:rsid w:val="00441FAA"/>
    <w:rsid w:val="00444209"/>
    <w:rsid w:val="0045160B"/>
    <w:rsid w:val="00451FF1"/>
    <w:rsid w:val="00453A96"/>
    <w:rsid w:val="0045479A"/>
    <w:rsid w:val="004559A4"/>
    <w:rsid w:val="004576C8"/>
    <w:rsid w:val="004576D9"/>
    <w:rsid w:val="0046131A"/>
    <w:rsid w:val="00461F08"/>
    <w:rsid w:val="0046309A"/>
    <w:rsid w:val="00463858"/>
    <w:rsid w:val="00466390"/>
    <w:rsid w:val="00466DB7"/>
    <w:rsid w:val="00467010"/>
    <w:rsid w:val="00467130"/>
    <w:rsid w:val="00467FB0"/>
    <w:rsid w:val="00471FEC"/>
    <w:rsid w:val="004743C2"/>
    <w:rsid w:val="004749C1"/>
    <w:rsid w:val="0047550F"/>
    <w:rsid w:val="00476D04"/>
    <w:rsid w:val="00483168"/>
    <w:rsid w:val="00483866"/>
    <w:rsid w:val="0049014F"/>
    <w:rsid w:val="00490B57"/>
    <w:rsid w:val="00493098"/>
    <w:rsid w:val="00493297"/>
    <w:rsid w:val="004A3CC2"/>
    <w:rsid w:val="004A52B6"/>
    <w:rsid w:val="004A6209"/>
    <w:rsid w:val="004A7098"/>
    <w:rsid w:val="004B108C"/>
    <w:rsid w:val="004B1486"/>
    <w:rsid w:val="004B1B5C"/>
    <w:rsid w:val="004B1BCF"/>
    <w:rsid w:val="004B2A73"/>
    <w:rsid w:val="004B3A9D"/>
    <w:rsid w:val="004B3C71"/>
    <w:rsid w:val="004B3DBA"/>
    <w:rsid w:val="004B6363"/>
    <w:rsid w:val="004B6C7B"/>
    <w:rsid w:val="004C0F4F"/>
    <w:rsid w:val="004C40AC"/>
    <w:rsid w:val="004C5BAD"/>
    <w:rsid w:val="004C6AE6"/>
    <w:rsid w:val="004C6E93"/>
    <w:rsid w:val="004D02B5"/>
    <w:rsid w:val="004D0E80"/>
    <w:rsid w:val="004D15B4"/>
    <w:rsid w:val="004D16B7"/>
    <w:rsid w:val="004D184E"/>
    <w:rsid w:val="004D2F97"/>
    <w:rsid w:val="004D3F81"/>
    <w:rsid w:val="004D5E86"/>
    <w:rsid w:val="004D6577"/>
    <w:rsid w:val="004D65D3"/>
    <w:rsid w:val="004D681B"/>
    <w:rsid w:val="004D6DE1"/>
    <w:rsid w:val="004D7C92"/>
    <w:rsid w:val="004E15B8"/>
    <w:rsid w:val="004E1C7B"/>
    <w:rsid w:val="004E1DBD"/>
    <w:rsid w:val="004E3168"/>
    <w:rsid w:val="004E36F7"/>
    <w:rsid w:val="004E411B"/>
    <w:rsid w:val="004E5289"/>
    <w:rsid w:val="004E7084"/>
    <w:rsid w:val="004F0BD5"/>
    <w:rsid w:val="004F1495"/>
    <w:rsid w:val="004F1C50"/>
    <w:rsid w:val="004F2C49"/>
    <w:rsid w:val="004F46A8"/>
    <w:rsid w:val="004F5E41"/>
    <w:rsid w:val="004F6B02"/>
    <w:rsid w:val="004F7A3D"/>
    <w:rsid w:val="0050108C"/>
    <w:rsid w:val="00501CDC"/>
    <w:rsid w:val="00503EBA"/>
    <w:rsid w:val="00505AE5"/>
    <w:rsid w:val="00505F0B"/>
    <w:rsid w:val="00506218"/>
    <w:rsid w:val="00511E13"/>
    <w:rsid w:val="005126A8"/>
    <w:rsid w:val="00514B90"/>
    <w:rsid w:val="005155A5"/>
    <w:rsid w:val="005155EB"/>
    <w:rsid w:val="0051628A"/>
    <w:rsid w:val="00516BD0"/>
    <w:rsid w:val="00517550"/>
    <w:rsid w:val="005215A6"/>
    <w:rsid w:val="00521795"/>
    <w:rsid w:val="00521D11"/>
    <w:rsid w:val="00524B95"/>
    <w:rsid w:val="00526AA0"/>
    <w:rsid w:val="00527841"/>
    <w:rsid w:val="00530F2E"/>
    <w:rsid w:val="005317FC"/>
    <w:rsid w:val="00533969"/>
    <w:rsid w:val="00535AD7"/>
    <w:rsid w:val="005365E2"/>
    <w:rsid w:val="005367F7"/>
    <w:rsid w:val="0054010A"/>
    <w:rsid w:val="00540CEF"/>
    <w:rsid w:val="005416B5"/>
    <w:rsid w:val="00546786"/>
    <w:rsid w:val="00553ACB"/>
    <w:rsid w:val="00554A7D"/>
    <w:rsid w:val="00554EFD"/>
    <w:rsid w:val="005565BD"/>
    <w:rsid w:val="005567FD"/>
    <w:rsid w:val="00557EF3"/>
    <w:rsid w:val="00560695"/>
    <w:rsid w:val="00561942"/>
    <w:rsid w:val="00563FBB"/>
    <w:rsid w:val="00565E1E"/>
    <w:rsid w:val="00565FD0"/>
    <w:rsid w:val="005716A3"/>
    <w:rsid w:val="00571825"/>
    <w:rsid w:val="0057294D"/>
    <w:rsid w:val="00574D88"/>
    <w:rsid w:val="00576494"/>
    <w:rsid w:val="00576582"/>
    <w:rsid w:val="005772D9"/>
    <w:rsid w:val="0057738B"/>
    <w:rsid w:val="00577C90"/>
    <w:rsid w:val="00580A12"/>
    <w:rsid w:val="00580C13"/>
    <w:rsid w:val="005826FB"/>
    <w:rsid w:val="0058286E"/>
    <w:rsid w:val="00583BD1"/>
    <w:rsid w:val="00583E28"/>
    <w:rsid w:val="00585AE3"/>
    <w:rsid w:val="00590910"/>
    <w:rsid w:val="00590CAF"/>
    <w:rsid w:val="00591269"/>
    <w:rsid w:val="00592006"/>
    <w:rsid w:val="005938A4"/>
    <w:rsid w:val="00596FB5"/>
    <w:rsid w:val="005A00B7"/>
    <w:rsid w:val="005A3579"/>
    <w:rsid w:val="005A40DA"/>
    <w:rsid w:val="005A4E91"/>
    <w:rsid w:val="005A5741"/>
    <w:rsid w:val="005A64D1"/>
    <w:rsid w:val="005B008E"/>
    <w:rsid w:val="005B09DC"/>
    <w:rsid w:val="005B0DF2"/>
    <w:rsid w:val="005B1E2A"/>
    <w:rsid w:val="005B29F5"/>
    <w:rsid w:val="005B3949"/>
    <w:rsid w:val="005B3A80"/>
    <w:rsid w:val="005B6ABE"/>
    <w:rsid w:val="005B7385"/>
    <w:rsid w:val="005C06A0"/>
    <w:rsid w:val="005C0FB2"/>
    <w:rsid w:val="005C270B"/>
    <w:rsid w:val="005C2EA5"/>
    <w:rsid w:val="005C5D77"/>
    <w:rsid w:val="005C6FF9"/>
    <w:rsid w:val="005C75EC"/>
    <w:rsid w:val="005C7BE5"/>
    <w:rsid w:val="005D21E4"/>
    <w:rsid w:val="005D5CF6"/>
    <w:rsid w:val="005D7578"/>
    <w:rsid w:val="005E1502"/>
    <w:rsid w:val="005E192C"/>
    <w:rsid w:val="005E2181"/>
    <w:rsid w:val="005E32EB"/>
    <w:rsid w:val="005F0501"/>
    <w:rsid w:val="005F0522"/>
    <w:rsid w:val="005F1472"/>
    <w:rsid w:val="005F1BD7"/>
    <w:rsid w:val="005F235C"/>
    <w:rsid w:val="005F242D"/>
    <w:rsid w:val="005F47DC"/>
    <w:rsid w:val="005F4AE4"/>
    <w:rsid w:val="005F6308"/>
    <w:rsid w:val="005F7420"/>
    <w:rsid w:val="005F76DC"/>
    <w:rsid w:val="00603050"/>
    <w:rsid w:val="006030EE"/>
    <w:rsid w:val="006034C8"/>
    <w:rsid w:val="00610A1A"/>
    <w:rsid w:val="00611031"/>
    <w:rsid w:val="00612787"/>
    <w:rsid w:val="00613B69"/>
    <w:rsid w:val="00621BF6"/>
    <w:rsid w:val="00622711"/>
    <w:rsid w:val="00623D45"/>
    <w:rsid w:val="006245A3"/>
    <w:rsid w:val="006247B0"/>
    <w:rsid w:val="00626299"/>
    <w:rsid w:val="00626FB0"/>
    <w:rsid w:val="0063044F"/>
    <w:rsid w:val="00630AE2"/>
    <w:rsid w:val="006342B4"/>
    <w:rsid w:val="006352AA"/>
    <w:rsid w:val="006358C1"/>
    <w:rsid w:val="00636C13"/>
    <w:rsid w:val="0064144C"/>
    <w:rsid w:val="00642F67"/>
    <w:rsid w:val="00642F98"/>
    <w:rsid w:val="006464CF"/>
    <w:rsid w:val="00651053"/>
    <w:rsid w:val="00651745"/>
    <w:rsid w:val="00653AF7"/>
    <w:rsid w:val="00655198"/>
    <w:rsid w:val="00657490"/>
    <w:rsid w:val="006603D7"/>
    <w:rsid w:val="00660597"/>
    <w:rsid w:val="00664C61"/>
    <w:rsid w:val="006650BF"/>
    <w:rsid w:val="006650FC"/>
    <w:rsid w:val="00667340"/>
    <w:rsid w:val="00670CB6"/>
    <w:rsid w:val="00671998"/>
    <w:rsid w:val="006779CF"/>
    <w:rsid w:val="006820DA"/>
    <w:rsid w:val="00684112"/>
    <w:rsid w:val="00685700"/>
    <w:rsid w:val="00686A96"/>
    <w:rsid w:val="00691BCB"/>
    <w:rsid w:val="00696ECE"/>
    <w:rsid w:val="006977DB"/>
    <w:rsid w:val="00697C2F"/>
    <w:rsid w:val="006A01CE"/>
    <w:rsid w:val="006A5ED9"/>
    <w:rsid w:val="006A617C"/>
    <w:rsid w:val="006B1F7D"/>
    <w:rsid w:val="006B5034"/>
    <w:rsid w:val="006B54A9"/>
    <w:rsid w:val="006C0EC1"/>
    <w:rsid w:val="006C2CA8"/>
    <w:rsid w:val="006C54C3"/>
    <w:rsid w:val="006C5B30"/>
    <w:rsid w:val="006C5B73"/>
    <w:rsid w:val="006C6B95"/>
    <w:rsid w:val="006D0E2C"/>
    <w:rsid w:val="006D41A7"/>
    <w:rsid w:val="006D5067"/>
    <w:rsid w:val="006D6C6B"/>
    <w:rsid w:val="006D721B"/>
    <w:rsid w:val="006D78F3"/>
    <w:rsid w:val="006D7E97"/>
    <w:rsid w:val="006E12B0"/>
    <w:rsid w:val="006E19FF"/>
    <w:rsid w:val="006E2256"/>
    <w:rsid w:val="006E6B4A"/>
    <w:rsid w:val="006E75D1"/>
    <w:rsid w:val="006E7E73"/>
    <w:rsid w:val="006F149B"/>
    <w:rsid w:val="006F3F7F"/>
    <w:rsid w:val="006F72A2"/>
    <w:rsid w:val="006F75A5"/>
    <w:rsid w:val="007000DD"/>
    <w:rsid w:val="007000EE"/>
    <w:rsid w:val="00700ABB"/>
    <w:rsid w:val="00703AA0"/>
    <w:rsid w:val="007044E6"/>
    <w:rsid w:val="00706869"/>
    <w:rsid w:val="0070698D"/>
    <w:rsid w:val="0071051C"/>
    <w:rsid w:val="00710DB2"/>
    <w:rsid w:val="00712E50"/>
    <w:rsid w:val="0071527B"/>
    <w:rsid w:val="007176A7"/>
    <w:rsid w:val="00717E1B"/>
    <w:rsid w:val="007207A4"/>
    <w:rsid w:val="00721404"/>
    <w:rsid w:val="00721819"/>
    <w:rsid w:val="00723F7D"/>
    <w:rsid w:val="0072450A"/>
    <w:rsid w:val="0072589B"/>
    <w:rsid w:val="0072717C"/>
    <w:rsid w:val="00727C53"/>
    <w:rsid w:val="00727CBA"/>
    <w:rsid w:val="0073016F"/>
    <w:rsid w:val="00731824"/>
    <w:rsid w:val="00734954"/>
    <w:rsid w:val="0073685F"/>
    <w:rsid w:val="0074080A"/>
    <w:rsid w:val="007414A3"/>
    <w:rsid w:val="007446E2"/>
    <w:rsid w:val="007469BD"/>
    <w:rsid w:val="00746A6C"/>
    <w:rsid w:val="007475C2"/>
    <w:rsid w:val="0074785F"/>
    <w:rsid w:val="00747913"/>
    <w:rsid w:val="00747E90"/>
    <w:rsid w:val="00750DE2"/>
    <w:rsid w:val="007513C5"/>
    <w:rsid w:val="00751833"/>
    <w:rsid w:val="00753903"/>
    <w:rsid w:val="007548C4"/>
    <w:rsid w:val="00754F75"/>
    <w:rsid w:val="0075767C"/>
    <w:rsid w:val="007602DA"/>
    <w:rsid w:val="0076086E"/>
    <w:rsid w:val="007616DA"/>
    <w:rsid w:val="00761F46"/>
    <w:rsid w:val="007638E6"/>
    <w:rsid w:val="00764864"/>
    <w:rsid w:val="00764B4E"/>
    <w:rsid w:val="00765620"/>
    <w:rsid w:val="00766108"/>
    <w:rsid w:val="007661C4"/>
    <w:rsid w:val="00767DB1"/>
    <w:rsid w:val="00776116"/>
    <w:rsid w:val="007805F5"/>
    <w:rsid w:val="00780A89"/>
    <w:rsid w:val="00780C49"/>
    <w:rsid w:val="00781F3A"/>
    <w:rsid w:val="007905F6"/>
    <w:rsid w:val="007916BE"/>
    <w:rsid w:val="007921DC"/>
    <w:rsid w:val="00792A5C"/>
    <w:rsid w:val="00793C1E"/>
    <w:rsid w:val="00793CE4"/>
    <w:rsid w:val="00794A90"/>
    <w:rsid w:val="007A10CC"/>
    <w:rsid w:val="007A2CA9"/>
    <w:rsid w:val="007A4D53"/>
    <w:rsid w:val="007B1DDA"/>
    <w:rsid w:val="007B1E97"/>
    <w:rsid w:val="007B32C3"/>
    <w:rsid w:val="007B547B"/>
    <w:rsid w:val="007B6A59"/>
    <w:rsid w:val="007C08D5"/>
    <w:rsid w:val="007C22DD"/>
    <w:rsid w:val="007C2A53"/>
    <w:rsid w:val="007C35A3"/>
    <w:rsid w:val="007C3684"/>
    <w:rsid w:val="007C3F25"/>
    <w:rsid w:val="007C477D"/>
    <w:rsid w:val="007C4BD1"/>
    <w:rsid w:val="007C7AB8"/>
    <w:rsid w:val="007D0B83"/>
    <w:rsid w:val="007D0EDA"/>
    <w:rsid w:val="007D7947"/>
    <w:rsid w:val="007D7CA9"/>
    <w:rsid w:val="007E01C0"/>
    <w:rsid w:val="007E1EB8"/>
    <w:rsid w:val="007E2A02"/>
    <w:rsid w:val="007E305B"/>
    <w:rsid w:val="007E31DB"/>
    <w:rsid w:val="007E392A"/>
    <w:rsid w:val="007E6303"/>
    <w:rsid w:val="007E7348"/>
    <w:rsid w:val="007E7FD2"/>
    <w:rsid w:val="007F03B4"/>
    <w:rsid w:val="007F0FAE"/>
    <w:rsid w:val="007F1C04"/>
    <w:rsid w:val="007F30ED"/>
    <w:rsid w:val="007F347C"/>
    <w:rsid w:val="007F4045"/>
    <w:rsid w:val="007F4C08"/>
    <w:rsid w:val="007F5C9A"/>
    <w:rsid w:val="00800F3D"/>
    <w:rsid w:val="00803FF5"/>
    <w:rsid w:val="00804198"/>
    <w:rsid w:val="008053D6"/>
    <w:rsid w:val="00806253"/>
    <w:rsid w:val="0081065D"/>
    <w:rsid w:val="008118C5"/>
    <w:rsid w:val="0081303C"/>
    <w:rsid w:val="008170BD"/>
    <w:rsid w:val="008216C3"/>
    <w:rsid w:val="00822905"/>
    <w:rsid w:val="00824CF2"/>
    <w:rsid w:val="0082544E"/>
    <w:rsid w:val="00826052"/>
    <w:rsid w:val="0083043C"/>
    <w:rsid w:val="00830CA3"/>
    <w:rsid w:val="00833985"/>
    <w:rsid w:val="0083606B"/>
    <w:rsid w:val="00836679"/>
    <w:rsid w:val="008368FF"/>
    <w:rsid w:val="00837B72"/>
    <w:rsid w:val="00840667"/>
    <w:rsid w:val="00841FBE"/>
    <w:rsid w:val="00851F91"/>
    <w:rsid w:val="00852F73"/>
    <w:rsid w:val="00853511"/>
    <w:rsid w:val="00853B1A"/>
    <w:rsid w:val="00854367"/>
    <w:rsid w:val="0085466F"/>
    <w:rsid w:val="00854DC7"/>
    <w:rsid w:val="00855599"/>
    <w:rsid w:val="008563C6"/>
    <w:rsid w:val="008570B0"/>
    <w:rsid w:val="008611AC"/>
    <w:rsid w:val="00863563"/>
    <w:rsid w:val="0086510D"/>
    <w:rsid w:val="00865CCB"/>
    <w:rsid w:val="00866F79"/>
    <w:rsid w:val="00870682"/>
    <w:rsid w:val="00870904"/>
    <w:rsid w:val="00870DB7"/>
    <w:rsid w:val="00875348"/>
    <w:rsid w:val="008814CD"/>
    <w:rsid w:val="00881644"/>
    <w:rsid w:val="0088284A"/>
    <w:rsid w:val="00882C4C"/>
    <w:rsid w:val="00884E2D"/>
    <w:rsid w:val="00890CBE"/>
    <w:rsid w:val="00892149"/>
    <w:rsid w:val="008960D5"/>
    <w:rsid w:val="00896DB6"/>
    <w:rsid w:val="008977AB"/>
    <w:rsid w:val="008A099B"/>
    <w:rsid w:val="008A226D"/>
    <w:rsid w:val="008A4474"/>
    <w:rsid w:val="008A608A"/>
    <w:rsid w:val="008A6394"/>
    <w:rsid w:val="008A6DD0"/>
    <w:rsid w:val="008A794E"/>
    <w:rsid w:val="008B0ACE"/>
    <w:rsid w:val="008B2686"/>
    <w:rsid w:val="008B3320"/>
    <w:rsid w:val="008B45A4"/>
    <w:rsid w:val="008B5160"/>
    <w:rsid w:val="008B7C1A"/>
    <w:rsid w:val="008B7FC3"/>
    <w:rsid w:val="008C4C86"/>
    <w:rsid w:val="008C568D"/>
    <w:rsid w:val="008C5F0A"/>
    <w:rsid w:val="008D0DBD"/>
    <w:rsid w:val="008D1FF9"/>
    <w:rsid w:val="008D30AE"/>
    <w:rsid w:val="008D4360"/>
    <w:rsid w:val="008D66EC"/>
    <w:rsid w:val="008DDF91"/>
    <w:rsid w:val="008E34A8"/>
    <w:rsid w:val="008E50F9"/>
    <w:rsid w:val="008F0962"/>
    <w:rsid w:val="008F2318"/>
    <w:rsid w:val="008F2542"/>
    <w:rsid w:val="008F3AD6"/>
    <w:rsid w:val="008F4A43"/>
    <w:rsid w:val="009002D9"/>
    <w:rsid w:val="00901CA4"/>
    <w:rsid w:val="00901D50"/>
    <w:rsid w:val="00903A58"/>
    <w:rsid w:val="00904396"/>
    <w:rsid w:val="00904DF5"/>
    <w:rsid w:val="009054EE"/>
    <w:rsid w:val="009067EA"/>
    <w:rsid w:val="00907B89"/>
    <w:rsid w:val="00907D11"/>
    <w:rsid w:val="00910BE4"/>
    <w:rsid w:val="009119BE"/>
    <w:rsid w:val="0091401B"/>
    <w:rsid w:val="009152FD"/>
    <w:rsid w:val="009176E5"/>
    <w:rsid w:val="00924A5C"/>
    <w:rsid w:val="00924FA0"/>
    <w:rsid w:val="00926C27"/>
    <w:rsid w:val="009279F7"/>
    <w:rsid w:val="00927D86"/>
    <w:rsid w:val="009303CA"/>
    <w:rsid w:val="009306E2"/>
    <w:rsid w:val="00930898"/>
    <w:rsid w:val="00930902"/>
    <w:rsid w:val="00931B4D"/>
    <w:rsid w:val="00931F54"/>
    <w:rsid w:val="00933135"/>
    <w:rsid w:val="00933837"/>
    <w:rsid w:val="009351D4"/>
    <w:rsid w:val="00940FC3"/>
    <w:rsid w:val="00943668"/>
    <w:rsid w:val="00943C49"/>
    <w:rsid w:val="0094493A"/>
    <w:rsid w:val="00947026"/>
    <w:rsid w:val="00947B25"/>
    <w:rsid w:val="00950709"/>
    <w:rsid w:val="009532D0"/>
    <w:rsid w:val="009542DD"/>
    <w:rsid w:val="0095472E"/>
    <w:rsid w:val="009547BC"/>
    <w:rsid w:val="0096168B"/>
    <w:rsid w:val="00961E25"/>
    <w:rsid w:val="00964911"/>
    <w:rsid w:val="00966F0B"/>
    <w:rsid w:val="00966F95"/>
    <w:rsid w:val="009715DE"/>
    <w:rsid w:val="00972D42"/>
    <w:rsid w:val="00973D44"/>
    <w:rsid w:val="00973DC9"/>
    <w:rsid w:val="00975C25"/>
    <w:rsid w:val="0097620C"/>
    <w:rsid w:val="009820C0"/>
    <w:rsid w:val="00983118"/>
    <w:rsid w:val="00984179"/>
    <w:rsid w:val="00985194"/>
    <w:rsid w:val="00990B70"/>
    <w:rsid w:val="00991B6B"/>
    <w:rsid w:val="009942BB"/>
    <w:rsid w:val="00996042"/>
    <w:rsid w:val="009977FD"/>
    <w:rsid w:val="009A01B0"/>
    <w:rsid w:val="009A2127"/>
    <w:rsid w:val="009A2DF4"/>
    <w:rsid w:val="009A3C55"/>
    <w:rsid w:val="009A475C"/>
    <w:rsid w:val="009A62C7"/>
    <w:rsid w:val="009A6F3C"/>
    <w:rsid w:val="009A7FFD"/>
    <w:rsid w:val="009B0D94"/>
    <w:rsid w:val="009B1AC5"/>
    <w:rsid w:val="009B1D2B"/>
    <w:rsid w:val="009B60BB"/>
    <w:rsid w:val="009B6A91"/>
    <w:rsid w:val="009B6F92"/>
    <w:rsid w:val="009C1E70"/>
    <w:rsid w:val="009C30C3"/>
    <w:rsid w:val="009C516E"/>
    <w:rsid w:val="009C5FD4"/>
    <w:rsid w:val="009C6018"/>
    <w:rsid w:val="009C6CFA"/>
    <w:rsid w:val="009C719A"/>
    <w:rsid w:val="009D0B48"/>
    <w:rsid w:val="009D2046"/>
    <w:rsid w:val="009D4AA2"/>
    <w:rsid w:val="009D5CC1"/>
    <w:rsid w:val="009D73E2"/>
    <w:rsid w:val="009E062B"/>
    <w:rsid w:val="009E15E6"/>
    <w:rsid w:val="009E61D7"/>
    <w:rsid w:val="009F0DA3"/>
    <w:rsid w:val="009F281E"/>
    <w:rsid w:val="009F41C7"/>
    <w:rsid w:val="009F45BF"/>
    <w:rsid w:val="009F5627"/>
    <w:rsid w:val="00A00F8C"/>
    <w:rsid w:val="00A0173E"/>
    <w:rsid w:val="00A01D16"/>
    <w:rsid w:val="00A01DE7"/>
    <w:rsid w:val="00A035F1"/>
    <w:rsid w:val="00A03A00"/>
    <w:rsid w:val="00A050FF"/>
    <w:rsid w:val="00A07122"/>
    <w:rsid w:val="00A13E17"/>
    <w:rsid w:val="00A14C75"/>
    <w:rsid w:val="00A14D53"/>
    <w:rsid w:val="00A169EC"/>
    <w:rsid w:val="00A21612"/>
    <w:rsid w:val="00A23C4C"/>
    <w:rsid w:val="00A23E75"/>
    <w:rsid w:val="00A257AD"/>
    <w:rsid w:val="00A2691C"/>
    <w:rsid w:val="00A26D9C"/>
    <w:rsid w:val="00A26F13"/>
    <w:rsid w:val="00A27EA0"/>
    <w:rsid w:val="00A300B0"/>
    <w:rsid w:val="00A30AB3"/>
    <w:rsid w:val="00A30DBB"/>
    <w:rsid w:val="00A31AF3"/>
    <w:rsid w:val="00A32249"/>
    <w:rsid w:val="00A3655B"/>
    <w:rsid w:val="00A37299"/>
    <w:rsid w:val="00A40FC9"/>
    <w:rsid w:val="00A46C1E"/>
    <w:rsid w:val="00A473D6"/>
    <w:rsid w:val="00A4762B"/>
    <w:rsid w:val="00A50A73"/>
    <w:rsid w:val="00A532B0"/>
    <w:rsid w:val="00A5362D"/>
    <w:rsid w:val="00A56F0B"/>
    <w:rsid w:val="00A60B86"/>
    <w:rsid w:val="00A631E2"/>
    <w:rsid w:val="00A6442C"/>
    <w:rsid w:val="00A65E32"/>
    <w:rsid w:val="00A7086D"/>
    <w:rsid w:val="00A73D7D"/>
    <w:rsid w:val="00A7530C"/>
    <w:rsid w:val="00A75EBA"/>
    <w:rsid w:val="00A77602"/>
    <w:rsid w:val="00A77ABE"/>
    <w:rsid w:val="00A81096"/>
    <w:rsid w:val="00A81102"/>
    <w:rsid w:val="00A819BF"/>
    <w:rsid w:val="00A85744"/>
    <w:rsid w:val="00A86EF7"/>
    <w:rsid w:val="00A913E4"/>
    <w:rsid w:val="00A93809"/>
    <w:rsid w:val="00A947F4"/>
    <w:rsid w:val="00A95C50"/>
    <w:rsid w:val="00AA0311"/>
    <w:rsid w:val="00AA11F2"/>
    <w:rsid w:val="00AA28B9"/>
    <w:rsid w:val="00AA3574"/>
    <w:rsid w:val="00AA453C"/>
    <w:rsid w:val="00AA5883"/>
    <w:rsid w:val="00AA6FA9"/>
    <w:rsid w:val="00AA7A09"/>
    <w:rsid w:val="00AB0B61"/>
    <w:rsid w:val="00AB169B"/>
    <w:rsid w:val="00AB2A4C"/>
    <w:rsid w:val="00AC0C65"/>
    <w:rsid w:val="00AC1EFF"/>
    <w:rsid w:val="00AC36F1"/>
    <w:rsid w:val="00AC3967"/>
    <w:rsid w:val="00AC4B00"/>
    <w:rsid w:val="00AC5AAF"/>
    <w:rsid w:val="00AC6E0A"/>
    <w:rsid w:val="00AC720B"/>
    <w:rsid w:val="00AD0630"/>
    <w:rsid w:val="00AD07E7"/>
    <w:rsid w:val="00AD0CEB"/>
    <w:rsid w:val="00AD1866"/>
    <w:rsid w:val="00AD2941"/>
    <w:rsid w:val="00AD49CD"/>
    <w:rsid w:val="00AD55AB"/>
    <w:rsid w:val="00AD6822"/>
    <w:rsid w:val="00AD7142"/>
    <w:rsid w:val="00AE1897"/>
    <w:rsid w:val="00AE1EA3"/>
    <w:rsid w:val="00AE2966"/>
    <w:rsid w:val="00AE2F4D"/>
    <w:rsid w:val="00AE42E3"/>
    <w:rsid w:val="00AE4A12"/>
    <w:rsid w:val="00AE534C"/>
    <w:rsid w:val="00AE756E"/>
    <w:rsid w:val="00AF23EA"/>
    <w:rsid w:val="00AF4215"/>
    <w:rsid w:val="00AF4E48"/>
    <w:rsid w:val="00AF52DD"/>
    <w:rsid w:val="00AF5BF4"/>
    <w:rsid w:val="00AF7353"/>
    <w:rsid w:val="00AF7B1E"/>
    <w:rsid w:val="00B0044E"/>
    <w:rsid w:val="00B015E5"/>
    <w:rsid w:val="00B0433D"/>
    <w:rsid w:val="00B064BA"/>
    <w:rsid w:val="00B06835"/>
    <w:rsid w:val="00B10768"/>
    <w:rsid w:val="00B108F9"/>
    <w:rsid w:val="00B109D5"/>
    <w:rsid w:val="00B10C71"/>
    <w:rsid w:val="00B14BFE"/>
    <w:rsid w:val="00B172D6"/>
    <w:rsid w:val="00B17FDC"/>
    <w:rsid w:val="00B22C8B"/>
    <w:rsid w:val="00B232AF"/>
    <w:rsid w:val="00B238A0"/>
    <w:rsid w:val="00B27A2D"/>
    <w:rsid w:val="00B30986"/>
    <w:rsid w:val="00B30B16"/>
    <w:rsid w:val="00B31589"/>
    <w:rsid w:val="00B33320"/>
    <w:rsid w:val="00B4000D"/>
    <w:rsid w:val="00B418C7"/>
    <w:rsid w:val="00B47A1A"/>
    <w:rsid w:val="00B47FF6"/>
    <w:rsid w:val="00B53C99"/>
    <w:rsid w:val="00B54024"/>
    <w:rsid w:val="00B540B3"/>
    <w:rsid w:val="00B54444"/>
    <w:rsid w:val="00B54AE6"/>
    <w:rsid w:val="00B570D7"/>
    <w:rsid w:val="00B60C17"/>
    <w:rsid w:val="00B61101"/>
    <w:rsid w:val="00B61214"/>
    <w:rsid w:val="00B613D1"/>
    <w:rsid w:val="00B61C87"/>
    <w:rsid w:val="00B61E7A"/>
    <w:rsid w:val="00B66903"/>
    <w:rsid w:val="00B67C1F"/>
    <w:rsid w:val="00B67E8E"/>
    <w:rsid w:val="00B70695"/>
    <w:rsid w:val="00B7084E"/>
    <w:rsid w:val="00B71C0A"/>
    <w:rsid w:val="00B721E9"/>
    <w:rsid w:val="00B72F2D"/>
    <w:rsid w:val="00B746AA"/>
    <w:rsid w:val="00B756CD"/>
    <w:rsid w:val="00B75932"/>
    <w:rsid w:val="00B760DA"/>
    <w:rsid w:val="00B76791"/>
    <w:rsid w:val="00B80359"/>
    <w:rsid w:val="00B81C17"/>
    <w:rsid w:val="00B82AA9"/>
    <w:rsid w:val="00B839F7"/>
    <w:rsid w:val="00B86F72"/>
    <w:rsid w:val="00B878DB"/>
    <w:rsid w:val="00B879FE"/>
    <w:rsid w:val="00B91618"/>
    <w:rsid w:val="00B96337"/>
    <w:rsid w:val="00B96461"/>
    <w:rsid w:val="00BA20CF"/>
    <w:rsid w:val="00BA2C23"/>
    <w:rsid w:val="00BA365F"/>
    <w:rsid w:val="00BA36AF"/>
    <w:rsid w:val="00BA3E33"/>
    <w:rsid w:val="00BA428D"/>
    <w:rsid w:val="00BA4949"/>
    <w:rsid w:val="00BA5BF5"/>
    <w:rsid w:val="00BA7F26"/>
    <w:rsid w:val="00BB0AF6"/>
    <w:rsid w:val="00BB0D16"/>
    <w:rsid w:val="00BB7727"/>
    <w:rsid w:val="00BC140F"/>
    <w:rsid w:val="00BC19FE"/>
    <w:rsid w:val="00BC71B7"/>
    <w:rsid w:val="00BD11ED"/>
    <w:rsid w:val="00BD1210"/>
    <w:rsid w:val="00BD144B"/>
    <w:rsid w:val="00BD40DB"/>
    <w:rsid w:val="00BD7585"/>
    <w:rsid w:val="00BE03CE"/>
    <w:rsid w:val="00BE2606"/>
    <w:rsid w:val="00BE2BBD"/>
    <w:rsid w:val="00BE3682"/>
    <w:rsid w:val="00BE631A"/>
    <w:rsid w:val="00BE76D2"/>
    <w:rsid w:val="00BF0D79"/>
    <w:rsid w:val="00BF3E04"/>
    <w:rsid w:val="00BF457F"/>
    <w:rsid w:val="00BF4BE8"/>
    <w:rsid w:val="00BF5BD5"/>
    <w:rsid w:val="00BF71A6"/>
    <w:rsid w:val="00BF7FB3"/>
    <w:rsid w:val="00C000C8"/>
    <w:rsid w:val="00C00121"/>
    <w:rsid w:val="00C00F16"/>
    <w:rsid w:val="00C01725"/>
    <w:rsid w:val="00C02B6A"/>
    <w:rsid w:val="00C02E43"/>
    <w:rsid w:val="00C047F3"/>
    <w:rsid w:val="00C07521"/>
    <w:rsid w:val="00C11EE1"/>
    <w:rsid w:val="00C155B5"/>
    <w:rsid w:val="00C174F4"/>
    <w:rsid w:val="00C1780D"/>
    <w:rsid w:val="00C178E8"/>
    <w:rsid w:val="00C245A4"/>
    <w:rsid w:val="00C24798"/>
    <w:rsid w:val="00C25BAA"/>
    <w:rsid w:val="00C26B9F"/>
    <w:rsid w:val="00C26CDC"/>
    <w:rsid w:val="00C26D32"/>
    <w:rsid w:val="00C275AC"/>
    <w:rsid w:val="00C300E2"/>
    <w:rsid w:val="00C313EC"/>
    <w:rsid w:val="00C3351F"/>
    <w:rsid w:val="00C3686E"/>
    <w:rsid w:val="00C40468"/>
    <w:rsid w:val="00C409B1"/>
    <w:rsid w:val="00C40AD3"/>
    <w:rsid w:val="00C40CE7"/>
    <w:rsid w:val="00C41243"/>
    <w:rsid w:val="00C4376D"/>
    <w:rsid w:val="00C438F1"/>
    <w:rsid w:val="00C43D75"/>
    <w:rsid w:val="00C452AA"/>
    <w:rsid w:val="00C46FDA"/>
    <w:rsid w:val="00C4735C"/>
    <w:rsid w:val="00C4791D"/>
    <w:rsid w:val="00C47F46"/>
    <w:rsid w:val="00C5079F"/>
    <w:rsid w:val="00C516FC"/>
    <w:rsid w:val="00C542A8"/>
    <w:rsid w:val="00C549EE"/>
    <w:rsid w:val="00C54A0A"/>
    <w:rsid w:val="00C57CFF"/>
    <w:rsid w:val="00C60403"/>
    <w:rsid w:val="00C62B4F"/>
    <w:rsid w:val="00C65085"/>
    <w:rsid w:val="00C65F1A"/>
    <w:rsid w:val="00C67148"/>
    <w:rsid w:val="00C704F6"/>
    <w:rsid w:val="00C70AA9"/>
    <w:rsid w:val="00C7189F"/>
    <w:rsid w:val="00C72151"/>
    <w:rsid w:val="00C7420E"/>
    <w:rsid w:val="00C777B1"/>
    <w:rsid w:val="00C778D5"/>
    <w:rsid w:val="00C81EA3"/>
    <w:rsid w:val="00C8288B"/>
    <w:rsid w:val="00C82F61"/>
    <w:rsid w:val="00C84C82"/>
    <w:rsid w:val="00C856F4"/>
    <w:rsid w:val="00C85EDA"/>
    <w:rsid w:val="00C90563"/>
    <w:rsid w:val="00C944C9"/>
    <w:rsid w:val="00C96670"/>
    <w:rsid w:val="00C97FFA"/>
    <w:rsid w:val="00CA0CE8"/>
    <w:rsid w:val="00CA316B"/>
    <w:rsid w:val="00CA36CB"/>
    <w:rsid w:val="00CA46F5"/>
    <w:rsid w:val="00CA4CA6"/>
    <w:rsid w:val="00CA53D4"/>
    <w:rsid w:val="00CA5C49"/>
    <w:rsid w:val="00CA5CEA"/>
    <w:rsid w:val="00CA6ECB"/>
    <w:rsid w:val="00CB0EF8"/>
    <w:rsid w:val="00CB25EC"/>
    <w:rsid w:val="00CB323B"/>
    <w:rsid w:val="00CB32AE"/>
    <w:rsid w:val="00CB32BC"/>
    <w:rsid w:val="00CB5BBB"/>
    <w:rsid w:val="00CC1CFD"/>
    <w:rsid w:val="00CC36BF"/>
    <w:rsid w:val="00CC42E0"/>
    <w:rsid w:val="00CC5F8C"/>
    <w:rsid w:val="00CC7BA5"/>
    <w:rsid w:val="00CC7F07"/>
    <w:rsid w:val="00CCE9EC"/>
    <w:rsid w:val="00CD0295"/>
    <w:rsid w:val="00CD2F70"/>
    <w:rsid w:val="00CD5C5C"/>
    <w:rsid w:val="00CE0E11"/>
    <w:rsid w:val="00CE1749"/>
    <w:rsid w:val="00CE1A57"/>
    <w:rsid w:val="00CE1D39"/>
    <w:rsid w:val="00CE35B3"/>
    <w:rsid w:val="00CE49AE"/>
    <w:rsid w:val="00CE5931"/>
    <w:rsid w:val="00CF04CD"/>
    <w:rsid w:val="00CF0E62"/>
    <w:rsid w:val="00CF2A47"/>
    <w:rsid w:val="00CF583F"/>
    <w:rsid w:val="00CF6026"/>
    <w:rsid w:val="00D00B2E"/>
    <w:rsid w:val="00D02FB1"/>
    <w:rsid w:val="00D10885"/>
    <w:rsid w:val="00D1384C"/>
    <w:rsid w:val="00D13CEE"/>
    <w:rsid w:val="00D16E45"/>
    <w:rsid w:val="00D173C9"/>
    <w:rsid w:val="00D1771E"/>
    <w:rsid w:val="00D22549"/>
    <w:rsid w:val="00D229BF"/>
    <w:rsid w:val="00D257B0"/>
    <w:rsid w:val="00D26ACA"/>
    <w:rsid w:val="00D27E9B"/>
    <w:rsid w:val="00D3015F"/>
    <w:rsid w:val="00D30305"/>
    <w:rsid w:val="00D342A1"/>
    <w:rsid w:val="00D34638"/>
    <w:rsid w:val="00D36D1C"/>
    <w:rsid w:val="00D37700"/>
    <w:rsid w:val="00D40630"/>
    <w:rsid w:val="00D41571"/>
    <w:rsid w:val="00D41A4F"/>
    <w:rsid w:val="00D466D3"/>
    <w:rsid w:val="00D46D51"/>
    <w:rsid w:val="00D52912"/>
    <w:rsid w:val="00D52F18"/>
    <w:rsid w:val="00D542D0"/>
    <w:rsid w:val="00D560A1"/>
    <w:rsid w:val="00D62A7C"/>
    <w:rsid w:val="00D6389A"/>
    <w:rsid w:val="00D645DE"/>
    <w:rsid w:val="00D65826"/>
    <w:rsid w:val="00D675F3"/>
    <w:rsid w:val="00D706A7"/>
    <w:rsid w:val="00D708FE"/>
    <w:rsid w:val="00D70F3C"/>
    <w:rsid w:val="00D715D4"/>
    <w:rsid w:val="00D724B0"/>
    <w:rsid w:val="00D72A84"/>
    <w:rsid w:val="00D7702C"/>
    <w:rsid w:val="00D77E03"/>
    <w:rsid w:val="00D8399E"/>
    <w:rsid w:val="00D84BF3"/>
    <w:rsid w:val="00D8619D"/>
    <w:rsid w:val="00D87F24"/>
    <w:rsid w:val="00D90B7D"/>
    <w:rsid w:val="00D90C33"/>
    <w:rsid w:val="00D9142F"/>
    <w:rsid w:val="00D97280"/>
    <w:rsid w:val="00DA20F7"/>
    <w:rsid w:val="00DA5DDF"/>
    <w:rsid w:val="00DA6613"/>
    <w:rsid w:val="00DA69DA"/>
    <w:rsid w:val="00DB28B6"/>
    <w:rsid w:val="00DB2AD9"/>
    <w:rsid w:val="00DB3128"/>
    <w:rsid w:val="00DB3BDB"/>
    <w:rsid w:val="00DB59C4"/>
    <w:rsid w:val="00DB62C4"/>
    <w:rsid w:val="00DB6E08"/>
    <w:rsid w:val="00DC13DB"/>
    <w:rsid w:val="00DC14CF"/>
    <w:rsid w:val="00DC29B1"/>
    <w:rsid w:val="00DC49C8"/>
    <w:rsid w:val="00DC74E8"/>
    <w:rsid w:val="00DD0D4F"/>
    <w:rsid w:val="00DD1B78"/>
    <w:rsid w:val="00DD2476"/>
    <w:rsid w:val="00DD5378"/>
    <w:rsid w:val="00DD75DB"/>
    <w:rsid w:val="00DE142E"/>
    <w:rsid w:val="00DE46D0"/>
    <w:rsid w:val="00DE6141"/>
    <w:rsid w:val="00DF15ED"/>
    <w:rsid w:val="00DF7826"/>
    <w:rsid w:val="00E005C5"/>
    <w:rsid w:val="00E04C07"/>
    <w:rsid w:val="00E068A0"/>
    <w:rsid w:val="00E07E3A"/>
    <w:rsid w:val="00E117B8"/>
    <w:rsid w:val="00E120D1"/>
    <w:rsid w:val="00E1240F"/>
    <w:rsid w:val="00E14209"/>
    <w:rsid w:val="00E14BED"/>
    <w:rsid w:val="00E155DE"/>
    <w:rsid w:val="00E177D6"/>
    <w:rsid w:val="00E22512"/>
    <w:rsid w:val="00E23D19"/>
    <w:rsid w:val="00E26AF2"/>
    <w:rsid w:val="00E27219"/>
    <w:rsid w:val="00E27BE9"/>
    <w:rsid w:val="00E30450"/>
    <w:rsid w:val="00E3092D"/>
    <w:rsid w:val="00E30CDB"/>
    <w:rsid w:val="00E32E81"/>
    <w:rsid w:val="00E33A18"/>
    <w:rsid w:val="00E33B1B"/>
    <w:rsid w:val="00E34D4E"/>
    <w:rsid w:val="00E408A3"/>
    <w:rsid w:val="00E45543"/>
    <w:rsid w:val="00E45834"/>
    <w:rsid w:val="00E473D4"/>
    <w:rsid w:val="00E4758E"/>
    <w:rsid w:val="00E502ED"/>
    <w:rsid w:val="00E50B0C"/>
    <w:rsid w:val="00E53506"/>
    <w:rsid w:val="00E6002A"/>
    <w:rsid w:val="00E614E3"/>
    <w:rsid w:val="00E642CD"/>
    <w:rsid w:val="00E66B49"/>
    <w:rsid w:val="00E66BE8"/>
    <w:rsid w:val="00E67AAC"/>
    <w:rsid w:val="00E715D2"/>
    <w:rsid w:val="00E716C8"/>
    <w:rsid w:val="00E71C93"/>
    <w:rsid w:val="00E80DE5"/>
    <w:rsid w:val="00E810CA"/>
    <w:rsid w:val="00E81F59"/>
    <w:rsid w:val="00E82538"/>
    <w:rsid w:val="00E83CAC"/>
    <w:rsid w:val="00E85E66"/>
    <w:rsid w:val="00E86C48"/>
    <w:rsid w:val="00E957A4"/>
    <w:rsid w:val="00E95822"/>
    <w:rsid w:val="00E97582"/>
    <w:rsid w:val="00EA6C83"/>
    <w:rsid w:val="00EB0627"/>
    <w:rsid w:val="00EB2D4C"/>
    <w:rsid w:val="00EB4757"/>
    <w:rsid w:val="00EB71F5"/>
    <w:rsid w:val="00EC0229"/>
    <w:rsid w:val="00EC165B"/>
    <w:rsid w:val="00EC2519"/>
    <w:rsid w:val="00EC4A0D"/>
    <w:rsid w:val="00EC5273"/>
    <w:rsid w:val="00EC75A2"/>
    <w:rsid w:val="00EC7FA7"/>
    <w:rsid w:val="00ED0659"/>
    <w:rsid w:val="00ED06A0"/>
    <w:rsid w:val="00ED217D"/>
    <w:rsid w:val="00ED38D0"/>
    <w:rsid w:val="00ED400C"/>
    <w:rsid w:val="00ED4AC3"/>
    <w:rsid w:val="00ED6798"/>
    <w:rsid w:val="00EE1EFF"/>
    <w:rsid w:val="00EE2E3E"/>
    <w:rsid w:val="00EE446F"/>
    <w:rsid w:val="00EE6CE2"/>
    <w:rsid w:val="00EF521F"/>
    <w:rsid w:val="00EF6888"/>
    <w:rsid w:val="00F0221C"/>
    <w:rsid w:val="00F03E51"/>
    <w:rsid w:val="00F0506D"/>
    <w:rsid w:val="00F07845"/>
    <w:rsid w:val="00F11919"/>
    <w:rsid w:val="00F12EFE"/>
    <w:rsid w:val="00F13223"/>
    <w:rsid w:val="00F13243"/>
    <w:rsid w:val="00F14E4A"/>
    <w:rsid w:val="00F15F39"/>
    <w:rsid w:val="00F16340"/>
    <w:rsid w:val="00F16A09"/>
    <w:rsid w:val="00F16F8D"/>
    <w:rsid w:val="00F1716D"/>
    <w:rsid w:val="00F17661"/>
    <w:rsid w:val="00F20745"/>
    <w:rsid w:val="00F21634"/>
    <w:rsid w:val="00F24A59"/>
    <w:rsid w:val="00F2578A"/>
    <w:rsid w:val="00F26E9A"/>
    <w:rsid w:val="00F32A36"/>
    <w:rsid w:val="00F3370D"/>
    <w:rsid w:val="00F344CC"/>
    <w:rsid w:val="00F34EBD"/>
    <w:rsid w:val="00F35493"/>
    <w:rsid w:val="00F368CB"/>
    <w:rsid w:val="00F36E80"/>
    <w:rsid w:val="00F37009"/>
    <w:rsid w:val="00F4290A"/>
    <w:rsid w:val="00F42A87"/>
    <w:rsid w:val="00F447F9"/>
    <w:rsid w:val="00F46466"/>
    <w:rsid w:val="00F47249"/>
    <w:rsid w:val="00F478B0"/>
    <w:rsid w:val="00F500C2"/>
    <w:rsid w:val="00F50CE1"/>
    <w:rsid w:val="00F510D4"/>
    <w:rsid w:val="00F51ACB"/>
    <w:rsid w:val="00F60763"/>
    <w:rsid w:val="00F61896"/>
    <w:rsid w:val="00F64270"/>
    <w:rsid w:val="00F67202"/>
    <w:rsid w:val="00F70EA1"/>
    <w:rsid w:val="00F7183A"/>
    <w:rsid w:val="00F72AFE"/>
    <w:rsid w:val="00F72F53"/>
    <w:rsid w:val="00F73628"/>
    <w:rsid w:val="00F80DC3"/>
    <w:rsid w:val="00F80F12"/>
    <w:rsid w:val="00F8121E"/>
    <w:rsid w:val="00F8170F"/>
    <w:rsid w:val="00F8229A"/>
    <w:rsid w:val="00F83218"/>
    <w:rsid w:val="00F8421A"/>
    <w:rsid w:val="00F854C8"/>
    <w:rsid w:val="00F857FE"/>
    <w:rsid w:val="00F85A2F"/>
    <w:rsid w:val="00F86BBD"/>
    <w:rsid w:val="00F87762"/>
    <w:rsid w:val="00F909CB"/>
    <w:rsid w:val="00F92995"/>
    <w:rsid w:val="00F92C43"/>
    <w:rsid w:val="00F93613"/>
    <w:rsid w:val="00F93F0B"/>
    <w:rsid w:val="00F940A6"/>
    <w:rsid w:val="00F963B8"/>
    <w:rsid w:val="00F96673"/>
    <w:rsid w:val="00F97B2E"/>
    <w:rsid w:val="00FA03A4"/>
    <w:rsid w:val="00FA1235"/>
    <w:rsid w:val="00FA1E18"/>
    <w:rsid w:val="00FA2714"/>
    <w:rsid w:val="00FA5075"/>
    <w:rsid w:val="00FA5DF1"/>
    <w:rsid w:val="00FB0C27"/>
    <w:rsid w:val="00FB2440"/>
    <w:rsid w:val="00FB2CF6"/>
    <w:rsid w:val="00FB3F64"/>
    <w:rsid w:val="00FB6B4F"/>
    <w:rsid w:val="00FB7B9D"/>
    <w:rsid w:val="00FC039F"/>
    <w:rsid w:val="00FC1AB1"/>
    <w:rsid w:val="00FC1D63"/>
    <w:rsid w:val="00FC2802"/>
    <w:rsid w:val="00FC465C"/>
    <w:rsid w:val="00FC4811"/>
    <w:rsid w:val="00FD04FD"/>
    <w:rsid w:val="00FD2512"/>
    <w:rsid w:val="00FD2AD4"/>
    <w:rsid w:val="00FD2C66"/>
    <w:rsid w:val="00FD2CCF"/>
    <w:rsid w:val="00FD3DDE"/>
    <w:rsid w:val="00FD4402"/>
    <w:rsid w:val="00FD58C3"/>
    <w:rsid w:val="00FD6D52"/>
    <w:rsid w:val="00FD7F54"/>
    <w:rsid w:val="00FE0C4D"/>
    <w:rsid w:val="00FE6706"/>
    <w:rsid w:val="00FF31D5"/>
    <w:rsid w:val="00FF38C1"/>
    <w:rsid w:val="00FF5089"/>
    <w:rsid w:val="00FF53C6"/>
    <w:rsid w:val="0131CCAF"/>
    <w:rsid w:val="013652A1"/>
    <w:rsid w:val="0181CAD1"/>
    <w:rsid w:val="020E9BE0"/>
    <w:rsid w:val="02183AD2"/>
    <w:rsid w:val="023D5034"/>
    <w:rsid w:val="028FE2CB"/>
    <w:rsid w:val="0293BB6C"/>
    <w:rsid w:val="037CDCB3"/>
    <w:rsid w:val="03FCD536"/>
    <w:rsid w:val="0474D9C5"/>
    <w:rsid w:val="049727A7"/>
    <w:rsid w:val="04A3A6ED"/>
    <w:rsid w:val="04B1BEF6"/>
    <w:rsid w:val="04D28830"/>
    <w:rsid w:val="05472EBF"/>
    <w:rsid w:val="0598A597"/>
    <w:rsid w:val="0602259C"/>
    <w:rsid w:val="0632F808"/>
    <w:rsid w:val="06470193"/>
    <w:rsid w:val="0656A51E"/>
    <w:rsid w:val="0745C161"/>
    <w:rsid w:val="07A9BB6E"/>
    <w:rsid w:val="07E8E5C1"/>
    <w:rsid w:val="080A28F2"/>
    <w:rsid w:val="08E191C2"/>
    <w:rsid w:val="08F7E395"/>
    <w:rsid w:val="094F171C"/>
    <w:rsid w:val="09DE9011"/>
    <w:rsid w:val="0A2F4260"/>
    <w:rsid w:val="0A4A2F22"/>
    <w:rsid w:val="0A6FAF0C"/>
    <w:rsid w:val="0AC0761D"/>
    <w:rsid w:val="0AC6B9C8"/>
    <w:rsid w:val="0ADB7029"/>
    <w:rsid w:val="0AFCBEB5"/>
    <w:rsid w:val="0B06692B"/>
    <w:rsid w:val="0B7BE53B"/>
    <w:rsid w:val="0BC5E326"/>
    <w:rsid w:val="0C193284"/>
    <w:rsid w:val="0C747F56"/>
    <w:rsid w:val="0DC9E47F"/>
    <w:rsid w:val="0E079ECE"/>
    <w:rsid w:val="0E3E09ED"/>
    <w:rsid w:val="0F06F53C"/>
    <w:rsid w:val="12CA987D"/>
    <w:rsid w:val="12F852B3"/>
    <w:rsid w:val="13117B10"/>
    <w:rsid w:val="135E7B26"/>
    <w:rsid w:val="13630E9E"/>
    <w:rsid w:val="13946EDF"/>
    <w:rsid w:val="13C93A56"/>
    <w:rsid w:val="14AD4B71"/>
    <w:rsid w:val="14CFD046"/>
    <w:rsid w:val="14DFB35D"/>
    <w:rsid w:val="1509B8FC"/>
    <w:rsid w:val="15973D5C"/>
    <w:rsid w:val="15E96D7E"/>
    <w:rsid w:val="162336E9"/>
    <w:rsid w:val="16FD3FAE"/>
    <w:rsid w:val="178EB728"/>
    <w:rsid w:val="17B18A11"/>
    <w:rsid w:val="17CBC3D6"/>
    <w:rsid w:val="18077108"/>
    <w:rsid w:val="18367FC1"/>
    <w:rsid w:val="183861ED"/>
    <w:rsid w:val="18684C85"/>
    <w:rsid w:val="198C69C6"/>
    <w:rsid w:val="1AD5AA62"/>
    <w:rsid w:val="1B1FBEBB"/>
    <w:rsid w:val="1B75FD77"/>
    <w:rsid w:val="1D1F4016"/>
    <w:rsid w:val="1D714B8C"/>
    <w:rsid w:val="1E05F611"/>
    <w:rsid w:val="1E267381"/>
    <w:rsid w:val="1F010E17"/>
    <w:rsid w:val="1F01B41D"/>
    <w:rsid w:val="1F1D0F2E"/>
    <w:rsid w:val="1F84D4D7"/>
    <w:rsid w:val="1FAF0ABF"/>
    <w:rsid w:val="1FE3319D"/>
    <w:rsid w:val="201282ED"/>
    <w:rsid w:val="21B8664D"/>
    <w:rsid w:val="228D5CFB"/>
    <w:rsid w:val="22BE0000"/>
    <w:rsid w:val="22C65398"/>
    <w:rsid w:val="23BFDCCF"/>
    <w:rsid w:val="24847A2E"/>
    <w:rsid w:val="24A6E80E"/>
    <w:rsid w:val="25A82FF5"/>
    <w:rsid w:val="26AC91A2"/>
    <w:rsid w:val="26D34A4E"/>
    <w:rsid w:val="2798DFB5"/>
    <w:rsid w:val="27B42D6A"/>
    <w:rsid w:val="27F6546C"/>
    <w:rsid w:val="285748D5"/>
    <w:rsid w:val="285F6B0E"/>
    <w:rsid w:val="28CD41DD"/>
    <w:rsid w:val="293CC4A8"/>
    <w:rsid w:val="29CF9B6B"/>
    <w:rsid w:val="2A222E36"/>
    <w:rsid w:val="2AA7E849"/>
    <w:rsid w:val="2B4C2439"/>
    <w:rsid w:val="2BD90C3D"/>
    <w:rsid w:val="2C1CDDD4"/>
    <w:rsid w:val="2C4A2F82"/>
    <w:rsid w:val="2C77438B"/>
    <w:rsid w:val="2D7B6180"/>
    <w:rsid w:val="2D8FF359"/>
    <w:rsid w:val="2E1313EC"/>
    <w:rsid w:val="2E41D142"/>
    <w:rsid w:val="2EF4ED40"/>
    <w:rsid w:val="2F287CAB"/>
    <w:rsid w:val="2F44EC17"/>
    <w:rsid w:val="2FDB346F"/>
    <w:rsid w:val="307FDBA0"/>
    <w:rsid w:val="30C44D0C"/>
    <w:rsid w:val="316B61D2"/>
    <w:rsid w:val="31F71D39"/>
    <w:rsid w:val="321BAC01"/>
    <w:rsid w:val="3235AA46"/>
    <w:rsid w:val="32FECD97"/>
    <w:rsid w:val="3321030E"/>
    <w:rsid w:val="33F1A805"/>
    <w:rsid w:val="34659AAA"/>
    <w:rsid w:val="35249326"/>
    <w:rsid w:val="36B93847"/>
    <w:rsid w:val="387186F3"/>
    <w:rsid w:val="39A46370"/>
    <w:rsid w:val="39BF056D"/>
    <w:rsid w:val="3A90FB36"/>
    <w:rsid w:val="3AD1689F"/>
    <w:rsid w:val="3B17A3F1"/>
    <w:rsid w:val="3B56B948"/>
    <w:rsid w:val="3BBA26D1"/>
    <w:rsid w:val="3BE90004"/>
    <w:rsid w:val="3C1EB38E"/>
    <w:rsid w:val="3C9276BA"/>
    <w:rsid w:val="3CAEBCF7"/>
    <w:rsid w:val="3DA61723"/>
    <w:rsid w:val="3DACC070"/>
    <w:rsid w:val="3DCF85DA"/>
    <w:rsid w:val="3E320CA2"/>
    <w:rsid w:val="3E6A168B"/>
    <w:rsid w:val="3E6BBA9A"/>
    <w:rsid w:val="3F142D4E"/>
    <w:rsid w:val="3F2C84D8"/>
    <w:rsid w:val="3F565450"/>
    <w:rsid w:val="3FB0B6FA"/>
    <w:rsid w:val="3FBF511A"/>
    <w:rsid w:val="3FCA9C95"/>
    <w:rsid w:val="3FE80A3B"/>
    <w:rsid w:val="40B38A7F"/>
    <w:rsid w:val="410D1E6C"/>
    <w:rsid w:val="415B217B"/>
    <w:rsid w:val="416F40AE"/>
    <w:rsid w:val="42093501"/>
    <w:rsid w:val="4241C669"/>
    <w:rsid w:val="42705283"/>
    <w:rsid w:val="4299EC0D"/>
    <w:rsid w:val="42F6F1DC"/>
    <w:rsid w:val="44031697"/>
    <w:rsid w:val="45AC92A3"/>
    <w:rsid w:val="473A7A59"/>
    <w:rsid w:val="47CBFA3D"/>
    <w:rsid w:val="48099D3C"/>
    <w:rsid w:val="48D971E8"/>
    <w:rsid w:val="49FA22C6"/>
    <w:rsid w:val="4A5ECD7B"/>
    <w:rsid w:val="4A8C87B1"/>
    <w:rsid w:val="4BB4031D"/>
    <w:rsid w:val="4CCA6B3B"/>
    <w:rsid w:val="4E15BC01"/>
    <w:rsid w:val="4E9C69B8"/>
    <w:rsid w:val="4EAE40F0"/>
    <w:rsid w:val="4ED282B5"/>
    <w:rsid w:val="4F323E9E"/>
    <w:rsid w:val="4FAEFDA9"/>
    <w:rsid w:val="4FF99BAF"/>
    <w:rsid w:val="50115F26"/>
    <w:rsid w:val="50B03153"/>
    <w:rsid w:val="50E19DAC"/>
    <w:rsid w:val="50FBC935"/>
    <w:rsid w:val="513524D6"/>
    <w:rsid w:val="513C9E5D"/>
    <w:rsid w:val="520DD75D"/>
    <w:rsid w:val="5269DF60"/>
    <w:rsid w:val="52CEA94C"/>
    <w:rsid w:val="535F5E70"/>
    <w:rsid w:val="542A5CAD"/>
    <w:rsid w:val="543F8496"/>
    <w:rsid w:val="5455EECC"/>
    <w:rsid w:val="549E3077"/>
    <w:rsid w:val="54DFE511"/>
    <w:rsid w:val="5583809D"/>
    <w:rsid w:val="55C3B599"/>
    <w:rsid w:val="55F964F4"/>
    <w:rsid w:val="5620CDE6"/>
    <w:rsid w:val="57B84829"/>
    <w:rsid w:val="57BC9E47"/>
    <w:rsid w:val="57BEBE36"/>
    <w:rsid w:val="57C560DA"/>
    <w:rsid w:val="58B10D8E"/>
    <w:rsid w:val="58FDA557"/>
    <w:rsid w:val="5987B95C"/>
    <w:rsid w:val="59893309"/>
    <w:rsid w:val="59E4FE2A"/>
    <w:rsid w:val="5A2D05F9"/>
    <w:rsid w:val="5A51F0D7"/>
    <w:rsid w:val="5ABC17E5"/>
    <w:rsid w:val="5B4F8BDB"/>
    <w:rsid w:val="5C900F6A"/>
    <w:rsid w:val="5CC27F39"/>
    <w:rsid w:val="5CEB5C3C"/>
    <w:rsid w:val="5CF08DD1"/>
    <w:rsid w:val="5DA80EC4"/>
    <w:rsid w:val="5DB59F21"/>
    <w:rsid w:val="5DCF05B3"/>
    <w:rsid w:val="5E1C574C"/>
    <w:rsid w:val="5F1D982F"/>
    <w:rsid w:val="5F66C4BC"/>
    <w:rsid w:val="606D1157"/>
    <w:rsid w:val="607829FC"/>
    <w:rsid w:val="60F35284"/>
    <w:rsid w:val="6102951D"/>
    <w:rsid w:val="613348DE"/>
    <w:rsid w:val="61428E83"/>
    <w:rsid w:val="616EF48D"/>
    <w:rsid w:val="61EC8795"/>
    <w:rsid w:val="625E8EB3"/>
    <w:rsid w:val="626D88F2"/>
    <w:rsid w:val="628F22E5"/>
    <w:rsid w:val="62DE5EE4"/>
    <w:rsid w:val="63CFFF61"/>
    <w:rsid w:val="64210D82"/>
    <w:rsid w:val="647A2F45"/>
    <w:rsid w:val="6755B9E7"/>
    <w:rsid w:val="67715F0A"/>
    <w:rsid w:val="67B1D007"/>
    <w:rsid w:val="67FAE841"/>
    <w:rsid w:val="68AD5CA7"/>
    <w:rsid w:val="68B3F31D"/>
    <w:rsid w:val="68D932AF"/>
    <w:rsid w:val="69562B45"/>
    <w:rsid w:val="69BD47E0"/>
    <w:rsid w:val="69C9DF44"/>
    <w:rsid w:val="6A5F6AB2"/>
    <w:rsid w:val="6AF01FD6"/>
    <w:rsid w:val="6B33BB87"/>
    <w:rsid w:val="6B54CBDA"/>
    <w:rsid w:val="6CA44E04"/>
    <w:rsid w:val="6D62C46A"/>
    <w:rsid w:val="6DD3B071"/>
    <w:rsid w:val="6F4624B8"/>
    <w:rsid w:val="6F7C70EF"/>
    <w:rsid w:val="6FCAC7D8"/>
    <w:rsid w:val="703AE367"/>
    <w:rsid w:val="706DF943"/>
    <w:rsid w:val="70895FD3"/>
    <w:rsid w:val="70A42747"/>
    <w:rsid w:val="71953307"/>
    <w:rsid w:val="71CDFBBE"/>
    <w:rsid w:val="71D6B3C8"/>
    <w:rsid w:val="727E902C"/>
    <w:rsid w:val="738F23DE"/>
    <w:rsid w:val="739545FD"/>
    <w:rsid w:val="73B12684"/>
    <w:rsid w:val="73C884E5"/>
    <w:rsid w:val="73E2D9E8"/>
    <w:rsid w:val="741BE556"/>
    <w:rsid w:val="746F5495"/>
    <w:rsid w:val="74B476DF"/>
    <w:rsid w:val="74DED825"/>
    <w:rsid w:val="76232522"/>
    <w:rsid w:val="76B3BE62"/>
    <w:rsid w:val="780232A8"/>
    <w:rsid w:val="78CB6DF7"/>
    <w:rsid w:val="790A7771"/>
    <w:rsid w:val="7949406A"/>
    <w:rsid w:val="79E3196C"/>
    <w:rsid w:val="79EB5F24"/>
    <w:rsid w:val="7A990B1C"/>
    <w:rsid w:val="7A9C9590"/>
    <w:rsid w:val="7B13692C"/>
    <w:rsid w:val="7B1A4135"/>
    <w:rsid w:val="7B1B346C"/>
    <w:rsid w:val="7BEE5F58"/>
    <w:rsid w:val="7C8561C3"/>
    <w:rsid w:val="7CA0825E"/>
    <w:rsid w:val="7D19E9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C91A2"/>
  <w15:chartTrackingRefBased/>
  <w15:docId w15:val="{90786914-3947-4F52-9FB6-C507E8B6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04198"/>
    <w:rPr>
      <w:sz w:val="16"/>
      <w:szCs w:val="16"/>
    </w:rPr>
  </w:style>
  <w:style w:type="paragraph" w:styleId="CommentText">
    <w:name w:val="annotation text"/>
    <w:basedOn w:val="Normal"/>
    <w:link w:val="CommentTextChar"/>
    <w:uiPriority w:val="99"/>
    <w:unhideWhenUsed/>
    <w:rsid w:val="00804198"/>
    <w:pPr>
      <w:spacing w:line="240" w:lineRule="auto"/>
    </w:pPr>
    <w:rPr>
      <w:sz w:val="20"/>
      <w:szCs w:val="20"/>
    </w:rPr>
  </w:style>
  <w:style w:type="character" w:customStyle="1" w:styleId="CommentTextChar">
    <w:name w:val="Comment Text Char"/>
    <w:basedOn w:val="DefaultParagraphFont"/>
    <w:link w:val="CommentText"/>
    <w:uiPriority w:val="99"/>
    <w:rsid w:val="00804198"/>
    <w:rPr>
      <w:sz w:val="20"/>
      <w:szCs w:val="20"/>
    </w:rPr>
  </w:style>
  <w:style w:type="paragraph" w:styleId="CommentSubject">
    <w:name w:val="annotation subject"/>
    <w:basedOn w:val="CommentText"/>
    <w:next w:val="CommentText"/>
    <w:link w:val="CommentSubjectChar"/>
    <w:uiPriority w:val="99"/>
    <w:semiHidden/>
    <w:unhideWhenUsed/>
    <w:rsid w:val="00804198"/>
    <w:rPr>
      <w:b/>
      <w:bCs/>
    </w:rPr>
  </w:style>
  <w:style w:type="character" w:customStyle="1" w:styleId="CommentSubjectChar">
    <w:name w:val="Comment Subject Char"/>
    <w:basedOn w:val="CommentTextChar"/>
    <w:link w:val="CommentSubject"/>
    <w:uiPriority w:val="99"/>
    <w:semiHidden/>
    <w:rsid w:val="00804198"/>
    <w:rPr>
      <w:b/>
      <w:bCs/>
      <w:sz w:val="20"/>
      <w:szCs w:val="20"/>
    </w:rPr>
  </w:style>
  <w:style w:type="paragraph" w:styleId="FootnoteText">
    <w:name w:val="footnote text"/>
    <w:basedOn w:val="Normal"/>
    <w:link w:val="FootnoteTextChar"/>
    <w:uiPriority w:val="99"/>
    <w:semiHidden/>
    <w:unhideWhenUsed/>
    <w:rsid w:val="00E00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5C5"/>
    <w:rPr>
      <w:sz w:val="20"/>
      <w:szCs w:val="20"/>
    </w:rPr>
  </w:style>
  <w:style w:type="character" w:styleId="FootnoteReference">
    <w:name w:val="footnote reference"/>
    <w:basedOn w:val="DefaultParagraphFont"/>
    <w:uiPriority w:val="99"/>
    <w:semiHidden/>
    <w:unhideWhenUsed/>
    <w:rsid w:val="00E005C5"/>
    <w:rPr>
      <w:vertAlign w:val="superscript"/>
    </w:rPr>
  </w:style>
  <w:style w:type="character" w:styleId="Hyperlink">
    <w:name w:val="Hyperlink"/>
    <w:basedOn w:val="DefaultParagraphFont"/>
    <w:uiPriority w:val="99"/>
    <w:unhideWhenUsed/>
    <w:rsid w:val="00FC039F"/>
    <w:rPr>
      <w:color w:val="0563C1" w:themeColor="hyperlink"/>
      <w:u w:val="single"/>
    </w:rPr>
  </w:style>
  <w:style w:type="character" w:customStyle="1" w:styleId="ui-provider">
    <w:name w:val="ui-provider"/>
    <w:basedOn w:val="DefaultParagraphFont"/>
    <w:rsid w:val="00C97FFA"/>
  </w:style>
  <w:style w:type="character" w:styleId="FollowedHyperlink">
    <w:name w:val="FollowedHyperlink"/>
    <w:basedOn w:val="DefaultParagraphFont"/>
    <w:uiPriority w:val="99"/>
    <w:semiHidden/>
    <w:unhideWhenUsed/>
    <w:rsid w:val="00884E2D"/>
    <w:rPr>
      <w:color w:val="954F72" w:themeColor="followedHyperlink"/>
      <w:u w:val="single"/>
    </w:rPr>
  </w:style>
  <w:style w:type="character" w:customStyle="1" w:styleId="UnresolvedMention1">
    <w:name w:val="Unresolved Mention1"/>
    <w:basedOn w:val="DefaultParagraphFont"/>
    <w:uiPriority w:val="99"/>
    <w:semiHidden/>
    <w:unhideWhenUsed/>
    <w:rsid w:val="00853B1A"/>
    <w:rPr>
      <w:color w:val="605E5C"/>
      <w:shd w:val="clear" w:color="auto" w:fill="E1DFDD"/>
    </w:rPr>
  </w:style>
  <w:style w:type="paragraph" w:styleId="Header">
    <w:name w:val="header"/>
    <w:basedOn w:val="Normal"/>
    <w:link w:val="HeaderChar"/>
    <w:uiPriority w:val="99"/>
    <w:unhideWhenUsed/>
    <w:rsid w:val="00FB0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C27"/>
  </w:style>
  <w:style w:type="paragraph" w:styleId="Footer">
    <w:name w:val="footer"/>
    <w:basedOn w:val="Normal"/>
    <w:link w:val="FooterChar"/>
    <w:uiPriority w:val="99"/>
    <w:unhideWhenUsed/>
    <w:rsid w:val="00FB0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C27"/>
  </w:style>
  <w:style w:type="paragraph" w:styleId="Revision">
    <w:name w:val="Revision"/>
    <w:hidden/>
    <w:uiPriority w:val="99"/>
    <w:semiHidden/>
    <w:rsid w:val="001A1154"/>
    <w:pPr>
      <w:spacing w:after="0" w:line="240" w:lineRule="auto"/>
    </w:pPr>
  </w:style>
  <w:style w:type="character" w:customStyle="1" w:styleId="Marker">
    <w:name w:val="Marker"/>
    <w:basedOn w:val="DefaultParagraphFont"/>
    <w:rsid w:val="003C4699"/>
    <w:rPr>
      <w:color w:val="0000FF"/>
      <w:shd w:val="clear" w:color="auto" w:fill="auto"/>
    </w:rPr>
  </w:style>
  <w:style w:type="paragraph" w:customStyle="1" w:styleId="Pagedecouverture">
    <w:name w:val="Page de couverture"/>
    <w:basedOn w:val="Normal"/>
    <w:next w:val="Normal"/>
    <w:rsid w:val="003C4699"/>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C469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C4699"/>
    <w:rPr>
      <w:rFonts w:ascii="Times New Roman" w:hAnsi="Times New Roman" w:cs="Times New Roman"/>
      <w:sz w:val="24"/>
    </w:rPr>
  </w:style>
  <w:style w:type="paragraph" w:customStyle="1" w:styleId="FooterSensitivity">
    <w:name w:val="Footer Sensitivity"/>
    <w:basedOn w:val="Normal"/>
    <w:link w:val="FooterSensitivityChar"/>
    <w:rsid w:val="003C469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C4699"/>
    <w:rPr>
      <w:rFonts w:ascii="Times New Roman" w:hAnsi="Times New Roman" w:cs="Times New Roman"/>
      <w:b/>
      <w:sz w:val="32"/>
    </w:rPr>
  </w:style>
  <w:style w:type="paragraph" w:customStyle="1" w:styleId="HeaderCoverPage">
    <w:name w:val="Header Cover Page"/>
    <w:basedOn w:val="Normal"/>
    <w:link w:val="HeaderCoverPageChar"/>
    <w:rsid w:val="003C469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C4699"/>
    <w:rPr>
      <w:rFonts w:ascii="Times New Roman" w:hAnsi="Times New Roman" w:cs="Times New Roman"/>
      <w:sz w:val="24"/>
    </w:rPr>
  </w:style>
  <w:style w:type="paragraph" w:customStyle="1" w:styleId="HeaderSensitivity">
    <w:name w:val="Header Sensitivity"/>
    <w:basedOn w:val="Normal"/>
    <w:link w:val="HeaderSensitivityChar"/>
    <w:rsid w:val="003C469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C4699"/>
    <w:rPr>
      <w:rFonts w:ascii="Times New Roman" w:hAnsi="Times New Roman" w:cs="Times New Roman"/>
      <w:b/>
      <w:sz w:val="32"/>
    </w:rPr>
  </w:style>
  <w:style w:type="paragraph" w:customStyle="1" w:styleId="HeaderSensitivityRight">
    <w:name w:val="Header Sensitivity Right"/>
    <w:basedOn w:val="Normal"/>
    <w:link w:val="HeaderSensitivityRightChar"/>
    <w:rsid w:val="003C469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C4699"/>
    <w:rPr>
      <w:rFonts w:ascii="Times New Roman" w:hAnsi="Times New Roman" w:cs="Times New Roman"/>
      <w:sz w:val="28"/>
    </w:rPr>
  </w:style>
  <w:style w:type="character" w:customStyle="1" w:styleId="UnresolvedMention">
    <w:name w:val="Unresolved Mention"/>
    <w:basedOn w:val="DefaultParagraphFont"/>
    <w:uiPriority w:val="99"/>
    <w:semiHidden/>
    <w:unhideWhenUsed/>
    <w:rsid w:val="0082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447">
      <w:bodyDiv w:val="1"/>
      <w:marLeft w:val="0"/>
      <w:marRight w:val="0"/>
      <w:marTop w:val="0"/>
      <w:marBottom w:val="0"/>
      <w:divBdr>
        <w:top w:val="none" w:sz="0" w:space="0" w:color="auto"/>
        <w:left w:val="none" w:sz="0" w:space="0" w:color="auto"/>
        <w:bottom w:val="none" w:sz="0" w:space="0" w:color="auto"/>
        <w:right w:val="none" w:sz="0" w:space="0" w:color="auto"/>
      </w:divBdr>
    </w:div>
    <w:div w:id="1034116679">
      <w:bodyDiv w:val="1"/>
      <w:marLeft w:val="0"/>
      <w:marRight w:val="0"/>
      <w:marTop w:val="0"/>
      <w:marBottom w:val="0"/>
      <w:divBdr>
        <w:top w:val="none" w:sz="0" w:space="0" w:color="auto"/>
        <w:left w:val="none" w:sz="0" w:space="0" w:color="auto"/>
        <w:bottom w:val="none" w:sz="0" w:space="0" w:color="auto"/>
        <w:right w:val="none" w:sz="0" w:space="0" w:color="auto"/>
      </w:divBdr>
    </w:div>
    <w:div w:id="17367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nergy.ec.europa.eu/topics/energy-security/commissions-opinions-preventive-action-plans-and-emergency-plans_en" TargetMode="External"/><Relationship Id="rId2" Type="http://schemas.openxmlformats.org/officeDocument/2006/relationships/hyperlink" Target="https://energy.ec.europa.eu/topics/markets-and-consumers/market-legislation/hydrogen-and-decarbonised-gas-market-package_en" TargetMode="External"/><Relationship Id="rId1" Type="http://schemas.openxmlformats.org/officeDocument/2006/relationships/hyperlink" Target="https://eur-lex.europa.eu/legal-content/EN/TXT/?uri=COM%3A2022%3A230%3AFIN&amp;qid=1653033742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2661c1b-ebcd-4cf2-a537-0fae4d653bab" xsi:nil="true"/>
    <SharedWithUsers xmlns="12661c1b-ebcd-4cf2-a537-0fae4d653bab">
      <UserInfo>
        <DisplayName>CISZEWSKI Maciej (ENER)</DisplayName>
        <AccountId>137</AccountId>
        <AccountType/>
      </UserInfo>
      <UserInfo>
        <DisplayName>ZSIGRI Monika (ENER)</DisplayName>
        <AccountId>45</AccountId>
        <AccountType/>
      </UserInfo>
      <UserInfo>
        <DisplayName>GERTHOFFERT Clement (ENER)</DisplayName>
        <AccountId>145</AccountId>
        <AccountType/>
      </UserInfo>
      <UserInfo>
        <DisplayName>JASIAK Mikolaj (ENER)</DisplayName>
        <AccountId>146</AccountId>
        <AccountType/>
      </UserInfo>
      <UserInfo>
        <DisplayName>CLETIENNE Marie (ENER)</DisplayName>
        <AccountId>147</AccountId>
        <AccountType/>
      </UserInfo>
      <UserInfo>
        <DisplayName>BAENA Ignacio (ENER)</DisplayName>
        <AccountId>148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4" ma:contentTypeDescription="Create a new document." ma:contentTypeScope="" ma:versionID="9358ee77469dd8388c35904b35d2e82c">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68b6b8891305988129b1c7b680fe86d1"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6f296-39b7-4fb0-847b-093ec654244c}"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94F08-46FB-4FBD-BABD-3C562F2DBB68}">
  <ds:schemaRefs>
    <ds:schemaRef ds:uri="http://schemas.openxmlformats.org/package/2006/metadata/core-properties"/>
    <ds:schemaRef ds:uri="http://schemas.microsoft.com/office/2006/documentManagement/types"/>
    <ds:schemaRef ds:uri="http://schemas.microsoft.com/office/2006/metadata/properties"/>
    <ds:schemaRef ds:uri="12661c1b-ebcd-4cf2-a537-0fae4d653bab"/>
    <ds:schemaRef ds:uri="http://purl.org/dc/elements/1.1/"/>
    <ds:schemaRef ds:uri="http://purl.org/dc/terms/"/>
    <ds:schemaRef ds:uri="72bda078-25cf-4dc4-9853-c68387b648e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92F921F-D710-4704-895B-B19952659017}">
  <ds:schemaRefs>
    <ds:schemaRef ds:uri="http://schemas.microsoft.com/sharepoint/v3/contenttype/forms"/>
  </ds:schemaRefs>
</ds:datastoreItem>
</file>

<file path=customXml/itemProps3.xml><?xml version="1.0" encoding="utf-8"?>
<ds:datastoreItem xmlns:ds="http://schemas.openxmlformats.org/officeDocument/2006/customXml" ds:itemID="{90CDD40C-11BA-4912-B01A-9941718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AF43D-F2B3-446E-8465-4FF43593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3763</Words>
  <Characters>20774</Characters>
  <Application>Microsoft Office Word</Application>
  <DocSecurity>0</DocSecurity>
  <Lines>314</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28</cp:revision>
  <dcterms:created xsi:type="dcterms:W3CDTF">2023-09-27T13:46:00Z</dcterms:created>
  <dcterms:modified xsi:type="dcterms:W3CDTF">2023-09-28T07:28:00Z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2023-06-27T12:13:43Z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554a436c-4f22-4e22-9b9b-54145f58f33a</vt:lpwstr>
  </property>
  <property fmtid="{D5CDD505-2E9C-101B-9397-08002B2CF9AE}" pid="8" name="MSIP_Label_6bd9ddd1-4d20-43f6-abfa-fc3c07406f94_ContentBits">
    <vt:lpwstr>0</vt:lpwstr>
  </property>
  <property fmtid="{D5CDD505-2E9C-101B-9397-08002B2CF9AE}" pid="9" name="ContentTypeId">
    <vt:lpwstr>0x010100DECBAA3E038356449A8E8E5EFBA56BA7</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CP-005</vt:lpwstr>
  </property>
  <property fmtid="{D5CDD505-2E9C-101B-9397-08002B2CF9AE}" pid="16" name="Last edited using">
    <vt:lpwstr>LW 9.0, Build 20230317</vt:lpwstr>
  </property>
  <property fmtid="{D5CDD505-2E9C-101B-9397-08002B2CF9AE}" pid="17" name="Created using">
    <vt:lpwstr>LW 9.0, Build 20230317</vt:lpwstr>
  </property>
</Properties>
</file>